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18.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18.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52FD6E3" w14:textId="2DCD4F8F" w:rsidR="0062235E" w:rsidRPr="002A150B" w:rsidRDefault="0030444F" w:rsidP="0030444F">
      <w:pPr>
        <w:pStyle w:val="Pagedecouverture"/>
        <w:rPr>
          <w:noProof/>
        </w:rPr>
      </w:pPr>
      <w:bookmarkStart w:id="0" w:name="LW_BM_COVERPAGE"/>
      <w:r>
        <w:rPr>
          <w:noProof/>
        </w:rPr>
        <w:pict w14:anchorId="0563972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2" type="#_x0000_t75" alt="6BD7C1F3-CDC3-4437-829C-96A7404AA673" style="width:455.25pt;height:310.5pt">
            <v:imagedata r:id="rId11" o:title=""/>
          </v:shape>
        </w:pict>
      </w:r>
    </w:p>
    <w:bookmarkEnd w:id="0"/>
    <w:p w14:paraId="69474710" w14:textId="77777777" w:rsidR="00535E6D" w:rsidRPr="002A150B" w:rsidRDefault="00535E6D" w:rsidP="00535E6D">
      <w:pPr>
        <w:rPr>
          <w:rFonts w:ascii="Times New Roman" w:hAnsi="Times New Roman" w:cs="Times New Roman"/>
          <w:noProof/>
        </w:rPr>
        <w:sectPr w:rsidR="00535E6D" w:rsidRPr="002A150B" w:rsidSect="0030444F">
          <w:headerReference w:type="even" r:id="rId12"/>
          <w:headerReference w:type="default" r:id="rId13"/>
          <w:footerReference w:type="even" r:id="rId14"/>
          <w:footerReference w:type="default" r:id="rId15"/>
          <w:headerReference w:type="first" r:id="rId16"/>
          <w:footerReference w:type="first" r:id="rId17"/>
          <w:pgSz w:w="11906" w:h="16838"/>
          <w:pgMar w:top="1134" w:right="1417" w:bottom="1134" w:left="1417" w:header="709" w:footer="709" w:gutter="0"/>
          <w:pgNumType w:start="0"/>
          <w:cols w:space="720"/>
          <w:docGrid w:linePitch="360"/>
        </w:sectPr>
      </w:pPr>
    </w:p>
    <w:bookmarkStart w:id="1" w:name="_GoBack" w:displacedByCustomXml="next"/>
    <w:bookmarkEnd w:id="1" w:displacedByCustomXml="next"/>
    <w:sdt>
      <w:sdtPr>
        <w:rPr>
          <w:rFonts w:ascii="Times New Roman" w:eastAsiaTheme="minorEastAsia" w:hAnsi="Times New Roman" w:cs="Times New Roman"/>
          <w:noProof/>
          <w:color w:val="auto"/>
          <w:kern w:val="2"/>
          <w:sz w:val="22"/>
          <w:szCs w:val="22"/>
          <w14:ligatures w14:val="standardContextual"/>
        </w:rPr>
        <w:id w:val="1961301677"/>
        <w:docPartObj>
          <w:docPartGallery w:val="Table of Contents"/>
          <w:docPartUnique/>
        </w:docPartObj>
      </w:sdtPr>
      <w:sdtEndPr>
        <w:rPr>
          <w:b/>
          <w:bCs/>
        </w:rPr>
      </w:sdtEndPr>
      <w:sdtContent>
        <w:p w14:paraId="36AA2641" w14:textId="5CCCDE2A" w:rsidR="00A131E8" w:rsidRPr="002A150B" w:rsidRDefault="00A131E8">
          <w:pPr>
            <w:pStyle w:val="TOCHeading"/>
            <w:rPr>
              <w:rFonts w:ascii="Times New Roman" w:hAnsi="Times New Roman" w:cs="Times New Roman"/>
              <w:noProof/>
            </w:rPr>
          </w:pPr>
          <w:r w:rsidRPr="002A150B">
            <w:rPr>
              <w:rFonts w:ascii="Times New Roman" w:hAnsi="Times New Roman"/>
              <w:noProof/>
            </w:rPr>
            <w:t>Cuprins</w:t>
          </w:r>
        </w:p>
        <w:p w14:paraId="101DCFDC" w14:textId="05CFD4BF" w:rsidR="00847314" w:rsidRPr="0092159E" w:rsidRDefault="00A131E8">
          <w:pPr>
            <w:pStyle w:val="TOC1"/>
            <w:tabs>
              <w:tab w:val="left" w:pos="440"/>
              <w:tab w:val="right" w:leader="dot" w:pos="9016"/>
            </w:tabs>
            <w:rPr>
              <w:rFonts w:ascii="Times New Roman" w:eastAsiaTheme="minorEastAsia" w:hAnsi="Times New Roman" w:cs="Times New Roman"/>
              <w:noProof/>
              <w:sz w:val="24"/>
              <w:szCs w:val="24"/>
              <w:lang w:val="en-IE" w:eastAsia="en-IE"/>
            </w:rPr>
          </w:pPr>
          <w:r w:rsidRPr="0092159E">
            <w:rPr>
              <w:rFonts w:ascii="Times New Roman" w:hAnsi="Times New Roman" w:cs="Times New Roman"/>
              <w:noProof/>
            </w:rPr>
            <w:fldChar w:fldCharType="begin"/>
          </w:r>
          <w:r w:rsidRPr="0092159E">
            <w:rPr>
              <w:rFonts w:ascii="Times New Roman" w:hAnsi="Times New Roman" w:cs="Times New Roman"/>
              <w:noProof/>
            </w:rPr>
            <w:instrText xml:space="preserve"> TOC \o "1-3" \h \z \u </w:instrText>
          </w:r>
          <w:r w:rsidRPr="0092159E">
            <w:rPr>
              <w:rFonts w:ascii="Times New Roman" w:hAnsi="Times New Roman" w:cs="Times New Roman"/>
              <w:noProof/>
            </w:rPr>
            <w:fldChar w:fldCharType="separate"/>
          </w:r>
          <w:hyperlink w:anchor="_Toc189482423" w:history="1">
            <w:r w:rsidR="00847314" w:rsidRPr="0092159E">
              <w:rPr>
                <w:rStyle w:val="Hyperlink"/>
                <w:rFonts w:ascii="Times New Roman" w:hAnsi="Times New Roman" w:cs="Times New Roman"/>
                <w:noProof/>
              </w:rPr>
              <w:t>1.</w:t>
            </w:r>
            <w:r w:rsidR="00847314" w:rsidRPr="0092159E">
              <w:rPr>
                <w:rFonts w:ascii="Times New Roman" w:eastAsiaTheme="minorEastAsia" w:hAnsi="Times New Roman" w:cs="Times New Roman"/>
                <w:noProof/>
                <w:sz w:val="24"/>
                <w:szCs w:val="24"/>
                <w:lang w:val="en-IE" w:eastAsia="en-IE"/>
              </w:rPr>
              <w:tab/>
            </w:r>
            <w:r w:rsidR="00847314" w:rsidRPr="0092159E">
              <w:rPr>
                <w:rStyle w:val="Hyperlink"/>
                <w:rFonts w:ascii="Times New Roman" w:hAnsi="Times New Roman" w:cs="Times New Roman"/>
                <w:noProof/>
              </w:rPr>
              <w:t>Introducere</w:t>
            </w:r>
            <w:r w:rsidR="00847314" w:rsidRPr="0092159E">
              <w:rPr>
                <w:rFonts w:ascii="Times New Roman" w:hAnsi="Times New Roman" w:cs="Times New Roman"/>
                <w:noProof/>
                <w:webHidden/>
              </w:rPr>
              <w:tab/>
            </w:r>
            <w:r w:rsidR="00847314" w:rsidRPr="0092159E">
              <w:rPr>
                <w:rFonts w:ascii="Times New Roman" w:hAnsi="Times New Roman" w:cs="Times New Roman"/>
                <w:noProof/>
                <w:webHidden/>
              </w:rPr>
              <w:fldChar w:fldCharType="begin"/>
            </w:r>
            <w:r w:rsidR="00847314" w:rsidRPr="0092159E">
              <w:rPr>
                <w:rFonts w:ascii="Times New Roman" w:hAnsi="Times New Roman" w:cs="Times New Roman"/>
                <w:noProof/>
                <w:webHidden/>
              </w:rPr>
              <w:instrText xml:space="preserve"> PAGEREF _Toc189482423 \h </w:instrText>
            </w:r>
            <w:r w:rsidR="00847314" w:rsidRPr="0092159E">
              <w:rPr>
                <w:rFonts w:ascii="Times New Roman" w:hAnsi="Times New Roman" w:cs="Times New Roman"/>
                <w:noProof/>
                <w:webHidden/>
              </w:rPr>
            </w:r>
            <w:r w:rsidR="00847314" w:rsidRPr="0092159E">
              <w:rPr>
                <w:rFonts w:ascii="Times New Roman" w:hAnsi="Times New Roman" w:cs="Times New Roman"/>
                <w:noProof/>
                <w:webHidden/>
              </w:rPr>
              <w:fldChar w:fldCharType="separate"/>
            </w:r>
            <w:r w:rsidR="00847314" w:rsidRPr="0092159E">
              <w:rPr>
                <w:rFonts w:ascii="Times New Roman" w:hAnsi="Times New Roman" w:cs="Times New Roman"/>
                <w:noProof/>
                <w:webHidden/>
              </w:rPr>
              <w:t>2</w:t>
            </w:r>
            <w:r w:rsidR="00847314" w:rsidRPr="0092159E">
              <w:rPr>
                <w:rFonts w:ascii="Times New Roman" w:hAnsi="Times New Roman" w:cs="Times New Roman"/>
                <w:noProof/>
                <w:webHidden/>
              </w:rPr>
              <w:fldChar w:fldCharType="end"/>
            </w:r>
          </w:hyperlink>
        </w:p>
        <w:p w14:paraId="62BBDCE6" w14:textId="00513D35" w:rsidR="00847314" w:rsidRPr="0092159E" w:rsidRDefault="0030444F">
          <w:pPr>
            <w:pStyle w:val="TOC1"/>
            <w:tabs>
              <w:tab w:val="left" w:pos="440"/>
              <w:tab w:val="right" w:leader="dot" w:pos="9016"/>
            </w:tabs>
            <w:rPr>
              <w:rFonts w:ascii="Times New Roman" w:eastAsiaTheme="minorEastAsia" w:hAnsi="Times New Roman" w:cs="Times New Roman"/>
              <w:noProof/>
              <w:sz w:val="24"/>
              <w:szCs w:val="24"/>
              <w:lang w:val="en-IE" w:eastAsia="en-IE"/>
            </w:rPr>
          </w:pPr>
          <w:hyperlink w:anchor="_Toc189482424" w:history="1">
            <w:r w:rsidR="00847314" w:rsidRPr="0092159E">
              <w:rPr>
                <w:rStyle w:val="Hyperlink"/>
                <w:rFonts w:ascii="Times New Roman" w:hAnsi="Times New Roman" w:cs="Times New Roman"/>
                <w:noProof/>
              </w:rPr>
              <w:t>2.</w:t>
            </w:r>
            <w:r w:rsidR="00847314" w:rsidRPr="0092159E">
              <w:rPr>
                <w:rFonts w:ascii="Times New Roman" w:eastAsiaTheme="minorEastAsia" w:hAnsi="Times New Roman" w:cs="Times New Roman"/>
                <w:noProof/>
                <w:sz w:val="24"/>
                <w:szCs w:val="24"/>
                <w:lang w:val="en-IE" w:eastAsia="en-IE"/>
              </w:rPr>
              <w:tab/>
            </w:r>
            <w:r w:rsidR="00847314" w:rsidRPr="0092159E">
              <w:rPr>
                <w:rStyle w:val="Hyperlink"/>
                <w:rFonts w:ascii="Times New Roman" w:hAnsi="Times New Roman" w:cs="Times New Roman"/>
                <w:noProof/>
              </w:rPr>
              <w:t>Situația actuală privind EU ETS</w:t>
            </w:r>
            <w:r w:rsidR="00847314" w:rsidRPr="0092159E">
              <w:rPr>
                <w:rFonts w:ascii="Times New Roman" w:hAnsi="Times New Roman" w:cs="Times New Roman"/>
                <w:noProof/>
                <w:webHidden/>
              </w:rPr>
              <w:tab/>
            </w:r>
            <w:r w:rsidR="00847314" w:rsidRPr="0092159E">
              <w:rPr>
                <w:rFonts w:ascii="Times New Roman" w:hAnsi="Times New Roman" w:cs="Times New Roman"/>
                <w:noProof/>
                <w:webHidden/>
              </w:rPr>
              <w:fldChar w:fldCharType="begin"/>
            </w:r>
            <w:r w:rsidR="00847314" w:rsidRPr="0092159E">
              <w:rPr>
                <w:rFonts w:ascii="Times New Roman" w:hAnsi="Times New Roman" w:cs="Times New Roman"/>
                <w:noProof/>
                <w:webHidden/>
              </w:rPr>
              <w:instrText xml:space="preserve"> PAGEREF _Toc189482424 \h </w:instrText>
            </w:r>
            <w:r w:rsidR="00847314" w:rsidRPr="0092159E">
              <w:rPr>
                <w:rFonts w:ascii="Times New Roman" w:hAnsi="Times New Roman" w:cs="Times New Roman"/>
                <w:noProof/>
                <w:webHidden/>
              </w:rPr>
            </w:r>
            <w:r w:rsidR="00847314" w:rsidRPr="0092159E">
              <w:rPr>
                <w:rFonts w:ascii="Times New Roman" w:hAnsi="Times New Roman" w:cs="Times New Roman"/>
                <w:noProof/>
                <w:webHidden/>
              </w:rPr>
              <w:fldChar w:fldCharType="separate"/>
            </w:r>
            <w:r w:rsidR="00847314" w:rsidRPr="0092159E">
              <w:rPr>
                <w:rFonts w:ascii="Times New Roman" w:hAnsi="Times New Roman" w:cs="Times New Roman"/>
                <w:noProof/>
                <w:webHidden/>
              </w:rPr>
              <w:t>3</w:t>
            </w:r>
            <w:r w:rsidR="00847314" w:rsidRPr="0092159E">
              <w:rPr>
                <w:rFonts w:ascii="Times New Roman" w:hAnsi="Times New Roman" w:cs="Times New Roman"/>
                <w:noProof/>
                <w:webHidden/>
              </w:rPr>
              <w:fldChar w:fldCharType="end"/>
            </w:r>
          </w:hyperlink>
        </w:p>
        <w:p w14:paraId="5C164350" w14:textId="51158018" w:rsidR="00847314" w:rsidRPr="0092159E" w:rsidRDefault="0030444F">
          <w:pPr>
            <w:pStyle w:val="TOC2"/>
            <w:tabs>
              <w:tab w:val="left" w:pos="960"/>
              <w:tab w:val="right" w:leader="dot" w:pos="9016"/>
            </w:tabs>
            <w:rPr>
              <w:rFonts w:ascii="Times New Roman" w:hAnsi="Times New Roman"/>
              <w:noProof/>
              <w:kern w:val="2"/>
              <w:sz w:val="24"/>
              <w:szCs w:val="24"/>
              <w:lang w:val="en-IE" w:eastAsia="en-IE"/>
              <w14:ligatures w14:val="standardContextual"/>
            </w:rPr>
          </w:pPr>
          <w:hyperlink w:anchor="_Toc189482425" w:history="1">
            <w:r w:rsidR="00847314" w:rsidRPr="0092159E">
              <w:rPr>
                <w:rStyle w:val="Hyperlink"/>
                <w:rFonts w:ascii="Times New Roman" w:hAnsi="Times New Roman"/>
                <w:noProof/>
              </w:rPr>
              <w:t>2.1.</w:t>
            </w:r>
            <w:r w:rsidR="00847314" w:rsidRPr="0092159E">
              <w:rPr>
                <w:rFonts w:ascii="Times New Roman" w:hAnsi="Times New Roman"/>
                <w:noProof/>
                <w:kern w:val="2"/>
                <w:sz w:val="24"/>
                <w:szCs w:val="24"/>
                <w:lang w:val="en-IE" w:eastAsia="en-IE"/>
                <w14:ligatures w14:val="standardContextual"/>
              </w:rPr>
              <w:tab/>
            </w:r>
            <w:r w:rsidR="00847314" w:rsidRPr="0092159E">
              <w:rPr>
                <w:rStyle w:val="Hyperlink"/>
                <w:rFonts w:ascii="Times New Roman" w:hAnsi="Times New Roman"/>
                <w:noProof/>
              </w:rPr>
              <w:t>Domeniu și sferă de aplicare</w:t>
            </w:r>
            <w:r w:rsidR="00847314" w:rsidRPr="0092159E">
              <w:rPr>
                <w:rFonts w:ascii="Times New Roman" w:hAnsi="Times New Roman"/>
                <w:noProof/>
                <w:webHidden/>
              </w:rPr>
              <w:tab/>
            </w:r>
            <w:r w:rsidR="00847314" w:rsidRPr="0092159E">
              <w:rPr>
                <w:rFonts w:ascii="Times New Roman" w:hAnsi="Times New Roman"/>
                <w:noProof/>
                <w:webHidden/>
              </w:rPr>
              <w:fldChar w:fldCharType="begin"/>
            </w:r>
            <w:r w:rsidR="00847314" w:rsidRPr="0092159E">
              <w:rPr>
                <w:rFonts w:ascii="Times New Roman" w:hAnsi="Times New Roman"/>
                <w:noProof/>
                <w:webHidden/>
              </w:rPr>
              <w:instrText xml:space="preserve"> PAGEREF _Toc189482425 \h </w:instrText>
            </w:r>
            <w:r w:rsidR="00847314" w:rsidRPr="0092159E">
              <w:rPr>
                <w:rFonts w:ascii="Times New Roman" w:hAnsi="Times New Roman"/>
                <w:noProof/>
                <w:webHidden/>
              </w:rPr>
            </w:r>
            <w:r w:rsidR="00847314" w:rsidRPr="0092159E">
              <w:rPr>
                <w:rFonts w:ascii="Times New Roman" w:hAnsi="Times New Roman"/>
                <w:noProof/>
                <w:webHidden/>
              </w:rPr>
              <w:fldChar w:fldCharType="separate"/>
            </w:r>
            <w:r w:rsidR="00847314" w:rsidRPr="0092159E">
              <w:rPr>
                <w:rFonts w:ascii="Times New Roman" w:hAnsi="Times New Roman"/>
                <w:noProof/>
                <w:webHidden/>
              </w:rPr>
              <w:t>3</w:t>
            </w:r>
            <w:r w:rsidR="00847314" w:rsidRPr="0092159E">
              <w:rPr>
                <w:rFonts w:ascii="Times New Roman" w:hAnsi="Times New Roman"/>
                <w:noProof/>
                <w:webHidden/>
              </w:rPr>
              <w:fldChar w:fldCharType="end"/>
            </w:r>
          </w:hyperlink>
        </w:p>
        <w:p w14:paraId="5D213325" w14:textId="7D2D122D" w:rsidR="00847314" w:rsidRPr="0092159E" w:rsidRDefault="0030444F">
          <w:pPr>
            <w:pStyle w:val="TOC2"/>
            <w:tabs>
              <w:tab w:val="left" w:pos="960"/>
              <w:tab w:val="right" w:leader="dot" w:pos="9016"/>
            </w:tabs>
            <w:rPr>
              <w:rFonts w:ascii="Times New Roman" w:hAnsi="Times New Roman"/>
              <w:noProof/>
              <w:kern w:val="2"/>
              <w:sz w:val="24"/>
              <w:szCs w:val="24"/>
              <w:lang w:val="en-IE" w:eastAsia="en-IE"/>
              <w14:ligatures w14:val="standardContextual"/>
            </w:rPr>
          </w:pPr>
          <w:hyperlink w:anchor="_Toc189482426" w:history="1">
            <w:r w:rsidR="00847314" w:rsidRPr="0092159E">
              <w:rPr>
                <w:rStyle w:val="Hyperlink"/>
                <w:rFonts w:ascii="Times New Roman" w:hAnsi="Times New Roman"/>
                <w:noProof/>
              </w:rPr>
              <w:t>2.2.</w:t>
            </w:r>
            <w:r w:rsidR="00847314" w:rsidRPr="0092159E">
              <w:rPr>
                <w:rFonts w:ascii="Times New Roman" w:hAnsi="Times New Roman"/>
                <w:noProof/>
                <w:kern w:val="2"/>
                <w:sz w:val="24"/>
                <w:szCs w:val="24"/>
                <w:lang w:val="en-IE" w:eastAsia="en-IE"/>
                <w14:ligatures w14:val="standardContextual"/>
              </w:rPr>
              <w:tab/>
            </w:r>
            <w:r w:rsidR="00847314" w:rsidRPr="0092159E">
              <w:rPr>
                <w:rStyle w:val="Hyperlink"/>
                <w:rFonts w:ascii="Times New Roman" w:hAnsi="Times New Roman"/>
                <w:noProof/>
              </w:rPr>
              <w:t>ETS2 – noua schemă de comercializare a certificatelor de emisii în sectorul clădirilor, al transportului rutier și în alte sectoare</w:t>
            </w:r>
            <w:r w:rsidR="00847314" w:rsidRPr="0092159E">
              <w:rPr>
                <w:rFonts w:ascii="Times New Roman" w:hAnsi="Times New Roman"/>
                <w:noProof/>
                <w:webHidden/>
              </w:rPr>
              <w:tab/>
            </w:r>
            <w:r w:rsidR="00847314" w:rsidRPr="0092159E">
              <w:rPr>
                <w:rFonts w:ascii="Times New Roman" w:hAnsi="Times New Roman"/>
                <w:noProof/>
                <w:webHidden/>
              </w:rPr>
              <w:fldChar w:fldCharType="begin"/>
            </w:r>
            <w:r w:rsidR="00847314" w:rsidRPr="0092159E">
              <w:rPr>
                <w:rFonts w:ascii="Times New Roman" w:hAnsi="Times New Roman"/>
                <w:noProof/>
                <w:webHidden/>
              </w:rPr>
              <w:instrText xml:space="preserve"> PAGEREF _Toc189482426 \h </w:instrText>
            </w:r>
            <w:r w:rsidR="00847314" w:rsidRPr="0092159E">
              <w:rPr>
                <w:rFonts w:ascii="Times New Roman" w:hAnsi="Times New Roman"/>
                <w:noProof/>
                <w:webHidden/>
              </w:rPr>
            </w:r>
            <w:r w:rsidR="00847314" w:rsidRPr="0092159E">
              <w:rPr>
                <w:rFonts w:ascii="Times New Roman" w:hAnsi="Times New Roman"/>
                <w:noProof/>
                <w:webHidden/>
              </w:rPr>
              <w:fldChar w:fldCharType="separate"/>
            </w:r>
            <w:r w:rsidR="00847314" w:rsidRPr="0092159E">
              <w:rPr>
                <w:rFonts w:ascii="Times New Roman" w:hAnsi="Times New Roman"/>
                <w:noProof/>
                <w:webHidden/>
              </w:rPr>
              <w:t>4</w:t>
            </w:r>
            <w:r w:rsidR="00847314" w:rsidRPr="0092159E">
              <w:rPr>
                <w:rFonts w:ascii="Times New Roman" w:hAnsi="Times New Roman"/>
                <w:noProof/>
                <w:webHidden/>
              </w:rPr>
              <w:fldChar w:fldCharType="end"/>
            </w:r>
          </w:hyperlink>
        </w:p>
        <w:p w14:paraId="5DB3FF89" w14:textId="7317876C" w:rsidR="00847314" w:rsidRPr="0092159E" w:rsidRDefault="0030444F">
          <w:pPr>
            <w:pStyle w:val="TOC2"/>
            <w:tabs>
              <w:tab w:val="left" w:pos="960"/>
              <w:tab w:val="right" w:leader="dot" w:pos="9016"/>
            </w:tabs>
            <w:rPr>
              <w:rFonts w:ascii="Times New Roman" w:hAnsi="Times New Roman"/>
              <w:noProof/>
              <w:kern w:val="2"/>
              <w:sz w:val="24"/>
              <w:szCs w:val="24"/>
              <w:lang w:val="en-IE" w:eastAsia="en-IE"/>
              <w14:ligatures w14:val="standardContextual"/>
            </w:rPr>
          </w:pPr>
          <w:hyperlink w:anchor="_Toc189482427" w:history="1">
            <w:r w:rsidR="00847314" w:rsidRPr="0092159E">
              <w:rPr>
                <w:rStyle w:val="Hyperlink"/>
                <w:rFonts w:ascii="Times New Roman" w:hAnsi="Times New Roman"/>
                <w:noProof/>
              </w:rPr>
              <w:t>2.3.</w:t>
            </w:r>
            <w:r w:rsidR="00847314" w:rsidRPr="0092159E">
              <w:rPr>
                <w:rFonts w:ascii="Times New Roman" w:hAnsi="Times New Roman"/>
                <w:noProof/>
                <w:kern w:val="2"/>
                <w:sz w:val="24"/>
                <w:szCs w:val="24"/>
                <w:lang w:val="en-IE" w:eastAsia="en-IE"/>
                <w14:ligatures w14:val="standardContextual"/>
              </w:rPr>
              <w:tab/>
            </w:r>
            <w:r w:rsidR="00847314" w:rsidRPr="0092159E">
              <w:rPr>
                <w:rStyle w:val="Hyperlink"/>
                <w:rFonts w:ascii="Times New Roman" w:hAnsi="Times New Roman"/>
                <w:noProof/>
              </w:rPr>
              <w:t>Fondul social pentru climă</w:t>
            </w:r>
            <w:r w:rsidR="00847314" w:rsidRPr="0092159E">
              <w:rPr>
                <w:rFonts w:ascii="Times New Roman" w:hAnsi="Times New Roman"/>
                <w:noProof/>
                <w:webHidden/>
              </w:rPr>
              <w:tab/>
            </w:r>
            <w:r w:rsidR="00847314" w:rsidRPr="0092159E">
              <w:rPr>
                <w:rFonts w:ascii="Times New Roman" w:hAnsi="Times New Roman"/>
                <w:noProof/>
                <w:webHidden/>
              </w:rPr>
              <w:fldChar w:fldCharType="begin"/>
            </w:r>
            <w:r w:rsidR="00847314" w:rsidRPr="0092159E">
              <w:rPr>
                <w:rFonts w:ascii="Times New Roman" w:hAnsi="Times New Roman"/>
                <w:noProof/>
                <w:webHidden/>
              </w:rPr>
              <w:instrText xml:space="preserve"> PAGEREF _Toc189482427 \h </w:instrText>
            </w:r>
            <w:r w:rsidR="00847314" w:rsidRPr="0092159E">
              <w:rPr>
                <w:rFonts w:ascii="Times New Roman" w:hAnsi="Times New Roman"/>
                <w:noProof/>
                <w:webHidden/>
              </w:rPr>
            </w:r>
            <w:r w:rsidR="00847314" w:rsidRPr="0092159E">
              <w:rPr>
                <w:rFonts w:ascii="Times New Roman" w:hAnsi="Times New Roman"/>
                <w:noProof/>
                <w:webHidden/>
              </w:rPr>
              <w:fldChar w:fldCharType="separate"/>
            </w:r>
            <w:r w:rsidR="00847314" w:rsidRPr="0092159E">
              <w:rPr>
                <w:rFonts w:ascii="Times New Roman" w:hAnsi="Times New Roman"/>
                <w:noProof/>
                <w:webHidden/>
              </w:rPr>
              <w:t>4</w:t>
            </w:r>
            <w:r w:rsidR="00847314" w:rsidRPr="0092159E">
              <w:rPr>
                <w:rFonts w:ascii="Times New Roman" w:hAnsi="Times New Roman"/>
                <w:noProof/>
                <w:webHidden/>
              </w:rPr>
              <w:fldChar w:fldCharType="end"/>
            </w:r>
          </w:hyperlink>
        </w:p>
        <w:p w14:paraId="5D5F1697" w14:textId="699BC934" w:rsidR="00847314" w:rsidRPr="0092159E" w:rsidRDefault="0030444F">
          <w:pPr>
            <w:pStyle w:val="TOC1"/>
            <w:tabs>
              <w:tab w:val="left" w:pos="440"/>
              <w:tab w:val="right" w:leader="dot" w:pos="9016"/>
            </w:tabs>
            <w:rPr>
              <w:rFonts w:ascii="Times New Roman" w:eastAsiaTheme="minorEastAsia" w:hAnsi="Times New Roman" w:cs="Times New Roman"/>
              <w:noProof/>
              <w:sz w:val="24"/>
              <w:szCs w:val="24"/>
              <w:lang w:val="en-IE" w:eastAsia="en-IE"/>
            </w:rPr>
          </w:pPr>
          <w:hyperlink w:anchor="_Toc189482428" w:history="1">
            <w:r w:rsidR="00847314" w:rsidRPr="0092159E">
              <w:rPr>
                <w:rStyle w:val="Hyperlink"/>
                <w:rFonts w:ascii="Times New Roman" w:hAnsi="Times New Roman" w:cs="Times New Roman"/>
                <w:noProof/>
              </w:rPr>
              <w:t>3.</w:t>
            </w:r>
            <w:r w:rsidR="00847314" w:rsidRPr="0092159E">
              <w:rPr>
                <w:rFonts w:ascii="Times New Roman" w:eastAsiaTheme="minorEastAsia" w:hAnsi="Times New Roman" w:cs="Times New Roman"/>
                <w:noProof/>
                <w:sz w:val="24"/>
                <w:szCs w:val="24"/>
                <w:lang w:val="en-IE" w:eastAsia="en-IE"/>
              </w:rPr>
              <w:tab/>
            </w:r>
            <w:r w:rsidR="00847314" w:rsidRPr="0092159E">
              <w:rPr>
                <w:rStyle w:val="Hyperlink"/>
                <w:rFonts w:ascii="Times New Roman" w:hAnsi="Times New Roman" w:cs="Times New Roman"/>
                <w:noProof/>
              </w:rPr>
              <w:t>Plafonul pentru emisii</w:t>
            </w:r>
            <w:r w:rsidR="00847314" w:rsidRPr="0092159E">
              <w:rPr>
                <w:rFonts w:ascii="Times New Roman" w:hAnsi="Times New Roman" w:cs="Times New Roman"/>
                <w:noProof/>
                <w:webHidden/>
              </w:rPr>
              <w:tab/>
            </w:r>
            <w:r w:rsidR="00847314" w:rsidRPr="0092159E">
              <w:rPr>
                <w:rFonts w:ascii="Times New Roman" w:hAnsi="Times New Roman" w:cs="Times New Roman"/>
                <w:noProof/>
                <w:webHidden/>
              </w:rPr>
              <w:fldChar w:fldCharType="begin"/>
            </w:r>
            <w:r w:rsidR="00847314" w:rsidRPr="0092159E">
              <w:rPr>
                <w:rFonts w:ascii="Times New Roman" w:hAnsi="Times New Roman" w:cs="Times New Roman"/>
                <w:noProof/>
                <w:webHidden/>
              </w:rPr>
              <w:instrText xml:space="preserve"> PAGEREF _Toc189482428 \h </w:instrText>
            </w:r>
            <w:r w:rsidR="00847314" w:rsidRPr="0092159E">
              <w:rPr>
                <w:rFonts w:ascii="Times New Roman" w:hAnsi="Times New Roman" w:cs="Times New Roman"/>
                <w:noProof/>
                <w:webHidden/>
              </w:rPr>
            </w:r>
            <w:r w:rsidR="00847314" w:rsidRPr="0092159E">
              <w:rPr>
                <w:rFonts w:ascii="Times New Roman" w:hAnsi="Times New Roman" w:cs="Times New Roman"/>
                <w:noProof/>
                <w:webHidden/>
              </w:rPr>
              <w:fldChar w:fldCharType="separate"/>
            </w:r>
            <w:r w:rsidR="00847314" w:rsidRPr="0092159E">
              <w:rPr>
                <w:rFonts w:ascii="Times New Roman" w:hAnsi="Times New Roman" w:cs="Times New Roman"/>
                <w:noProof/>
                <w:webHidden/>
              </w:rPr>
              <w:t>6</w:t>
            </w:r>
            <w:r w:rsidR="00847314" w:rsidRPr="0092159E">
              <w:rPr>
                <w:rFonts w:ascii="Times New Roman" w:hAnsi="Times New Roman" w:cs="Times New Roman"/>
                <w:noProof/>
                <w:webHidden/>
              </w:rPr>
              <w:fldChar w:fldCharType="end"/>
            </w:r>
          </w:hyperlink>
        </w:p>
        <w:p w14:paraId="23F2874F" w14:textId="56AA4F55" w:rsidR="00847314" w:rsidRPr="0092159E" w:rsidRDefault="0030444F">
          <w:pPr>
            <w:pStyle w:val="TOC1"/>
            <w:tabs>
              <w:tab w:val="left" w:pos="440"/>
              <w:tab w:val="right" w:leader="dot" w:pos="9016"/>
            </w:tabs>
            <w:rPr>
              <w:rFonts w:ascii="Times New Roman" w:eastAsiaTheme="minorEastAsia" w:hAnsi="Times New Roman" w:cs="Times New Roman"/>
              <w:noProof/>
              <w:sz w:val="24"/>
              <w:szCs w:val="24"/>
              <w:lang w:val="en-IE" w:eastAsia="en-IE"/>
            </w:rPr>
          </w:pPr>
          <w:hyperlink w:anchor="_Toc189482429" w:history="1">
            <w:r w:rsidR="00847314" w:rsidRPr="0092159E">
              <w:rPr>
                <w:rStyle w:val="Hyperlink"/>
                <w:rFonts w:ascii="Times New Roman" w:hAnsi="Times New Roman" w:cs="Times New Roman"/>
                <w:noProof/>
              </w:rPr>
              <w:t>4.</w:t>
            </w:r>
            <w:r w:rsidR="00847314" w:rsidRPr="0092159E">
              <w:rPr>
                <w:rFonts w:ascii="Times New Roman" w:eastAsiaTheme="minorEastAsia" w:hAnsi="Times New Roman" w:cs="Times New Roman"/>
                <w:noProof/>
                <w:sz w:val="24"/>
                <w:szCs w:val="24"/>
                <w:lang w:val="en-IE" w:eastAsia="en-IE"/>
              </w:rPr>
              <w:tab/>
            </w:r>
            <w:r w:rsidR="00847314" w:rsidRPr="0092159E">
              <w:rPr>
                <w:rStyle w:val="Hyperlink"/>
                <w:rFonts w:ascii="Times New Roman" w:hAnsi="Times New Roman" w:cs="Times New Roman"/>
                <w:noProof/>
              </w:rPr>
              <w:t>Vânzarea certificatelor prin licitație</w:t>
            </w:r>
            <w:r w:rsidR="00847314" w:rsidRPr="0092159E">
              <w:rPr>
                <w:rFonts w:ascii="Times New Roman" w:hAnsi="Times New Roman" w:cs="Times New Roman"/>
                <w:noProof/>
                <w:webHidden/>
              </w:rPr>
              <w:tab/>
            </w:r>
            <w:r w:rsidR="00847314" w:rsidRPr="0092159E">
              <w:rPr>
                <w:rFonts w:ascii="Times New Roman" w:hAnsi="Times New Roman" w:cs="Times New Roman"/>
                <w:noProof/>
                <w:webHidden/>
              </w:rPr>
              <w:fldChar w:fldCharType="begin"/>
            </w:r>
            <w:r w:rsidR="00847314" w:rsidRPr="0092159E">
              <w:rPr>
                <w:rFonts w:ascii="Times New Roman" w:hAnsi="Times New Roman" w:cs="Times New Roman"/>
                <w:noProof/>
                <w:webHidden/>
              </w:rPr>
              <w:instrText xml:space="preserve"> PAGEREF _Toc189482429 \h </w:instrText>
            </w:r>
            <w:r w:rsidR="00847314" w:rsidRPr="0092159E">
              <w:rPr>
                <w:rFonts w:ascii="Times New Roman" w:hAnsi="Times New Roman" w:cs="Times New Roman"/>
                <w:noProof/>
                <w:webHidden/>
              </w:rPr>
            </w:r>
            <w:r w:rsidR="00847314" w:rsidRPr="0092159E">
              <w:rPr>
                <w:rFonts w:ascii="Times New Roman" w:hAnsi="Times New Roman" w:cs="Times New Roman"/>
                <w:noProof/>
                <w:webHidden/>
              </w:rPr>
              <w:fldChar w:fldCharType="separate"/>
            </w:r>
            <w:r w:rsidR="00847314" w:rsidRPr="0092159E">
              <w:rPr>
                <w:rFonts w:ascii="Times New Roman" w:hAnsi="Times New Roman" w:cs="Times New Roman"/>
                <w:noProof/>
                <w:webHidden/>
              </w:rPr>
              <w:t>9</w:t>
            </w:r>
            <w:r w:rsidR="00847314" w:rsidRPr="0092159E">
              <w:rPr>
                <w:rFonts w:ascii="Times New Roman" w:hAnsi="Times New Roman" w:cs="Times New Roman"/>
                <w:noProof/>
                <w:webHidden/>
              </w:rPr>
              <w:fldChar w:fldCharType="end"/>
            </w:r>
          </w:hyperlink>
        </w:p>
        <w:p w14:paraId="2A3D9D1E" w14:textId="7F963152" w:rsidR="00847314" w:rsidRPr="0092159E" w:rsidRDefault="0030444F">
          <w:pPr>
            <w:pStyle w:val="TOC1"/>
            <w:tabs>
              <w:tab w:val="left" w:pos="440"/>
              <w:tab w:val="right" w:leader="dot" w:pos="9016"/>
            </w:tabs>
            <w:rPr>
              <w:rFonts w:ascii="Times New Roman" w:eastAsiaTheme="minorEastAsia" w:hAnsi="Times New Roman" w:cs="Times New Roman"/>
              <w:noProof/>
              <w:sz w:val="24"/>
              <w:szCs w:val="24"/>
              <w:lang w:val="en-IE" w:eastAsia="en-IE"/>
            </w:rPr>
          </w:pPr>
          <w:hyperlink w:anchor="_Toc189482430" w:history="1">
            <w:r w:rsidR="00847314" w:rsidRPr="0092159E">
              <w:rPr>
                <w:rStyle w:val="Hyperlink"/>
                <w:rFonts w:ascii="Times New Roman" w:hAnsi="Times New Roman" w:cs="Times New Roman"/>
                <w:noProof/>
              </w:rPr>
              <w:t>5.</w:t>
            </w:r>
            <w:r w:rsidR="00847314" w:rsidRPr="0092159E">
              <w:rPr>
                <w:rFonts w:ascii="Times New Roman" w:eastAsiaTheme="minorEastAsia" w:hAnsi="Times New Roman" w:cs="Times New Roman"/>
                <w:noProof/>
                <w:sz w:val="24"/>
                <w:szCs w:val="24"/>
                <w:lang w:val="en-IE" w:eastAsia="en-IE"/>
              </w:rPr>
              <w:tab/>
            </w:r>
            <w:r w:rsidR="00847314" w:rsidRPr="0092159E">
              <w:rPr>
                <w:rStyle w:val="Hyperlink"/>
                <w:rFonts w:ascii="Times New Roman" w:hAnsi="Times New Roman" w:cs="Times New Roman"/>
                <w:noProof/>
              </w:rPr>
              <w:t>Alocarea cu titlu gratuit a certificatelor</w:t>
            </w:r>
            <w:r w:rsidR="00847314" w:rsidRPr="0092159E">
              <w:rPr>
                <w:rFonts w:ascii="Times New Roman" w:hAnsi="Times New Roman" w:cs="Times New Roman"/>
                <w:noProof/>
                <w:webHidden/>
              </w:rPr>
              <w:tab/>
            </w:r>
            <w:r w:rsidR="00847314" w:rsidRPr="0092159E">
              <w:rPr>
                <w:rFonts w:ascii="Times New Roman" w:hAnsi="Times New Roman" w:cs="Times New Roman"/>
                <w:noProof/>
                <w:webHidden/>
              </w:rPr>
              <w:fldChar w:fldCharType="begin"/>
            </w:r>
            <w:r w:rsidR="00847314" w:rsidRPr="0092159E">
              <w:rPr>
                <w:rFonts w:ascii="Times New Roman" w:hAnsi="Times New Roman" w:cs="Times New Roman"/>
                <w:noProof/>
                <w:webHidden/>
              </w:rPr>
              <w:instrText xml:space="preserve"> PAGEREF _Toc189482430 \h </w:instrText>
            </w:r>
            <w:r w:rsidR="00847314" w:rsidRPr="0092159E">
              <w:rPr>
                <w:rFonts w:ascii="Times New Roman" w:hAnsi="Times New Roman" w:cs="Times New Roman"/>
                <w:noProof/>
                <w:webHidden/>
              </w:rPr>
            </w:r>
            <w:r w:rsidR="00847314" w:rsidRPr="0092159E">
              <w:rPr>
                <w:rFonts w:ascii="Times New Roman" w:hAnsi="Times New Roman" w:cs="Times New Roman"/>
                <w:noProof/>
                <w:webHidden/>
              </w:rPr>
              <w:fldChar w:fldCharType="separate"/>
            </w:r>
            <w:r w:rsidR="00847314" w:rsidRPr="0092159E">
              <w:rPr>
                <w:rFonts w:ascii="Times New Roman" w:hAnsi="Times New Roman" w:cs="Times New Roman"/>
                <w:noProof/>
                <w:webHidden/>
              </w:rPr>
              <w:t>11</w:t>
            </w:r>
            <w:r w:rsidR="00847314" w:rsidRPr="0092159E">
              <w:rPr>
                <w:rFonts w:ascii="Times New Roman" w:hAnsi="Times New Roman" w:cs="Times New Roman"/>
                <w:noProof/>
                <w:webHidden/>
              </w:rPr>
              <w:fldChar w:fldCharType="end"/>
            </w:r>
          </w:hyperlink>
        </w:p>
        <w:p w14:paraId="18C16350" w14:textId="20898BDB" w:rsidR="00847314" w:rsidRPr="0092159E" w:rsidRDefault="0030444F">
          <w:pPr>
            <w:pStyle w:val="TOC2"/>
            <w:tabs>
              <w:tab w:val="left" w:pos="960"/>
              <w:tab w:val="right" w:leader="dot" w:pos="9016"/>
            </w:tabs>
            <w:rPr>
              <w:rFonts w:ascii="Times New Roman" w:hAnsi="Times New Roman"/>
              <w:noProof/>
              <w:kern w:val="2"/>
              <w:sz w:val="24"/>
              <w:szCs w:val="24"/>
              <w:lang w:val="en-IE" w:eastAsia="en-IE"/>
              <w14:ligatures w14:val="standardContextual"/>
            </w:rPr>
          </w:pPr>
          <w:hyperlink w:anchor="_Toc189482431" w:history="1">
            <w:r w:rsidR="00847314" w:rsidRPr="0092159E">
              <w:rPr>
                <w:rStyle w:val="Hyperlink"/>
                <w:rFonts w:ascii="Times New Roman" w:hAnsi="Times New Roman"/>
                <w:noProof/>
              </w:rPr>
              <w:t>5.1.</w:t>
            </w:r>
            <w:r w:rsidR="00847314" w:rsidRPr="0092159E">
              <w:rPr>
                <w:rFonts w:ascii="Times New Roman" w:hAnsi="Times New Roman"/>
                <w:noProof/>
                <w:kern w:val="2"/>
                <w:sz w:val="24"/>
                <w:szCs w:val="24"/>
                <w:lang w:val="en-IE" w:eastAsia="en-IE"/>
                <w14:ligatures w14:val="standardContextual"/>
              </w:rPr>
              <w:tab/>
            </w:r>
            <w:r w:rsidR="00847314" w:rsidRPr="0092159E">
              <w:rPr>
                <w:rStyle w:val="Hyperlink"/>
                <w:rFonts w:ascii="Times New Roman" w:hAnsi="Times New Roman"/>
                <w:noProof/>
              </w:rPr>
              <w:t>Mecanismul de ajustare a carbonului la frontieră</w:t>
            </w:r>
            <w:r w:rsidR="00847314" w:rsidRPr="0092159E">
              <w:rPr>
                <w:rFonts w:ascii="Times New Roman" w:hAnsi="Times New Roman"/>
                <w:noProof/>
                <w:webHidden/>
              </w:rPr>
              <w:tab/>
            </w:r>
            <w:r w:rsidR="00847314" w:rsidRPr="0092159E">
              <w:rPr>
                <w:rFonts w:ascii="Times New Roman" w:hAnsi="Times New Roman"/>
                <w:noProof/>
                <w:webHidden/>
              </w:rPr>
              <w:fldChar w:fldCharType="begin"/>
            </w:r>
            <w:r w:rsidR="00847314" w:rsidRPr="0092159E">
              <w:rPr>
                <w:rFonts w:ascii="Times New Roman" w:hAnsi="Times New Roman"/>
                <w:noProof/>
                <w:webHidden/>
              </w:rPr>
              <w:instrText xml:space="preserve"> PAGEREF _Toc189482431 \h </w:instrText>
            </w:r>
            <w:r w:rsidR="00847314" w:rsidRPr="0092159E">
              <w:rPr>
                <w:rFonts w:ascii="Times New Roman" w:hAnsi="Times New Roman"/>
                <w:noProof/>
                <w:webHidden/>
              </w:rPr>
            </w:r>
            <w:r w:rsidR="00847314" w:rsidRPr="0092159E">
              <w:rPr>
                <w:rFonts w:ascii="Times New Roman" w:hAnsi="Times New Roman"/>
                <w:noProof/>
                <w:webHidden/>
              </w:rPr>
              <w:fldChar w:fldCharType="separate"/>
            </w:r>
            <w:r w:rsidR="00847314" w:rsidRPr="0092159E">
              <w:rPr>
                <w:rFonts w:ascii="Times New Roman" w:hAnsi="Times New Roman"/>
                <w:noProof/>
                <w:webHidden/>
              </w:rPr>
              <w:t>13</w:t>
            </w:r>
            <w:r w:rsidR="00847314" w:rsidRPr="0092159E">
              <w:rPr>
                <w:rFonts w:ascii="Times New Roman" w:hAnsi="Times New Roman"/>
                <w:noProof/>
                <w:webHidden/>
              </w:rPr>
              <w:fldChar w:fldCharType="end"/>
            </w:r>
          </w:hyperlink>
        </w:p>
        <w:p w14:paraId="4E0BBE9E" w14:textId="5FF4925C" w:rsidR="00847314" w:rsidRPr="0092159E" w:rsidRDefault="0030444F">
          <w:pPr>
            <w:pStyle w:val="TOC2"/>
            <w:tabs>
              <w:tab w:val="left" w:pos="960"/>
              <w:tab w:val="right" w:leader="dot" w:pos="9016"/>
            </w:tabs>
            <w:rPr>
              <w:rFonts w:ascii="Times New Roman" w:hAnsi="Times New Roman"/>
              <w:noProof/>
              <w:kern w:val="2"/>
              <w:sz w:val="24"/>
              <w:szCs w:val="24"/>
              <w:lang w:val="en-IE" w:eastAsia="en-IE"/>
              <w14:ligatures w14:val="standardContextual"/>
            </w:rPr>
          </w:pPr>
          <w:hyperlink w:anchor="_Toc189482432" w:history="1">
            <w:r w:rsidR="00847314" w:rsidRPr="0092159E">
              <w:rPr>
                <w:rStyle w:val="Hyperlink"/>
                <w:rFonts w:ascii="Times New Roman" w:hAnsi="Times New Roman"/>
                <w:noProof/>
              </w:rPr>
              <w:t>5.2.</w:t>
            </w:r>
            <w:r w:rsidR="00847314" w:rsidRPr="0092159E">
              <w:rPr>
                <w:rFonts w:ascii="Times New Roman" w:hAnsi="Times New Roman"/>
                <w:noProof/>
                <w:kern w:val="2"/>
                <w:sz w:val="24"/>
                <w:szCs w:val="24"/>
                <w:lang w:val="en-IE" w:eastAsia="en-IE"/>
                <w14:ligatures w14:val="standardContextual"/>
              </w:rPr>
              <w:tab/>
            </w:r>
            <w:r w:rsidR="00847314" w:rsidRPr="0092159E">
              <w:rPr>
                <w:rStyle w:val="Hyperlink"/>
                <w:rFonts w:ascii="Times New Roman" w:hAnsi="Times New Roman"/>
                <w:noProof/>
              </w:rPr>
              <w:t>Riscul de relocare a emisiilor de dioxid de carbon pentru mărfurile destinate exportului produse în UE în sectoarele CBAM</w:t>
            </w:r>
            <w:r w:rsidR="00847314" w:rsidRPr="0092159E">
              <w:rPr>
                <w:rFonts w:ascii="Times New Roman" w:hAnsi="Times New Roman"/>
                <w:noProof/>
                <w:webHidden/>
              </w:rPr>
              <w:tab/>
            </w:r>
            <w:r w:rsidR="00847314" w:rsidRPr="0092159E">
              <w:rPr>
                <w:rFonts w:ascii="Times New Roman" w:hAnsi="Times New Roman"/>
                <w:noProof/>
                <w:webHidden/>
              </w:rPr>
              <w:fldChar w:fldCharType="begin"/>
            </w:r>
            <w:r w:rsidR="00847314" w:rsidRPr="0092159E">
              <w:rPr>
                <w:rFonts w:ascii="Times New Roman" w:hAnsi="Times New Roman"/>
                <w:noProof/>
                <w:webHidden/>
              </w:rPr>
              <w:instrText xml:space="preserve"> PAGEREF _Toc189482432 \h </w:instrText>
            </w:r>
            <w:r w:rsidR="00847314" w:rsidRPr="0092159E">
              <w:rPr>
                <w:rFonts w:ascii="Times New Roman" w:hAnsi="Times New Roman"/>
                <w:noProof/>
                <w:webHidden/>
              </w:rPr>
            </w:r>
            <w:r w:rsidR="00847314" w:rsidRPr="0092159E">
              <w:rPr>
                <w:rFonts w:ascii="Times New Roman" w:hAnsi="Times New Roman"/>
                <w:noProof/>
                <w:webHidden/>
              </w:rPr>
              <w:fldChar w:fldCharType="separate"/>
            </w:r>
            <w:r w:rsidR="00847314" w:rsidRPr="0092159E">
              <w:rPr>
                <w:rFonts w:ascii="Times New Roman" w:hAnsi="Times New Roman"/>
                <w:noProof/>
                <w:webHidden/>
              </w:rPr>
              <w:t>14</w:t>
            </w:r>
            <w:r w:rsidR="00847314" w:rsidRPr="0092159E">
              <w:rPr>
                <w:rFonts w:ascii="Times New Roman" w:hAnsi="Times New Roman"/>
                <w:noProof/>
                <w:webHidden/>
              </w:rPr>
              <w:fldChar w:fldCharType="end"/>
            </w:r>
          </w:hyperlink>
        </w:p>
        <w:p w14:paraId="339C82F9" w14:textId="48DAA37B" w:rsidR="00847314" w:rsidRPr="0092159E" w:rsidRDefault="0030444F">
          <w:pPr>
            <w:pStyle w:val="TOC1"/>
            <w:tabs>
              <w:tab w:val="left" w:pos="440"/>
              <w:tab w:val="right" w:leader="dot" w:pos="9016"/>
            </w:tabs>
            <w:rPr>
              <w:rFonts w:ascii="Times New Roman" w:eastAsiaTheme="minorEastAsia" w:hAnsi="Times New Roman" w:cs="Times New Roman"/>
              <w:noProof/>
              <w:sz w:val="24"/>
              <w:szCs w:val="24"/>
              <w:lang w:val="en-IE" w:eastAsia="en-IE"/>
            </w:rPr>
          </w:pPr>
          <w:hyperlink w:anchor="_Toc189482433" w:history="1">
            <w:r w:rsidR="00847314" w:rsidRPr="0092159E">
              <w:rPr>
                <w:rStyle w:val="Hyperlink"/>
                <w:rFonts w:ascii="Times New Roman" w:hAnsi="Times New Roman" w:cs="Times New Roman"/>
                <w:noProof/>
              </w:rPr>
              <w:t>6.</w:t>
            </w:r>
            <w:r w:rsidR="00847314" w:rsidRPr="0092159E">
              <w:rPr>
                <w:rFonts w:ascii="Times New Roman" w:eastAsiaTheme="minorEastAsia" w:hAnsi="Times New Roman" w:cs="Times New Roman"/>
                <w:noProof/>
                <w:sz w:val="24"/>
                <w:szCs w:val="24"/>
                <w:lang w:val="en-IE" w:eastAsia="en-IE"/>
              </w:rPr>
              <w:tab/>
            </w:r>
            <w:r w:rsidR="00847314" w:rsidRPr="0092159E">
              <w:rPr>
                <w:rStyle w:val="Hyperlink"/>
                <w:rFonts w:ascii="Times New Roman" w:hAnsi="Times New Roman" w:cs="Times New Roman"/>
                <w:noProof/>
              </w:rPr>
              <w:t>Piața carbonului din UE</w:t>
            </w:r>
            <w:r w:rsidR="00847314" w:rsidRPr="0092159E">
              <w:rPr>
                <w:rFonts w:ascii="Times New Roman" w:hAnsi="Times New Roman" w:cs="Times New Roman"/>
                <w:noProof/>
                <w:webHidden/>
              </w:rPr>
              <w:tab/>
            </w:r>
            <w:r w:rsidR="00847314" w:rsidRPr="0092159E">
              <w:rPr>
                <w:rFonts w:ascii="Times New Roman" w:hAnsi="Times New Roman" w:cs="Times New Roman"/>
                <w:noProof/>
                <w:webHidden/>
              </w:rPr>
              <w:fldChar w:fldCharType="begin"/>
            </w:r>
            <w:r w:rsidR="00847314" w:rsidRPr="0092159E">
              <w:rPr>
                <w:rFonts w:ascii="Times New Roman" w:hAnsi="Times New Roman" w:cs="Times New Roman"/>
                <w:noProof/>
                <w:webHidden/>
              </w:rPr>
              <w:instrText xml:space="preserve"> PAGEREF _Toc189482433 \h </w:instrText>
            </w:r>
            <w:r w:rsidR="00847314" w:rsidRPr="0092159E">
              <w:rPr>
                <w:rFonts w:ascii="Times New Roman" w:hAnsi="Times New Roman" w:cs="Times New Roman"/>
                <w:noProof/>
                <w:webHidden/>
              </w:rPr>
            </w:r>
            <w:r w:rsidR="00847314" w:rsidRPr="0092159E">
              <w:rPr>
                <w:rFonts w:ascii="Times New Roman" w:hAnsi="Times New Roman" w:cs="Times New Roman"/>
                <w:noProof/>
                <w:webHidden/>
              </w:rPr>
              <w:fldChar w:fldCharType="separate"/>
            </w:r>
            <w:r w:rsidR="00847314" w:rsidRPr="0092159E">
              <w:rPr>
                <w:rFonts w:ascii="Times New Roman" w:hAnsi="Times New Roman" w:cs="Times New Roman"/>
                <w:noProof/>
                <w:webHidden/>
              </w:rPr>
              <w:t>17</w:t>
            </w:r>
            <w:r w:rsidR="00847314" w:rsidRPr="0092159E">
              <w:rPr>
                <w:rFonts w:ascii="Times New Roman" w:hAnsi="Times New Roman" w:cs="Times New Roman"/>
                <w:noProof/>
                <w:webHidden/>
              </w:rPr>
              <w:fldChar w:fldCharType="end"/>
            </w:r>
          </w:hyperlink>
        </w:p>
        <w:p w14:paraId="1659608D" w14:textId="16534BF6" w:rsidR="00847314" w:rsidRPr="0092159E" w:rsidRDefault="0030444F">
          <w:pPr>
            <w:pStyle w:val="TOC2"/>
            <w:tabs>
              <w:tab w:val="left" w:pos="960"/>
              <w:tab w:val="right" w:leader="dot" w:pos="9016"/>
            </w:tabs>
            <w:rPr>
              <w:rFonts w:ascii="Times New Roman" w:hAnsi="Times New Roman"/>
              <w:noProof/>
              <w:kern w:val="2"/>
              <w:sz w:val="24"/>
              <w:szCs w:val="24"/>
              <w:lang w:val="en-IE" w:eastAsia="en-IE"/>
              <w14:ligatures w14:val="standardContextual"/>
            </w:rPr>
          </w:pPr>
          <w:hyperlink w:anchor="_Toc189482434" w:history="1">
            <w:r w:rsidR="00847314" w:rsidRPr="0092159E">
              <w:rPr>
                <w:rStyle w:val="Hyperlink"/>
                <w:rFonts w:ascii="Times New Roman" w:hAnsi="Times New Roman"/>
                <w:noProof/>
              </w:rPr>
              <w:t>6.1.</w:t>
            </w:r>
            <w:r w:rsidR="00847314" w:rsidRPr="0092159E">
              <w:rPr>
                <w:rFonts w:ascii="Times New Roman" w:hAnsi="Times New Roman"/>
                <w:noProof/>
                <w:kern w:val="2"/>
                <w:sz w:val="24"/>
                <w:szCs w:val="24"/>
                <w:lang w:val="en-IE" w:eastAsia="en-IE"/>
                <w14:ligatures w14:val="standardContextual"/>
              </w:rPr>
              <w:tab/>
            </w:r>
            <w:r w:rsidR="00847314" w:rsidRPr="0092159E">
              <w:rPr>
                <w:rStyle w:val="Hyperlink"/>
                <w:rFonts w:ascii="Times New Roman" w:hAnsi="Times New Roman"/>
                <w:noProof/>
              </w:rPr>
              <w:t>Echilibrarea cererii și a ofertei</w:t>
            </w:r>
            <w:r w:rsidR="00847314" w:rsidRPr="0092159E">
              <w:rPr>
                <w:rFonts w:ascii="Times New Roman" w:hAnsi="Times New Roman"/>
                <w:noProof/>
                <w:webHidden/>
              </w:rPr>
              <w:tab/>
            </w:r>
            <w:r w:rsidR="00847314" w:rsidRPr="0092159E">
              <w:rPr>
                <w:rFonts w:ascii="Times New Roman" w:hAnsi="Times New Roman"/>
                <w:noProof/>
                <w:webHidden/>
              </w:rPr>
              <w:fldChar w:fldCharType="begin"/>
            </w:r>
            <w:r w:rsidR="00847314" w:rsidRPr="0092159E">
              <w:rPr>
                <w:rFonts w:ascii="Times New Roman" w:hAnsi="Times New Roman"/>
                <w:noProof/>
                <w:webHidden/>
              </w:rPr>
              <w:instrText xml:space="preserve"> PAGEREF _Toc189482434 \h </w:instrText>
            </w:r>
            <w:r w:rsidR="00847314" w:rsidRPr="0092159E">
              <w:rPr>
                <w:rFonts w:ascii="Times New Roman" w:hAnsi="Times New Roman"/>
                <w:noProof/>
                <w:webHidden/>
              </w:rPr>
            </w:r>
            <w:r w:rsidR="00847314" w:rsidRPr="0092159E">
              <w:rPr>
                <w:rFonts w:ascii="Times New Roman" w:hAnsi="Times New Roman"/>
                <w:noProof/>
                <w:webHidden/>
              </w:rPr>
              <w:fldChar w:fldCharType="separate"/>
            </w:r>
            <w:r w:rsidR="00847314" w:rsidRPr="0092159E">
              <w:rPr>
                <w:rFonts w:ascii="Times New Roman" w:hAnsi="Times New Roman"/>
                <w:noProof/>
                <w:webHidden/>
              </w:rPr>
              <w:t>17</w:t>
            </w:r>
            <w:r w:rsidR="00847314" w:rsidRPr="0092159E">
              <w:rPr>
                <w:rFonts w:ascii="Times New Roman" w:hAnsi="Times New Roman"/>
                <w:noProof/>
                <w:webHidden/>
              </w:rPr>
              <w:fldChar w:fldCharType="end"/>
            </w:r>
          </w:hyperlink>
        </w:p>
        <w:p w14:paraId="7DD9CFBE" w14:textId="714054CE" w:rsidR="00847314" w:rsidRPr="0092159E" w:rsidRDefault="0030444F">
          <w:pPr>
            <w:pStyle w:val="TOC2"/>
            <w:tabs>
              <w:tab w:val="left" w:pos="960"/>
              <w:tab w:val="right" w:leader="dot" w:pos="9016"/>
            </w:tabs>
            <w:rPr>
              <w:rFonts w:ascii="Times New Roman" w:hAnsi="Times New Roman"/>
              <w:noProof/>
              <w:kern w:val="2"/>
              <w:sz w:val="24"/>
              <w:szCs w:val="24"/>
              <w:lang w:val="en-IE" w:eastAsia="en-IE"/>
              <w14:ligatures w14:val="standardContextual"/>
            </w:rPr>
          </w:pPr>
          <w:hyperlink w:anchor="_Toc189482435" w:history="1">
            <w:r w:rsidR="00847314" w:rsidRPr="0092159E">
              <w:rPr>
                <w:rStyle w:val="Hyperlink"/>
                <w:rFonts w:ascii="Times New Roman" w:hAnsi="Times New Roman"/>
                <w:noProof/>
              </w:rPr>
              <w:t>6.2.</w:t>
            </w:r>
            <w:r w:rsidR="00847314" w:rsidRPr="0092159E">
              <w:rPr>
                <w:rFonts w:ascii="Times New Roman" w:hAnsi="Times New Roman"/>
                <w:noProof/>
                <w:kern w:val="2"/>
                <w:sz w:val="24"/>
                <w:szCs w:val="24"/>
                <w:lang w:val="en-IE" w:eastAsia="en-IE"/>
                <w14:ligatures w14:val="standardContextual"/>
              </w:rPr>
              <w:tab/>
            </w:r>
            <w:r w:rsidR="00847314" w:rsidRPr="0092159E">
              <w:rPr>
                <w:rStyle w:val="Hyperlink"/>
                <w:rFonts w:ascii="Times New Roman" w:hAnsi="Times New Roman"/>
                <w:noProof/>
              </w:rPr>
              <w:t>Anularea voluntară</w:t>
            </w:r>
            <w:r w:rsidR="00847314" w:rsidRPr="0092159E">
              <w:rPr>
                <w:rFonts w:ascii="Times New Roman" w:hAnsi="Times New Roman"/>
                <w:noProof/>
                <w:webHidden/>
              </w:rPr>
              <w:tab/>
            </w:r>
            <w:r w:rsidR="00847314" w:rsidRPr="0092159E">
              <w:rPr>
                <w:rFonts w:ascii="Times New Roman" w:hAnsi="Times New Roman"/>
                <w:noProof/>
                <w:webHidden/>
              </w:rPr>
              <w:fldChar w:fldCharType="begin"/>
            </w:r>
            <w:r w:rsidR="00847314" w:rsidRPr="0092159E">
              <w:rPr>
                <w:rFonts w:ascii="Times New Roman" w:hAnsi="Times New Roman"/>
                <w:noProof/>
                <w:webHidden/>
              </w:rPr>
              <w:instrText xml:space="preserve"> PAGEREF _Toc189482435 \h </w:instrText>
            </w:r>
            <w:r w:rsidR="00847314" w:rsidRPr="0092159E">
              <w:rPr>
                <w:rFonts w:ascii="Times New Roman" w:hAnsi="Times New Roman"/>
                <w:noProof/>
                <w:webHidden/>
              </w:rPr>
            </w:r>
            <w:r w:rsidR="00847314" w:rsidRPr="0092159E">
              <w:rPr>
                <w:rFonts w:ascii="Times New Roman" w:hAnsi="Times New Roman"/>
                <w:noProof/>
                <w:webHidden/>
              </w:rPr>
              <w:fldChar w:fldCharType="separate"/>
            </w:r>
            <w:r w:rsidR="00847314" w:rsidRPr="0092159E">
              <w:rPr>
                <w:rFonts w:ascii="Times New Roman" w:hAnsi="Times New Roman"/>
                <w:noProof/>
                <w:webHidden/>
              </w:rPr>
              <w:t>18</w:t>
            </w:r>
            <w:r w:rsidR="00847314" w:rsidRPr="0092159E">
              <w:rPr>
                <w:rFonts w:ascii="Times New Roman" w:hAnsi="Times New Roman"/>
                <w:noProof/>
                <w:webHidden/>
              </w:rPr>
              <w:fldChar w:fldCharType="end"/>
            </w:r>
          </w:hyperlink>
        </w:p>
        <w:p w14:paraId="2803BA04" w14:textId="3423B930" w:rsidR="00847314" w:rsidRPr="0092159E" w:rsidRDefault="0030444F">
          <w:pPr>
            <w:pStyle w:val="TOC2"/>
            <w:tabs>
              <w:tab w:val="left" w:pos="960"/>
              <w:tab w:val="right" w:leader="dot" w:pos="9016"/>
            </w:tabs>
            <w:rPr>
              <w:rFonts w:ascii="Times New Roman" w:hAnsi="Times New Roman"/>
              <w:noProof/>
              <w:kern w:val="2"/>
              <w:sz w:val="24"/>
              <w:szCs w:val="24"/>
              <w:lang w:val="en-IE" w:eastAsia="en-IE"/>
              <w14:ligatures w14:val="standardContextual"/>
            </w:rPr>
          </w:pPr>
          <w:hyperlink w:anchor="_Toc189482436" w:history="1">
            <w:r w:rsidR="00847314" w:rsidRPr="0092159E">
              <w:rPr>
                <w:rStyle w:val="Hyperlink"/>
                <w:rFonts w:ascii="Times New Roman" w:hAnsi="Times New Roman"/>
                <w:noProof/>
              </w:rPr>
              <w:t>6.3.</w:t>
            </w:r>
            <w:r w:rsidR="00847314" w:rsidRPr="0092159E">
              <w:rPr>
                <w:rFonts w:ascii="Times New Roman" w:hAnsi="Times New Roman"/>
                <w:noProof/>
                <w:kern w:val="2"/>
                <w:sz w:val="24"/>
                <w:szCs w:val="24"/>
                <w:lang w:val="en-IE" w:eastAsia="en-IE"/>
                <w14:ligatures w14:val="standardContextual"/>
              </w:rPr>
              <w:tab/>
            </w:r>
            <w:r w:rsidR="00847314" w:rsidRPr="0092159E">
              <w:rPr>
                <w:rStyle w:val="Hyperlink"/>
                <w:rFonts w:ascii="Times New Roman" w:hAnsi="Times New Roman"/>
                <w:noProof/>
              </w:rPr>
              <w:t>Supravegherea pieței</w:t>
            </w:r>
            <w:r w:rsidR="00847314" w:rsidRPr="0092159E">
              <w:rPr>
                <w:rFonts w:ascii="Times New Roman" w:hAnsi="Times New Roman"/>
                <w:noProof/>
                <w:webHidden/>
              </w:rPr>
              <w:tab/>
            </w:r>
            <w:r w:rsidR="00847314" w:rsidRPr="0092159E">
              <w:rPr>
                <w:rFonts w:ascii="Times New Roman" w:hAnsi="Times New Roman"/>
                <w:noProof/>
                <w:webHidden/>
              </w:rPr>
              <w:fldChar w:fldCharType="begin"/>
            </w:r>
            <w:r w:rsidR="00847314" w:rsidRPr="0092159E">
              <w:rPr>
                <w:rFonts w:ascii="Times New Roman" w:hAnsi="Times New Roman"/>
                <w:noProof/>
                <w:webHidden/>
              </w:rPr>
              <w:instrText xml:space="preserve"> PAGEREF _Toc189482436 \h </w:instrText>
            </w:r>
            <w:r w:rsidR="00847314" w:rsidRPr="0092159E">
              <w:rPr>
                <w:rFonts w:ascii="Times New Roman" w:hAnsi="Times New Roman"/>
                <w:noProof/>
                <w:webHidden/>
              </w:rPr>
            </w:r>
            <w:r w:rsidR="00847314" w:rsidRPr="0092159E">
              <w:rPr>
                <w:rFonts w:ascii="Times New Roman" w:hAnsi="Times New Roman"/>
                <w:noProof/>
                <w:webHidden/>
              </w:rPr>
              <w:fldChar w:fldCharType="separate"/>
            </w:r>
            <w:r w:rsidR="00847314" w:rsidRPr="0092159E">
              <w:rPr>
                <w:rFonts w:ascii="Times New Roman" w:hAnsi="Times New Roman"/>
                <w:noProof/>
                <w:webHidden/>
              </w:rPr>
              <w:t>19</w:t>
            </w:r>
            <w:r w:rsidR="00847314" w:rsidRPr="0092159E">
              <w:rPr>
                <w:rFonts w:ascii="Times New Roman" w:hAnsi="Times New Roman"/>
                <w:noProof/>
                <w:webHidden/>
              </w:rPr>
              <w:fldChar w:fldCharType="end"/>
            </w:r>
          </w:hyperlink>
        </w:p>
        <w:p w14:paraId="3203E706" w14:textId="6362208C" w:rsidR="00847314" w:rsidRPr="0092159E" w:rsidRDefault="0030444F">
          <w:pPr>
            <w:pStyle w:val="TOC1"/>
            <w:tabs>
              <w:tab w:val="left" w:pos="440"/>
              <w:tab w:val="right" w:leader="dot" w:pos="9016"/>
            </w:tabs>
            <w:rPr>
              <w:rFonts w:ascii="Times New Roman" w:eastAsiaTheme="minorEastAsia" w:hAnsi="Times New Roman" w:cs="Times New Roman"/>
              <w:noProof/>
              <w:sz w:val="24"/>
              <w:szCs w:val="24"/>
              <w:lang w:val="en-IE" w:eastAsia="en-IE"/>
            </w:rPr>
          </w:pPr>
          <w:hyperlink w:anchor="_Toc189482437" w:history="1">
            <w:r w:rsidR="00847314" w:rsidRPr="0092159E">
              <w:rPr>
                <w:rStyle w:val="Hyperlink"/>
                <w:rFonts w:ascii="Times New Roman" w:hAnsi="Times New Roman" w:cs="Times New Roman"/>
                <w:noProof/>
              </w:rPr>
              <w:t>7.</w:t>
            </w:r>
            <w:r w:rsidR="00847314" w:rsidRPr="0092159E">
              <w:rPr>
                <w:rFonts w:ascii="Times New Roman" w:eastAsiaTheme="minorEastAsia" w:hAnsi="Times New Roman" w:cs="Times New Roman"/>
                <w:noProof/>
                <w:sz w:val="24"/>
                <w:szCs w:val="24"/>
                <w:lang w:val="en-IE" w:eastAsia="en-IE"/>
              </w:rPr>
              <w:tab/>
            </w:r>
            <w:r w:rsidR="00847314" w:rsidRPr="0092159E">
              <w:rPr>
                <w:rStyle w:val="Hyperlink"/>
                <w:rFonts w:ascii="Times New Roman" w:hAnsi="Times New Roman" w:cs="Times New Roman"/>
                <w:noProof/>
              </w:rPr>
              <w:t>Tendințe în materie de emisii</w:t>
            </w:r>
            <w:r w:rsidR="00847314" w:rsidRPr="0092159E">
              <w:rPr>
                <w:rFonts w:ascii="Times New Roman" w:hAnsi="Times New Roman" w:cs="Times New Roman"/>
                <w:noProof/>
                <w:webHidden/>
              </w:rPr>
              <w:tab/>
            </w:r>
            <w:r w:rsidR="00847314" w:rsidRPr="0092159E">
              <w:rPr>
                <w:rFonts w:ascii="Times New Roman" w:hAnsi="Times New Roman" w:cs="Times New Roman"/>
                <w:noProof/>
                <w:webHidden/>
              </w:rPr>
              <w:fldChar w:fldCharType="begin"/>
            </w:r>
            <w:r w:rsidR="00847314" w:rsidRPr="0092159E">
              <w:rPr>
                <w:rFonts w:ascii="Times New Roman" w:hAnsi="Times New Roman" w:cs="Times New Roman"/>
                <w:noProof/>
                <w:webHidden/>
              </w:rPr>
              <w:instrText xml:space="preserve"> PAGEREF _Toc189482437 \h </w:instrText>
            </w:r>
            <w:r w:rsidR="00847314" w:rsidRPr="0092159E">
              <w:rPr>
                <w:rFonts w:ascii="Times New Roman" w:hAnsi="Times New Roman" w:cs="Times New Roman"/>
                <w:noProof/>
                <w:webHidden/>
              </w:rPr>
            </w:r>
            <w:r w:rsidR="00847314" w:rsidRPr="0092159E">
              <w:rPr>
                <w:rFonts w:ascii="Times New Roman" w:hAnsi="Times New Roman" w:cs="Times New Roman"/>
                <w:noProof/>
                <w:webHidden/>
              </w:rPr>
              <w:fldChar w:fldCharType="separate"/>
            </w:r>
            <w:r w:rsidR="00847314" w:rsidRPr="0092159E">
              <w:rPr>
                <w:rFonts w:ascii="Times New Roman" w:hAnsi="Times New Roman" w:cs="Times New Roman"/>
                <w:noProof/>
                <w:webHidden/>
              </w:rPr>
              <w:t>21</w:t>
            </w:r>
            <w:r w:rsidR="00847314" w:rsidRPr="0092159E">
              <w:rPr>
                <w:rFonts w:ascii="Times New Roman" w:hAnsi="Times New Roman" w:cs="Times New Roman"/>
                <w:noProof/>
                <w:webHidden/>
              </w:rPr>
              <w:fldChar w:fldCharType="end"/>
            </w:r>
          </w:hyperlink>
        </w:p>
        <w:p w14:paraId="5AC2942A" w14:textId="182E0412" w:rsidR="00847314" w:rsidRPr="0092159E" w:rsidRDefault="0030444F">
          <w:pPr>
            <w:pStyle w:val="TOC1"/>
            <w:tabs>
              <w:tab w:val="left" w:pos="440"/>
              <w:tab w:val="right" w:leader="dot" w:pos="9016"/>
            </w:tabs>
            <w:rPr>
              <w:rFonts w:ascii="Times New Roman" w:eastAsiaTheme="minorEastAsia" w:hAnsi="Times New Roman" w:cs="Times New Roman"/>
              <w:noProof/>
              <w:sz w:val="24"/>
              <w:szCs w:val="24"/>
              <w:lang w:val="en-IE" w:eastAsia="en-IE"/>
            </w:rPr>
          </w:pPr>
          <w:hyperlink w:anchor="_Toc189482438" w:history="1">
            <w:r w:rsidR="00847314" w:rsidRPr="0092159E">
              <w:rPr>
                <w:rStyle w:val="Hyperlink"/>
                <w:rFonts w:ascii="Times New Roman" w:hAnsi="Times New Roman" w:cs="Times New Roman"/>
                <w:noProof/>
              </w:rPr>
              <w:t>8.</w:t>
            </w:r>
            <w:r w:rsidR="00847314" w:rsidRPr="0092159E">
              <w:rPr>
                <w:rFonts w:ascii="Times New Roman" w:eastAsiaTheme="minorEastAsia" w:hAnsi="Times New Roman" w:cs="Times New Roman"/>
                <w:noProof/>
                <w:sz w:val="24"/>
                <w:szCs w:val="24"/>
                <w:lang w:val="en-IE" w:eastAsia="en-IE"/>
              </w:rPr>
              <w:tab/>
            </w:r>
            <w:r w:rsidR="00847314" w:rsidRPr="0092159E">
              <w:rPr>
                <w:rStyle w:val="Hyperlink"/>
                <w:rFonts w:ascii="Times New Roman" w:hAnsi="Times New Roman" w:cs="Times New Roman"/>
                <w:noProof/>
              </w:rPr>
              <w:t>Veniturile din EU ETS</w:t>
            </w:r>
            <w:r w:rsidR="00847314" w:rsidRPr="0092159E">
              <w:rPr>
                <w:rFonts w:ascii="Times New Roman" w:hAnsi="Times New Roman" w:cs="Times New Roman"/>
                <w:noProof/>
                <w:webHidden/>
              </w:rPr>
              <w:tab/>
            </w:r>
            <w:r w:rsidR="00847314" w:rsidRPr="0092159E">
              <w:rPr>
                <w:rFonts w:ascii="Times New Roman" w:hAnsi="Times New Roman" w:cs="Times New Roman"/>
                <w:noProof/>
                <w:webHidden/>
              </w:rPr>
              <w:fldChar w:fldCharType="begin"/>
            </w:r>
            <w:r w:rsidR="00847314" w:rsidRPr="0092159E">
              <w:rPr>
                <w:rFonts w:ascii="Times New Roman" w:hAnsi="Times New Roman" w:cs="Times New Roman"/>
                <w:noProof/>
                <w:webHidden/>
              </w:rPr>
              <w:instrText xml:space="preserve"> PAGEREF _Toc189482438 \h </w:instrText>
            </w:r>
            <w:r w:rsidR="00847314" w:rsidRPr="0092159E">
              <w:rPr>
                <w:rFonts w:ascii="Times New Roman" w:hAnsi="Times New Roman" w:cs="Times New Roman"/>
                <w:noProof/>
                <w:webHidden/>
              </w:rPr>
            </w:r>
            <w:r w:rsidR="00847314" w:rsidRPr="0092159E">
              <w:rPr>
                <w:rFonts w:ascii="Times New Roman" w:hAnsi="Times New Roman" w:cs="Times New Roman"/>
                <w:noProof/>
                <w:webHidden/>
              </w:rPr>
              <w:fldChar w:fldCharType="separate"/>
            </w:r>
            <w:r w:rsidR="00847314" w:rsidRPr="0092159E">
              <w:rPr>
                <w:rFonts w:ascii="Times New Roman" w:hAnsi="Times New Roman" w:cs="Times New Roman"/>
                <w:noProof/>
                <w:webHidden/>
              </w:rPr>
              <w:t>24</w:t>
            </w:r>
            <w:r w:rsidR="00847314" w:rsidRPr="0092159E">
              <w:rPr>
                <w:rFonts w:ascii="Times New Roman" w:hAnsi="Times New Roman" w:cs="Times New Roman"/>
                <w:noProof/>
                <w:webHidden/>
              </w:rPr>
              <w:fldChar w:fldCharType="end"/>
            </w:r>
          </w:hyperlink>
        </w:p>
        <w:p w14:paraId="75BAF7EE" w14:textId="0F656F2D" w:rsidR="00847314" w:rsidRPr="0092159E" w:rsidRDefault="0030444F">
          <w:pPr>
            <w:pStyle w:val="TOC2"/>
            <w:tabs>
              <w:tab w:val="left" w:pos="960"/>
              <w:tab w:val="right" w:leader="dot" w:pos="9016"/>
            </w:tabs>
            <w:rPr>
              <w:rFonts w:ascii="Times New Roman" w:hAnsi="Times New Roman"/>
              <w:noProof/>
              <w:kern w:val="2"/>
              <w:sz w:val="24"/>
              <w:szCs w:val="24"/>
              <w:lang w:val="en-IE" w:eastAsia="en-IE"/>
              <w14:ligatures w14:val="standardContextual"/>
            </w:rPr>
          </w:pPr>
          <w:hyperlink w:anchor="_Toc189482439" w:history="1">
            <w:r w:rsidR="00847314" w:rsidRPr="0092159E">
              <w:rPr>
                <w:rStyle w:val="Hyperlink"/>
                <w:rFonts w:ascii="Times New Roman" w:hAnsi="Times New Roman"/>
                <w:noProof/>
              </w:rPr>
              <w:t>8.1.</w:t>
            </w:r>
            <w:r w:rsidR="00847314" w:rsidRPr="0092159E">
              <w:rPr>
                <w:rFonts w:ascii="Times New Roman" w:hAnsi="Times New Roman"/>
                <w:noProof/>
                <w:kern w:val="2"/>
                <w:sz w:val="24"/>
                <w:szCs w:val="24"/>
                <w:lang w:val="en-IE" w:eastAsia="en-IE"/>
                <w14:ligatures w14:val="standardContextual"/>
              </w:rPr>
              <w:tab/>
            </w:r>
            <w:r w:rsidR="00847314" w:rsidRPr="0092159E">
              <w:rPr>
                <w:rStyle w:val="Hyperlink"/>
                <w:rFonts w:ascii="Times New Roman" w:hAnsi="Times New Roman"/>
                <w:noProof/>
              </w:rPr>
              <w:t>Ajutoarele pentru costuri indirecte</w:t>
            </w:r>
            <w:r w:rsidR="00847314" w:rsidRPr="0092159E">
              <w:rPr>
                <w:rFonts w:ascii="Times New Roman" w:hAnsi="Times New Roman"/>
                <w:noProof/>
                <w:webHidden/>
              </w:rPr>
              <w:tab/>
            </w:r>
            <w:r w:rsidR="00847314" w:rsidRPr="0092159E">
              <w:rPr>
                <w:rFonts w:ascii="Times New Roman" w:hAnsi="Times New Roman"/>
                <w:noProof/>
                <w:webHidden/>
              </w:rPr>
              <w:fldChar w:fldCharType="begin"/>
            </w:r>
            <w:r w:rsidR="00847314" w:rsidRPr="0092159E">
              <w:rPr>
                <w:rFonts w:ascii="Times New Roman" w:hAnsi="Times New Roman"/>
                <w:noProof/>
                <w:webHidden/>
              </w:rPr>
              <w:instrText xml:space="preserve"> PAGEREF _Toc189482439 \h </w:instrText>
            </w:r>
            <w:r w:rsidR="00847314" w:rsidRPr="0092159E">
              <w:rPr>
                <w:rFonts w:ascii="Times New Roman" w:hAnsi="Times New Roman"/>
                <w:noProof/>
                <w:webHidden/>
              </w:rPr>
            </w:r>
            <w:r w:rsidR="00847314" w:rsidRPr="0092159E">
              <w:rPr>
                <w:rFonts w:ascii="Times New Roman" w:hAnsi="Times New Roman"/>
                <w:noProof/>
                <w:webHidden/>
              </w:rPr>
              <w:fldChar w:fldCharType="separate"/>
            </w:r>
            <w:r w:rsidR="00847314" w:rsidRPr="0092159E">
              <w:rPr>
                <w:rFonts w:ascii="Times New Roman" w:hAnsi="Times New Roman"/>
                <w:noProof/>
                <w:webHidden/>
              </w:rPr>
              <w:t>28</w:t>
            </w:r>
            <w:r w:rsidR="00847314" w:rsidRPr="0092159E">
              <w:rPr>
                <w:rFonts w:ascii="Times New Roman" w:hAnsi="Times New Roman"/>
                <w:noProof/>
                <w:webHidden/>
              </w:rPr>
              <w:fldChar w:fldCharType="end"/>
            </w:r>
          </w:hyperlink>
        </w:p>
        <w:p w14:paraId="20C65C26" w14:textId="42618647" w:rsidR="00847314" w:rsidRPr="0092159E" w:rsidRDefault="0030444F">
          <w:pPr>
            <w:pStyle w:val="TOC2"/>
            <w:tabs>
              <w:tab w:val="left" w:pos="960"/>
              <w:tab w:val="right" w:leader="dot" w:pos="9016"/>
            </w:tabs>
            <w:rPr>
              <w:rFonts w:ascii="Times New Roman" w:hAnsi="Times New Roman"/>
              <w:noProof/>
              <w:kern w:val="2"/>
              <w:sz w:val="24"/>
              <w:szCs w:val="24"/>
              <w:lang w:val="en-IE" w:eastAsia="en-IE"/>
              <w14:ligatures w14:val="standardContextual"/>
            </w:rPr>
          </w:pPr>
          <w:hyperlink w:anchor="_Toc189482440" w:history="1">
            <w:r w:rsidR="00847314" w:rsidRPr="0092159E">
              <w:rPr>
                <w:rStyle w:val="Hyperlink"/>
                <w:rFonts w:ascii="Times New Roman" w:hAnsi="Times New Roman"/>
                <w:noProof/>
              </w:rPr>
              <w:t>8.2.</w:t>
            </w:r>
            <w:r w:rsidR="00847314" w:rsidRPr="0092159E">
              <w:rPr>
                <w:rFonts w:ascii="Times New Roman" w:hAnsi="Times New Roman"/>
                <w:noProof/>
                <w:kern w:val="2"/>
                <w:sz w:val="24"/>
                <w:szCs w:val="24"/>
                <w:lang w:val="en-IE" w:eastAsia="en-IE"/>
                <w14:ligatures w14:val="standardContextual"/>
              </w:rPr>
              <w:tab/>
            </w:r>
            <w:r w:rsidR="00847314" w:rsidRPr="0092159E">
              <w:rPr>
                <w:rStyle w:val="Hyperlink"/>
                <w:rFonts w:ascii="Times New Roman" w:hAnsi="Times New Roman"/>
                <w:noProof/>
              </w:rPr>
              <w:t>Fondul ETS pentru inovare</w:t>
            </w:r>
            <w:r w:rsidR="00847314" w:rsidRPr="0092159E">
              <w:rPr>
                <w:rFonts w:ascii="Times New Roman" w:hAnsi="Times New Roman"/>
                <w:noProof/>
                <w:webHidden/>
              </w:rPr>
              <w:tab/>
            </w:r>
            <w:r w:rsidR="00847314" w:rsidRPr="0092159E">
              <w:rPr>
                <w:rFonts w:ascii="Times New Roman" w:hAnsi="Times New Roman"/>
                <w:noProof/>
                <w:webHidden/>
              </w:rPr>
              <w:fldChar w:fldCharType="begin"/>
            </w:r>
            <w:r w:rsidR="00847314" w:rsidRPr="0092159E">
              <w:rPr>
                <w:rFonts w:ascii="Times New Roman" w:hAnsi="Times New Roman"/>
                <w:noProof/>
                <w:webHidden/>
              </w:rPr>
              <w:instrText xml:space="preserve"> PAGEREF _Toc189482440 \h </w:instrText>
            </w:r>
            <w:r w:rsidR="00847314" w:rsidRPr="0092159E">
              <w:rPr>
                <w:rFonts w:ascii="Times New Roman" w:hAnsi="Times New Roman"/>
                <w:noProof/>
                <w:webHidden/>
              </w:rPr>
            </w:r>
            <w:r w:rsidR="00847314" w:rsidRPr="0092159E">
              <w:rPr>
                <w:rFonts w:ascii="Times New Roman" w:hAnsi="Times New Roman"/>
                <w:noProof/>
                <w:webHidden/>
              </w:rPr>
              <w:fldChar w:fldCharType="separate"/>
            </w:r>
            <w:r w:rsidR="00847314" w:rsidRPr="0092159E">
              <w:rPr>
                <w:rFonts w:ascii="Times New Roman" w:hAnsi="Times New Roman"/>
                <w:noProof/>
                <w:webHidden/>
              </w:rPr>
              <w:t>31</w:t>
            </w:r>
            <w:r w:rsidR="00847314" w:rsidRPr="0092159E">
              <w:rPr>
                <w:rFonts w:ascii="Times New Roman" w:hAnsi="Times New Roman"/>
                <w:noProof/>
                <w:webHidden/>
              </w:rPr>
              <w:fldChar w:fldCharType="end"/>
            </w:r>
          </w:hyperlink>
        </w:p>
        <w:p w14:paraId="74C9ECDA" w14:textId="2A7897AF" w:rsidR="00847314" w:rsidRPr="0092159E" w:rsidRDefault="0030444F">
          <w:pPr>
            <w:pStyle w:val="TOC2"/>
            <w:tabs>
              <w:tab w:val="left" w:pos="960"/>
              <w:tab w:val="right" w:leader="dot" w:pos="9016"/>
            </w:tabs>
            <w:rPr>
              <w:rFonts w:ascii="Times New Roman" w:hAnsi="Times New Roman"/>
              <w:noProof/>
              <w:kern w:val="2"/>
              <w:sz w:val="24"/>
              <w:szCs w:val="24"/>
              <w:lang w:val="en-IE" w:eastAsia="en-IE"/>
              <w14:ligatures w14:val="standardContextual"/>
            </w:rPr>
          </w:pPr>
          <w:hyperlink w:anchor="_Toc189482441" w:history="1">
            <w:r w:rsidR="00847314" w:rsidRPr="0092159E">
              <w:rPr>
                <w:rStyle w:val="Hyperlink"/>
                <w:rFonts w:ascii="Times New Roman" w:hAnsi="Times New Roman"/>
                <w:noProof/>
              </w:rPr>
              <w:t>8.3.</w:t>
            </w:r>
            <w:r w:rsidR="00847314" w:rsidRPr="0092159E">
              <w:rPr>
                <w:rFonts w:ascii="Times New Roman" w:hAnsi="Times New Roman"/>
                <w:noProof/>
                <w:kern w:val="2"/>
                <w:sz w:val="24"/>
                <w:szCs w:val="24"/>
                <w:lang w:val="en-IE" w:eastAsia="en-IE"/>
                <w14:ligatures w14:val="standardContextual"/>
              </w:rPr>
              <w:tab/>
            </w:r>
            <w:r w:rsidR="00847314" w:rsidRPr="0092159E">
              <w:rPr>
                <w:rStyle w:val="Hyperlink"/>
                <w:rFonts w:ascii="Times New Roman" w:hAnsi="Times New Roman"/>
                <w:noProof/>
              </w:rPr>
              <w:t>Fondul ETS pentru modernizare</w:t>
            </w:r>
            <w:r w:rsidR="00847314" w:rsidRPr="0092159E">
              <w:rPr>
                <w:rFonts w:ascii="Times New Roman" w:hAnsi="Times New Roman"/>
                <w:noProof/>
                <w:webHidden/>
              </w:rPr>
              <w:tab/>
            </w:r>
            <w:r w:rsidR="00847314" w:rsidRPr="0092159E">
              <w:rPr>
                <w:rFonts w:ascii="Times New Roman" w:hAnsi="Times New Roman"/>
                <w:noProof/>
                <w:webHidden/>
              </w:rPr>
              <w:fldChar w:fldCharType="begin"/>
            </w:r>
            <w:r w:rsidR="00847314" w:rsidRPr="0092159E">
              <w:rPr>
                <w:rFonts w:ascii="Times New Roman" w:hAnsi="Times New Roman"/>
                <w:noProof/>
                <w:webHidden/>
              </w:rPr>
              <w:instrText xml:space="preserve"> PAGEREF _Toc189482441 \h </w:instrText>
            </w:r>
            <w:r w:rsidR="00847314" w:rsidRPr="0092159E">
              <w:rPr>
                <w:rFonts w:ascii="Times New Roman" w:hAnsi="Times New Roman"/>
                <w:noProof/>
                <w:webHidden/>
              </w:rPr>
            </w:r>
            <w:r w:rsidR="00847314" w:rsidRPr="0092159E">
              <w:rPr>
                <w:rFonts w:ascii="Times New Roman" w:hAnsi="Times New Roman"/>
                <w:noProof/>
                <w:webHidden/>
              </w:rPr>
              <w:fldChar w:fldCharType="separate"/>
            </w:r>
            <w:r w:rsidR="00847314" w:rsidRPr="0092159E">
              <w:rPr>
                <w:rFonts w:ascii="Times New Roman" w:hAnsi="Times New Roman"/>
                <w:noProof/>
                <w:webHidden/>
              </w:rPr>
              <w:t>34</w:t>
            </w:r>
            <w:r w:rsidR="00847314" w:rsidRPr="0092159E">
              <w:rPr>
                <w:rFonts w:ascii="Times New Roman" w:hAnsi="Times New Roman"/>
                <w:noProof/>
                <w:webHidden/>
              </w:rPr>
              <w:fldChar w:fldCharType="end"/>
            </w:r>
          </w:hyperlink>
        </w:p>
        <w:p w14:paraId="0190593E" w14:textId="5F072440" w:rsidR="00847314" w:rsidRPr="0092159E" w:rsidRDefault="0030444F">
          <w:pPr>
            <w:pStyle w:val="TOC2"/>
            <w:tabs>
              <w:tab w:val="left" w:pos="960"/>
              <w:tab w:val="right" w:leader="dot" w:pos="9016"/>
            </w:tabs>
            <w:rPr>
              <w:rFonts w:ascii="Times New Roman" w:hAnsi="Times New Roman"/>
              <w:noProof/>
              <w:kern w:val="2"/>
              <w:sz w:val="24"/>
              <w:szCs w:val="24"/>
              <w:lang w:val="en-IE" w:eastAsia="en-IE"/>
              <w14:ligatures w14:val="standardContextual"/>
            </w:rPr>
          </w:pPr>
          <w:hyperlink w:anchor="_Toc189482442" w:history="1">
            <w:r w:rsidR="00847314" w:rsidRPr="0092159E">
              <w:rPr>
                <w:rStyle w:val="Hyperlink"/>
                <w:rFonts w:ascii="Times New Roman" w:hAnsi="Times New Roman"/>
                <w:noProof/>
              </w:rPr>
              <w:t>8.4.</w:t>
            </w:r>
            <w:r w:rsidR="00847314" w:rsidRPr="0092159E">
              <w:rPr>
                <w:rFonts w:ascii="Times New Roman" w:hAnsi="Times New Roman"/>
                <w:noProof/>
                <w:kern w:val="2"/>
                <w:sz w:val="24"/>
                <w:szCs w:val="24"/>
                <w:lang w:val="en-IE" w:eastAsia="en-IE"/>
                <w14:ligatures w14:val="standardContextual"/>
              </w:rPr>
              <w:tab/>
            </w:r>
            <w:r w:rsidR="00847314" w:rsidRPr="0092159E">
              <w:rPr>
                <w:rStyle w:val="Hyperlink"/>
                <w:rFonts w:ascii="Times New Roman" w:hAnsi="Times New Roman"/>
                <w:noProof/>
              </w:rPr>
              <w:t>Fondul ETS pentru decarbonizare destinat Greciei</w:t>
            </w:r>
            <w:r w:rsidR="00847314" w:rsidRPr="0092159E">
              <w:rPr>
                <w:rFonts w:ascii="Times New Roman" w:hAnsi="Times New Roman"/>
                <w:noProof/>
                <w:webHidden/>
              </w:rPr>
              <w:tab/>
            </w:r>
            <w:r w:rsidR="00847314" w:rsidRPr="0092159E">
              <w:rPr>
                <w:rFonts w:ascii="Times New Roman" w:hAnsi="Times New Roman"/>
                <w:noProof/>
                <w:webHidden/>
              </w:rPr>
              <w:fldChar w:fldCharType="begin"/>
            </w:r>
            <w:r w:rsidR="00847314" w:rsidRPr="0092159E">
              <w:rPr>
                <w:rFonts w:ascii="Times New Roman" w:hAnsi="Times New Roman"/>
                <w:noProof/>
                <w:webHidden/>
              </w:rPr>
              <w:instrText xml:space="preserve"> PAGEREF _Toc189482442 \h </w:instrText>
            </w:r>
            <w:r w:rsidR="00847314" w:rsidRPr="0092159E">
              <w:rPr>
                <w:rFonts w:ascii="Times New Roman" w:hAnsi="Times New Roman"/>
                <w:noProof/>
                <w:webHidden/>
              </w:rPr>
            </w:r>
            <w:r w:rsidR="00847314" w:rsidRPr="0092159E">
              <w:rPr>
                <w:rFonts w:ascii="Times New Roman" w:hAnsi="Times New Roman"/>
                <w:noProof/>
                <w:webHidden/>
              </w:rPr>
              <w:fldChar w:fldCharType="separate"/>
            </w:r>
            <w:r w:rsidR="00847314" w:rsidRPr="0092159E">
              <w:rPr>
                <w:rFonts w:ascii="Times New Roman" w:hAnsi="Times New Roman"/>
                <w:noProof/>
                <w:webHidden/>
              </w:rPr>
              <w:t>36</w:t>
            </w:r>
            <w:r w:rsidR="00847314" w:rsidRPr="0092159E">
              <w:rPr>
                <w:rFonts w:ascii="Times New Roman" w:hAnsi="Times New Roman"/>
                <w:noProof/>
                <w:webHidden/>
              </w:rPr>
              <w:fldChar w:fldCharType="end"/>
            </w:r>
          </w:hyperlink>
        </w:p>
        <w:p w14:paraId="19BC3E52" w14:textId="0602DE1F" w:rsidR="00847314" w:rsidRPr="0092159E" w:rsidRDefault="0030444F">
          <w:pPr>
            <w:pStyle w:val="TOC1"/>
            <w:tabs>
              <w:tab w:val="left" w:pos="440"/>
              <w:tab w:val="right" w:leader="dot" w:pos="9016"/>
            </w:tabs>
            <w:rPr>
              <w:rFonts w:ascii="Times New Roman" w:eastAsiaTheme="minorEastAsia" w:hAnsi="Times New Roman" w:cs="Times New Roman"/>
              <w:noProof/>
              <w:sz w:val="24"/>
              <w:szCs w:val="24"/>
              <w:lang w:val="en-IE" w:eastAsia="en-IE"/>
            </w:rPr>
          </w:pPr>
          <w:hyperlink w:anchor="_Toc189482443" w:history="1">
            <w:r w:rsidR="00847314" w:rsidRPr="0092159E">
              <w:rPr>
                <w:rStyle w:val="Hyperlink"/>
                <w:rFonts w:ascii="Times New Roman" w:hAnsi="Times New Roman" w:cs="Times New Roman"/>
                <w:noProof/>
              </w:rPr>
              <w:t>9.</w:t>
            </w:r>
            <w:r w:rsidR="00847314" w:rsidRPr="0092159E">
              <w:rPr>
                <w:rFonts w:ascii="Times New Roman" w:eastAsiaTheme="minorEastAsia" w:hAnsi="Times New Roman" w:cs="Times New Roman"/>
                <w:noProof/>
                <w:sz w:val="24"/>
                <w:szCs w:val="24"/>
                <w:lang w:val="en-IE" w:eastAsia="en-IE"/>
              </w:rPr>
              <w:tab/>
            </w:r>
            <w:r w:rsidR="00847314" w:rsidRPr="0092159E">
              <w:rPr>
                <w:rStyle w:val="Hyperlink"/>
                <w:rFonts w:ascii="Times New Roman" w:hAnsi="Times New Roman" w:cs="Times New Roman"/>
                <w:noProof/>
              </w:rPr>
              <w:t>Aviația</w:t>
            </w:r>
            <w:r w:rsidR="00847314" w:rsidRPr="0092159E">
              <w:rPr>
                <w:rFonts w:ascii="Times New Roman" w:hAnsi="Times New Roman" w:cs="Times New Roman"/>
                <w:noProof/>
                <w:webHidden/>
              </w:rPr>
              <w:tab/>
            </w:r>
            <w:r w:rsidR="00847314" w:rsidRPr="0092159E">
              <w:rPr>
                <w:rFonts w:ascii="Times New Roman" w:hAnsi="Times New Roman" w:cs="Times New Roman"/>
                <w:noProof/>
                <w:webHidden/>
              </w:rPr>
              <w:fldChar w:fldCharType="begin"/>
            </w:r>
            <w:r w:rsidR="00847314" w:rsidRPr="0092159E">
              <w:rPr>
                <w:rFonts w:ascii="Times New Roman" w:hAnsi="Times New Roman" w:cs="Times New Roman"/>
                <w:noProof/>
                <w:webHidden/>
              </w:rPr>
              <w:instrText xml:space="preserve"> PAGEREF _Toc189482443 \h </w:instrText>
            </w:r>
            <w:r w:rsidR="00847314" w:rsidRPr="0092159E">
              <w:rPr>
                <w:rFonts w:ascii="Times New Roman" w:hAnsi="Times New Roman" w:cs="Times New Roman"/>
                <w:noProof/>
                <w:webHidden/>
              </w:rPr>
            </w:r>
            <w:r w:rsidR="00847314" w:rsidRPr="0092159E">
              <w:rPr>
                <w:rFonts w:ascii="Times New Roman" w:hAnsi="Times New Roman" w:cs="Times New Roman"/>
                <w:noProof/>
                <w:webHidden/>
              </w:rPr>
              <w:fldChar w:fldCharType="separate"/>
            </w:r>
            <w:r w:rsidR="00847314" w:rsidRPr="0092159E">
              <w:rPr>
                <w:rFonts w:ascii="Times New Roman" w:hAnsi="Times New Roman" w:cs="Times New Roman"/>
                <w:noProof/>
                <w:webHidden/>
              </w:rPr>
              <w:t>36</w:t>
            </w:r>
            <w:r w:rsidR="00847314" w:rsidRPr="0092159E">
              <w:rPr>
                <w:rFonts w:ascii="Times New Roman" w:hAnsi="Times New Roman" w:cs="Times New Roman"/>
                <w:noProof/>
                <w:webHidden/>
              </w:rPr>
              <w:fldChar w:fldCharType="end"/>
            </w:r>
          </w:hyperlink>
        </w:p>
        <w:p w14:paraId="65AF9C5D" w14:textId="4F92D715" w:rsidR="00847314" w:rsidRPr="0092159E" w:rsidRDefault="0030444F">
          <w:pPr>
            <w:pStyle w:val="TOC1"/>
            <w:tabs>
              <w:tab w:val="left" w:pos="720"/>
              <w:tab w:val="right" w:leader="dot" w:pos="9016"/>
            </w:tabs>
            <w:rPr>
              <w:rFonts w:ascii="Times New Roman" w:eastAsiaTheme="minorEastAsia" w:hAnsi="Times New Roman" w:cs="Times New Roman"/>
              <w:noProof/>
              <w:sz w:val="24"/>
              <w:szCs w:val="24"/>
              <w:lang w:val="en-IE" w:eastAsia="en-IE"/>
            </w:rPr>
          </w:pPr>
          <w:hyperlink w:anchor="_Toc189482444" w:history="1">
            <w:r w:rsidR="00847314" w:rsidRPr="0092159E">
              <w:rPr>
                <w:rStyle w:val="Hyperlink"/>
                <w:rFonts w:ascii="Times New Roman" w:hAnsi="Times New Roman" w:cs="Times New Roman"/>
                <w:noProof/>
              </w:rPr>
              <w:t>10.</w:t>
            </w:r>
            <w:r w:rsidR="00847314" w:rsidRPr="0092159E">
              <w:rPr>
                <w:rFonts w:ascii="Times New Roman" w:eastAsiaTheme="minorEastAsia" w:hAnsi="Times New Roman" w:cs="Times New Roman"/>
                <w:noProof/>
                <w:sz w:val="24"/>
                <w:szCs w:val="24"/>
                <w:lang w:val="en-IE" w:eastAsia="en-IE"/>
              </w:rPr>
              <w:tab/>
            </w:r>
            <w:r w:rsidR="00847314" w:rsidRPr="0092159E">
              <w:rPr>
                <w:rStyle w:val="Hyperlink"/>
                <w:rFonts w:ascii="Times New Roman" w:hAnsi="Times New Roman" w:cs="Times New Roman"/>
                <w:noProof/>
              </w:rPr>
              <w:t>Transportul maritim</w:t>
            </w:r>
            <w:r w:rsidR="00847314" w:rsidRPr="0092159E">
              <w:rPr>
                <w:rFonts w:ascii="Times New Roman" w:hAnsi="Times New Roman" w:cs="Times New Roman"/>
                <w:noProof/>
                <w:webHidden/>
              </w:rPr>
              <w:tab/>
            </w:r>
            <w:r w:rsidR="00847314" w:rsidRPr="0092159E">
              <w:rPr>
                <w:rFonts w:ascii="Times New Roman" w:hAnsi="Times New Roman" w:cs="Times New Roman"/>
                <w:noProof/>
                <w:webHidden/>
              </w:rPr>
              <w:fldChar w:fldCharType="begin"/>
            </w:r>
            <w:r w:rsidR="00847314" w:rsidRPr="0092159E">
              <w:rPr>
                <w:rFonts w:ascii="Times New Roman" w:hAnsi="Times New Roman" w:cs="Times New Roman"/>
                <w:noProof/>
                <w:webHidden/>
              </w:rPr>
              <w:instrText xml:space="preserve"> PAGEREF _Toc189482444 \h </w:instrText>
            </w:r>
            <w:r w:rsidR="00847314" w:rsidRPr="0092159E">
              <w:rPr>
                <w:rFonts w:ascii="Times New Roman" w:hAnsi="Times New Roman" w:cs="Times New Roman"/>
                <w:noProof/>
                <w:webHidden/>
              </w:rPr>
            </w:r>
            <w:r w:rsidR="00847314" w:rsidRPr="0092159E">
              <w:rPr>
                <w:rFonts w:ascii="Times New Roman" w:hAnsi="Times New Roman" w:cs="Times New Roman"/>
                <w:noProof/>
                <w:webHidden/>
              </w:rPr>
              <w:fldChar w:fldCharType="separate"/>
            </w:r>
            <w:r w:rsidR="00847314" w:rsidRPr="0092159E">
              <w:rPr>
                <w:rFonts w:ascii="Times New Roman" w:hAnsi="Times New Roman" w:cs="Times New Roman"/>
                <w:noProof/>
                <w:webHidden/>
              </w:rPr>
              <w:t>40</w:t>
            </w:r>
            <w:r w:rsidR="00847314" w:rsidRPr="0092159E">
              <w:rPr>
                <w:rFonts w:ascii="Times New Roman" w:hAnsi="Times New Roman" w:cs="Times New Roman"/>
                <w:noProof/>
                <w:webHidden/>
              </w:rPr>
              <w:fldChar w:fldCharType="end"/>
            </w:r>
          </w:hyperlink>
        </w:p>
        <w:p w14:paraId="1D0E998E" w14:textId="6787F402" w:rsidR="00847314" w:rsidRPr="0092159E" w:rsidRDefault="0030444F">
          <w:pPr>
            <w:pStyle w:val="TOC1"/>
            <w:tabs>
              <w:tab w:val="left" w:pos="720"/>
              <w:tab w:val="right" w:leader="dot" w:pos="9016"/>
            </w:tabs>
            <w:rPr>
              <w:rFonts w:ascii="Times New Roman" w:eastAsiaTheme="minorEastAsia" w:hAnsi="Times New Roman" w:cs="Times New Roman"/>
              <w:noProof/>
              <w:sz w:val="24"/>
              <w:szCs w:val="24"/>
              <w:lang w:val="en-IE" w:eastAsia="en-IE"/>
            </w:rPr>
          </w:pPr>
          <w:hyperlink w:anchor="_Toc189482445" w:history="1">
            <w:r w:rsidR="00847314" w:rsidRPr="0092159E">
              <w:rPr>
                <w:rStyle w:val="Hyperlink"/>
                <w:rFonts w:ascii="Times New Roman" w:hAnsi="Times New Roman" w:cs="Times New Roman"/>
                <w:noProof/>
              </w:rPr>
              <w:t>11.</w:t>
            </w:r>
            <w:r w:rsidR="00847314" w:rsidRPr="0092159E">
              <w:rPr>
                <w:rFonts w:ascii="Times New Roman" w:eastAsiaTheme="minorEastAsia" w:hAnsi="Times New Roman" w:cs="Times New Roman"/>
                <w:noProof/>
                <w:sz w:val="24"/>
                <w:szCs w:val="24"/>
                <w:lang w:val="en-IE" w:eastAsia="en-IE"/>
              </w:rPr>
              <w:tab/>
            </w:r>
            <w:r w:rsidR="00847314" w:rsidRPr="0092159E">
              <w:rPr>
                <w:rStyle w:val="Hyperlink"/>
                <w:rFonts w:ascii="Times New Roman" w:hAnsi="Times New Roman" w:cs="Times New Roman"/>
                <w:noProof/>
              </w:rPr>
              <w:t>Cadrul de punere în aplicare a EU ETS</w:t>
            </w:r>
            <w:r w:rsidR="00847314" w:rsidRPr="0092159E">
              <w:rPr>
                <w:rFonts w:ascii="Times New Roman" w:hAnsi="Times New Roman" w:cs="Times New Roman"/>
                <w:noProof/>
                <w:webHidden/>
              </w:rPr>
              <w:tab/>
            </w:r>
            <w:r w:rsidR="00847314" w:rsidRPr="0092159E">
              <w:rPr>
                <w:rFonts w:ascii="Times New Roman" w:hAnsi="Times New Roman" w:cs="Times New Roman"/>
                <w:noProof/>
                <w:webHidden/>
              </w:rPr>
              <w:fldChar w:fldCharType="begin"/>
            </w:r>
            <w:r w:rsidR="00847314" w:rsidRPr="0092159E">
              <w:rPr>
                <w:rFonts w:ascii="Times New Roman" w:hAnsi="Times New Roman" w:cs="Times New Roman"/>
                <w:noProof/>
                <w:webHidden/>
              </w:rPr>
              <w:instrText xml:space="preserve"> PAGEREF _Toc189482445 \h </w:instrText>
            </w:r>
            <w:r w:rsidR="00847314" w:rsidRPr="0092159E">
              <w:rPr>
                <w:rFonts w:ascii="Times New Roman" w:hAnsi="Times New Roman" w:cs="Times New Roman"/>
                <w:noProof/>
                <w:webHidden/>
              </w:rPr>
            </w:r>
            <w:r w:rsidR="00847314" w:rsidRPr="0092159E">
              <w:rPr>
                <w:rFonts w:ascii="Times New Roman" w:hAnsi="Times New Roman" w:cs="Times New Roman"/>
                <w:noProof/>
                <w:webHidden/>
              </w:rPr>
              <w:fldChar w:fldCharType="separate"/>
            </w:r>
            <w:r w:rsidR="00847314" w:rsidRPr="0092159E">
              <w:rPr>
                <w:rFonts w:ascii="Times New Roman" w:hAnsi="Times New Roman" w:cs="Times New Roman"/>
                <w:noProof/>
                <w:webHidden/>
              </w:rPr>
              <w:t>42</w:t>
            </w:r>
            <w:r w:rsidR="00847314" w:rsidRPr="0092159E">
              <w:rPr>
                <w:rFonts w:ascii="Times New Roman" w:hAnsi="Times New Roman" w:cs="Times New Roman"/>
                <w:noProof/>
                <w:webHidden/>
              </w:rPr>
              <w:fldChar w:fldCharType="end"/>
            </w:r>
          </w:hyperlink>
        </w:p>
        <w:p w14:paraId="54259ED2" w14:textId="47A01B36" w:rsidR="00847314" w:rsidRPr="0092159E" w:rsidRDefault="0030444F">
          <w:pPr>
            <w:pStyle w:val="TOC2"/>
            <w:tabs>
              <w:tab w:val="left" w:pos="960"/>
              <w:tab w:val="right" w:leader="dot" w:pos="9016"/>
            </w:tabs>
            <w:rPr>
              <w:rFonts w:ascii="Times New Roman" w:hAnsi="Times New Roman"/>
              <w:noProof/>
              <w:kern w:val="2"/>
              <w:sz w:val="24"/>
              <w:szCs w:val="24"/>
              <w:lang w:val="en-IE" w:eastAsia="en-IE"/>
              <w14:ligatures w14:val="standardContextual"/>
            </w:rPr>
          </w:pPr>
          <w:hyperlink w:anchor="_Toc189482446" w:history="1">
            <w:r w:rsidR="00847314" w:rsidRPr="0092159E">
              <w:rPr>
                <w:rStyle w:val="Hyperlink"/>
                <w:rFonts w:ascii="Times New Roman" w:hAnsi="Times New Roman"/>
                <w:noProof/>
              </w:rPr>
              <w:t>11.1.</w:t>
            </w:r>
            <w:r w:rsidR="00847314" w:rsidRPr="0092159E">
              <w:rPr>
                <w:rFonts w:ascii="Times New Roman" w:hAnsi="Times New Roman"/>
                <w:noProof/>
                <w:kern w:val="2"/>
                <w:sz w:val="24"/>
                <w:szCs w:val="24"/>
                <w:lang w:val="en-IE" w:eastAsia="en-IE"/>
                <w14:ligatures w14:val="standardContextual"/>
              </w:rPr>
              <w:tab/>
            </w:r>
            <w:r w:rsidR="00847314" w:rsidRPr="0092159E">
              <w:rPr>
                <w:rStyle w:val="Hyperlink"/>
                <w:rFonts w:ascii="Times New Roman" w:hAnsi="Times New Roman"/>
                <w:noProof/>
              </w:rPr>
              <w:t>Monitorizarea și raportarea emisiilor</w:t>
            </w:r>
            <w:r w:rsidR="00847314" w:rsidRPr="0092159E">
              <w:rPr>
                <w:rFonts w:ascii="Times New Roman" w:hAnsi="Times New Roman"/>
                <w:noProof/>
                <w:webHidden/>
              </w:rPr>
              <w:tab/>
            </w:r>
            <w:r w:rsidR="00847314" w:rsidRPr="0092159E">
              <w:rPr>
                <w:rFonts w:ascii="Times New Roman" w:hAnsi="Times New Roman"/>
                <w:noProof/>
                <w:webHidden/>
              </w:rPr>
              <w:fldChar w:fldCharType="begin"/>
            </w:r>
            <w:r w:rsidR="00847314" w:rsidRPr="0092159E">
              <w:rPr>
                <w:rFonts w:ascii="Times New Roman" w:hAnsi="Times New Roman"/>
                <w:noProof/>
                <w:webHidden/>
              </w:rPr>
              <w:instrText xml:space="preserve"> PAGEREF _Toc189482446 \h </w:instrText>
            </w:r>
            <w:r w:rsidR="00847314" w:rsidRPr="0092159E">
              <w:rPr>
                <w:rFonts w:ascii="Times New Roman" w:hAnsi="Times New Roman"/>
                <w:noProof/>
                <w:webHidden/>
              </w:rPr>
            </w:r>
            <w:r w:rsidR="00847314" w:rsidRPr="0092159E">
              <w:rPr>
                <w:rFonts w:ascii="Times New Roman" w:hAnsi="Times New Roman"/>
                <w:noProof/>
                <w:webHidden/>
              </w:rPr>
              <w:fldChar w:fldCharType="separate"/>
            </w:r>
            <w:r w:rsidR="00847314" w:rsidRPr="0092159E">
              <w:rPr>
                <w:rFonts w:ascii="Times New Roman" w:hAnsi="Times New Roman"/>
                <w:noProof/>
                <w:webHidden/>
              </w:rPr>
              <w:t>42</w:t>
            </w:r>
            <w:r w:rsidR="00847314" w:rsidRPr="0092159E">
              <w:rPr>
                <w:rFonts w:ascii="Times New Roman" w:hAnsi="Times New Roman"/>
                <w:noProof/>
                <w:webHidden/>
              </w:rPr>
              <w:fldChar w:fldCharType="end"/>
            </w:r>
          </w:hyperlink>
        </w:p>
        <w:p w14:paraId="424ACE02" w14:textId="2341701E" w:rsidR="00847314" w:rsidRPr="0092159E" w:rsidRDefault="0030444F">
          <w:pPr>
            <w:pStyle w:val="TOC2"/>
            <w:tabs>
              <w:tab w:val="left" w:pos="960"/>
              <w:tab w:val="right" w:leader="dot" w:pos="9016"/>
            </w:tabs>
            <w:rPr>
              <w:rFonts w:ascii="Times New Roman" w:hAnsi="Times New Roman"/>
              <w:noProof/>
              <w:kern w:val="2"/>
              <w:sz w:val="24"/>
              <w:szCs w:val="24"/>
              <w:lang w:val="en-IE" w:eastAsia="en-IE"/>
              <w14:ligatures w14:val="standardContextual"/>
            </w:rPr>
          </w:pPr>
          <w:hyperlink w:anchor="_Toc189482447" w:history="1">
            <w:r w:rsidR="00847314" w:rsidRPr="0092159E">
              <w:rPr>
                <w:rStyle w:val="Hyperlink"/>
                <w:rFonts w:ascii="Times New Roman" w:hAnsi="Times New Roman"/>
                <w:noProof/>
              </w:rPr>
              <w:t>11.2.</w:t>
            </w:r>
            <w:r w:rsidR="00847314" w:rsidRPr="0092159E">
              <w:rPr>
                <w:rFonts w:ascii="Times New Roman" w:hAnsi="Times New Roman"/>
                <w:noProof/>
                <w:kern w:val="2"/>
                <w:sz w:val="24"/>
                <w:szCs w:val="24"/>
                <w:lang w:val="en-IE" w:eastAsia="en-IE"/>
                <w14:ligatures w14:val="standardContextual"/>
              </w:rPr>
              <w:tab/>
            </w:r>
            <w:r w:rsidR="00847314" w:rsidRPr="0092159E">
              <w:rPr>
                <w:rStyle w:val="Hyperlink"/>
                <w:rFonts w:ascii="Times New Roman" w:hAnsi="Times New Roman"/>
                <w:noProof/>
              </w:rPr>
              <w:t>Verificarea și acreditarea</w:t>
            </w:r>
            <w:r w:rsidR="00847314" w:rsidRPr="0092159E">
              <w:rPr>
                <w:rFonts w:ascii="Times New Roman" w:hAnsi="Times New Roman"/>
                <w:noProof/>
                <w:webHidden/>
              </w:rPr>
              <w:tab/>
            </w:r>
            <w:r w:rsidR="00847314" w:rsidRPr="0092159E">
              <w:rPr>
                <w:rFonts w:ascii="Times New Roman" w:hAnsi="Times New Roman"/>
                <w:noProof/>
                <w:webHidden/>
              </w:rPr>
              <w:fldChar w:fldCharType="begin"/>
            </w:r>
            <w:r w:rsidR="00847314" w:rsidRPr="0092159E">
              <w:rPr>
                <w:rFonts w:ascii="Times New Roman" w:hAnsi="Times New Roman"/>
                <w:noProof/>
                <w:webHidden/>
              </w:rPr>
              <w:instrText xml:space="preserve"> PAGEREF _Toc189482447 \h </w:instrText>
            </w:r>
            <w:r w:rsidR="00847314" w:rsidRPr="0092159E">
              <w:rPr>
                <w:rFonts w:ascii="Times New Roman" w:hAnsi="Times New Roman"/>
                <w:noProof/>
                <w:webHidden/>
              </w:rPr>
            </w:r>
            <w:r w:rsidR="00847314" w:rsidRPr="0092159E">
              <w:rPr>
                <w:rFonts w:ascii="Times New Roman" w:hAnsi="Times New Roman"/>
                <w:noProof/>
                <w:webHidden/>
              </w:rPr>
              <w:fldChar w:fldCharType="separate"/>
            </w:r>
            <w:r w:rsidR="00847314" w:rsidRPr="0092159E">
              <w:rPr>
                <w:rFonts w:ascii="Times New Roman" w:hAnsi="Times New Roman"/>
                <w:noProof/>
                <w:webHidden/>
              </w:rPr>
              <w:t>44</w:t>
            </w:r>
            <w:r w:rsidR="00847314" w:rsidRPr="0092159E">
              <w:rPr>
                <w:rFonts w:ascii="Times New Roman" w:hAnsi="Times New Roman"/>
                <w:noProof/>
                <w:webHidden/>
              </w:rPr>
              <w:fldChar w:fldCharType="end"/>
            </w:r>
          </w:hyperlink>
        </w:p>
        <w:p w14:paraId="4ACDF5E6" w14:textId="22510D17" w:rsidR="00847314" w:rsidRPr="0092159E" w:rsidRDefault="0030444F">
          <w:pPr>
            <w:pStyle w:val="TOC2"/>
            <w:tabs>
              <w:tab w:val="left" w:pos="960"/>
              <w:tab w:val="right" w:leader="dot" w:pos="9016"/>
            </w:tabs>
            <w:rPr>
              <w:rFonts w:ascii="Times New Roman" w:hAnsi="Times New Roman"/>
              <w:noProof/>
              <w:kern w:val="2"/>
              <w:sz w:val="24"/>
              <w:szCs w:val="24"/>
              <w:lang w:val="en-IE" w:eastAsia="en-IE"/>
              <w14:ligatures w14:val="standardContextual"/>
            </w:rPr>
          </w:pPr>
          <w:hyperlink w:anchor="_Toc189482448" w:history="1">
            <w:r w:rsidR="00847314" w:rsidRPr="0092159E">
              <w:rPr>
                <w:rStyle w:val="Hyperlink"/>
                <w:rFonts w:ascii="Times New Roman" w:hAnsi="Times New Roman"/>
                <w:noProof/>
              </w:rPr>
              <w:t>11.3.</w:t>
            </w:r>
            <w:r w:rsidR="00847314" w:rsidRPr="0092159E">
              <w:rPr>
                <w:rFonts w:ascii="Times New Roman" w:hAnsi="Times New Roman"/>
                <w:noProof/>
                <w:kern w:val="2"/>
                <w:sz w:val="24"/>
                <w:szCs w:val="24"/>
                <w:lang w:val="en-IE" w:eastAsia="en-IE"/>
                <w14:ligatures w14:val="standardContextual"/>
              </w:rPr>
              <w:tab/>
            </w:r>
            <w:r w:rsidR="00847314" w:rsidRPr="0092159E">
              <w:rPr>
                <w:rStyle w:val="Hyperlink"/>
                <w:rFonts w:ascii="Times New Roman" w:hAnsi="Times New Roman"/>
                <w:noProof/>
                <w:shd w:val="clear" w:color="auto" w:fill="FFFFFF"/>
              </w:rPr>
              <w:t>Documente de orientare</w:t>
            </w:r>
            <w:r w:rsidR="00847314" w:rsidRPr="0092159E">
              <w:rPr>
                <w:rFonts w:ascii="Times New Roman" w:hAnsi="Times New Roman"/>
                <w:noProof/>
                <w:webHidden/>
              </w:rPr>
              <w:tab/>
            </w:r>
            <w:r w:rsidR="00847314" w:rsidRPr="0092159E">
              <w:rPr>
                <w:rFonts w:ascii="Times New Roman" w:hAnsi="Times New Roman"/>
                <w:noProof/>
                <w:webHidden/>
              </w:rPr>
              <w:fldChar w:fldCharType="begin"/>
            </w:r>
            <w:r w:rsidR="00847314" w:rsidRPr="0092159E">
              <w:rPr>
                <w:rFonts w:ascii="Times New Roman" w:hAnsi="Times New Roman"/>
                <w:noProof/>
                <w:webHidden/>
              </w:rPr>
              <w:instrText xml:space="preserve"> PAGEREF _Toc189482448 \h </w:instrText>
            </w:r>
            <w:r w:rsidR="00847314" w:rsidRPr="0092159E">
              <w:rPr>
                <w:rFonts w:ascii="Times New Roman" w:hAnsi="Times New Roman"/>
                <w:noProof/>
                <w:webHidden/>
              </w:rPr>
            </w:r>
            <w:r w:rsidR="00847314" w:rsidRPr="0092159E">
              <w:rPr>
                <w:rFonts w:ascii="Times New Roman" w:hAnsi="Times New Roman"/>
                <w:noProof/>
                <w:webHidden/>
              </w:rPr>
              <w:fldChar w:fldCharType="separate"/>
            </w:r>
            <w:r w:rsidR="00847314" w:rsidRPr="0092159E">
              <w:rPr>
                <w:rFonts w:ascii="Times New Roman" w:hAnsi="Times New Roman"/>
                <w:noProof/>
                <w:webHidden/>
              </w:rPr>
              <w:t>45</w:t>
            </w:r>
            <w:r w:rsidR="00847314" w:rsidRPr="0092159E">
              <w:rPr>
                <w:rFonts w:ascii="Times New Roman" w:hAnsi="Times New Roman"/>
                <w:noProof/>
                <w:webHidden/>
              </w:rPr>
              <w:fldChar w:fldCharType="end"/>
            </w:r>
          </w:hyperlink>
        </w:p>
        <w:p w14:paraId="5A5F43DB" w14:textId="10C28438" w:rsidR="00847314" w:rsidRPr="0092159E" w:rsidRDefault="0030444F">
          <w:pPr>
            <w:pStyle w:val="TOC2"/>
            <w:tabs>
              <w:tab w:val="left" w:pos="960"/>
              <w:tab w:val="right" w:leader="dot" w:pos="9016"/>
            </w:tabs>
            <w:rPr>
              <w:rFonts w:ascii="Times New Roman" w:hAnsi="Times New Roman"/>
              <w:noProof/>
              <w:kern w:val="2"/>
              <w:sz w:val="24"/>
              <w:szCs w:val="24"/>
              <w:lang w:val="en-IE" w:eastAsia="en-IE"/>
              <w14:ligatures w14:val="standardContextual"/>
            </w:rPr>
          </w:pPr>
          <w:hyperlink w:anchor="_Toc189482449" w:history="1">
            <w:r w:rsidR="00847314" w:rsidRPr="0092159E">
              <w:rPr>
                <w:rStyle w:val="Hyperlink"/>
                <w:rFonts w:ascii="Times New Roman" w:hAnsi="Times New Roman"/>
                <w:noProof/>
              </w:rPr>
              <w:t>11.4.</w:t>
            </w:r>
            <w:r w:rsidR="00847314" w:rsidRPr="0092159E">
              <w:rPr>
                <w:rFonts w:ascii="Times New Roman" w:hAnsi="Times New Roman"/>
                <w:noProof/>
                <w:kern w:val="2"/>
                <w:sz w:val="24"/>
                <w:szCs w:val="24"/>
                <w:lang w:val="en-IE" w:eastAsia="en-IE"/>
                <w14:ligatures w14:val="standardContextual"/>
              </w:rPr>
              <w:tab/>
            </w:r>
            <w:r w:rsidR="00847314" w:rsidRPr="0092159E">
              <w:rPr>
                <w:rStyle w:val="Hyperlink"/>
                <w:rFonts w:ascii="Times New Roman" w:hAnsi="Times New Roman"/>
                <w:noProof/>
              </w:rPr>
              <w:t>Autoritățile naționale competente</w:t>
            </w:r>
            <w:r w:rsidR="00847314" w:rsidRPr="0092159E">
              <w:rPr>
                <w:rFonts w:ascii="Times New Roman" w:hAnsi="Times New Roman"/>
                <w:noProof/>
                <w:webHidden/>
              </w:rPr>
              <w:tab/>
            </w:r>
            <w:r w:rsidR="00847314" w:rsidRPr="0092159E">
              <w:rPr>
                <w:rFonts w:ascii="Times New Roman" w:hAnsi="Times New Roman"/>
                <w:noProof/>
                <w:webHidden/>
              </w:rPr>
              <w:fldChar w:fldCharType="begin"/>
            </w:r>
            <w:r w:rsidR="00847314" w:rsidRPr="0092159E">
              <w:rPr>
                <w:rFonts w:ascii="Times New Roman" w:hAnsi="Times New Roman"/>
                <w:noProof/>
                <w:webHidden/>
              </w:rPr>
              <w:instrText xml:space="preserve"> PAGEREF _Toc189482449 \h </w:instrText>
            </w:r>
            <w:r w:rsidR="00847314" w:rsidRPr="0092159E">
              <w:rPr>
                <w:rFonts w:ascii="Times New Roman" w:hAnsi="Times New Roman"/>
                <w:noProof/>
                <w:webHidden/>
              </w:rPr>
            </w:r>
            <w:r w:rsidR="00847314" w:rsidRPr="0092159E">
              <w:rPr>
                <w:rFonts w:ascii="Times New Roman" w:hAnsi="Times New Roman"/>
                <w:noProof/>
                <w:webHidden/>
              </w:rPr>
              <w:fldChar w:fldCharType="separate"/>
            </w:r>
            <w:r w:rsidR="00847314" w:rsidRPr="0092159E">
              <w:rPr>
                <w:rFonts w:ascii="Times New Roman" w:hAnsi="Times New Roman"/>
                <w:noProof/>
                <w:webHidden/>
              </w:rPr>
              <w:t>46</w:t>
            </w:r>
            <w:r w:rsidR="00847314" w:rsidRPr="0092159E">
              <w:rPr>
                <w:rFonts w:ascii="Times New Roman" w:hAnsi="Times New Roman"/>
                <w:noProof/>
                <w:webHidden/>
              </w:rPr>
              <w:fldChar w:fldCharType="end"/>
            </w:r>
          </w:hyperlink>
        </w:p>
        <w:p w14:paraId="13BB1775" w14:textId="1A9BF72F" w:rsidR="00847314" w:rsidRPr="0092159E" w:rsidRDefault="0030444F">
          <w:pPr>
            <w:pStyle w:val="TOC2"/>
            <w:tabs>
              <w:tab w:val="left" w:pos="960"/>
              <w:tab w:val="right" w:leader="dot" w:pos="9016"/>
            </w:tabs>
            <w:rPr>
              <w:rFonts w:ascii="Times New Roman" w:hAnsi="Times New Roman"/>
              <w:noProof/>
              <w:kern w:val="2"/>
              <w:sz w:val="24"/>
              <w:szCs w:val="24"/>
              <w:lang w:val="en-IE" w:eastAsia="en-IE"/>
              <w14:ligatures w14:val="standardContextual"/>
            </w:rPr>
          </w:pPr>
          <w:hyperlink w:anchor="_Toc189482450" w:history="1">
            <w:r w:rsidR="00847314" w:rsidRPr="0092159E">
              <w:rPr>
                <w:rStyle w:val="Hyperlink"/>
                <w:rFonts w:ascii="Times New Roman" w:hAnsi="Times New Roman"/>
                <w:noProof/>
              </w:rPr>
              <w:t>11.5.</w:t>
            </w:r>
            <w:r w:rsidR="00847314" w:rsidRPr="0092159E">
              <w:rPr>
                <w:rFonts w:ascii="Times New Roman" w:hAnsi="Times New Roman"/>
                <w:noProof/>
                <w:kern w:val="2"/>
                <w:sz w:val="24"/>
                <w:szCs w:val="24"/>
                <w:lang w:val="en-IE" w:eastAsia="en-IE"/>
                <w14:ligatures w14:val="standardContextual"/>
              </w:rPr>
              <w:tab/>
            </w:r>
            <w:r w:rsidR="00847314" w:rsidRPr="0092159E">
              <w:rPr>
                <w:rStyle w:val="Hyperlink"/>
                <w:rFonts w:ascii="Times New Roman" w:hAnsi="Times New Roman"/>
                <w:noProof/>
              </w:rPr>
              <w:t>Conformitatea cu EU ETS</w:t>
            </w:r>
            <w:r w:rsidR="00847314" w:rsidRPr="0092159E">
              <w:rPr>
                <w:rFonts w:ascii="Times New Roman" w:hAnsi="Times New Roman"/>
                <w:noProof/>
                <w:webHidden/>
              </w:rPr>
              <w:tab/>
            </w:r>
            <w:r w:rsidR="00847314" w:rsidRPr="0092159E">
              <w:rPr>
                <w:rFonts w:ascii="Times New Roman" w:hAnsi="Times New Roman"/>
                <w:noProof/>
                <w:webHidden/>
              </w:rPr>
              <w:fldChar w:fldCharType="begin"/>
            </w:r>
            <w:r w:rsidR="00847314" w:rsidRPr="0092159E">
              <w:rPr>
                <w:rFonts w:ascii="Times New Roman" w:hAnsi="Times New Roman"/>
                <w:noProof/>
                <w:webHidden/>
              </w:rPr>
              <w:instrText xml:space="preserve"> PAGEREF _Toc189482450 \h </w:instrText>
            </w:r>
            <w:r w:rsidR="00847314" w:rsidRPr="0092159E">
              <w:rPr>
                <w:rFonts w:ascii="Times New Roman" w:hAnsi="Times New Roman"/>
                <w:noProof/>
                <w:webHidden/>
              </w:rPr>
            </w:r>
            <w:r w:rsidR="00847314" w:rsidRPr="0092159E">
              <w:rPr>
                <w:rFonts w:ascii="Times New Roman" w:hAnsi="Times New Roman"/>
                <w:noProof/>
                <w:webHidden/>
              </w:rPr>
              <w:fldChar w:fldCharType="separate"/>
            </w:r>
            <w:r w:rsidR="00847314" w:rsidRPr="0092159E">
              <w:rPr>
                <w:rFonts w:ascii="Times New Roman" w:hAnsi="Times New Roman"/>
                <w:noProof/>
                <w:webHidden/>
              </w:rPr>
              <w:t>46</w:t>
            </w:r>
            <w:r w:rsidR="00847314" w:rsidRPr="0092159E">
              <w:rPr>
                <w:rFonts w:ascii="Times New Roman" w:hAnsi="Times New Roman"/>
                <w:noProof/>
                <w:webHidden/>
              </w:rPr>
              <w:fldChar w:fldCharType="end"/>
            </w:r>
          </w:hyperlink>
        </w:p>
        <w:p w14:paraId="0B7F9064" w14:textId="1EBB72CD" w:rsidR="00847314" w:rsidRPr="0092159E" w:rsidRDefault="0030444F">
          <w:pPr>
            <w:pStyle w:val="TOC1"/>
            <w:tabs>
              <w:tab w:val="left" w:pos="720"/>
              <w:tab w:val="right" w:leader="dot" w:pos="9016"/>
            </w:tabs>
            <w:rPr>
              <w:rFonts w:ascii="Times New Roman" w:eastAsiaTheme="minorEastAsia" w:hAnsi="Times New Roman" w:cs="Times New Roman"/>
              <w:noProof/>
              <w:sz w:val="24"/>
              <w:szCs w:val="24"/>
              <w:lang w:val="en-IE" w:eastAsia="en-IE"/>
            </w:rPr>
          </w:pPr>
          <w:hyperlink w:anchor="_Toc189482451" w:history="1">
            <w:r w:rsidR="00847314" w:rsidRPr="0092159E">
              <w:rPr>
                <w:rStyle w:val="Hyperlink"/>
                <w:rFonts w:ascii="Times New Roman" w:hAnsi="Times New Roman" w:cs="Times New Roman"/>
                <w:noProof/>
              </w:rPr>
              <w:t>12.</w:t>
            </w:r>
            <w:r w:rsidR="00847314" w:rsidRPr="0092159E">
              <w:rPr>
                <w:rFonts w:ascii="Times New Roman" w:eastAsiaTheme="minorEastAsia" w:hAnsi="Times New Roman" w:cs="Times New Roman"/>
                <w:noProof/>
                <w:sz w:val="24"/>
                <w:szCs w:val="24"/>
                <w:lang w:val="en-IE" w:eastAsia="en-IE"/>
              </w:rPr>
              <w:tab/>
            </w:r>
            <w:r w:rsidR="00847314" w:rsidRPr="0092159E">
              <w:rPr>
                <w:rStyle w:val="Hyperlink"/>
                <w:rFonts w:ascii="Times New Roman" w:hAnsi="Times New Roman" w:cs="Times New Roman"/>
                <w:noProof/>
              </w:rPr>
              <w:t>EU ETS în contextul guvernanței UE în domeniul climei și al energiei</w:t>
            </w:r>
            <w:r w:rsidR="00847314" w:rsidRPr="0092159E">
              <w:rPr>
                <w:rFonts w:ascii="Times New Roman" w:hAnsi="Times New Roman" w:cs="Times New Roman"/>
                <w:noProof/>
                <w:webHidden/>
              </w:rPr>
              <w:tab/>
            </w:r>
            <w:r w:rsidR="00847314" w:rsidRPr="0092159E">
              <w:rPr>
                <w:rFonts w:ascii="Times New Roman" w:hAnsi="Times New Roman" w:cs="Times New Roman"/>
                <w:noProof/>
                <w:webHidden/>
              </w:rPr>
              <w:fldChar w:fldCharType="begin"/>
            </w:r>
            <w:r w:rsidR="00847314" w:rsidRPr="0092159E">
              <w:rPr>
                <w:rFonts w:ascii="Times New Roman" w:hAnsi="Times New Roman" w:cs="Times New Roman"/>
                <w:noProof/>
                <w:webHidden/>
              </w:rPr>
              <w:instrText xml:space="preserve"> PAGEREF _Toc189482451 \h </w:instrText>
            </w:r>
            <w:r w:rsidR="00847314" w:rsidRPr="0092159E">
              <w:rPr>
                <w:rFonts w:ascii="Times New Roman" w:hAnsi="Times New Roman" w:cs="Times New Roman"/>
                <w:noProof/>
                <w:webHidden/>
              </w:rPr>
            </w:r>
            <w:r w:rsidR="00847314" w:rsidRPr="0092159E">
              <w:rPr>
                <w:rFonts w:ascii="Times New Roman" w:hAnsi="Times New Roman" w:cs="Times New Roman"/>
                <w:noProof/>
                <w:webHidden/>
              </w:rPr>
              <w:fldChar w:fldCharType="separate"/>
            </w:r>
            <w:r w:rsidR="00847314" w:rsidRPr="0092159E">
              <w:rPr>
                <w:rFonts w:ascii="Times New Roman" w:hAnsi="Times New Roman" w:cs="Times New Roman"/>
                <w:noProof/>
                <w:webHidden/>
              </w:rPr>
              <w:t>49</w:t>
            </w:r>
            <w:r w:rsidR="00847314" w:rsidRPr="0092159E">
              <w:rPr>
                <w:rFonts w:ascii="Times New Roman" w:hAnsi="Times New Roman" w:cs="Times New Roman"/>
                <w:noProof/>
                <w:webHidden/>
              </w:rPr>
              <w:fldChar w:fldCharType="end"/>
            </w:r>
          </w:hyperlink>
        </w:p>
        <w:p w14:paraId="37D2F83D" w14:textId="32DECB97" w:rsidR="00847314" w:rsidRPr="0092159E" w:rsidRDefault="0030444F">
          <w:pPr>
            <w:pStyle w:val="TOC1"/>
            <w:tabs>
              <w:tab w:val="left" w:pos="720"/>
              <w:tab w:val="right" w:leader="dot" w:pos="9016"/>
            </w:tabs>
            <w:rPr>
              <w:rFonts w:ascii="Times New Roman" w:eastAsiaTheme="minorEastAsia" w:hAnsi="Times New Roman" w:cs="Times New Roman"/>
              <w:noProof/>
              <w:sz w:val="24"/>
              <w:szCs w:val="24"/>
              <w:lang w:val="en-IE" w:eastAsia="en-IE"/>
            </w:rPr>
          </w:pPr>
          <w:hyperlink w:anchor="_Toc189482452" w:history="1">
            <w:r w:rsidR="00847314" w:rsidRPr="0092159E">
              <w:rPr>
                <w:rStyle w:val="Hyperlink"/>
                <w:rFonts w:ascii="Times New Roman" w:hAnsi="Times New Roman" w:cs="Times New Roman"/>
                <w:noProof/>
              </w:rPr>
              <w:t>13.</w:t>
            </w:r>
            <w:r w:rsidR="00847314" w:rsidRPr="0092159E">
              <w:rPr>
                <w:rFonts w:ascii="Times New Roman" w:eastAsiaTheme="minorEastAsia" w:hAnsi="Times New Roman" w:cs="Times New Roman"/>
                <w:noProof/>
                <w:sz w:val="24"/>
                <w:szCs w:val="24"/>
                <w:lang w:val="en-IE" w:eastAsia="en-IE"/>
              </w:rPr>
              <w:tab/>
            </w:r>
            <w:r w:rsidR="00847314" w:rsidRPr="0092159E">
              <w:rPr>
                <w:rStyle w:val="Hyperlink"/>
                <w:rFonts w:ascii="Times New Roman" w:hAnsi="Times New Roman" w:cs="Times New Roman"/>
                <w:noProof/>
              </w:rPr>
              <w:t>Legătura dintre EU ETS și schema ETS a Elveției</w:t>
            </w:r>
            <w:r w:rsidR="00847314" w:rsidRPr="0092159E">
              <w:rPr>
                <w:rFonts w:ascii="Times New Roman" w:hAnsi="Times New Roman" w:cs="Times New Roman"/>
                <w:noProof/>
                <w:webHidden/>
              </w:rPr>
              <w:tab/>
            </w:r>
            <w:r w:rsidR="00847314" w:rsidRPr="0092159E">
              <w:rPr>
                <w:rFonts w:ascii="Times New Roman" w:hAnsi="Times New Roman" w:cs="Times New Roman"/>
                <w:noProof/>
                <w:webHidden/>
              </w:rPr>
              <w:fldChar w:fldCharType="begin"/>
            </w:r>
            <w:r w:rsidR="00847314" w:rsidRPr="0092159E">
              <w:rPr>
                <w:rFonts w:ascii="Times New Roman" w:hAnsi="Times New Roman" w:cs="Times New Roman"/>
                <w:noProof/>
                <w:webHidden/>
              </w:rPr>
              <w:instrText xml:space="preserve"> PAGEREF _Toc189482452 \h </w:instrText>
            </w:r>
            <w:r w:rsidR="00847314" w:rsidRPr="0092159E">
              <w:rPr>
                <w:rFonts w:ascii="Times New Roman" w:hAnsi="Times New Roman" w:cs="Times New Roman"/>
                <w:noProof/>
                <w:webHidden/>
              </w:rPr>
            </w:r>
            <w:r w:rsidR="00847314" w:rsidRPr="0092159E">
              <w:rPr>
                <w:rFonts w:ascii="Times New Roman" w:hAnsi="Times New Roman" w:cs="Times New Roman"/>
                <w:noProof/>
                <w:webHidden/>
              </w:rPr>
              <w:fldChar w:fldCharType="separate"/>
            </w:r>
            <w:r w:rsidR="00847314" w:rsidRPr="0092159E">
              <w:rPr>
                <w:rFonts w:ascii="Times New Roman" w:hAnsi="Times New Roman" w:cs="Times New Roman"/>
                <w:noProof/>
                <w:webHidden/>
              </w:rPr>
              <w:t>49</w:t>
            </w:r>
            <w:r w:rsidR="00847314" w:rsidRPr="0092159E">
              <w:rPr>
                <w:rFonts w:ascii="Times New Roman" w:hAnsi="Times New Roman" w:cs="Times New Roman"/>
                <w:noProof/>
                <w:webHidden/>
              </w:rPr>
              <w:fldChar w:fldCharType="end"/>
            </w:r>
          </w:hyperlink>
        </w:p>
        <w:p w14:paraId="338A0092" w14:textId="60847231" w:rsidR="00847314" w:rsidRPr="0092159E" w:rsidRDefault="0030444F">
          <w:pPr>
            <w:pStyle w:val="TOC1"/>
            <w:tabs>
              <w:tab w:val="left" w:pos="720"/>
              <w:tab w:val="right" w:leader="dot" w:pos="9016"/>
            </w:tabs>
            <w:rPr>
              <w:rFonts w:ascii="Times New Roman" w:eastAsiaTheme="minorEastAsia" w:hAnsi="Times New Roman" w:cs="Times New Roman"/>
              <w:noProof/>
              <w:sz w:val="24"/>
              <w:szCs w:val="24"/>
              <w:lang w:val="en-IE" w:eastAsia="en-IE"/>
            </w:rPr>
          </w:pPr>
          <w:hyperlink w:anchor="_Toc189482453" w:history="1">
            <w:r w:rsidR="00847314" w:rsidRPr="0092159E">
              <w:rPr>
                <w:rStyle w:val="Hyperlink"/>
                <w:rFonts w:ascii="Times New Roman" w:hAnsi="Times New Roman" w:cs="Times New Roman"/>
                <w:noProof/>
              </w:rPr>
              <w:t>14.</w:t>
            </w:r>
            <w:r w:rsidR="00847314" w:rsidRPr="0092159E">
              <w:rPr>
                <w:rFonts w:ascii="Times New Roman" w:eastAsiaTheme="minorEastAsia" w:hAnsi="Times New Roman" w:cs="Times New Roman"/>
                <w:noProof/>
                <w:sz w:val="24"/>
                <w:szCs w:val="24"/>
                <w:lang w:val="en-IE" w:eastAsia="en-IE"/>
              </w:rPr>
              <w:tab/>
            </w:r>
            <w:r w:rsidR="00847314" w:rsidRPr="0092159E">
              <w:rPr>
                <w:rStyle w:val="Hyperlink"/>
                <w:rFonts w:ascii="Times New Roman" w:hAnsi="Times New Roman" w:cs="Times New Roman"/>
                <w:noProof/>
              </w:rPr>
              <w:t>Rezumat</w:t>
            </w:r>
            <w:r w:rsidR="00847314" w:rsidRPr="0092159E">
              <w:rPr>
                <w:rFonts w:ascii="Times New Roman" w:hAnsi="Times New Roman" w:cs="Times New Roman"/>
                <w:noProof/>
                <w:webHidden/>
              </w:rPr>
              <w:tab/>
            </w:r>
            <w:r w:rsidR="00847314" w:rsidRPr="0092159E">
              <w:rPr>
                <w:rFonts w:ascii="Times New Roman" w:hAnsi="Times New Roman" w:cs="Times New Roman"/>
                <w:noProof/>
                <w:webHidden/>
              </w:rPr>
              <w:fldChar w:fldCharType="begin"/>
            </w:r>
            <w:r w:rsidR="00847314" w:rsidRPr="0092159E">
              <w:rPr>
                <w:rFonts w:ascii="Times New Roman" w:hAnsi="Times New Roman" w:cs="Times New Roman"/>
                <w:noProof/>
                <w:webHidden/>
              </w:rPr>
              <w:instrText xml:space="preserve"> PAGEREF _Toc189482453 \h </w:instrText>
            </w:r>
            <w:r w:rsidR="00847314" w:rsidRPr="0092159E">
              <w:rPr>
                <w:rFonts w:ascii="Times New Roman" w:hAnsi="Times New Roman" w:cs="Times New Roman"/>
                <w:noProof/>
                <w:webHidden/>
              </w:rPr>
            </w:r>
            <w:r w:rsidR="00847314" w:rsidRPr="0092159E">
              <w:rPr>
                <w:rFonts w:ascii="Times New Roman" w:hAnsi="Times New Roman" w:cs="Times New Roman"/>
                <w:noProof/>
                <w:webHidden/>
              </w:rPr>
              <w:fldChar w:fldCharType="separate"/>
            </w:r>
            <w:r w:rsidR="00847314" w:rsidRPr="0092159E">
              <w:rPr>
                <w:rFonts w:ascii="Times New Roman" w:hAnsi="Times New Roman" w:cs="Times New Roman"/>
                <w:noProof/>
                <w:webHidden/>
              </w:rPr>
              <w:t>54</w:t>
            </w:r>
            <w:r w:rsidR="00847314" w:rsidRPr="0092159E">
              <w:rPr>
                <w:rFonts w:ascii="Times New Roman" w:hAnsi="Times New Roman" w:cs="Times New Roman"/>
                <w:noProof/>
                <w:webHidden/>
              </w:rPr>
              <w:fldChar w:fldCharType="end"/>
            </w:r>
          </w:hyperlink>
        </w:p>
        <w:p w14:paraId="388A6647" w14:textId="5044B4A9" w:rsidR="00A131E8" w:rsidRPr="002A150B" w:rsidRDefault="00A131E8">
          <w:pPr>
            <w:rPr>
              <w:rFonts w:ascii="Times New Roman" w:hAnsi="Times New Roman" w:cs="Times New Roman"/>
              <w:noProof/>
            </w:rPr>
          </w:pPr>
          <w:r w:rsidRPr="0092159E">
            <w:rPr>
              <w:rFonts w:ascii="Times New Roman" w:hAnsi="Times New Roman" w:cs="Times New Roman"/>
              <w:b/>
              <w:noProof/>
            </w:rPr>
            <w:fldChar w:fldCharType="end"/>
          </w:r>
        </w:p>
      </w:sdtContent>
    </w:sdt>
    <w:p w14:paraId="1314E31D" w14:textId="5524A3A4" w:rsidR="001A7A22" w:rsidRPr="002A150B" w:rsidRDefault="001A7A22">
      <w:pPr>
        <w:rPr>
          <w:rFonts w:ascii="Times New Roman" w:hAnsi="Times New Roman" w:cs="Times New Roman"/>
          <w:noProof/>
        </w:rPr>
      </w:pPr>
      <w:r w:rsidRPr="002A150B">
        <w:rPr>
          <w:noProof/>
        </w:rPr>
        <w:br w:type="page"/>
      </w:r>
    </w:p>
    <w:p w14:paraId="4582D281" w14:textId="05546E37" w:rsidR="00613B80" w:rsidRPr="002A150B" w:rsidRDefault="00613B80" w:rsidP="00503450">
      <w:pPr>
        <w:pStyle w:val="CMR-Heading"/>
        <w:rPr>
          <w:noProof/>
        </w:rPr>
      </w:pPr>
      <w:bookmarkStart w:id="2" w:name="_Toc180513389"/>
      <w:bookmarkStart w:id="3" w:name="_Toc189482423"/>
      <w:r w:rsidRPr="002A150B">
        <w:rPr>
          <w:noProof/>
        </w:rPr>
        <w:t>Introducere</w:t>
      </w:r>
      <w:bookmarkEnd w:id="2"/>
      <w:bookmarkEnd w:id="3"/>
      <w:r w:rsidRPr="002A150B">
        <w:rPr>
          <w:noProof/>
        </w:rPr>
        <w:t xml:space="preserve"> </w:t>
      </w:r>
    </w:p>
    <w:p w14:paraId="40C9B8AC" w14:textId="382C7570" w:rsidR="00EE63A3" w:rsidRPr="002A150B" w:rsidRDefault="00317318" w:rsidP="00317318">
      <w:pPr>
        <w:pStyle w:val="CMR-text"/>
        <w:rPr>
          <w:rFonts w:cs="Times New Roman"/>
          <w:noProof/>
        </w:rPr>
      </w:pPr>
      <w:r w:rsidRPr="002A150B">
        <w:rPr>
          <w:noProof/>
        </w:rPr>
        <w:t xml:space="preserve">Schema Uniunii Europene de comercializare a certificatelor de emisii (EU ETS) este o piatră de temelie a politicii sale în domeniul climei, menită să reducă emisiile într-un mod eficient din punctul de vedere al costurilor. Aceasta stabilește un plafon și un preț pentru emisiile generate de sectoarele energetic, industrial, al transportului maritim și al aviației din Europa, care reprezintă aproximativ 40 % din totalul emisiilor UE. </w:t>
      </w:r>
    </w:p>
    <w:p w14:paraId="3D8683E0" w14:textId="353C66E2" w:rsidR="00317318" w:rsidRPr="002A150B" w:rsidRDefault="00242B13" w:rsidP="00317318">
      <w:pPr>
        <w:pStyle w:val="CMR-text"/>
        <w:rPr>
          <w:rFonts w:cs="Times New Roman"/>
          <w:noProof/>
        </w:rPr>
      </w:pPr>
      <w:r w:rsidRPr="002A150B">
        <w:rPr>
          <w:noProof/>
        </w:rPr>
        <w:t>Plafonul asigură scăderea emisiilor în timp, iar prețul carbonului, determinat de piață, motivează întreprinderile să reducă emisiile în cazul în care acest lucru este mai rentabil. Prețul carbonului determină și veniturile generate de EU ETS pentru investiții în acțiuni climatice și în transformarea energetică.</w:t>
      </w:r>
    </w:p>
    <w:p w14:paraId="1D72433C" w14:textId="3E213ED8" w:rsidR="00DA6FBA" w:rsidRPr="002A150B" w:rsidRDefault="00317318" w:rsidP="00317318">
      <w:pPr>
        <w:pStyle w:val="CMR-text"/>
        <w:rPr>
          <w:rFonts w:cs="Times New Roman"/>
          <w:noProof/>
          <w:szCs w:val="24"/>
        </w:rPr>
      </w:pPr>
      <w:r w:rsidRPr="002A150B">
        <w:rPr>
          <w:noProof/>
        </w:rPr>
        <w:t>De la lansarea sa în 2005, EU ETS a contribuit la scăderea cu 47 % a emisiilor generate de producția de energie electrică și termică și de producția industrială</w:t>
      </w:r>
      <w:r w:rsidRPr="002A150B">
        <w:rPr>
          <w:rStyle w:val="FootnoteReference"/>
          <w:rFonts w:cs="Times New Roman"/>
          <w:noProof/>
          <w:szCs w:val="24"/>
        </w:rPr>
        <w:footnoteReference w:id="2"/>
      </w:r>
      <w:r w:rsidRPr="002A150B">
        <w:rPr>
          <w:noProof/>
        </w:rPr>
        <w:t xml:space="preserve">, generând în același timp venituri obținute în urma licitării certificatelor de emisii în valoare de peste 200 de miliarde EUR. </w:t>
      </w:r>
    </w:p>
    <w:p w14:paraId="7A54F9C9" w14:textId="7BB7184B" w:rsidR="0096234E" w:rsidRPr="002A150B" w:rsidRDefault="0093362E" w:rsidP="00317318">
      <w:pPr>
        <w:pStyle w:val="CMR-text"/>
        <w:rPr>
          <w:rFonts w:cs="Times New Roman"/>
          <w:noProof/>
          <w:szCs w:val="24"/>
        </w:rPr>
      </w:pPr>
      <w:r w:rsidRPr="002A150B">
        <w:rPr>
          <w:noProof/>
        </w:rPr>
        <w:t xml:space="preserve">În 2023, emisiile din aceste sectoare au înregistrat cea mai mare scădere anuală de până în prezent, și anume 16,5 % față de 2022, determinată în mare parte de implementarea accelerată a surselor regenerabile de energie în sectorul energetic, facilitată de un semnal puternic și susținut privind prețul carbonului. </w:t>
      </w:r>
    </w:p>
    <w:p w14:paraId="2BB45073" w14:textId="24BEE61C" w:rsidR="00C34E83" w:rsidRPr="002A150B" w:rsidRDefault="00B038BF" w:rsidP="00317318">
      <w:pPr>
        <w:pStyle w:val="CMR-text"/>
        <w:rPr>
          <w:rFonts w:cs="Times New Roman"/>
          <w:noProof/>
          <w:szCs w:val="24"/>
        </w:rPr>
      </w:pPr>
      <w:r w:rsidRPr="002A150B">
        <w:rPr>
          <w:noProof/>
        </w:rPr>
        <w:t>Veniturile generate de EU ETS în 2023, care au totalizat aproape 44 de miliarde EUR, au fost direcționate în principal către bugetele statelor membre, dar și către fondurile pentru inovare și modernizare, precum și către bugetul Mecanismului de redresare și reziliență în vederea realizării planului REPowerEU</w:t>
      </w:r>
      <w:r w:rsidR="00C51F0B" w:rsidRPr="002A150B">
        <w:rPr>
          <w:rStyle w:val="FootnoteReference"/>
          <w:rFonts w:cs="Times New Roman"/>
          <w:noProof/>
          <w:szCs w:val="24"/>
        </w:rPr>
        <w:footnoteReference w:id="3"/>
      </w:r>
      <w:r w:rsidRPr="002A150B">
        <w:rPr>
          <w:noProof/>
        </w:rPr>
        <w:t xml:space="preserve">. </w:t>
      </w:r>
    </w:p>
    <w:p w14:paraId="125DA275" w14:textId="3485CFE0" w:rsidR="00447C9A" w:rsidRPr="002A150B" w:rsidRDefault="002542DB" w:rsidP="4FAA0369">
      <w:pPr>
        <w:pStyle w:val="CMR-text"/>
        <w:rPr>
          <w:rFonts w:cs="Times New Roman"/>
          <w:noProof/>
        </w:rPr>
      </w:pPr>
      <w:r w:rsidRPr="002A150B">
        <w:rPr>
          <w:noProof/>
        </w:rPr>
        <w:t>Sunt însă necesare eforturi suplimentare atât pentru a reduce emisiile, cât și pentru a transforma economia UE în conformitate cu țintele stabilite în Regulamentul de instituire a cadrului pentru realizarea neutralității climatice</w:t>
      </w:r>
      <w:r w:rsidR="00BE77FC" w:rsidRPr="002A150B">
        <w:rPr>
          <w:rStyle w:val="FootnoteReference"/>
          <w:rFonts w:cs="Times New Roman"/>
          <w:noProof/>
        </w:rPr>
        <w:footnoteReference w:id="4"/>
      </w:r>
      <w:r w:rsidRPr="002A150B">
        <w:rPr>
          <w:noProof/>
        </w:rPr>
        <w:t xml:space="preserve"> și cu obiectivele Pactului verde european. Înscriindu-se pe calea către neutralitatea climatică până în 2050, UE s-a angajat să reducă emisiile cu cel puțin 55 % până în 2030, comparativ cu nivelurile din 1990. În acest scop, EU ETS a fost revizuită în 2023 ca parte a pachetului de reforme „Pregătiți pentru 55”. Revizuirea este în prezent pe deplin în vigoare, iar Comisia și statele membre lucrează la punerea sa în aplicare. </w:t>
      </w:r>
    </w:p>
    <w:p w14:paraId="349FBEA0" w14:textId="67108B9A" w:rsidR="00464461" w:rsidRPr="002A150B" w:rsidRDefault="00447C9A" w:rsidP="00447C9A">
      <w:pPr>
        <w:pStyle w:val="CMR-text"/>
        <w:rPr>
          <w:rStyle w:val="CMR-textChar"/>
          <w:rFonts w:cs="Times New Roman"/>
          <w:noProof/>
          <w:szCs w:val="24"/>
        </w:rPr>
      </w:pPr>
      <w:r w:rsidRPr="002A150B">
        <w:rPr>
          <w:rStyle w:val="CMR-textChar"/>
          <w:noProof/>
        </w:rPr>
        <w:t xml:space="preserve">Prezentul raport face bilanțul funcționării EU ETS în 2023 și în prima jumătate a anului 2024, incluzând implementarea revizuirii din 2023. Raportul recapitulează activitatea legislativă a Comisiei, oferă o imagine de ansamblu actualizată a principalelor elemente care constituie cadrul schemei și compilează evoluții anuale, cum ar fi evoluția emisiilor și a veniturilor obținute din licitarea certificatelor. </w:t>
      </w:r>
    </w:p>
    <w:p w14:paraId="7837D000" w14:textId="12181EEF" w:rsidR="00ED6707" w:rsidRPr="002A150B" w:rsidRDefault="00447C9A" w:rsidP="00447C9A">
      <w:pPr>
        <w:pStyle w:val="CMR-text"/>
        <w:rPr>
          <w:rStyle w:val="CMR-textChar"/>
          <w:rFonts w:cs="Times New Roman"/>
          <w:noProof/>
          <w:szCs w:val="24"/>
        </w:rPr>
      </w:pPr>
      <w:r w:rsidRPr="002A150B">
        <w:rPr>
          <w:rStyle w:val="CMR-textChar"/>
          <w:noProof/>
        </w:rPr>
        <w:t>Raportul este adoptat în conformitate cu articolul 10 alineatul (5) și cu articolul 21 alineatul (2) din Directiva EU ETS (Directiva 2003/87/CE)</w:t>
      </w:r>
      <w:r w:rsidRPr="002A150B">
        <w:rPr>
          <w:rStyle w:val="CMR-textChar"/>
          <w:rFonts w:cs="Times New Roman"/>
          <w:noProof/>
          <w:szCs w:val="24"/>
          <w:vertAlign w:val="superscript"/>
        </w:rPr>
        <w:footnoteReference w:id="5"/>
      </w:r>
      <w:r w:rsidRPr="002A150B">
        <w:rPr>
          <w:rStyle w:val="CMR-textChar"/>
          <w:noProof/>
        </w:rPr>
        <w:t xml:space="preserve">. El se bazează în principal pe datele din registrul Uniunii, pe Registrul de tranzacții al UE (EUTL) și pe rapoartele statelor membre. </w:t>
      </w:r>
    </w:p>
    <w:p w14:paraId="46532982" w14:textId="7C322ABA" w:rsidR="00447C9A" w:rsidRPr="002A150B" w:rsidRDefault="009B0766" w:rsidP="00447C9A">
      <w:pPr>
        <w:pStyle w:val="CMR-text"/>
        <w:rPr>
          <w:rStyle w:val="CMR-textChar"/>
          <w:rFonts w:cs="Times New Roman"/>
          <w:noProof/>
          <w:szCs w:val="24"/>
        </w:rPr>
      </w:pPr>
      <w:r w:rsidRPr="002A150B">
        <w:rPr>
          <w:rStyle w:val="CMR-textChar"/>
          <w:noProof/>
        </w:rPr>
        <w:t>Raportul este însoțit de un document de lucru al serviciilor Comisiei (Informații tehnice).</w:t>
      </w:r>
    </w:p>
    <w:p w14:paraId="46D2769B" w14:textId="2979C2F3" w:rsidR="00613B80" w:rsidRPr="002A150B" w:rsidRDefault="00FB43F0" w:rsidP="00503450">
      <w:pPr>
        <w:pStyle w:val="CMR-Heading"/>
        <w:rPr>
          <w:noProof/>
        </w:rPr>
      </w:pPr>
      <w:bookmarkStart w:id="6" w:name="_Toc180513390"/>
      <w:bookmarkStart w:id="7" w:name="_Toc189482424"/>
      <w:bookmarkStart w:id="8" w:name="bookmark57"/>
      <w:r w:rsidRPr="002A150B">
        <w:rPr>
          <w:noProof/>
        </w:rPr>
        <w:t>Situația actuală privind EU ETS</w:t>
      </w:r>
      <w:bookmarkEnd w:id="6"/>
      <w:bookmarkEnd w:id="7"/>
    </w:p>
    <w:p w14:paraId="7DC0390C" w14:textId="58FA068A" w:rsidR="009268E7" w:rsidRPr="002A150B" w:rsidRDefault="009268E7" w:rsidP="0051688B">
      <w:pPr>
        <w:pStyle w:val="CMR-Subheading"/>
        <w:rPr>
          <w:noProof/>
        </w:rPr>
      </w:pPr>
      <w:bookmarkStart w:id="9" w:name="_Toc180513391"/>
      <w:bookmarkStart w:id="10" w:name="_Toc189482425"/>
      <w:bookmarkEnd w:id="8"/>
      <w:r w:rsidRPr="002A150B">
        <w:rPr>
          <w:noProof/>
        </w:rPr>
        <w:t>Domeniu și sferă de aplicare</w:t>
      </w:r>
      <w:bookmarkEnd w:id="9"/>
      <w:bookmarkEnd w:id="10"/>
    </w:p>
    <w:p w14:paraId="45F415F4" w14:textId="1E505B4A" w:rsidR="00F65AD8" w:rsidRPr="002A150B" w:rsidRDefault="00825622" w:rsidP="00F65AD8">
      <w:pPr>
        <w:spacing w:before="120" w:after="120" w:line="276" w:lineRule="auto"/>
        <w:jc w:val="both"/>
        <w:rPr>
          <w:rFonts w:ascii="Times New Roman" w:hAnsi="Times New Roman" w:cs="Times New Roman"/>
          <w:noProof/>
          <w:kern w:val="0"/>
          <w:sz w:val="24"/>
          <w:szCs w:val="24"/>
          <w14:ligatures w14:val="none"/>
        </w:rPr>
      </w:pPr>
      <w:r w:rsidRPr="002A150B">
        <w:rPr>
          <w:rFonts w:ascii="Times New Roman" w:hAnsi="Times New Roman"/>
          <w:noProof/>
          <w:sz w:val="24"/>
        </w:rPr>
        <w:t>EU ETS se aplică în toate cele 27 de state membre ale UE plus Islanda, Liechtenstein și Norvegia, vizând totodată și centralele de producere a energiei electrice din Irlanda de Nord</w:t>
      </w:r>
      <w:r w:rsidR="00F65AD8" w:rsidRPr="002A150B">
        <w:rPr>
          <w:rFonts w:ascii="Times New Roman" w:hAnsi="Times New Roman" w:cs="Times New Roman"/>
          <w:noProof/>
          <w:kern w:val="0"/>
          <w:sz w:val="24"/>
          <w:szCs w:val="24"/>
          <w:vertAlign w:val="superscript"/>
        </w:rPr>
        <w:footnoteReference w:id="6"/>
      </w:r>
      <w:r w:rsidRPr="002A150B">
        <w:rPr>
          <w:rFonts w:ascii="Times New Roman" w:hAnsi="Times New Roman"/>
          <w:noProof/>
          <w:sz w:val="24"/>
        </w:rPr>
        <w:t xml:space="preserve">. De asemenea, începând din ianuarie 2020 schema EU ETS este legată de schema Elveției de comercializare a certificatelor de emisii (schema ETS a Elveției). </w:t>
      </w:r>
    </w:p>
    <w:p w14:paraId="0CA44E78" w14:textId="268BCF77" w:rsidR="006A61DC" w:rsidRPr="002A150B" w:rsidRDefault="00925ABB" w:rsidP="0051688B">
      <w:pPr>
        <w:pStyle w:val="CMR-text"/>
        <w:rPr>
          <w:rFonts w:cs="Times New Roman"/>
          <w:noProof/>
        </w:rPr>
      </w:pPr>
      <w:r w:rsidRPr="002A150B">
        <w:rPr>
          <w:noProof/>
        </w:rPr>
        <w:t xml:space="preserve">Până în 2023, domeniul de aplicare al EU ETS cuprindea emisiile provenite de la centralele de producere a energiei electrice și termice și de la instalațiile de producție din Europa, precum și de la operatorii de aeronave care efectuau zboruri între aeroporturile din Spațiul Economic European (SEE) și din SEE către Elveția și Regatul Unit. </w:t>
      </w:r>
    </w:p>
    <w:p w14:paraId="6B9F486C" w14:textId="1AC31541" w:rsidR="00315ABD" w:rsidRPr="002A150B" w:rsidRDefault="0096477A" w:rsidP="0051688B">
      <w:pPr>
        <w:pStyle w:val="CMR-text"/>
        <w:rPr>
          <w:rFonts w:cs="Times New Roman"/>
          <w:noProof/>
        </w:rPr>
      </w:pPr>
      <w:r w:rsidRPr="002A150B">
        <w:rPr>
          <w:noProof/>
        </w:rPr>
        <w:t>Începând cu 1 ianuarie 2024, în EU ETS a fost inclusă și cota echitabilă de emisii de CO</w:t>
      </w:r>
      <w:r w:rsidRPr="002A150B">
        <w:rPr>
          <w:noProof/>
          <w:vertAlign w:val="subscript"/>
        </w:rPr>
        <w:t>2</w:t>
      </w:r>
      <w:r w:rsidRPr="002A150B">
        <w:rPr>
          <w:noProof/>
        </w:rPr>
        <w:t xml:space="preserve"> (dioxid de carbon) ale UE generate de transportul maritim (a se vedea capitolul 10). Extinderea EU ETS la transportul maritim vizează emisiile totale generate între două porturi din SEE și atunci când navele se află în porturile SEE și doar jumătate din emisiile generate de călătoriile care încep sau se încheie în afara SEE. </w:t>
      </w:r>
    </w:p>
    <w:p w14:paraId="2CBE0C8C" w14:textId="4AD50FC2" w:rsidR="00AD2625" w:rsidRPr="002A150B" w:rsidRDefault="003271ED" w:rsidP="003754EE">
      <w:pPr>
        <w:pStyle w:val="CMR-text"/>
        <w:rPr>
          <w:rFonts w:cs="Times New Roman"/>
          <w:noProof/>
          <w:szCs w:val="24"/>
        </w:rPr>
      </w:pPr>
      <w:r w:rsidRPr="002A150B">
        <w:rPr>
          <w:noProof/>
        </w:rPr>
        <w:t>Începând cu 1 ianuarie 2024, instalațiile de incinerare a deșeurilor municipale trebuie să își monitorizeze și să își raporteze emisiile în cadrul EU ETS. Ele nu sunt însă obligate să restituie certificate pentru emisiile lor. În 2026, Comisia va evalua fezabilitatea extinderii domeniului de aplicare al EU ETS la emisiile provenite din incinerarea deșeurilor municipale, precum și la emisiile provenite din alte procese de gestionare a deșeurilor, cum ar fi depozitarea acestora. Între timp, emisiile provenite din tratarea deșeurilor fac obiectul obiectivelor naționale de reducere în temeiul Regulamentului privind partajarea eforturilor [Regulamentul (UE) 2018/842]</w:t>
      </w:r>
      <w:r w:rsidR="00D00679" w:rsidRPr="002A150B">
        <w:rPr>
          <w:rStyle w:val="FootnoteReference"/>
          <w:noProof/>
        </w:rPr>
        <w:footnoteReference w:id="7"/>
      </w:r>
      <w:r w:rsidRPr="002A150B">
        <w:rPr>
          <w:noProof/>
        </w:rPr>
        <w:t>.</w:t>
      </w:r>
    </w:p>
    <w:p w14:paraId="59104185" w14:textId="7874FEF7" w:rsidR="003754EE" w:rsidRPr="002A150B" w:rsidRDefault="00F27D7B" w:rsidP="003754EE">
      <w:pPr>
        <w:pStyle w:val="CMR-text"/>
        <w:rPr>
          <w:rFonts w:cs="Times New Roman"/>
          <w:noProof/>
          <w:szCs w:val="24"/>
        </w:rPr>
      </w:pPr>
      <w:r w:rsidRPr="002A150B">
        <w:rPr>
          <w:noProof/>
        </w:rPr>
        <w:t>În secțiunea I din documentul de lucru însoțitor al serviciilor Comisiei se găsesc informații privind instalațiile și operatorii de aeronave din EU ETS (situația din 2023).</w:t>
      </w:r>
    </w:p>
    <w:p w14:paraId="08FD3A1E" w14:textId="77777777" w:rsidR="00D06A23" w:rsidRPr="002A150B" w:rsidRDefault="00D06A23" w:rsidP="003754EE">
      <w:pPr>
        <w:pStyle w:val="CMR-text"/>
        <w:rPr>
          <w:rFonts w:cs="Times New Roman"/>
          <w:noProof/>
          <w:szCs w:val="24"/>
        </w:rPr>
      </w:pPr>
    </w:p>
    <w:p w14:paraId="4452A33D" w14:textId="75564861" w:rsidR="00981812" w:rsidRPr="002A150B" w:rsidRDefault="00981812" w:rsidP="000F6449">
      <w:pPr>
        <w:pStyle w:val="CMR-Subheading"/>
        <w:rPr>
          <w:noProof/>
        </w:rPr>
      </w:pPr>
      <w:bookmarkStart w:id="11" w:name="_Toc180513392"/>
      <w:bookmarkStart w:id="12" w:name="_Toc189482426"/>
      <w:bookmarkStart w:id="13" w:name="bookmark58"/>
      <w:r w:rsidRPr="002A150B">
        <w:rPr>
          <w:noProof/>
        </w:rPr>
        <w:t>ETS2 – noua schemă de comercializare a certificatelor de emisii în sectorul clădirilor, al transportului rutier și în alte sectoare</w:t>
      </w:r>
      <w:bookmarkEnd w:id="11"/>
      <w:bookmarkEnd w:id="12"/>
    </w:p>
    <w:bookmarkEnd w:id="13"/>
    <w:p w14:paraId="314D35C0" w14:textId="4F9F0521" w:rsidR="00981812" w:rsidRPr="002A150B" w:rsidRDefault="008018D8" w:rsidP="008E613D">
      <w:pPr>
        <w:pStyle w:val="CMR-text"/>
        <w:rPr>
          <w:noProof/>
        </w:rPr>
      </w:pPr>
      <w:r w:rsidRPr="002A150B">
        <w:rPr>
          <w:noProof/>
        </w:rPr>
        <w:t xml:space="preserve">Ca parte a revizuirii din 2023 a Directivei EU ETS, a fost creată o nouă schemă separată de comercializare a certificatelor de emisii pentru emisiile generate de arderea combustibililor în sectorul clădirilor, al transportului rutier și în alte sectoare (ETS2). Deși va fi o schemă de „plafonare și comercializare”, la fel ca schema EU ETS existentă, ETS2 se va aplica emisiilor din amonte. Aceasta înseamnă că furnizorii de combustibilii vor trebui să monitorizeze și să raporteze cantitățile de combustibili pe care le eliberează pentru consum în sectoarele care intră în domeniul de aplicare al ETS2, precum și să cumpere și să restituie certificate pentru emisiile corespunzătoare. Entitățile care intră sub incidența ETS2 au obligația să dețină o autorizație de emisii de gaze cu efect de seră (GES) începând cu 1 ianuarie 2025, precum și un plan de monitorizare aprobat pentru monitorizarea și raportarea emisiilor lor anuale. Obligația de restituire a certificatelor va începe în 2027 (sau în 2028 în cazul unor prețuri extrem de ridicate la gaze sau petrol în 2026). </w:t>
      </w:r>
    </w:p>
    <w:p w14:paraId="6FFA1247" w14:textId="6E9DB342" w:rsidR="00E662C8" w:rsidRPr="002A150B" w:rsidRDefault="00981812" w:rsidP="00E662C8">
      <w:pPr>
        <w:pStyle w:val="CMR-text"/>
        <w:rPr>
          <w:noProof/>
        </w:rPr>
      </w:pPr>
      <w:r w:rsidRPr="002A150B">
        <w:rPr>
          <w:noProof/>
        </w:rPr>
        <w:t>Cerințele de monitorizare și raportare ale entităților reglementate de ETS2 au fost stabilite în detaliu în Regulamentul revizuit privind monitorizarea și raportarea [Regulamentul de punere în aplicare (UE) 2018/2066]</w:t>
      </w:r>
      <w:r w:rsidR="00952958" w:rsidRPr="002A150B">
        <w:rPr>
          <w:rStyle w:val="FootnoteReference"/>
          <w:noProof/>
        </w:rPr>
        <w:footnoteReference w:id="8"/>
      </w:r>
      <w:r w:rsidRPr="002A150B">
        <w:rPr>
          <w:noProof/>
        </w:rPr>
        <w:t>, adoptat la 17 octombrie 2023. Comisia a publicat și un document de orientare privind regulamentul revizuit</w:t>
      </w:r>
      <w:r w:rsidRPr="002A150B">
        <w:rPr>
          <w:rStyle w:val="FootnoteReference"/>
          <w:noProof/>
        </w:rPr>
        <w:footnoteReference w:id="9"/>
      </w:r>
      <w:r w:rsidRPr="002A150B">
        <w:rPr>
          <w:noProof/>
        </w:rPr>
        <w:t xml:space="preserve">. </w:t>
      </w:r>
    </w:p>
    <w:p w14:paraId="65544CC7" w14:textId="76D3CE2B" w:rsidR="00981812" w:rsidRPr="002A150B" w:rsidRDefault="00981812" w:rsidP="00EE697C">
      <w:pPr>
        <w:pStyle w:val="CMR-Subheading"/>
        <w:rPr>
          <w:noProof/>
        </w:rPr>
      </w:pPr>
      <w:bookmarkStart w:id="14" w:name="_Toc180513393"/>
      <w:bookmarkStart w:id="15" w:name="_Toc189482427"/>
      <w:r w:rsidRPr="002A150B">
        <w:rPr>
          <w:noProof/>
        </w:rPr>
        <w:t>Fondul social pentru climă</w:t>
      </w:r>
      <w:bookmarkEnd w:id="14"/>
      <w:bookmarkEnd w:id="15"/>
    </w:p>
    <w:p w14:paraId="6E1266B3" w14:textId="4269812D" w:rsidR="00981812" w:rsidRPr="002A150B" w:rsidRDefault="00981812" w:rsidP="00E662C8">
      <w:pPr>
        <w:pStyle w:val="CMR-text"/>
        <w:rPr>
          <w:noProof/>
        </w:rPr>
      </w:pPr>
      <w:r w:rsidRPr="002A150B">
        <w:rPr>
          <w:noProof/>
        </w:rPr>
        <w:t>Fondul social pentru climă (FSC) a fost creat împreună cu ETS2</w:t>
      </w:r>
      <w:r w:rsidR="00A54976" w:rsidRPr="002A150B">
        <w:rPr>
          <w:rStyle w:val="FootnoteReference"/>
          <w:noProof/>
        </w:rPr>
        <w:footnoteReference w:id="10"/>
      </w:r>
      <w:r w:rsidRPr="002A150B">
        <w:rPr>
          <w:noProof/>
        </w:rPr>
        <w:t xml:space="preserve"> pentru a oferi statelor membre finanțare destinată ajutorării grupurilor celor mai vulnerabile, cum ar fi gospodăriile afectate de sărăcia energetică sau de sărăcia din perspectiva transporturilor</w:t>
      </w:r>
      <w:r w:rsidRPr="002A150B">
        <w:rPr>
          <w:rStyle w:val="FootnoteReference"/>
          <w:noProof/>
        </w:rPr>
        <w:footnoteReference w:id="11"/>
      </w:r>
      <w:r w:rsidRPr="002A150B">
        <w:rPr>
          <w:noProof/>
        </w:rPr>
        <w:t xml:space="preserve">, în tranziția verde. Fondul va pune la dispoziție 65 de miliarde EUR în perioada 2026-2032, finanțate inițial din veniturile alocate extern provenite din vânzare prin licitație a certificatelor ETS2, precum și din vânzare prin licitație a 50 de milioane de certificate din schema EU ETS existentă. Acest buget va fi distribuit între statele membre în conformitate cu o cheie de repartizare. Statele membre vor cheltui resursele din FSC în conformitate cu planul social pentru climă al fiecăruia. Atunci când se include contribuția obligatorie de 25 % a statelor membre la planurile naționale, FSC ar trebui să mobilizeze cel puțin 86,7 miliarde EUR. </w:t>
      </w:r>
    </w:p>
    <w:p w14:paraId="40861ABB" w14:textId="5AB40FA9" w:rsidR="00062189" w:rsidRPr="002A150B" w:rsidRDefault="009821A9" w:rsidP="00062189">
      <w:pPr>
        <w:pStyle w:val="CMR-text"/>
        <w:rPr>
          <w:noProof/>
        </w:rPr>
      </w:pPr>
      <w:r w:rsidRPr="002A150B">
        <w:rPr>
          <w:noProof/>
        </w:rPr>
        <w:t>Toate statele membre ar trebui să își transmită planurile către Comisie până la 30 iunie 2025. Planurile ar trebui să includă o analiză a efectelor probabile ale ETS2 asupra grupurilor vulnerabile, iar în ceea ce privește atenuarea acestor efecte, ar trebui să stabilească măsuri structurale și investiții în eficiență energetică și în renovarea clădirilor, în soluții nepoluante de încălzire și răcire și în integrarea energiei din surse regenerabile, precum și în soluții de mobilitate cu emisii zero și cu emisii scăzute, inclusiv în transportul public. Statele membre vor avea și opțiunea de a cheltui o parte din bugetul lor FSC pentru a oferi sprijin direct pentru venit cu caracter temporar.</w:t>
      </w:r>
    </w:p>
    <w:p w14:paraId="3582FB6D" w14:textId="21C724C2" w:rsidR="00CB0D80" w:rsidRPr="002A150B" w:rsidRDefault="005C48E6" w:rsidP="0060292C">
      <w:pPr>
        <w:pStyle w:val="CMR-text"/>
        <w:rPr>
          <w:noProof/>
        </w:rPr>
      </w:pPr>
      <w:r w:rsidRPr="002A150B">
        <w:rPr>
          <w:noProof/>
        </w:rPr>
        <w:t>Comisia și statele membre iau măsurile adecvate pentru a pune în aplicare Fondul social pentru climă. Pentru a colabora mai eficient, Comisia a înființat o formațiune FSC în cadrul grupului de experți pentru politica privind schimbările climatice (CCEG-SCF). Prin intermediul CCEG-SCF, Comisia a lansat un schimb de bune practici privind măsurile și investițiile eficiente din punctul de vedere al costurilor care ar putea fi finanțate prin intermediul fondului, precum și privind consultarea publică referitoare la planuri. De asemenea, Comisia oferă sprijin direct unui număr de 10 state membre în elaborarea planurilor lor prin intermediul instrumentului de sprijin tehnic</w:t>
      </w:r>
      <w:r w:rsidR="00CB0D80" w:rsidRPr="002A150B">
        <w:rPr>
          <w:rStyle w:val="FootnoteReference"/>
          <w:noProof/>
        </w:rPr>
        <w:footnoteReference w:id="12"/>
      </w:r>
      <w:r w:rsidRPr="002A150B">
        <w:rPr>
          <w:noProof/>
        </w:rPr>
        <w:t xml:space="preserve">. </w:t>
      </w:r>
    </w:p>
    <w:p w14:paraId="641D3FCE" w14:textId="16907487" w:rsidR="004552A4" w:rsidRPr="002A150B" w:rsidRDefault="00CB0D80" w:rsidP="0060292C">
      <w:pPr>
        <w:pStyle w:val="CMR-text"/>
        <w:rPr>
          <w:noProof/>
        </w:rPr>
      </w:pPr>
      <w:r w:rsidRPr="002A150B">
        <w:rPr>
          <w:noProof/>
        </w:rPr>
        <w:t>În paralel, Comisia lucrează la elaborarea unui ghid privind modul de aplicare a principiului de „a nu aduce prejudicii semnificative” (DNSH) în cazul măsurilor și al investițiilor finanțate prin FSC. În conformitate cu principiul DNSH, pot fi sprijinite prin FSC numai măsurile și investițiile care nu aduc prejudicii semnificative niciunuia dintre obiectivele de mediu prevăzute la articolul 17 din Regulamentul privind taxonomia [Regulamentul (UE) 2020/852]</w:t>
      </w:r>
      <w:r w:rsidR="004505E3" w:rsidRPr="002A150B">
        <w:rPr>
          <w:rStyle w:val="FootnoteReference"/>
          <w:noProof/>
        </w:rPr>
        <w:footnoteReference w:id="13"/>
      </w:r>
      <w:r w:rsidRPr="002A150B">
        <w:rPr>
          <w:noProof/>
        </w:rPr>
        <w:t xml:space="preserve">. Aceste obiective sunt atenuarea schimbărilor climatice și adaptarea la acestea, utilizarea durabilă și protejarea resurselor de apă și a celor marine, economia circulară, prevenirea și controlul poluării și, respectiv, protecția și refacerea biodiversității și a ecosistemelor. </w:t>
      </w:r>
    </w:p>
    <w:p w14:paraId="52FADD42" w14:textId="430443C8" w:rsidR="00981812" w:rsidRPr="002A150B" w:rsidRDefault="0024582F" w:rsidP="0060292C">
      <w:pPr>
        <w:pStyle w:val="CMR-text"/>
        <w:rPr>
          <w:noProof/>
        </w:rPr>
      </w:pPr>
      <w:r w:rsidRPr="002A150B">
        <w:rPr>
          <w:noProof/>
        </w:rPr>
        <w:t>Proiectul de ghid privind DNSH a fost prezentat pentru o consultare publică de 2 luni, care s-a desfășurat în perioada iunie-august 2024</w:t>
      </w:r>
      <w:r w:rsidR="00C735D4" w:rsidRPr="002A150B">
        <w:rPr>
          <w:rStyle w:val="FootnoteReference"/>
          <w:noProof/>
        </w:rPr>
        <w:footnoteReference w:id="14"/>
      </w:r>
      <w:r w:rsidRPr="002A150B">
        <w:rPr>
          <w:noProof/>
        </w:rPr>
        <w:t>. Ghidul va fi adoptat și publicat de către noua Comisie împreună cu un document de orientare general privind FSC și planurile sociale pentru climă (Ghidul FSC). Între timp, Comisia răspunde întrebărilor legate de FSC adresate de statele membre.</w:t>
      </w:r>
    </w:p>
    <w:p w14:paraId="131CE6B0" w14:textId="30A07249" w:rsidR="00613B80" w:rsidRPr="002A150B" w:rsidRDefault="00613B80" w:rsidP="009035AD">
      <w:pPr>
        <w:pStyle w:val="CMR-Heading"/>
        <w:rPr>
          <w:noProof/>
        </w:rPr>
      </w:pPr>
      <w:bookmarkStart w:id="16" w:name="_Toc180513394"/>
      <w:bookmarkStart w:id="17" w:name="_Toc189482428"/>
      <w:r w:rsidRPr="002A150B">
        <w:rPr>
          <w:noProof/>
        </w:rPr>
        <w:t>Plafonul pentru emisii</w:t>
      </w:r>
      <w:bookmarkEnd w:id="16"/>
      <w:bookmarkEnd w:id="17"/>
    </w:p>
    <w:p w14:paraId="0D948825" w14:textId="63E802FC" w:rsidR="006E7BA3" w:rsidRPr="002A150B" w:rsidRDefault="00974DEC" w:rsidP="001856AF">
      <w:pPr>
        <w:pStyle w:val="CMR-text"/>
        <w:rPr>
          <w:noProof/>
        </w:rPr>
      </w:pPr>
      <w:r w:rsidRPr="002A150B">
        <w:rPr>
          <w:noProof/>
        </w:rPr>
        <w:t>Plafonul din EU ETS stabilește volumul maxim absolut de emisii pe care entitățile reglementate le pot emite într-o etapă de comercializare. Acesta corespunde numărului de certificate emise pentru perioada respectivă, fiecărui certificat corespunzându-i emisii egale cu o tonă de echivalent CO</w:t>
      </w:r>
      <w:r w:rsidRPr="002A150B">
        <w:rPr>
          <w:noProof/>
          <w:vertAlign w:val="subscript"/>
        </w:rPr>
        <w:t>2</w:t>
      </w:r>
      <w:r w:rsidRPr="002A150B">
        <w:rPr>
          <w:noProof/>
        </w:rPr>
        <w:t xml:space="preserve"> (dioxid de carbon). Plafonul coboară în fiecare an pentru a asigura îndeplinirea de către UE a obiectivului general de reducere a emisiilor. De asemenea, acest lucru conferă siguranță întreprinderilor vizate de EU ETS cu privire la penuria preconizată la nivelul ofertei de certificate. </w:t>
      </w:r>
    </w:p>
    <w:p w14:paraId="20391F1B" w14:textId="3F29A7C6" w:rsidR="00FE2381" w:rsidRPr="002A150B" w:rsidRDefault="00281708" w:rsidP="00FE2381">
      <w:pPr>
        <w:pStyle w:val="CMR-text"/>
        <w:rPr>
          <w:noProof/>
        </w:rPr>
      </w:pPr>
      <w:r w:rsidRPr="002A150B">
        <w:rPr>
          <w:noProof/>
        </w:rPr>
        <w:t>Plafoanele se calculează separat pentru emisiile generate în producția de energie electrică și termică, în producția industrială și în sectorul transportului maritim și, respectiv, pentru emisiile din aviație cuprinse în domeniul de aplicare al EU ETS. În 2023 au fost emise 1 485 575 977 de certificate pentru producția de energie electrică și termică și pentru producția industrială, iar pentru aviație au fost emise 26 341 779 de certificate. Transportul maritim este inclus în calculele plafoanelor începând cu 2024.</w:t>
      </w:r>
    </w:p>
    <w:p w14:paraId="0E5ABA0A" w14:textId="6A009D34" w:rsidR="00281708" w:rsidRPr="002A150B" w:rsidRDefault="00FE2381" w:rsidP="001856AF">
      <w:pPr>
        <w:pStyle w:val="CMR-text"/>
        <w:rPr>
          <w:noProof/>
        </w:rPr>
      </w:pPr>
      <w:r w:rsidRPr="002A150B">
        <w:rPr>
          <w:noProof/>
        </w:rPr>
        <w:t xml:space="preserve">În perioada 2021-2023, plafonul pentru aviație a scăzut cu o rată de 2,2 % pe an. În ceea ce privește calcularea plafonului pentru instalațiile din sectorul producției de energie electrică și termică și din sectorul producției industriale, aceasta echivalează cu 43 003 515 certificate pe an. </w:t>
      </w:r>
      <w:r w:rsidR="001365B6" w:rsidRPr="002A150B">
        <w:rPr>
          <w:rFonts w:cs="Times New Roman"/>
          <w:noProof/>
        </w:rPr>
        <w:fldChar w:fldCharType="begin"/>
      </w:r>
      <w:r w:rsidR="001365B6" w:rsidRPr="002A150B">
        <w:rPr>
          <w:rFonts w:cs="Times New Roman"/>
          <w:noProof/>
        </w:rPr>
        <w:instrText xml:space="preserve"> REF _Ref176771273 \h </w:instrText>
      </w:r>
      <w:r w:rsidR="00B574FD" w:rsidRPr="002A150B">
        <w:rPr>
          <w:rFonts w:cs="Times New Roman"/>
          <w:noProof/>
        </w:rPr>
        <w:instrText xml:space="preserve"> \* MERGEFORMAT </w:instrText>
      </w:r>
      <w:r w:rsidR="001365B6" w:rsidRPr="002A150B">
        <w:rPr>
          <w:rFonts w:cs="Times New Roman"/>
          <w:noProof/>
        </w:rPr>
      </w:r>
      <w:r w:rsidR="001365B6" w:rsidRPr="002A150B">
        <w:rPr>
          <w:rFonts w:cs="Times New Roman"/>
          <w:noProof/>
        </w:rPr>
        <w:fldChar w:fldCharType="separate"/>
      </w:r>
      <w:r w:rsidR="00411CDC" w:rsidRPr="002A150B">
        <w:rPr>
          <w:rFonts w:cs="Times New Roman"/>
          <w:noProof/>
        </w:rPr>
        <w:t>Tab</w:t>
      </w:r>
      <w:r w:rsidR="00E10811" w:rsidRPr="002A150B">
        <w:rPr>
          <w:rFonts w:cs="Times New Roman"/>
          <w:noProof/>
        </w:rPr>
        <w:t>elul</w:t>
      </w:r>
      <w:r w:rsidR="00411CDC" w:rsidRPr="002A150B">
        <w:rPr>
          <w:rFonts w:cs="Times New Roman"/>
          <w:noProof/>
        </w:rPr>
        <w:t xml:space="preserve"> 1</w:t>
      </w:r>
      <w:r w:rsidR="001365B6" w:rsidRPr="002A150B">
        <w:rPr>
          <w:rFonts w:cs="Times New Roman"/>
          <w:noProof/>
        </w:rPr>
        <w:fldChar w:fldCharType="end"/>
      </w:r>
      <w:r w:rsidRPr="002A150B">
        <w:rPr>
          <w:noProof/>
        </w:rPr>
        <w:t xml:space="preserve"> prezintă cantitățile totale de certificate emise pentru diferitele sectoare care fac obiectul plafonului EU ETS. </w:t>
      </w:r>
    </w:p>
    <w:p w14:paraId="18316AD5" w14:textId="780BB53B" w:rsidR="00F950F8" w:rsidRPr="002A150B" w:rsidRDefault="00F950F8" w:rsidP="00AD0AB1">
      <w:pPr>
        <w:pStyle w:val="Caption"/>
        <w:keepNext/>
        <w:rPr>
          <w:noProof/>
        </w:rPr>
      </w:pPr>
      <w:bookmarkStart w:id="18" w:name="_Ref176771273"/>
      <w:r w:rsidRPr="002A150B">
        <w:rPr>
          <w:noProof/>
        </w:rPr>
        <w:t xml:space="preserve">Tabelul </w:t>
      </w:r>
      <w:r w:rsidR="003B51C5" w:rsidRPr="002A150B">
        <w:rPr>
          <w:noProof/>
        </w:rPr>
        <w:fldChar w:fldCharType="begin"/>
      </w:r>
      <w:r w:rsidR="003B51C5" w:rsidRPr="002A150B">
        <w:rPr>
          <w:noProof/>
        </w:rPr>
        <w:instrText xml:space="preserve"> SEQ Table \* ARABIC </w:instrText>
      </w:r>
      <w:r w:rsidR="003B51C5" w:rsidRPr="002A150B">
        <w:rPr>
          <w:noProof/>
        </w:rPr>
        <w:fldChar w:fldCharType="separate"/>
      </w:r>
      <w:r w:rsidR="00411CDC" w:rsidRPr="002A150B">
        <w:rPr>
          <w:noProof/>
        </w:rPr>
        <w:t>1</w:t>
      </w:r>
      <w:r w:rsidR="003B51C5" w:rsidRPr="002A150B">
        <w:rPr>
          <w:noProof/>
        </w:rPr>
        <w:fldChar w:fldCharType="end"/>
      </w:r>
      <w:bookmarkEnd w:id="18"/>
      <w:r w:rsidRPr="002A150B">
        <w:rPr>
          <w:noProof/>
        </w:rPr>
        <w:t>. Plafonul EU ETS (2021-2024). Plafoanele se calculează separat pentru (i) emisiile generate în producția de energie electrică și termică, în producția industrială și, începând din 2024, în sectorul transportului maritim și pentru (ii) emisiile din aviație cuprinse în domeniul de aplicare al EU ETS.</w:t>
      </w:r>
    </w:p>
    <w:tbl>
      <w:tblPr>
        <w:tblStyle w:val="TableGridLight"/>
        <w:tblpPr w:leftFromText="180" w:rightFromText="180" w:vertAnchor="text" w:horzAnchor="margin" w:tblpY="-10"/>
        <w:tblW w:w="5000" w:type="pct"/>
        <w:tblLook w:val="04A0" w:firstRow="1" w:lastRow="0" w:firstColumn="1" w:lastColumn="0" w:noHBand="0" w:noVBand="1"/>
      </w:tblPr>
      <w:tblGrid>
        <w:gridCol w:w="705"/>
        <w:gridCol w:w="4701"/>
        <w:gridCol w:w="3610"/>
      </w:tblGrid>
      <w:tr w:rsidR="00C56D4C" w:rsidRPr="002A150B" w14:paraId="61489489" w14:textId="77777777" w:rsidTr="003178B2">
        <w:trPr>
          <w:cantSplit/>
        </w:trPr>
        <w:tc>
          <w:tcPr>
            <w:tcW w:w="391" w:type="pct"/>
            <w:vAlign w:val="center"/>
          </w:tcPr>
          <w:p w14:paraId="20E4C149" w14:textId="77777777" w:rsidR="006946F0" w:rsidRPr="002A150B" w:rsidRDefault="006946F0" w:rsidP="00296014">
            <w:pPr>
              <w:pStyle w:val="CMR-tables"/>
              <w:rPr>
                <w:b/>
                <w:noProof/>
              </w:rPr>
            </w:pPr>
            <w:r w:rsidRPr="002A150B">
              <w:rPr>
                <w:b/>
                <w:noProof/>
              </w:rPr>
              <w:t>Anul</w:t>
            </w:r>
          </w:p>
        </w:tc>
        <w:tc>
          <w:tcPr>
            <w:tcW w:w="2607" w:type="pct"/>
            <w:vAlign w:val="center"/>
          </w:tcPr>
          <w:p w14:paraId="02D7D3E2" w14:textId="71374727" w:rsidR="006946F0" w:rsidRPr="002A150B" w:rsidRDefault="00AF553C" w:rsidP="00296014">
            <w:pPr>
              <w:pStyle w:val="CMR-tables"/>
              <w:jc w:val="center"/>
              <w:rPr>
                <w:b/>
                <w:noProof/>
              </w:rPr>
            </w:pPr>
            <w:r w:rsidRPr="002A150B">
              <w:rPr>
                <w:b/>
                <w:noProof/>
              </w:rPr>
              <w:t>Cantitatea totală de certificate pentru producția de energie electrică și termică, producția industrială și transportul maritim</w:t>
            </w:r>
          </w:p>
        </w:tc>
        <w:tc>
          <w:tcPr>
            <w:tcW w:w="2002" w:type="pct"/>
            <w:vAlign w:val="center"/>
          </w:tcPr>
          <w:p w14:paraId="2CE827B8" w14:textId="7CC9B04C" w:rsidR="006946F0" w:rsidRPr="002A150B" w:rsidRDefault="00AF553C" w:rsidP="00296014">
            <w:pPr>
              <w:pStyle w:val="CMR-tables"/>
              <w:jc w:val="center"/>
              <w:rPr>
                <w:b/>
                <w:noProof/>
              </w:rPr>
            </w:pPr>
            <w:r w:rsidRPr="002A150B">
              <w:rPr>
                <w:b/>
                <w:noProof/>
              </w:rPr>
              <w:t>Cantitatea totală de certificate pentru aviație</w:t>
            </w:r>
          </w:p>
        </w:tc>
      </w:tr>
      <w:tr w:rsidR="00C56D4C" w:rsidRPr="002A150B" w14:paraId="55206652" w14:textId="77777777" w:rsidTr="002E6061">
        <w:trPr>
          <w:cantSplit/>
        </w:trPr>
        <w:tc>
          <w:tcPr>
            <w:tcW w:w="391" w:type="pct"/>
            <w:shd w:val="clear" w:color="auto" w:fill="F2F2F2" w:themeFill="background1" w:themeFillShade="F2"/>
            <w:vAlign w:val="center"/>
          </w:tcPr>
          <w:p w14:paraId="387742AE" w14:textId="77777777" w:rsidR="006946F0" w:rsidRPr="002A150B" w:rsidRDefault="006946F0" w:rsidP="00296014">
            <w:pPr>
              <w:pStyle w:val="CMR-tables"/>
              <w:jc w:val="center"/>
              <w:rPr>
                <w:noProof/>
              </w:rPr>
            </w:pPr>
            <w:r w:rsidRPr="002A150B">
              <w:rPr>
                <w:noProof/>
              </w:rPr>
              <w:t>2021</w:t>
            </w:r>
          </w:p>
        </w:tc>
        <w:tc>
          <w:tcPr>
            <w:tcW w:w="2607" w:type="pct"/>
            <w:shd w:val="clear" w:color="auto" w:fill="F2F2F2" w:themeFill="background1" w:themeFillShade="F2"/>
            <w:vAlign w:val="center"/>
          </w:tcPr>
          <w:p w14:paraId="5245F12A" w14:textId="77777777" w:rsidR="006946F0" w:rsidRPr="002A150B" w:rsidRDefault="006946F0" w:rsidP="00296014">
            <w:pPr>
              <w:pStyle w:val="CMR-tables"/>
              <w:jc w:val="center"/>
              <w:rPr>
                <w:noProof/>
              </w:rPr>
            </w:pPr>
            <w:r w:rsidRPr="002A150B">
              <w:rPr>
                <w:noProof/>
              </w:rPr>
              <w:t>1 571 583 007</w:t>
            </w:r>
          </w:p>
        </w:tc>
        <w:tc>
          <w:tcPr>
            <w:tcW w:w="2002" w:type="pct"/>
            <w:shd w:val="clear" w:color="auto" w:fill="F2F2F2" w:themeFill="background1" w:themeFillShade="F2"/>
            <w:vAlign w:val="center"/>
          </w:tcPr>
          <w:p w14:paraId="6041BDEF" w14:textId="77777777" w:rsidR="006946F0" w:rsidRPr="002A150B" w:rsidRDefault="006946F0" w:rsidP="00296014">
            <w:pPr>
              <w:pStyle w:val="CMR-tables"/>
              <w:jc w:val="center"/>
              <w:rPr>
                <w:noProof/>
              </w:rPr>
            </w:pPr>
            <w:r w:rsidRPr="002A150B">
              <w:rPr>
                <w:noProof/>
              </w:rPr>
              <w:t>28 306 545</w:t>
            </w:r>
          </w:p>
        </w:tc>
      </w:tr>
      <w:tr w:rsidR="00C56D4C" w:rsidRPr="002A150B" w14:paraId="4E137D5E" w14:textId="77777777" w:rsidTr="003178B2">
        <w:trPr>
          <w:cantSplit/>
        </w:trPr>
        <w:tc>
          <w:tcPr>
            <w:tcW w:w="391" w:type="pct"/>
            <w:vAlign w:val="center"/>
          </w:tcPr>
          <w:p w14:paraId="5702323A" w14:textId="77777777" w:rsidR="006946F0" w:rsidRPr="002A150B" w:rsidRDefault="006946F0" w:rsidP="00296014">
            <w:pPr>
              <w:pStyle w:val="CMR-tables"/>
              <w:jc w:val="center"/>
              <w:rPr>
                <w:noProof/>
              </w:rPr>
            </w:pPr>
            <w:r w:rsidRPr="002A150B">
              <w:rPr>
                <w:noProof/>
              </w:rPr>
              <w:t>2022</w:t>
            </w:r>
          </w:p>
        </w:tc>
        <w:tc>
          <w:tcPr>
            <w:tcW w:w="2607" w:type="pct"/>
            <w:vAlign w:val="center"/>
          </w:tcPr>
          <w:p w14:paraId="0A4DBE21" w14:textId="77777777" w:rsidR="006946F0" w:rsidRPr="002A150B" w:rsidRDefault="006946F0" w:rsidP="00296014">
            <w:pPr>
              <w:pStyle w:val="CMR-tables"/>
              <w:jc w:val="center"/>
              <w:rPr>
                <w:noProof/>
              </w:rPr>
            </w:pPr>
            <w:r w:rsidRPr="002A150B">
              <w:rPr>
                <w:noProof/>
              </w:rPr>
              <w:t>1 528 579 492</w:t>
            </w:r>
          </w:p>
        </w:tc>
        <w:tc>
          <w:tcPr>
            <w:tcW w:w="2002" w:type="pct"/>
            <w:vAlign w:val="center"/>
          </w:tcPr>
          <w:p w14:paraId="6383B068" w14:textId="77777777" w:rsidR="006946F0" w:rsidRPr="002A150B" w:rsidRDefault="006946F0" w:rsidP="00296014">
            <w:pPr>
              <w:pStyle w:val="CMR-tables"/>
              <w:jc w:val="center"/>
              <w:rPr>
                <w:noProof/>
              </w:rPr>
            </w:pPr>
            <w:r w:rsidRPr="002A150B">
              <w:rPr>
                <w:noProof/>
              </w:rPr>
              <w:t>27 268 379</w:t>
            </w:r>
          </w:p>
        </w:tc>
      </w:tr>
      <w:tr w:rsidR="00C56D4C" w:rsidRPr="002A150B" w14:paraId="1C6C5600" w14:textId="77777777" w:rsidTr="002E6061">
        <w:trPr>
          <w:cantSplit/>
        </w:trPr>
        <w:tc>
          <w:tcPr>
            <w:tcW w:w="391" w:type="pct"/>
            <w:shd w:val="clear" w:color="auto" w:fill="F2F2F2" w:themeFill="background1" w:themeFillShade="F2"/>
            <w:vAlign w:val="center"/>
          </w:tcPr>
          <w:p w14:paraId="5CBD5517" w14:textId="77777777" w:rsidR="006946F0" w:rsidRPr="002A150B" w:rsidRDefault="006946F0" w:rsidP="00296014">
            <w:pPr>
              <w:pStyle w:val="CMR-tables"/>
              <w:jc w:val="center"/>
              <w:rPr>
                <w:noProof/>
              </w:rPr>
            </w:pPr>
            <w:r w:rsidRPr="002A150B">
              <w:rPr>
                <w:noProof/>
              </w:rPr>
              <w:t>2023</w:t>
            </w:r>
          </w:p>
        </w:tc>
        <w:tc>
          <w:tcPr>
            <w:tcW w:w="2607" w:type="pct"/>
            <w:shd w:val="clear" w:color="auto" w:fill="F2F2F2" w:themeFill="background1" w:themeFillShade="F2"/>
            <w:vAlign w:val="center"/>
          </w:tcPr>
          <w:p w14:paraId="66763A4E" w14:textId="5842DC1C" w:rsidR="006946F0" w:rsidRPr="002A150B" w:rsidRDefault="00436AD0" w:rsidP="00296014">
            <w:pPr>
              <w:pStyle w:val="CMR-tables"/>
              <w:jc w:val="center"/>
              <w:rPr>
                <w:noProof/>
              </w:rPr>
            </w:pPr>
            <w:r w:rsidRPr="002A150B">
              <w:rPr>
                <w:noProof/>
              </w:rPr>
              <w:t>1 485 575 977</w:t>
            </w:r>
          </w:p>
        </w:tc>
        <w:tc>
          <w:tcPr>
            <w:tcW w:w="2002" w:type="pct"/>
            <w:shd w:val="clear" w:color="auto" w:fill="F2F2F2" w:themeFill="background1" w:themeFillShade="F2"/>
            <w:vAlign w:val="center"/>
          </w:tcPr>
          <w:p w14:paraId="60A7B234" w14:textId="566B3B93" w:rsidR="006946F0" w:rsidRPr="002A150B" w:rsidRDefault="009F64FD" w:rsidP="00296014">
            <w:pPr>
              <w:pStyle w:val="CMR-tables"/>
              <w:jc w:val="center"/>
              <w:rPr>
                <w:noProof/>
                <w:highlight w:val="yellow"/>
              </w:rPr>
            </w:pPr>
            <w:r w:rsidRPr="002A150B">
              <w:rPr>
                <w:noProof/>
              </w:rPr>
              <w:t>26 341 779</w:t>
            </w:r>
          </w:p>
        </w:tc>
      </w:tr>
      <w:tr w:rsidR="00C56D4C" w:rsidRPr="002A150B" w14:paraId="283F842A" w14:textId="77777777" w:rsidTr="003178B2">
        <w:trPr>
          <w:cantSplit/>
        </w:trPr>
        <w:tc>
          <w:tcPr>
            <w:tcW w:w="391" w:type="pct"/>
            <w:vAlign w:val="bottom"/>
          </w:tcPr>
          <w:p w14:paraId="032C0111" w14:textId="77777777" w:rsidR="006946F0" w:rsidRPr="002A150B" w:rsidRDefault="006946F0" w:rsidP="00296014">
            <w:pPr>
              <w:pStyle w:val="CMR-tables"/>
              <w:jc w:val="center"/>
              <w:rPr>
                <w:noProof/>
              </w:rPr>
            </w:pPr>
            <w:r w:rsidRPr="002A150B">
              <w:rPr>
                <w:noProof/>
              </w:rPr>
              <w:t>2024</w:t>
            </w:r>
          </w:p>
        </w:tc>
        <w:tc>
          <w:tcPr>
            <w:tcW w:w="2607" w:type="pct"/>
            <w:vAlign w:val="center"/>
          </w:tcPr>
          <w:p w14:paraId="4A318C18" w14:textId="77777777" w:rsidR="006946F0" w:rsidRPr="002A150B" w:rsidRDefault="006946F0" w:rsidP="00296014">
            <w:pPr>
              <w:pStyle w:val="CMR-tables"/>
              <w:jc w:val="center"/>
              <w:rPr>
                <w:noProof/>
              </w:rPr>
            </w:pPr>
            <w:r w:rsidRPr="002A150B">
              <w:rPr>
                <w:noProof/>
              </w:rPr>
              <w:t>1 386 051 745</w:t>
            </w:r>
          </w:p>
        </w:tc>
        <w:tc>
          <w:tcPr>
            <w:tcW w:w="2002" w:type="pct"/>
            <w:vAlign w:val="center"/>
          </w:tcPr>
          <w:p w14:paraId="69D840EC" w14:textId="500674E9" w:rsidR="006946F0" w:rsidRPr="002A150B" w:rsidRDefault="006F30B1" w:rsidP="00296014">
            <w:pPr>
              <w:pStyle w:val="CMR-tables"/>
              <w:jc w:val="center"/>
              <w:rPr>
                <w:noProof/>
                <w:highlight w:val="yellow"/>
              </w:rPr>
            </w:pPr>
            <w:r w:rsidRPr="002A150B">
              <w:rPr>
                <w:noProof/>
              </w:rPr>
              <w:t>27 563 529</w:t>
            </w:r>
            <w:r w:rsidR="00A6195A" w:rsidRPr="002A150B">
              <w:rPr>
                <w:rStyle w:val="FootnoteReference"/>
                <w:noProof/>
              </w:rPr>
              <w:footnoteReference w:id="15"/>
            </w:r>
          </w:p>
        </w:tc>
      </w:tr>
    </w:tbl>
    <w:p w14:paraId="5C64BA07" w14:textId="09246777" w:rsidR="00D03358" w:rsidRPr="002A150B" w:rsidRDefault="0042398A" w:rsidP="003B46B7">
      <w:pPr>
        <w:pStyle w:val="CMR-text"/>
        <w:rPr>
          <w:noProof/>
        </w:rPr>
      </w:pPr>
      <w:r w:rsidRPr="002A150B">
        <w:rPr>
          <w:noProof/>
        </w:rPr>
        <w:t>Odată cu revizuirea din 2023 a Directivei EU ETS, plafonul global a fost stabilit astfel încât emisiile să scadă cu 62 % până în 2030, comparativ cu 2005. Primele ajustări ale plafonului efectuate în acest scop au intrat în vigoare în 2024 și se reflectă în decizia adoptată la 27 iulie 2023 (Decizia 2023/1575 a Comisiei)</w:t>
      </w:r>
      <w:r w:rsidR="008233DD" w:rsidRPr="002A150B">
        <w:rPr>
          <w:rStyle w:val="FootnoteReference"/>
          <w:noProof/>
        </w:rPr>
        <w:footnoteReference w:id="16"/>
      </w:r>
      <w:r w:rsidRPr="002A150B">
        <w:rPr>
          <w:noProof/>
        </w:rPr>
        <w:t xml:space="preserve">. </w:t>
      </w:r>
    </w:p>
    <w:p w14:paraId="21074BB0" w14:textId="3845C87D" w:rsidR="0045772E" w:rsidRPr="002A150B" w:rsidRDefault="000321AF" w:rsidP="003B46B7">
      <w:pPr>
        <w:pStyle w:val="CMR-text"/>
        <w:rPr>
          <w:noProof/>
        </w:rPr>
      </w:pPr>
      <w:r w:rsidRPr="002A150B">
        <w:rPr>
          <w:noProof/>
        </w:rPr>
        <w:t>Plafonul pentru 2024 a fost coborât cu 90 de milioane de certificate, iar rata de reducere a fost majorată la 4,3 % pe an pentru perioada 2024-2027, ceea ce echivalează cu 87 924 231 de certificate pe an. Aceste ajustări recunosc deja faptul că emisiile generate de transportul maritim au fost incluse în EU ETS începând din 2024. Plafonul pentru 2024 a fost calculat la 1 386 051 745 de certificate.</w:t>
      </w:r>
    </w:p>
    <w:p w14:paraId="719CD660" w14:textId="2967F483" w:rsidR="003B46B7" w:rsidRPr="002A150B" w:rsidRDefault="003B46B7" w:rsidP="003B46B7">
      <w:pPr>
        <w:pStyle w:val="CMR-text"/>
        <w:rPr>
          <w:noProof/>
        </w:rPr>
      </w:pPr>
      <w:r w:rsidRPr="002A150B">
        <w:rPr>
          <w:rFonts w:cs="Times New Roman"/>
          <w:noProof/>
        </w:rPr>
        <w:fldChar w:fldCharType="begin"/>
      </w:r>
      <w:r w:rsidRPr="002A150B">
        <w:rPr>
          <w:rFonts w:cs="Times New Roman"/>
          <w:noProof/>
        </w:rPr>
        <w:instrText xml:space="preserve"> REF _Ref176771377 \h </w:instrText>
      </w:r>
      <w:r w:rsidR="00B574FD" w:rsidRPr="002A150B">
        <w:rPr>
          <w:rFonts w:cs="Times New Roman"/>
          <w:noProof/>
        </w:rPr>
        <w:instrText xml:space="preserve"> \* MERGEFORMAT </w:instrText>
      </w:r>
      <w:r w:rsidRPr="002A150B">
        <w:rPr>
          <w:rFonts w:cs="Times New Roman"/>
          <w:noProof/>
        </w:rPr>
      </w:r>
      <w:r w:rsidRPr="002A150B">
        <w:rPr>
          <w:rFonts w:cs="Times New Roman"/>
          <w:noProof/>
        </w:rPr>
        <w:fldChar w:fldCharType="separate"/>
      </w:r>
      <w:r w:rsidR="00411CDC" w:rsidRPr="002A150B">
        <w:rPr>
          <w:rFonts w:cs="Times New Roman"/>
          <w:noProof/>
        </w:rPr>
        <w:t>Figur</w:t>
      </w:r>
      <w:r w:rsidR="00455B7C" w:rsidRPr="002A150B">
        <w:rPr>
          <w:rFonts w:cs="Times New Roman"/>
          <w:noProof/>
        </w:rPr>
        <w:t>a</w:t>
      </w:r>
      <w:r w:rsidR="00411CDC" w:rsidRPr="002A150B">
        <w:rPr>
          <w:rFonts w:cs="Times New Roman"/>
          <w:noProof/>
        </w:rPr>
        <w:t xml:space="preserve"> 1</w:t>
      </w:r>
      <w:r w:rsidRPr="002A150B">
        <w:rPr>
          <w:rFonts w:cs="Times New Roman"/>
          <w:noProof/>
        </w:rPr>
        <w:fldChar w:fldCharType="end"/>
      </w:r>
      <w:r w:rsidRPr="002A150B">
        <w:rPr>
          <w:noProof/>
        </w:rPr>
        <w:t xml:space="preserve"> ilustrează modificările plafonului pe parcursul tuturor etapelor EU ETS, incluzând ajustările viitoare.</w:t>
      </w:r>
    </w:p>
    <w:p w14:paraId="0CAFB56D" w14:textId="28D90E6C" w:rsidR="00CF29E9" w:rsidRPr="002A150B" w:rsidRDefault="00CF29E9" w:rsidP="001856AF">
      <w:pPr>
        <w:pStyle w:val="CMR-text"/>
        <w:rPr>
          <w:noProof/>
        </w:rPr>
      </w:pPr>
    </w:p>
    <w:p w14:paraId="50DB5416" w14:textId="68EA18C1" w:rsidR="00FB46B8" w:rsidRPr="002A150B" w:rsidRDefault="00FB46B8">
      <w:pPr>
        <w:rPr>
          <w:rFonts w:ascii="Times New Roman" w:hAnsi="Times New Roman"/>
          <w:noProof/>
          <w:kern w:val="0"/>
          <w:sz w:val="24"/>
          <w14:ligatures w14:val="none"/>
        </w:rPr>
      </w:pPr>
    </w:p>
    <w:p w14:paraId="1EACF626" w14:textId="77777777" w:rsidR="00586F89" w:rsidRPr="002A150B" w:rsidRDefault="00586F89" w:rsidP="001856AF">
      <w:pPr>
        <w:pStyle w:val="CMR-text"/>
        <w:rPr>
          <w:noProof/>
        </w:rPr>
        <w:sectPr w:rsidR="00586F89" w:rsidRPr="002A150B" w:rsidSect="00EC269E">
          <w:headerReference w:type="even" r:id="rId18"/>
          <w:headerReference w:type="default" r:id="rId19"/>
          <w:footerReference w:type="even" r:id="rId20"/>
          <w:footerReference w:type="default" r:id="rId21"/>
          <w:headerReference w:type="first" r:id="rId22"/>
          <w:footerReference w:type="first" r:id="rId23"/>
          <w:pgSz w:w="11906" w:h="16838"/>
          <w:pgMar w:top="1440" w:right="1440" w:bottom="1440" w:left="1440" w:header="708" w:footer="708" w:gutter="0"/>
          <w:pgNumType w:start="1"/>
          <w:cols w:space="720"/>
          <w:docGrid w:linePitch="360"/>
        </w:sectPr>
      </w:pPr>
    </w:p>
    <w:p w14:paraId="298B4050" w14:textId="10436699" w:rsidR="00CB7227" w:rsidRPr="002A150B" w:rsidRDefault="0015583D" w:rsidP="00CB7227">
      <w:pPr>
        <w:pStyle w:val="CMR-text"/>
        <w:keepNext/>
        <w:rPr>
          <w:noProof/>
        </w:rPr>
      </w:pPr>
      <w:r w:rsidRPr="0015583D">
        <w:rPr>
          <w:noProof/>
          <w:lang w:val="en-GB" w:eastAsia="en-GB"/>
        </w:rPr>
        <w:drawing>
          <wp:inline distT="0" distB="0" distL="0" distR="0" wp14:anchorId="651DA109" wp14:editId="74719F64">
            <wp:extent cx="8863330" cy="2776855"/>
            <wp:effectExtent l="0" t="0" r="0" b="4445"/>
            <wp:docPr id="158894093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8863330" cy="2776855"/>
                    </a:xfrm>
                    <a:prstGeom prst="rect">
                      <a:avLst/>
                    </a:prstGeom>
                    <a:noFill/>
                    <a:ln>
                      <a:noFill/>
                    </a:ln>
                  </pic:spPr>
                </pic:pic>
              </a:graphicData>
            </a:graphic>
          </wp:inline>
        </w:drawing>
      </w:r>
    </w:p>
    <w:p w14:paraId="3C2ACB36" w14:textId="53E947CA" w:rsidR="0051775A" w:rsidRPr="002A150B" w:rsidRDefault="00CB7227" w:rsidP="00CB7227">
      <w:pPr>
        <w:pStyle w:val="Caption"/>
        <w:rPr>
          <w:noProof/>
        </w:rPr>
      </w:pPr>
      <w:bookmarkStart w:id="19" w:name="_Ref176771377"/>
      <w:r w:rsidRPr="002A150B">
        <w:rPr>
          <w:noProof/>
        </w:rPr>
        <w:t xml:space="preserve">Figura </w:t>
      </w:r>
      <w:r w:rsidR="003B51C5" w:rsidRPr="002A150B">
        <w:rPr>
          <w:noProof/>
        </w:rPr>
        <w:fldChar w:fldCharType="begin"/>
      </w:r>
      <w:r w:rsidR="003B51C5" w:rsidRPr="002A150B">
        <w:rPr>
          <w:noProof/>
        </w:rPr>
        <w:instrText xml:space="preserve"> SEQ Figure \* ARABIC </w:instrText>
      </w:r>
      <w:r w:rsidR="003B51C5" w:rsidRPr="002A150B">
        <w:rPr>
          <w:noProof/>
        </w:rPr>
        <w:fldChar w:fldCharType="separate"/>
      </w:r>
      <w:r w:rsidR="00411CDC" w:rsidRPr="002A150B">
        <w:rPr>
          <w:noProof/>
        </w:rPr>
        <w:t>1</w:t>
      </w:r>
      <w:r w:rsidR="003B51C5" w:rsidRPr="002A150B">
        <w:rPr>
          <w:noProof/>
        </w:rPr>
        <w:fldChar w:fldCharType="end"/>
      </w:r>
      <w:bookmarkEnd w:id="19"/>
      <w:r w:rsidRPr="002A150B">
        <w:rPr>
          <w:noProof/>
        </w:rPr>
        <w:t xml:space="preserve">. Plafonul pentru emisii stabilit în EU ETS, în comparație cu emisiile verificate. Această cifră ia în considerare revizuirea din 2023 a Directivei EU ETS, și anume coborârea plafonului în 2024 și 2026, include sectorul transportului maritim cuprins în EU ETS începând din 2024 și ține seama de factorul linear de reducere de 4,3 % în perioada 2024-2027 și de 4,4 % începând din 2028. Sectorul aviației nu este inclus. Din cauza modificărilor domeniului de aplicare, cifrele pentru perioada 2005-2007 nu sunt direct comparabile cu cifrele cele mai recente. Începând din 2021, EU ETS nu mai acoperă instalațiile din Regatul Unit, ci doar producătorii de energie electrică din Irlanda de Nord. Legendă: bare (plafon), bare de culoare mai deschisă în perioada 2014-2016 (certificate amânate din licitații), bare de culoare mai deschisă începând din 2019 (certificate care au intrat în rezerva pentru stabilitatea pieței), bare de culoare mai închisă din 2024 (extinderea domeniului de aplicare la sectorul maritim), line punctată (emisii verificate). </w:t>
      </w:r>
    </w:p>
    <w:p w14:paraId="5EDE9B47" w14:textId="77777777" w:rsidR="004F002D" w:rsidRPr="002A150B" w:rsidRDefault="004F002D" w:rsidP="00711B75">
      <w:pPr>
        <w:pStyle w:val="CMR-text"/>
        <w:rPr>
          <w:i/>
          <w:noProof/>
        </w:rPr>
      </w:pPr>
    </w:p>
    <w:p w14:paraId="6C6BC394" w14:textId="77777777" w:rsidR="00586F89" w:rsidRPr="002A150B" w:rsidRDefault="00586F89">
      <w:pPr>
        <w:rPr>
          <w:rFonts w:ascii="Times New Roman" w:hAnsi="Times New Roman" w:cs="Times New Roman"/>
          <w:noProof/>
          <w:sz w:val="24"/>
          <w:szCs w:val="24"/>
        </w:rPr>
        <w:sectPr w:rsidR="00586F89" w:rsidRPr="002A150B" w:rsidSect="00D86E5B">
          <w:headerReference w:type="even" r:id="rId25"/>
          <w:headerReference w:type="default" r:id="rId26"/>
          <w:footerReference w:type="even" r:id="rId27"/>
          <w:footerReference w:type="default" r:id="rId28"/>
          <w:headerReference w:type="first" r:id="rId29"/>
          <w:footerReference w:type="first" r:id="rId30"/>
          <w:pgSz w:w="16838" w:h="11906" w:orient="landscape"/>
          <w:pgMar w:top="1440" w:right="1440" w:bottom="1440" w:left="1440" w:header="709" w:footer="709" w:gutter="0"/>
          <w:cols w:space="708"/>
          <w:docGrid w:linePitch="360"/>
        </w:sectPr>
      </w:pPr>
    </w:p>
    <w:p w14:paraId="47B20D80" w14:textId="4F8BEE79" w:rsidR="00613B80" w:rsidRPr="002A150B" w:rsidRDefault="00613B80" w:rsidP="009035AD">
      <w:pPr>
        <w:pStyle w:val="CMR-Heading"/>
        <w:rPr>
          <w:noProof/>
        </w:rPr>
      </w:pPr>
      <w:bookmarkStart w:id="20" w:name="_Toc180513395"/>
      <w:bookmarkStart w:id="21" w:name="_Toc189482429"/>
      <w:r w:rsidRPr="002A150B">
        <w:rPr>
          <w:noProof/>
        </w:rPr>
        <w:t>Vânzarea certificatelor prin licitație</w:t>
      </w:r>
      <w:bookmarkEnd w:id="20"/>
      <w:bookmarkEnd w:id="21"/>
    </w:p>
    <w:p w14:paraId="7F89D8B1" w14:textId="09D7ADAC" w:rsidR="00C83D6D" w:rsidRPr="002A150B" w:rsidRDefault="00C83D6D" w:rsidP="00C83D6D">
      <w:pPr>
        <w:pStyle w:val="CMR-text"/>
        <w:rPr>
          <w:noProof/>
        </w:rPr>
      </w:pPr>
      <w:r w:rsidRPr="002A150B">
        <w:rPr>
          <w:noProof/>
        </w:rPr>
        <w:t>Vânzarea prin licitație este principala metodă de distribuire a certificatelor în cadrul EU ETS, reprezentând până la 57 % din plafon</w:t>
      </w:r>
      <w:r w:rsidRPr="002A150B">
        <w:rPr>
          <w:rStyle w:val="FootnoteReference"/>
          <w:rFonts w:cs="Times New Roman"/>
          <w:noProof/>
          <w:szCs w:val="24"/>
        </w:rPr>
        <w:footnoteReference w:id="17"/>
      </w:r>
      <w:r w:rsidRPr="002A150B">
        <w:rPr>
          <w:noProof/>
        </w:rPr>
        <w:t>. Regulamentul privind licitațiile [Regulamentul (UE) nr. 1031/2010]</w:t>
      </w:r>
      <w:r w:rsidR="00441A94" w:rsidRPr="002A150B">
        <w:rPr>
          <w:rStyle w:val="FootnoteReference"/>
          <w:rFonts w:cs="Times New Roman"/>
          <w:noProof/>
          <w:szCs w:val="24"/>
        </w:rPr>
        <w:footnoteReference w:id="18"/>
      </w:r>
      <w:r w:rsidRPr="002A150B">
        <w:rPr>
          <w:noProof/>
        </w:rPr>
        <w:t xml:space="preserve"> stabilește norme care asigură desfășurarea licitațiilor într-un mod deschis, transparent, armonizat și nediscriminatoriu. Acesta precizează calendarul, administrarea și alte aspecte ale vânzării certificatelor de emisii prin licitație. </w:t>
      </w:r>
    </w:p>
    <w:p w14:paraId="664AEF24" w14:textId="49CB614A" w:rsidR="00C83D6D" w:rsidRPr="002A150B" w:rsidRDefault="00C83D6D" w:rsidP="00C83D6D">
      <w:pPr>
        <w:pStyle w:val="CMR-text"/>
        <w:rPr>
          <w:noProof/>
        </w:rPr>
      </w:pPr>
      <w:r w:rsidRPr="002A150B">
        <w:rPr>
          <w:noProof/>
        </w:rPr>
        <w:t>În 2023, licitațiile au continuat să aibă loc prin intermediul Bursei Europene de Energie (</w:t>
      </w:r>
      <w:r w:rsidRPr="002A150B">
        <w:rPr>
          <w:i/>
          <w:iCs/>
          <w:noProof/>
        </w:rPr>
        <w:t>European Energy Exchange AG</w:t>
      </w:r>
      <w:r w:rsidRPr="002A150B">
        <w:rPr>
          <w:noProof/>
        </w:rPr>
        <w:t xml:space="preserve"> – EEX): </w:t>
      </w:r>
    </w:p>
    <w:p w14:paraId="63C52732" w14:textId="6EF90F34" w:rsidR="00C83D6D" w:rsidRPr="002A150B" w:rsidRDefault="00C83D6D" w:rsidP="00C83D6D">
      <w:pPr>
        <w:pStyle w:val="CMR-text"/>
        <w:numPr>
          <w:ilvl w:val="0"/>
          <w:numId w:val="16"/>
        </w:numPr>
        <w:rPr>
          <w:noProof/>
        </w:rPr>
      </w:pPr>
      <w:r w:rsidRPr="002A150B">
        <w:rPr>
          <w:noProof/>
        </w:rPr>
        <w:t xml:space="preserve">ca platformă comună de licitație pentru cele 25 de state membre care au participat la o procedură de achiziții publice comune; </w:t>
      </w:r>
    </w:p>
    <w:p w14:paraId="1D7D9151" w14:textId="322E4746" w:rsidR="00C83D6D" w:rsidRPr="002A150B" w:rsidRDefault="00C83D6D" w:rsidP="00C83D6D">
      <w:pPr>
        <w:pStyle w:val="CMR-text"/>
        <w:numPr>
          <w:ilvl w:val="0"/>
          <w:numId w:val="16"/>
        </w:numPr>
        <w:rPr>
          <w:noProof/>
        </w:rPr>
      </w:pPr>
      <w:r w:rsidRPr="002A150B">
        <w:rPr>
          <w:noProof/>
        </w:rPr>
        <w:t>pentru Polonia, care a optat să nu participe la procedura de achiziții publice comune, dar nu și-a desemnat încă propria platformă de licitație;</w:t>
      </w:r>
    </w:p>
    <w:p w14:paraId="753C9655" w14:textId="77777777" w:rsidR="00C83D6D" w:rsidRPr="002A150B" w:rsidRDefault="00C83D6D" w:rsidP="00C83D6D">
      <w:pPr>
        <w:pStyle w:val="CMR-text"/>
        <w:numPr>
          <w:ilvl w:val="0"/>
          <w:numId w:val="16"/>
        </w:numPr>
        <w:rPr>
          <w:noProof/>
        </w:rPr>
      </w:pPr>
      <w:r w:rsidRPr="002A150B">
        <w:rPr>
          <w:noProof/>
        </w:rPr>
        <w:t xml:space="preserve">pentru Islanda, Liechtenstein și Norvegia, după modificarea Acordului privind SEE în 2019 cu scopul de a permite participarea lor la Acordul privind achizițiile publice comune pentru platforma comună de licitație; </w:t>
      </w:r>
    </w:p>
    <w:p w14:paraId="306026C7" w14:textId="34710D37" w:rsidR="00C83D6D" w:rsidRPr="002A150B" w:rsidRDefault="00C83D6D" w:rsidP="00C83D6D">
      <w:pPr>
        <w:pStyle w:val="CMR-text"/>
        <w:numPr>
          <w:ilvl w:val="0"/>
          <w:numId w:val="16"/>
        </w:numPr>
        <w:rPr>
          <w:noProof/>
        </w:rPr>
      </w:pPr>
      <w:r w:rsidRPr="002A150B">
        <w:rPr>
          <w:noProof/>
        </w:rPr>
        <w:t xml:space="preserve">pentru ca Regatul Unit să liciteze certificate pentru centralele producătoare de energie electrică din Irlanda de Nord. </w:t>
      </w:r>
    </w:p>
    <w:p w14:paraId="73BC6958" w14:textId="212EBCF6" w:rsidR="00C83D6D" w:rsidRPr="002A150B" w:rsidRDefault="00C83D6D" w:rsidP="00C83D6D">
      <w:pPr>
        <w:pStyle w:val="CMR-text"/>
        <w:rPr>
          <w:noProof/>
        </w:rPr>
      </w:pPr>
      <w:r w:rsidRPr="002A150B">
        <w:rPr>
          <w:noProof/>
        </w:rPr>
        <w:t xml:space="preserve">EEX a licitat și certificate pentru Germania, ca platformă de licitație separată. </w:t>
      </w:r>
    </w:p>
    <w:p w14:paraId="1E2258FF" w14:textId="3999E110" w:rsidR="00C83D6D" w:rsidRPr="002A150B" w:rsidRDefault="00C83D6D" w:rsidP="00C83D6D">
      <w:pPr>
        <w:pStyle w:val="CMR-text"/>
        <w:rPr>
          <w:noProof/>
        </w:rPr>
      </w:pPr>
      <w:r w:rsidRPr="002A150B">
        <w:rPr>
          <w:noProof/>
        </w:rPr>
        <w:fldChar w:fldCharType="begin"/>
      </w:r>
      <w:r w:rsidRPr="002A150B">
        <w:rPr>
          <w:noProof/>
        </w:rPr>
        <w:instrText xml:space="preserve"> REF _Ref145491716 \h  \* MERGEFORMAT </w:instrText>
      </w:r>
      <w:r w:rsidRPr="002A150B">
        <w:rPr>
          <w:noProof/>
        </w:rPr>
      </w:r>
      <w:r w:rsidRPr="002A150B">
        <w:rPr>
          <w:noProof/>
        </w:rPr>
        <w:fldChar w:fldCharType="separate"/>
      </w:r>
      <w:r w:rsidR="00411CDC" w:rsidRPr="002A150B">
        <w:rPr>
          <w:noProof/>
        </w:rPr>
        <w:t>Tab</w:t>
      </w:r>
      <w:r w:rsidR="00890038" w:rsidRPr="002A150B">
        <w:rPr>
          <w:noProof/>
        </w:rPr>
        <w:t>elul</w:t>
      </w:r>
      <w:r w:rsidR="00411CDC" w:rsidRPr="002A150B">
        <w:rPr>
          <w:noProof/>
        </w:rPr>
        <w:t xml:space="preserve"> 2</w:t>
      </w:r>
      <w:r w:rsidRPr="002A150B">
        <w:rPr>
          <w:noProof/>
        </w:rPr>
        <w:fldChar w:fldCharType="end"/>
      </w:r>
      <w:r w:rsidRPr="002A150B">
        <w:rPr>
          <w:noProof/>
        </w:rPr>
        <w:t xml:space="preserve"> oferă o imagine de ansamblu asupra volumelor anuale de certificate scoase la licitație de EEX începând cu 2021.</w:t>
      </w:r>
    </w:p>
    <w:p w14:paraId="26BCE436" w14:textId="7FE0DA9E" w:rsidR="00C83D6D" w:rsidRPr="002A150B" w:rsidRDefault="00C83D6D" w:rsidP="00C83D6D">
      <w:pPr>
        <w:pStyle w:val="Caption"/>
        <w:keepNext/>
        <w:spacing w:line="257" w:lineRule="auto"/>
        <w:rPr>
          <w:noProof/>
        </w:rPr>
      </w:pPr>
      <w:bookmarkStart w:id="22" w:name="_Ref145491716"/>
      <w:r w:rsidRPr="002A150B">
        <w:rPr>
          <w:noProof/>
        </w:rPr>
        <w:t xml:space="preserve">Tabelul </w:t>
      </w:r>
      <w:r w:rsidR="003B51C5" w:rsidRPr="002A150B">
        <w:rPr>
          <w:noProof/>
        </w:rPr>
        <w:fldChar w:fldCharType="begin"/>
      </w:r>
      <w:r w:rsidR="003B51C5" w:rsidRPr="002A150B">
        <w:rPr>
          <w:noProof/>
        </w:rPr>
        <w:instrText xml:space="preserve"> SEQ Table \* ARABIC </w:instrText>
      </w:r>
      <w:r w:rsidR="003B51C5" w:rsidRPr="002A150B">
        <w:rPr>
          <w:noProof/>
        </w:rPr>
        <w:fldChar w:fldCharType="separate"/>
      </w:r>
      <w:r w:rsidR="00411CDC" w:rsidRPr="002A150B">
        <w:rPr>
          <w:noProof/>
        </w:rPr>
        <w:t>2</w:t>
      </w:r>
      <w:r w:rsidR="003B51C5" w:rsidRPr="002A150B">
        <w:rPr>
          <w:noProof/>
        </w:rPr>
        <w:fldChar w:fldCharType="end"/>
      </w:r>
      <w:bookmarkEnd w:id="22"/>
      <w:r w:rsidRPr="002A150B">
        <w:rPr>
          <w:noProof/>
        </w:rPr>
        <w:t>. Volumele totale de certificate scoase la licitație (de la 1 ianuarie 2021 la 30 iunie 2024)</w:t>
      </w:r>
    </w:p>
    <w:tbl>
      <w:tblPr>
        <w:tblStyle w:val="TableGridLight"/>
        <w:tblW w:w="9067" w:type="dxa"/>
        <w:tblLook w:val="04A0" w:firstRow="1" w:lastRow="0" w:firstColumn="1" w:lastColumn="0" w:noHBand="0" w:noVBand="1"/>
      </w:tblPr>
      <w:tblGrid>
        <w:gridCol w:w="3256"/>
        <w:gridCol w:w="2480"/>
        <w:gridCol w:w="3331"/>
      </w:tblGrid>
      <w:tr w:rsidR="00C83D6D" w:rsidRPr="002A150B" w14:paraId="033A21B6" w14:textId="77777777" w:rsidTr="00A1005F">
        <w:trPr>
          <w:cantSplit/>
          <w:trHeight w:val="470"/>
        </w:trPr>
        <w:tc>
          <w:tcPr>
            <w:tcW w:w="3256" w:type="dxa"/>
            <w:vAlign w:val="center"/>
            <w:hideMark/>
          </w:tcPr>
          <w:p w14:paraId="378BC096" w14:textId="77777777" w:rsidR="00C83D6D" w:rsidRPr="002A150B" w:rsidRDefault="00C83D6D" w:rsidP="00D54832">
            <w:pPr>
              <w:pStyle w:val="CMR-tables"/>
              <w:keepNext/>
              <w:jc w:val="center"/>
              <w:rPr>
                <w:b/>
                <w:noProof/>
              </w:rPr>
            </w:pPr>
            <w:r w:rsidRPr="002A150B">
              <w:rPr>
                <w:noProof/>
              </w:rPr>
              <w:t>Anul</w:t>
            </w:r>
          </w:p>
        </w:tc>
        <w:tc>
          <w:tcPr>
            <w:tcW w:w="2480" w:type="dxa"/>
            <w:vAlign w:val="center"/>
            <w:hideMark/>
          </w:tcPr>
          <w:p w14:paraId="07681396" w14:textId="77777777" w:rsidR="00C83D6D" w:rsidRPr="002A150B" w:rsidRDefault="00C83D6D" w:rsidP="00D54832">
            <w:pPr>
              <w:pStyle w:val="CMR-tables"/>
              <w:keepNext/>
              <w:jc w:val="center"/>
              <w:rPr>
                <w:b/>
                <w:noProof/>
              </w:rPr>
            </w:pPr>
            <w:r w:rsidRPr="002A150B">
              <w:rPr>
                <w:noProof/>
              </w:rPr>
              <w:t>Certificate generale</w:t>
            </w:r>
          </w:p>
        </w:tc>
        <w:tc>
          <w:tcPr>
            <w:tcW w:w="3331" w:type="dxa"/>
            <w:vAlign w:val="center"/>
            <w:hideMark/>
          </w:tcPr>
          <w:p w14:paraId="3EC413D8" w14:textId="77777777" w:rsidR="00C83D6D" w:rsidRPr="002A150B" w:rsidRDefault="00C83D6D" w:rsidP="00D54832">
            <w:pPr>
              <w:pStyle w:val="CMR-tables"/>
              <w:keepNext/>
              <w:jc w:val="center"/>
              <w:rPr>
                <w:b/>
                <w:noProof/>
              </w:rPr>
            </w:pPr>
            <w:r w:rsidRPr="002A150B">
              <w:rPr>
                <w:noProof/>
              </w:rPr>
              <w:t>Certificate pentru aviație</w:t>
            </w:r>
          </w:p>
        </w:tc>
      </w:tr>
      <w:tr w:rsidR="00C83D6D" w:rsidRPr="002A150B" w14:paraId="764E0B5F" w14:textId="77777777" w:rsidTr="002E6061">
        <w:trPr>
          <w:cantSplit/>
          <w:trHeight w:val="470"/>
        </w:trPr>
        <w:tc>
          <w:tcPr>
            <w:tcW w:w="3256" w:type="dxa"/>
            <w:shd w:val="clear" w:color="auto" w:fill="F2F2F2" w:themeFill="background1" w:themeFillShade="F2"/>
            <w:vAlign w:val="center"/>
            <w:hideMark/>
          </w:tcPr>
          <w:p w14:paraId="682BE73B" w14:textId="77777777" w:rsidR="00C83D6D" w:rsidRPr="002A150B" w:rsidRDefault="00C83D6D" w:rsidP="00D54832">
            <w:pPr>
              <w:pStyle w:val="CMR-tables"/>
              <w:keepNext/>
              <w:jc w:val="center"/>
              <w:rPr>
                <w:b/>
                <w:noProof/>
              </w:rPr>
            </w:pPr>
            <w:r w:rsidRPr="002A150B">
              <w:rPr>
                <w:noProof/>
              </w:rPr>
              <w:t>2021</w:t>
            </w:r>
          </w:p>
        </w:tc>
        <w:tc>
          <w:tcPr>
            <w:tcW w:w="2480" w:type="dxa"/>
            <w:shd w:val="clear" w:color="auto" w:fill="F2F2F2" w:themeFill="background1" w:themeFillShade="F2"/>
            <w:vAlign w:val="center"/>
            <w:hideMark/>
          </w:tcPr>
          <w:p w14:paraId="7752B167" w14:textId="77777777" w:rsidR="00C83D6D" w:rsidRPr="002A150B" w:rsidRDefault="00C83D6D" w:rsidP="00D54832">
            <w:pPr>
              <w:pStyle w:val="CMR-tables"/>
              <w:keepNext/>
              <w:jc w:val="center"/>
              <w:rPr>
                <w:b/>
                <w:noProof/>
              </w:rPr>
            </w:pPr>
            <w:r w:rsidRPr="002A150B">
              <w:rPr>
                <w:noProof/>
              </w:rPr>
              <w:t>582 952 500</w:t>
            </w:r>
          </w:p>
        </w:tc>
        <w:tc>
          <w:tcPr>
            <w:tcW w:w="3331" w:type="dxa"/>
            <w:shd w:val="clear" w:color="auto" w:fill="F2F2F2" w:themeFill="background1" w:themeFillShade="F2"/>
            <w:vAlign w:val="center"/>
            <w:hideMark/>
          </w:tcPr>
          <w:p w14:paraId="3A6CADA3" w14:textId="77777777" w:rsidR="00C83D6D" w:rsidRPr="002A150B" w:rsidRDefault="00C83D6D" w:rsidP="00D54832">
            <w:pPr>
              <w:pStyle w:val="CMR-tables"/>
              <w:keepNext/>
              <w:jc w:val="center"/>
              <w:rPr>
                <w:b/>
                <w:noProof/>
              </w:rPr>
            </w:pPr>
            <w:r w:rsidRPr="002A150B">
              <w:rPr>
                <w:noProof/>
              </w:rPr>
              <w:t>3 785 500</w:t>
            </w:r>
          </w:p>
        </w:tc>
      </w:tr>
      <w:tr w:rsidR="00C83D6D" w:rsidRPr="002A150B" w14:paraId="34E6BE11" w14:textId="77777777" w:rsidTr="00A1005F">
        <w:trPr>
          <w:cantSplit/>
          <w:trHeight w:val="470"/>
        </w:trPr>
        <w:tc>
          <w:tcPr>
            <w:tcW w:w="3256" w:type="dxa"/>
            <w:vAlign w:val="center"/>
            <w:hideMark/>
          </w:tcPr>
          <w:p w14:paraId="2B172E74" w14:textId="77777777" w:rsidR="00C83D6D" w:rsidRPr="002A150B" w:rsidRDefault="00C83D6D" w:rsidP="00D54832">
            <w:pPr>
              <w:pStyle w:val="CMR-tables"/>
              <w:keepNext/>
              <w:jc w:val="center"/>
              <w:rPr>
                <w:b/>
                <w:noProof/>
              </w:rPr>
            </w:pPr>
            <w:r w:rsidRPr="002A150B">
              <w:rPr>
                <w:noProof/>
              </w:rPr>
              <w:t>2022</w:t>
            </w:r>
          </w:p>
        </w:tc>
        <w:tc>
          <w:tcPr>
            <w:tcW w:w="2480" w:type="dxa"/>
            <w:vAlign w:val="center"/>
            <w:hideMark/>
          </w:tcPr>
          <w:p w14:paraId="335DE432" w14:textId="77777777" w:rsidR="00C83D6D" w:rsidRPr="002A150B" w:rsidRDefault="00C83D6D" w:rsidP="00D54832">
            <w:pPr>
              <w:pStyle w:val="CMR-tables"/>
              <w:keepNext/>
              <w:jc w:val="center"/>
              <w:rPr>
                <w:b/>
                <w:noProof/>
              </w:rPr>
            </w:pPr>
            <w:r w:rsidRPr="002A150B">
              <w:rPr>
                <w:noProof/>
              </w:rPr>
              <w:t>482 389 000</w:t>
            </w:r>
          </w:p>
        </w:tc>
        <w:tc>
          <w:tcPr>
            <w:tcW w:w="3331" w:type="dxa"/>
            <w:vAlign w:val="center"/>
            <w:hideMark/>
          </w:tcPr>
          <w:p w14:paraId="340813A7" w14:textId="77777777" w:rsidR="00C83D6D" w:rsidRPr="002A150B" w:rsidRDefault="00C83D6D" w:rsidP="00D54832">
            <w:pPr>
              <w:pStyle w:val="CMR-tables"/>
              <w:keepNext/>
              <w:jc w:val="center"/>
              <w:rPr>
                <w:b/>
                <w:noProof/>
              </w:rPr>
            </w:pPr>
            <w:r w:rsidRPr="002A150B">
              <w:rPr>
                <w:noProof/>
              </w:rPr>
              <w:t>3 698 000</w:t>
            </w:r>
          </w:p>
        </w:tc>
      </w:tr>
      <w:tr w:rsidR="00E873A0" w:rsidRPr="002A150B" w14:paraId="295D6591" w14:textId="77777777" w:rsidTr="002E6061">
        <w:trPr>
          <w:cantSplit/>
          <w:trHeight w:val="470"/>
        </w:trPr>
        <w:tc>
          <w:tcPr>
            <w:tcW w:w="3256" w:type="dxa"/>
            <w:shd w:val="clear" w:color="auto" w:fill="F2F2F2" w:themeFill="background1" w:themeFillShade="F2"/>
            <w:vAlign w:val="center"/>
          </w:tcPr>
          <w:p w14:paraId="43D3FD8B" w14:textId="7F7A983C" w:rsidR="00E873A0" w:rsidRPr="002A150B" w:rsidRDefault="00E873A0" w:rsidP="00D54832">
            <w:pPr>
              <w:pStyle w:val="CMR-tables"/>
              <w:keepNext/>
              <w:jc w:val="center"/>
              <w:rPr>
                <w:noProof/>
              </w:rPr>
            </w:pPr>
            <w:r w:rsidRPr="002A150B">
              <w:rPr>
                <w:noProof/>
              </w:rPr>
              <w:t>2023</w:t>
            </w:r>
          </w:p>
        </w:tc>
        <w:tc>
          <w:tcPr>
            <w:tcW w:w="2480" w:type="dxa"/>
            <w:shd w:val="clear" w:color="auto" w:fill="F2F2F2" w:themeFill="background1" w:themeFillShade="F2"/>
            <w:vAlign w:val="center"/>
          </w:tcPr>
          <w:p w14:paraId="36B2905E" w14:textId="751107EF" w:rsidR="00E873A0" w:rsidRPr="002A150B" w:rsidRDefault="003B2642" w:rsidP="00D54832">
            <w:pPr>
              <w:pStyle w:val="CMR-tables"/>
              <w:keepNext/>
              <w:jc w:val="center"/>
              <w:rPr>
                <w:noProof/>
              </w:rPr>
            </w:pPr>
            <w:r w:rsidRPr="002A150B">
              <w:rPr>
                <w:noProof/>
              </w:rPr>
              <w:t>517 587 000</w:t>
            </w:r>
          </w:p>
        </w:tc>
        <w:tc>
          <w:tcPr>
            <w:tcW w:w="3331" w:type="dxa"/>
            <w:shd w:val="clear" w:color="auto" w:fill="F2F2F2" w:themeFill="background1" w:themeFillShade="F2"/>
            <w:vAlign w:val="center"/>
          </w:tcPr>
          <w:p w14:paraId="7B593BF0" w14:textId="101888D8" w:rsidR="00E873A0" w:rsidRPr="002A150B" w:rsidRDefault="003B2642" w:rsidP="00D54832">
            <w:pPr>
              <w:pStyle w:val="CMR-tables"/>
              <w:keepNext/>
              <w:jc w:val="center"/>
              <w:rPr>
                <w:noProof/>
              </w:rPr>
            </w:pPr>
            <w:r w:rsidRPr="002A150B">
              <w:rPr>
                <w:noProof/>
              </w:rPr>
              <w:t>5 720 500</w:t>
            </w:r>
          </w:p>
        </w:tc>
      </w:tr>
      <w:tr w:rsidR="00C83D6D" w:rsidRPr="002A150B" w14:paraId="49187D56" w14:textId="77777777" w:rsidTr="00A1005F">
        <w:trPr>
          <w:cantSplit/>
          <w:trHeight w:val="288"/>
        </w:trPr>
        <w:tc>
          <w:tcPr>
            <w:tcW w:w="3256" w:type="dxa"/>
            <w:vAlign w:val="center"/>
            <w:hideMark/>
          </w:tcPr>
          <w:p w14:paraId="13166832" w14:textId="15A9230E" w:rsidR="00C83D6D" w:rsidRPr="002A150B" w:rsidRDefault="00216B54" w:rsidP="00D54832">
            <w:pPr>
              <w:pStyle w:val="CMR-tables"/>
              <w:keepNext/>
              <w:jc w:val="center"/>
              <w:rPr>
                <w:b/>
                <w:noProof/>
              </w:rPr>
            </w:pPr>
            <w:r w:rsidRPr="002A150B">
              <w:rPr>
                <w:noProof/>
              </w:rPr>
              <w:t xml:space="preserve">2024 </w:t>
            </w:r>
            <w:r w:rsidRPr="002A150B">
              <w:rPr>
                <w:noProof/>
              </w:rPr>
              <w:br/>
              <w:t>(până la 30 iunie)</w:t>
            </w:r>
          </w:p>
        </w:tc>
        <w:tc>
          <w:tcPr>
            <w:tcW w:w="2480" w:type="dxa"/>
            <w:vAlign w:val="center"/>
          </w:tcPr>
          <w:p w14:paraId="5DA80DB8" w14:textId="40D40968" w:rsidR="00C83D6D" w:rsidRPr="002A150B" w:rsidRDefault="00216B54" w:rsidP="00D54832">
            <w:pPr>
              <w:pStyle w:val="CMR-tables"/>
              <w:keepNext/>
              <w:jc w:val="center"/>
              <w:rPr>
                <w:b/>
                <w:noProof/>
              </w:rPr>
            </w:pPr>
            <w:r w:rsidRPr="002A150B">
              <w:rPr>
                <w:noProof/>
              </w:rPr>
              <w:t>281 107 000</w:t>
            </w:r>
          </w:p>
        </w:tc>
        <w:tc>
          <w:tcPr>
            <w:tcW w:w="3331" w:type="dxa"/>
            <w:vAlign w:val="center"/>
          </w:tcPr>
          <w:p w14:paraId="13233798" w14:textId="69AC8CC2" w:rsidR="00C83D6D" w:rsidRPr="002A150B" w:rsidRDefault="00216B54" w:rsidP="00D54832">
            <w:pPr>
              <w:pStyle w:val="CMR-tables"/>
              <w:keepNext/>
              <w:jc w:val="center"/>
              <w:rPr>
                <w:b/>
                <w:noProof/>
              </w:rPr>
            </w:pPr>
            <w:r w:rsidRPr="002A150B">
              <w:rPr>
                <w:noProof/>
              </w:rPr>
              <w:t>2 718 000</w:t>
            </w:r>
          </w:p>
        </w:tc>
      </w:tr>
    </w:tbl>
    <w:p w14:paraId="02C9907C" w14:textId="2FD31749" w:rsidR="00C83D6D" w:rsidRPr="002A150B" w:rsidRDefault="0021560C" w:rsidP="00C83D6D">
      <w:pPr>
        <w:pStyle w:val="CMR-text"/>
        <w:rPr>
          <w:noProof/>
        </w:rPr>
      </w:pPr>
      <w:r w:rsidRPr="002A150B">
        <w:rPr>
          <w:noProof/>
        </w:rPr>
        <w:t xml:space="preserve">În total, în 2023 au avut loc 223 de licitații, iar în prima jumătate a anului 2024 au avut loc 106 licitații. Nicio licitație nu a fost anulată. </w:t>
      </w:r>
    </w:p>
    <w:p w14:paraId="09B88CC3" w14:textId="23067BE9" w:rsidR="00C83D6D" w:rsidRPr="002A150B" w:rsidRDefault="00B22430" w:rsidP="00C83D6D">
      <w:pPr>
        <w:pStyle w:val="CMR-text"/>
        <w:rPr>
          <w:noProof/>
        </w:rPr>
      </w:pPr>
      <w:r w:rsidRPr="002A150B">
        <w:rPr>
          <w:noProof/>
        </w:rPr>
        <w:t>Începând din iulie 2023, volumele scoase la licitație cuprind certificatele alocate Mecanismului de redresare și reziliență (MRR) în temeiul Regulamentului REPowerEU [Regulamentul (UE) 2023/435]</w:t>
      </w:r>
      <w:r w:rsidR="008E2F22" w:rsidRPr="002A150B">
        <w:rPr>
          <w:rStyle w:val="FootnoteReference"/>
          <w:rFonts w:cs="Times New Roman"/>
          <w:noProof/>
          <w:szCs w:val="24"/>
        </w:rPr>
        <w:footnoteReference w:id="19"/>
      </w:r>
      <w:r w:rsidRPr="002A150B">
        <w:rPr>
          <w:noProof/>
        </w:rPr>
        <w:t>. În baza certificatelor scoase la licitație în temeiul Regulamentului REPowerEU se vor obține 20 de miliarde EUR pentru mecanism până la 31 august 2026</w:t>
      </w:r>
      <w:r w:rsidR="00C83D6D" w:rsidRPr="002A150B">
        <w:rPr>
          <w:rStyle w:val="FootnoteReference"/>
          <w:rFonts w:cs="Times New Roman"/>
          <w:noProof/>
          <w:szCs w:val="24"/>
        </w:rPr>
        <w:footnoteReference w:id="20"/>
      </w:r>
      <w:r w:rsidRPr="002A150B">
        <w:rPr>
          <w:noProof/>
        </w:rPr>
        <w:t>. Statele membre vor utiliza aceste resurse suplimentare din MRR pentru a realiza reforme suplimentare și a face investiții cu scopul de a promova o transformare energetică nepoluantă și a stimula securitatea energetică. În 2023 și în prima jumătate a anului 2024 au fost mobilizate peste 5,5 miliarde EUR pentru MRR – REPowerEU (cu 35 325 000 de certificate scoase la licitație în 2023 și 42 124 500 de certificate scoase la licitație în prima jumătate a anului 2024).</w:t>
      </w:r>
    </w:p>
    <w:p w14:paraId="07FCD2A9" w14:textId="206251FE" w:rsidR="00C83D6D" w:rsidRPr="002A150B" w:rsidRDefault="00102458" w:rsidP="00C83D6D">
      <w:pPr>
        <w:pStyle w:val="CMR-text"/>
        <w:rPr>
          <w:noProof/>
        </w:rPr>
      </w:pPr>
      <w:r w:rsidRPr="002A150B">
        <w:rPr>
          <w:noProof/>
        </w:rPr>
        <w:t>Figura 2 oferă o imagine de ansamblu asupra prețurilor de închidere a licitațiilor pe piața carbonului din UE în 2023 și în prima jumătate a anului 2024. Cel mai mare preț licitat în 2023, de 96,33 EUR, a fost atins la 28 februarie. Cel mai mic preț, de 66,49 EUR, a fost înregistrat în ultima licitație a anului, la 18 decembrie, reflectând tendința generală descendentă din a doua jumătate a anului. Prețul mediu în 2023 a fost de 83,60 EUR, în creștere de la 80,18 EUR în 2022. În prima jumătate a anului 2024, prețul a variat între 49,50 EUR (23 februarie) și 75,35 EUR (3 iunie).</w:t>
      </w:r>
    </w:p>
    <w:p w14:paraId="092A623F" w14:textId="3AF8D5EF" w:rsidR="00C83D6D" w:rsidRPr="002A150B" w:rsidRDefault="00C83D6D" w:rsidP="00C83D6D">
      <w:pPr>
        <w:pStyle w:val="CMR-text"/>
        <w:rPr>
          <w:noProof/>
          <w:highlight w:val="yellow"/>
        </w:rPr>
      </w:pPr>
      <w:r w:rsidRPr="002A150B">
        <w:rPr>
          <w:noProof/>
        </w:rPr>
        <w:t>Platforma de licitație publică periodic rezultatele detaliate ale fiecărei licitații pe site-ul său</w:t>
      </w:r>
      <w:r w:rsidRPr="002A150B">
        <w:rPr>
          <w:rStyle w:val="FootnoteReference"/>
          <w:rFonts w:cs="Times New Roman"/>
          <w:noProof/>
          <w:szCs w:val="24"/>
        </w:rPr>
        <w:footnoteReference w:id="21"/>
      </w:r>
      <w:r w:rsidRPr="002A150B">
        <w:rPr>
          <w:noProof/>
        </w:rPr>
        <w:t>. În rapoartele privind licitațiile</w:t>
      </w:r>
      <w:r w:rsidR="002F2FB8" w:rsidRPr="002A150B">
        <w:rPr>
          <w:rStyle w:val="FootnoteReference"/>
          <w:rFonts w:cs="Times New Roman"/>
          <w:noProof/>
          <w:szCs w:val="24"/>
        </w:rPr>
        <w:footnoteReference w:id="22"/>
      </w:r>
      <w:r w:rsidRPr="002A150B">
        <w:rPr>
          <w:noProof/>
        </w:rPr>
        <w:t xml:space="preserve"> ale țărilor ETS sunt disponibile informații suplimentare referitoare la desfășurarea licitațiilor, inclusiv la participare, grade de acoperire și prețuri.</w:t>
      </w:r>
    </w:p>
    <w:p w14:paraId="2705C5B7" w14:textId="2934034C" w:rsidR="009D7AF6" w:rsidRPr="002A150B" w:rsidRDefault="009D7AF6" w:rsidP="00B00E95">
      <w:pPr>
        <w:pStyle w:val="Caption"/>
        <w:jc w:val="left"/>
        <w:rPr>
          <w:noProof/>
        </w:rPr>
      </w:pPr>
      <w:bookmarkStart w:id="23" w:name="_Ref176771484"/>
      <w:r w:rsidRPr="002A150B">
        <w:rPr>
          <w:noProof/>
        </w:rPr>
        <w:t xml:space="preserve">Figura </w:t>
      </w:r>
      <w:r w:rsidR="003B51C5" w:rsidRPr="002A150B">
        <w:rPr>
          <w:noProof/>
        </w:rPr>
        <w:fldChar w:fldCharType="begin"/>
      </w:r>
      <w:r w:rsidR="003B51C5" w:rsidRPr="002A150B">
        <w:rPr>
          <w:noProof/>
        </w:rPr>
        <w:instrText xml:space="preserve"> SEQ Figure \* ARABIC </w:instrText>
      </w:r>
      <w:r w:rsidR="003B51C5" w:rsidRPr="002A150B">
        <w:rPr>
          <w:noProof/>
        </w:rPr>
        <w:fldChar w:fldCharType="separate"/>
      </w:r>
      <w:r w:rsidR="00411CDC" w:rsidRPr="002A150B">
        <w:rPr>
          <w:noProof/>
        </w:rPr>
        <w:t>2</w:t>
      </w:r>
      <w:r w:rsidR="003B51C5" w:rsidRPr="002A150B">
        <w:rPr>
          <w:noProof/>
        </w:rPr>
        <w:fldChar w:fldCharType="end"/>
      </w:r>
      <w:bookmarkEnd w:id="23"/>
      <w:r w:rsidRPr="002A150B">
        <w:rPr>
          <w:noProof/>
        </w:rPr>
        <w:t>. Prețurile de închidere a licitațiilor pentru certificate generale (1 ianuarie 2023-30 iunie 2024) [EUR/tonă CO</w:t>
      </w:r>
      <w:r w:rsidRPr="002A150B">
        <w:rPr>
          <w:noProof/>
          <w:vertAlign w:val="subscript"/>
        </w:rPr>
        <w:t>2</w:t>
      </w:r>
      <w:r w:rsidRPr="002A150B">
        <w:rPr>
          <w:noProof/>
        </w:rPr>
        <w:t>]</w:t>
      </w:r>
    </w:p>
    <w:p w14:paraId="3A07D2B2" w14:textId="041ACD68" w:rsidR="00C83D6D" w:rsidRPr="002A150B" w:rsidRDefault="002C3B5F" w:rsidP="00B00E95">
      <w:pPr>
        <w:pStyle w:val="CMR-tables"/>
        <w:rPr>
          <w:noProof/>
          <w:highlight w:val="yellow"/>
        </w:rPr>
      </w:pPr>
      <w:r w:rsidRPr="002C3B5F">
        <w:rPr>
          <w:noProof/>
          <w:lang w:val="en-GB" w:eastAsia="en-GB"/>
        </w:rPr>
        <w:drawing>
          <wp:inline distT="0" distB="0" distL="0" distR="0" wp14:anchorId="464728A3" wp14:editId="6EECAF96">
            <wp:extent cx="5731510" cy="3362325"/>
            <wp:effectExtent l="0" t="0" r="2540" b="9525"/>
            <wp:docPr id="126896110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31" cstate="print">
                      <a:extLst>
                        <a:ext uri="{28A0092B-C50C-407E-A947-70E740481C1C}">
                          <a14:useLocalDpi xmlns:a14="http://schemas.microsoft.com/office/drawing/2010/main" val="0"/>
                        </a:ext>
                      </a:extLst>
                    </a:blip>
                    <a:srcRect/>
                    <a:stretch>
                      <a:fillRect/>
                    </a:stretch>
                  </pic:blipFill>
                  <pic:spPr bwMode="auto">
                    <a:xfrm>
                      <a:off x="0" y="0"/>
                      <a:ext cx="5731510" cy="3362325"/>
                    </a:xfrm>
                    <a:prstGeom prst="rect">
                      <a:avLst/>
                    </a:prstGeom>
                    <a:noFill/>
                    <a:ln>
                      <a:noFill/>
                    </a:ln>
                  </pic:spPr>
                </pic:pic>
              </a:graphicData>
            </a:graphic>
          </wp:inline>
        </w:drawing>
      </w:r>
    </w:p>
    <w:p w14:paraId="78DAFA45" w14:textId="7E8890E0" w:rsidR="00613B80" w:rsidRPr="002A150B" w:rsidRDefault="00613B80" w:rsidP="009035AD">
      <w:pPr>
        <w:pStyle w:val="CMR-Heading"/>
        <w:rPr>
          <w:noProof/>
        </w:rPr>
      </w:pPr>
      <w:bookmarkStart w:id="24" w:name="_Toc180513396"/>
      <w:bookmarkStart w:id="25" w:name="_Toc189482430"/>
      <w:r w:rsidRPr="002A150B">
        <w:rPr>
          <w:noProof/>
        </w:rPr>
        <w:t>Alocarea cu titlu gratuit a certificatelor</w:t>
      </w:r>
      <w:bookmarkEnd w:id="24"/>
      <w:bookmarkEnd w:id="25"/>
    </w:p>
    <w:p w14:paraId="5BCD0397" w14:textId="735D0C80" w:rsidR="009712D9" w:rsidRPr="002A150B" w:rsidRDefault="4ACDE71C" w:rsidP="005E05CB">
      <w:pPr>
        <w:pStyle w:val="CMR-text"/>
        <w:rPr>
          <w:noProof/>
        </w:rPr>
      </w:pPr>
      <w:r w:rsidRPr="002A150B">
        <w:rPr>
          <w:noProof/>
        </w:rPr>
        <w:t>Deși vânzarea prin licitație este metoda principală de distribuire a certificatelor de emisii în EU ETS, un volum semnificativ de certificate este alocat cu titlu gratuit instalațiilor pentru a combate riscul de relocare a emisiilor de dioxid de carbon</w:t>
      </w:r>
      <w:r w:rsidR="00DE42A8" w:rsidRPr="002A150B">
        <w:rPr>
          <w:rStyle w:val="FootnoteReference"/>
          <w:noProof/>
        </w:rPr>
        <w:footnoteReference w:id="23"/>
      </w:r>
      <w:r w:rsidRPr="002A150B">
        <w:rPr>
          <w:noProof/>
        </w:rPr>
        <w:t xml:space="preserve">. Totuși, alocarea cu titlu gratuit este o măsură tranzitorie care se adresează în principal sectoarelor industriale. </w:t>
      </w:r>
    </w:p>
    <w:p w14:paraId="4FDDC971" w14:textId="7A55B9EA" w:rsidR="4ACDE71C" w:rsidRPr="002A150B" w:rsidRDefault="4ACDE71C" w:rsidP="005E05CB">
      <w:pPr>
        <w:pStyle w:val="CMR-text"/>
        <w:rPr>
          <w:noProof/>
        </w:rPr>
      </w:pPr>
      <w:r w:rsidRPr="002A150B">
        <w:rPr>
          <w:noProof/>
        </w:rPr>
        <w:t>Sectoarele cu risc de relocare a emisiilor de dioxid de carbon, eligibile pentru a beneficia de alocarea cu titlu gratuit, sunt identificate într-o listă specifică privind riscul de relocare a emisiilor de dioxid de carbon. Lista corespunzătoare perioadei 2021-2030 identifică 63 de sectoare și subsectoare, acoperind aproximativ 94 % din emisiile industriale din cadrul EU ETS</w:t>
      </w:r>
      <w:r w:rsidR="00462E0F" w:rsidRPr="002A150B">
        <w:rPr>
          <w:rStyle w:val="FootnoteReference"/>
          <w:noProof/>
        </w:rPr>
        <w:footnoteReference w:id="24"/>
      </w:r>
      <w:r w:rsidRPr="002A150B">
        <w:rPr>
          <w:noProof/>
        </w:rPr>
        <w:t xml:space="preserve">. </w:t>
      </w:r>
    </w:p>
    <w:p w14:paraId="67F8DD7F" w14:textId="7C78EEA5" w:rsidR="004D3E16" w:rsidRPr="002A150B" w:rsidRDefault="4ACDE71C" w:rsidP="005E05CB">
      <w:pPr>
        <w:pStyle w:val="CMR-text"/>
        <w:rPr>
          <w:noProof/>
        </w:rPr>
      </w:pPr>
      <w:r w:rsidRPr="002A150B">
        <w:rPr>
          <w:noProof/>
        </w:rPr>
        <w:t xml:space="preserve">Alocarea cu titlu gratuit către anumite sectoare se bazează pe criterii de referință privind performanța, care reflectă intensitatea medie a emisiilor pe unitatea de produs la cele mai eficiente 10 % dintre instalațiile fiecărui sector. Pentru emisiile care depășesc aceste valori de referință, certificatele trebuie achiziționate de pe piață. În plus, criteriile scad treptat pentru ca sectorul să fie din ce în ce mai motivat să realizeze decarbonizarea și să promoveze inovarea. </w:t>
      </w:r>
    </w:p>
    <w:p w14:paraId="34444376" w14:textId="30EEA887" w:rsidR="4ACDE71C" w:rsidRPr="002A150B" w:rsidRDefault="4ACDE71C" w:rsidP="005E05CB">
      <w:pPr>
        <w:pStyle w:val="CMR-text"/>
        <w:rPr>
          <w:noProof/>
        </w:rPr>
      </w:pPr>
      <w:r w:rsidRPr="002A150B">
        <w:rPr>
          <w:noProof/>
        </w:rPr>
        <w:t>În 2021, Comisia a actualizat valorile de referință pentru prima perioadă de alocare, 2021-2025</w:t>
      </w:r>
      <w:r w:rsidR="00882D9C" w:rsidRPr="002A150B">
        <w:rPr>
          <w:rStyle w:val="FootnoteReference"/>
          <w:noProof/>
        </w:rPr>
        <w:footnoteReference w:id="25"/>
      </w:r>
      <w:r w:rsidRPr="002A150B">
        <w:rPr>
          <w:noProof/>
        </w:rPr>
        <w:t xml:space="preserve">. Criteriile de referință vor fi actualizate pentru a doua perioadă de alocare (2026-2030). În conformitate cu Directiva EU ETS revizuită, ratele anuale de reducere vor fi apoi majorate pentru a stimula o mai mare transformare industrială. Rata minimă va crește de la 0,2 % la 0,3 % pe an, iar rata maximă – de la 1,6 % la 2,5 % pe an. Rata anuală de reducere aplicabilă va fi determinată în mod specific pentru fiecare valoare de referință. </w:t>
      </w:r>
    </w:p>
    <w:p w14:paraId="316E6C73" w14:textId="748776CE" w:rsidR="4ACDE71C" w:rsidRPr="002A150B" w:rsidRDefault="00C27B35" w:rsidP="0060292C">
      <w:pPr>
        <w:pStyle w:val="CMR-text"/>
        <w:rPr>
          <w:noProof/>
        </w:rPr>
      </w:pPr>
      <w:r w:rsidRPr="002A150B">
        <w:rPr>
          <w:noProof/>
        </w:rPr>
        <w:t>Începând din 2021, volumele alocărilor cu titlu gratuit se ajustează atunci când apar modificări ale producției industriale</w:t>
      </w:r>
      <w:r w:rsidR="4ACDE71C" w:rsidRPr="002A150B">
        <w:rPr>
          <w:noProof/>
          <w:vertAlign w:val="superscript"/>
        </w:rPr>
        <w:footnoteReference w:id="26"/>
      </w:r>
      <w:r w:rsidRPr="002A150B">
        <w:rPr>
          <w:noProof/>
        </w:rPr>
        <w:t xml:space="preserve">. Pragul pentru ajustări este stabilit la o creștere sau scădere a producției cu 15 %. Operatorii au obligația de a prezenta autorităților naționale competente rapoarte anuale privind datele de producție, pe baza cărora se pot efectua ajustări ale volumelor de alocări cu titlu gratuit emise. Această rigoare suplimentară a condus la o creștere a numărului de ajustări anuale ale alocărilor cu titlu gratuit. Numărul mediu de cereri depuse anual în perioada 2021-2023 a fost de peste 3 800, de aproximativ trei ori mai mare decât media anuală până în 2020. </w:t>
      </w:r>
    </w:p>
    <w:p w14:paraId="3E4B9C0F" w14:textId="4397BDCA" w:rsidR="4ACDE71C" w:rsidRPr="002A150B" w:rsidRDefault="4ACDE71C" w:rsidP="0060292C">
      <w:pPr>
        <w:pStyle w:val="CMR-text"/>
        <w:rPr>
          <w:noProof/>
        </w:rPr>
      </w:pPr>
      <w:r w:rsidRPr="002A150B">
        <w:rPr>
          <w:noProof/>
        </w:rPr>
        <w:t>Inițial, alocarea cu titlu gratuit pentru perioada 2021-2025 a fost calculată la 2 791 de milioane de certificate, pentru 7 430 de instalații. Presupunând că prețul carbonului este de 75 EUR/tonă CO</w:t>
      </w:r>
      <w:r w:rsidRPr="002A150B">
        <w:rPr>
          <w:noProof/>
          <w:vertAlign w:val="subscript"/>
        </w:rPr>
        <w:t>2</w:t>
      </w:r>
      <w:r w:rsidRPr="002A150B">
        <w:rPr>
          <w:noProof/>
        </w:rPr>
        <w:t>, valoarea acestei alocări s-ar ridica la aproximativ 42 de miliarde EUR în fiecare an în această perioadă. Până la jumătatea anului 2024, Comisia a adoptat 12 decizii de ajustare a volumelor alocărilor cu titlu gratuit ca urmare a modificărilor volumelor producției industriale, ceea ce a dus la scăderea cu 116,8 milioane a numărului de certificate</w:t>
      </w:r>
      <w:r w:rsidR="00F43884" w:rsidRPr="002A150B">
        <w:rPr>
          <w:noProof/>
          <w:vertAlign w:val="superscript"/>
        </w:rPr>
        <w:footnoteReference w:id="27"/>
      </w:r>
      <w:r w:rsidRPr="002A150B">
        <w:rPr>
          <w:noProof/>
        </w:rPr>
        <w:t>. În paralel însă, Comisia a adoptat trei decizii prin care a corectat nivelul inițial al alocării cu titlu gratuit, adăugând 4,6 milioane de certificate</w:t>
      </w:r>
      <w:r w:rsidR="00DE3719" w:rsidRPr="002A150B">
        <w:rPr>
          <w:noProof/>
          <w:vertAlign w:val="superscript"/>
        </w:rPr>
        <w:footnoteReference w:id="28"/>
      </w:r>
      <w:r w:rsidRPr="002A150B">
        <w:rPr>
          <w:noProof/>
        </w:rPr>
        <w:t>. Acest demers a fost necesar din cauza erorilor constatate în datele transmise de instalații. Până în prezent, alocarea cu titlu gratuit pentru perioada 2021-2025 a fost redusă în total cu 112,2 milioane de certificate în comparație cu alocarea totală inițială.</w:t>
      </w:r>
    </w:p>
    <w:p w14:paraId="1B668B13" w14:textId="088BB360" w:rsidR="4ACDE71C" w:rsidRPr="002A150B" w:rsidRDefault="4ACDE71C" w:rsidP="0060292C">
      <w:pPr>
        <w:pStyle w:val="CMR-text"/>
        <w:rPr>
          <w:noProof/>
        </w:rPr>
      </w:pPr>
      <w:r w:rsidRPr="002A150B">
        <w:rPr>
          <w:noProof/>
        </w:rPr>
        <w:t>Ajustările nivelului alocării cu titlu gratuit se efectuează din rezerva pentru instalațiile nou-intrate (</w:t>
      </w:r>
      <w:r w:rsidRPr="002A150B">
        <w:rPr>
          <w:i/>
          <w:iCs/>
          <w:noProof/>
        </w:rPr>
        <w:t>New Entrants’ Reserve</w:t>
      </w:r>
      <w:r w:rsidRPr="002A150B">
        <w:rPr>
          <w:noProof/>
        </w:rPr>
        <w:t xml:space="preserve"> – NER). Aceste ajustări includ și modificări ale alocării ca urmare a deschiderii sau închiderii instalațiilor. Volumul inițial al NER, la începutul anului 2021, se ridica la 331,3 milioane de certificate, acest număr incluzând certificatele nealocate și 200 de milioane de certificate din rezerva pentru stabilitatea pieței. </w:t>
      </w:r>
    </w:p>
    <w:p w14:paraId="317957E4" w14:textId="32EC52B5" w:rsidR="0F5F5892" w:rsidRPr="002A150B" w:rsidRDefault="00336EB9" w:rsidP="0045336E">
      <w:pPr>
        <w:pStyle w:val="CMR-text"/>
        <w:rPr>
          <w:rFonts w:eastAsiaTheme="minorEastAsia"/>
          <w:i/>
          <w:noProof/>
          <w:szCs w:val="24"/>
        </w:rPr>
      </w:pPr>
      <w:r w:rsidRPr="002A150B">
        <w:rPr>
          <w:noProof/>
          <w:color w:val="000000" w:themeColor="text1"/>
        </w:rPr>
        <w:fldChar w:fldCharType="begin"/>
      </w:r>
      <w:r w:rsidRPr="002A150B">
        <w:rPr>
          <w:noProof/>
          <w:color w:val="000000" w:themeColor="text1"/>
        </w:rPr>
        <w:instrText xml:space="preserve"> REF _Ref176771527 \h </w:instrText>
      </w:r>
      <w:r w:rsidR="00764E84" w:rsidRPr="002A150B">
        <w:rPr>
          <w:noProof/>
          <w:color w:val="000000" w:themeColor="text1"/>
        </w:rPr>
        <w:instrText xml:space="preserve"> \* MERGEFORMAT </w:instrText>
      </w:r>
      <w:r w:rsidRPr="002A150B">
        <w:rPr>
          <w:noProof/>
          <w:color w:val="000000" w:themeColor="text1"/>
        </w:rPr>
      </w:r>
      <w:r w:rsidRPr="002A150B">
        <w:rPr>
          <w:noProof/>
          <w:color w:val="000000" w:themeColor="text1"/>
        </w:rPr>
        <w:fldChar w:fldCharType="separate"/>
      </w:r>
      <w:r w:rsidR="00411CDC" w:rsidRPr="002A150B">
        <w:rPr>
          <w:noProof/>
        </w:rPr>
        <w:t>Tab</w:t>
      </w:r>
      <w:r w:rsidR="00071901" w:rsidRPr="002A150B">
        <w:rPr>
          <w:noProof/>
        </w:rPr>
        <w:t>elul</w:t>
      </w:r>
      <w:r w:rsidR="00411CDC" w:rsidRPr="002A150B">
        <w:rPr>
          <w:noProof/>
        </w:rPr>
        <w:t xml:space="preserve"> 3</w:t>
      </w:r>
      <w:r w:rsidRPr="002A150B">
        <w:rPr>
          <w:noProof/>
          <w:color w:val="000000" w:themeColor="text1"/>
        </w:rPr>
        <w:fldChar w:fldCharType="end"/>
      </w:r>
      <w:r w:rsidRPr="002A150B">
        <w:rPr>
          <w:noProof/>
          <w:color w:val="000000" w:themeColor="text1"/>
        </w:rPr>
        <w:t xml:space="preserve"> </w:t>
      </w:r>
      <w:r w:rsidRPr="002A150B">
        <w:rPr>
          <w:noProof/>
        </w:rPr>
        <w:t xml:space="preserve">sintetizează nivelurile anuale ale alocării cu titlu gratuit în prima perioadă de alocare – atât nivelurile inițiale, cât și cele ajustate. </w:t>
      </w:r>
    </w:p>
    <w:p w14:paraId="22B44197" w14:textId="40E41830" w:rsidR="00D82168" w:rsidRPr="002A150B" w:rsidRDefault="00D82168" w:rsidP="0045336E">
      <w:pPr>
        <w:pStyle w:val="Caption"/>
        <w:keepNext/>
        <w:rPr>
          <w:noProof/>
        </w:rPr>
      </w:pPr>
      <w:bookmarkStart w:id="26" w:name="_Ref176771527"/>
      <w:r w:rsidRPr="002A150B">
        <w:rPr>
          <w:noProof/>
        </w:rPr>
        <w:t xml:space="preserve">Tabelul </w:t>
      </w:r>
      <w:r w:rsidR="003B51C5" w:rsidRPr="002A150B">
        <w:rPr>
          <w:noProof/>
        </w:rPr>
        <w:fldChar w:fldCharType="begin"/>
      </w:r>
      <w:r w:rsidR="003B51C5" w:rsidRPr="002A150B">
        <w:rPr>
          <w:noProof/>
        </w:rPr>
        <w:instrText xml:space="preserve"> SEQ Table \* ARABIC </w:instrText>
      </w:r>
      <w:r w:rsidR="003B51C5" w:rsidRPr="002A150B">
        <w:rPr>
          <w:noProof/>
        </w:rPr>
        <w:fldChar w:fldCharType="separate"/>
      </w:r>
      <w:r w:rsidR="00411CDC" w:rsidRPr="002A150B">
        <w:rPr>
          <w:noProof/>
        </w:rPr>
        <w:t>3</w:t>
      </w:r>
      <w:r w:rsidR="003B51C5" w:rsidRPr="002A150B">
        <w:rPr>
          <w:noProof/>
        </w:rPr>
        <w:fldChar w:fldCharType="end"/>
      </w:r>
      <w:bookmarkEnd w:id="26"/>
      <w:r w:rsidRPr="002A150B">
        <w:rPr>
          <w:noProof/>
        </w:rPr>
        <w:t xml:space="preserve">. Alocarea cu titlu gratuit în cadrul EU ETS (2021-2025) [milioane de certificate]. Date extrase din registrul UE la 30 iunie 2024. </w:t>
      </w:r>
    </w:p>
    <w:tbl>
      <w:tblPr>
        <w:tblStyle w:val="TableGridLight"/>
        <w:tblW w:w="9013" w:type="dxa"/>
        <w:tblLayout w:type="fixed"/>
        <w:tblLook w:val="04A0" w:firstRow="1" w:lastRow="0" w:firstColumn="1" w:lastColumn="0" w:noHBand="0" w:noVBand="1"/>
      </w:tblPr>
      <w:tblGrid>
        <w:gridCol w:w="2263"/>
        <w:gridCol w:w="1125"/>
        <w:gridCol w:w="1125"/>
        <w:gridCol w:w="1125"/>
        <w:gridCol w:w="1125"/>
        <w:gridCol w:w="1125"/>
        <w:gridCol w:w="1125"/>
      </w:tblGrid>
      <w:tr w:rsidR="2FB941BE" w:rsidRPr="002A150B" w14:paraId="1AEE99C6" w14:textId="77777777" w:rsidTr="001F1040">
        <w:trPr>
          <w:cantSplit/>
          <w:trHeight w:val="390"/>
        </w:trPr>
        <w:tc>
          <w:tcPr>
            <w:tcW w:w="2263" w:type="dxa"/>
            <w:vAlign w:val="center"/>
          </w:tcPr>
          <w:p w14:paraId="21370450" w14:textId="3BF16ECE" w:rsidR="2FB941BE" w:rsidRPr="002A150B" w:rsidRDefault="2FB941BE" w:rsidP="00D54832">
            <w:pPr>
              <w:pStyle w:val="CMR-tables"/>
              <w:keepNext/>
              <w:rPr>
                <w:b/>
                <w:noProof/>
              </w:rPr>
            </w:pPr>
            <w:r w:rsidRPr="002A150B">
              <w:rPr>
                <w:b/>
                <w:noProof/>
              </w:rPr>
              <w:t xml:space="preserve">Anul </w:t>
            </w:r>
          </w:p>
        </w:tc>
        <w:tc>
          <w:tcPr>
            <w:tcW w:w="1125" w:type="dxa"/>
            <w:vAlign w:val="center"/>
          </w:tcPr>
          <w:p w14:paraId="7FEEB1D3" w14:textId="16C6B59D" w:rsidR="2FB941BE" w:rsidRPr="002A150B" w:rsidRDefault="2FB941BE" w:rsidP="00D54832">
            <w:pPr>
              <w:pStyle w:val="CMR-tables"/>
              <w:keepNext/>
              <w:jc w:val="center"/>
              <w:rPr>
                <w:noProof/>
              </w:rPr>
            </w:pPr>
            <w:r w:rsidRPr="002A150B">
              <w:rPr>
                <w:noProof/>
              </w:rPr>
              <w:t>2021</w:t>
            </w:r>
          </w:p>
        </w:tc>
        <w:tc>
          <w:tcPr>
            <w:tcW w:w="1125" w:type="dxa"/>
            <w:vAlign w:val="center"/>
          </w:tcPr>
          <w:p w14:paraId="58BBB876" w14:textId="6031FC1C" w:rsidR="2FB941BE" w:rsidRPr="002A150B" w:rsidRDefault="2FB941BE" w:rsidP="00D54832">
            <w:pPr>
              <w:pStyle w:val="CMR-tables"/>
              <w:keepNext/>
              <w:jc w:val="center"/>
              <w:rPr>
                <w:noProof/>
              </w:rPr>
            </w:pPr>
            <w:r w:rsidRPr="002A150B">
              <w:rPr>
                <w:noProof/>
              </w:rPr>
              <w:t>2022</w:t>
            </w:r>
          </w:p>
        </w:tc>
        <w:tc>
          <w:tcPr>
            <w:tcW w:w="1125" w:type="dxa"/>
            <w:vAlign w:val="center"/>
          </w:tcPr>
          <w:p w14:paraId="4B59FE51" w14:textId="78A1A139" w:rsidR="2FB941BE" w:rsidRPr="002A150B" w:rsidRDefault="2FB941BE" w:rsidP="00D54832">
            <w:pPr>
              <w:pStyle w:val="CMR-tables"/>
              <w:keepNext/>
              <w:jc w:val="center"/>
              <w:rPr>
                <w:noProof/>
              </w:rPr>
            </w:pPr>
            <w:r w:rsidRPr="002A150B">
              <w:rPr>
                <w:noProof/>
              </w:rPr>
              <w:t>2023</w:t>
            </w:r>
          </w:p>
        </w:tc>
        <w:tc>
          <w:tcPr>
            <w:tcW w:w="1125" w:type="dxa"/>
            <w:vAlign w:val="center"/>
          </w:tcPr>
          <w:p w14:paraId="1824AC6A" w14:textId="6BB30CDA" w:rsidR="2FB941BE" w:rsidRPr="002A150B" w:rsidRDefault="2FB941BE" w:rsidP="00D54832">
            <w:pPr>
              <w:pStyle w:val="CMR-tables"/>
              <w:keepNext/>
              <w:jc w:val="center"/>
              <w:rPr>
                <w:noProof/>
              </w:rPr>
            </w:pPr>
            <w:r w:rsidRPr="002A150B">
              <w:rPr>
                <w:noProof/>
              </w:rPr>
              <w:t>2024</w:t>
            </w:r>
          </w:p>
        </w:tc>
        <w:tc>
          <w:tcPr>
            <w:tcW w:w="1125" w:type="dxa"/>
            <w:vAlign w:val="center"/>
          </w:tcPr>
          <w:p w14:paraId="3DAC66B8" w14:textId="4F00FEDB" w:rsidR="2FB941BE" w:rsidRPr="002A150B" w:rsidRDefault="2FB941BE" w:rsidP="00D54832">
            <w:pPr>
              <w:pStyle w:val="CMR-tables"/>
              <w:keepNext/>
              <w:jc w:val="center"/>
              <w:rPr>
                <w:noProof/>
              </w:rPr>
            </w:pPr>
            <w:r w:rsidRPr="002A150B">
              <w:rPr>
                <w:noProof/>
              </w:rPr>
              <w:t>2025</w:t>
            </w:r>
          </w:p>
        </w:tc>
        <w:tc>
          <w:tcPr>
            <w:tcW w:w="1125" w:type="dxa"/>
            <w:vAlign w:val="center"/>
          </w:tcPr>
          <w:p w14:paraId="1BC681F4" w14:textId="743DF48B" w:rsidR="2FB941BE" w:rsidRPr="002A150B" w:rsidRDefault="2FB941BE" w:rsidP="00D54832">
            <w:pPr>
              <w:pStyle w:val="CMR-tables"/>
              <w:keepNext/>
              <w:jc w:val="center"/>
              <w:rPr>
                <w:noProof/>
              </w:rPr>
            </w:pPr>
            <w:r w:rsidRPr="002A150B">
              <w:rPr>
                <w:noProof/>
              </w:rPr>
              <w:t>Total</w:t>
            </w:r>
          </w:p>
        </w:tc>
      </w:tr>
      <w:tr w:rsidR="2FB941BE" w:rsidRPr="002A150B" w14:paraId="394F4B7D" w14:textId="77777777" w:rsidTr="002E6061">
        <w:trPr>
          <w:cantSplit/>
          <w:trHeight w:val="1092"/>
        </w:trPr>
        <w:tc>
          <w:tcPr>
            <w:tcW w:w="2263" w:type="dxa"/>
            <w:shd w:val="clear" w:color="auto" w:fill="F2F2F2" w:themeFill="background1" w:themeFillShade="F2"/>
            <w:vAlign w:val="center"/>
          </w:tcPr>
          <w:p w14:paraId="283BE1A8" w14:textId="25149850" w:rsidR="2FB941BE" w:rsidRPr="002A150B" w:rsidRDefault="2FB941BE" w:rsidP="00D54832">
            <w:pPr>
              <w:pStyle w:val="CMR-tables"/>
              <w:keepNext/>
              <w:rPr>
                <w:b/>
                <w:noProof/>
              </w:rPr>
            </w:pPr>
            <w:r w:rsidRPr="002A150B">
              <w:rPr>
                <w:b/>
                <w:noProof/>
              </w:rPr>
              <w:t xml:space="preserve">Alocare cu titlu gratuit inițială (UE-27 + Islanda, Liechtenstein și Norvegia) </w:t>
            </w:r>
          </w:p>
        </w:tc>
        <w:tc>
          <w:tcPr>
            <w:tcW w:w="1125" w:type="dxa"/>
            <w:shd w:val="clear" w:color="auto" w:fill="F2F2F2" w:themeFill="background1" w:themeFillShade="F2"/>
            <w:vAlign w:val="center"/>
          </w:tcPr>
          <w:p w14:paraId="31E194ED" w14:textId="2E0C9683" w:rsidR="2FB941BE" w:rsidRPr="002A150B" w:rsidRDefault="2FB941BE" w:rsidP="00E64668">
            <w:pPr>
              <w:pStyle w:val="CMR-tables"/>
              <w:keepNext/>
              <w:jc w:val="center"/>
              <w:rPr>
                <w:noProof/>
              </w:rPr>
            </w:pPr>
            <w:r w:rsidRPr="002A150B">
              <w:rPr>
                <w:noProof/>
              </w:rPr>
              <w:t>559,6</w:t>
            </w:r>
          </w:p>
        </w:tc>
        <w:tc>
          <w:tcPr>
            <w:tcW w:w="1125" w:type="dxa"/>
            <w:shd w:val="clear" w:color="auto" w:fill="F2F2F2" w:themeFill="background1" w:themeFillShade="F2"/>
            <w:vAlign w:val="center"/>
          </w:tcPr>
          <w:p w14:paraId="49DF93B8" w14:textId="33F6E367" w:rsidR="2FB941BE" w:rsidRPr="002A150B" w:rsidRDefault="2FB941BE" w:rsidP="00E64668">
            <w:pPr>
              <w:pStyle w:val="CMR-tables"/>
              <w:keepNext/>
              <w:jc w:val="center"/>
              <w:rPr>
                <w:noProof/>
              </w:rPr>
            </w:pPr>
            <w:r w:rsidRPr="002A150B">
              <w:rPr>
                <w:noProof/>
              </w:rPr>
              <w:t>558,9</w:t>
            </w:r>
          </w:p>
        </w:tc>
        <w:tc>
          <w:tcPr>
            <w:tcW w:w="1125" w:type="dxa"/>
            <w:shd w:val="clear" w:color="auto" w:fill="F2F2F2" w:themeFill="background1" w:themeFillShade="F2"/>
            <w:vAlign w:val="center"/>
          </w:tcPr>
          <w:p w14:paraId="42317239" w14:textId="217EA8A8" w:rsidR="2FB941BE" w:rsidRPr="002A150B" w:rsidRDefault="2FB941BE" w:rsidP="00E64668">
            <w:pPr>
              <w:pStyle w:val="CMR-tables"/>
              <w:keepNext/>
              <w:jc w:val="center"/>
              <w:rPr>
                <w:noProof/>
              </w:rPr>
            </w:pPr>
            <w:r w:rsidRPr="002A150B">
              <w:rPr>
                <w:noProof/>
              </w:rPr>
              <w:t>558,2</w:t>
            </w:r>
          </w:p>
        </w:tc>
        <w:tc>
          <w:tcPr>
            <w:tcW w:w="1125" w:type="dxa"/>
            <w:shd w:val="clear" w:color="auto" w:fill="F2F2F2" w:themeFill="background1" w:themeFillShade="F2"/>
            <w:vAlign w:val="center"/>
          </w:tcPr>
          <w:p w14:paraId="1AE059AA" w14:textId="1318FE64" w:rsidR="2FB941BE" w:rsidRPr="002A150B" w:rsidRDefault="2FB941BE" w:rsidP="00E64668">
            <w:pPr>
              <w:pStyle w:val="CMR-tables"/>
              <w:keepNext/>
              <w:jc w:val="center"/>
              <w:rPr>
                <w:noProof/>
              </w:rPr>
            </w:pPr>
            <w:r w:rsidRPr="002A150B">
              <w:rPr>
                <w:noProof/>
              </w:rPr>
              <w:t>557,5</w:t>
            </w:r>
          </w:p>
        </w:tc>
        <w:tc>
          <w:tcPr>
            <w:tcW w:w="1125" w:type="dxa"/>
            <w:shd w:val="clear" w:color="auto" w:fill="F2F2F2" w:themeFill="background1" w:themeFillShade="F2"/>
            <w:vAlign w:val="center"/>
          </w:tcPr>
          <w:p w14:paraId="0A4B8CF1" w14:textId="40E3EF23" w:rsidR="2FB941BE" w:rsidRPr="002A150B" w:rsidRDefault="2FB941BE" w:rsidP="00E64668">
            <w:pPr>
              <w:pStyle w:val="CMR-tables"/>
              <w:keepNext/>
              <w:jc w:val="center"/>
              <w:rPr>
                <w:noProof/>
              </w:rPr>
            </w:pPr>
            <w:r w:rsidRPr="002A150B">
              <w:rPr>
                <w:noProof/>
              </w:rPr>
              <w:t>556,8</w:t>
            </w:r>
          </w:p>
        </w:tc>
        <w:tc>
          <w:tcPr>
            <w:tcW w:w="1125" w:type="dxa"/>
            <w:shd w:val="clear" w:color="auto" w:fill="F2F2F2" w:themeFill="background1" w:themeFillShade="F2"/>
            <w:vAlign w:val="center"/>
          </w:tcPr>
          <w:p w14:paraId="74E4F36A" w14:textId="3E9AA303" w:rsidR="2FB941BE" w:rsidRPr="002A150B" w:rsidRDefault="2FB941BE" w:rsidP="00E64668">
            <w:pPr>
              <w:pStyle w:val="CMR-tables"/>
              <w:keepNext/>
              <w:jc w:val="center"/>
              <w:rPr>
                <w:noProof/>
              </w:rPr>
            </w:pPr>
            <w:r w:rsidRPr="002A150B">
              <w:rPr>
                <w:noProof/>
              </w:rPr>
              <w:t>2 791,1</w:t>
            </w:r>
          </w:p>
        </w:tc>
      </w:tr>
      <w:tr w:rsidR="2FB941BE" w:rsidRPr="002A150B" w14:paraId="233C0001" w14:textId="77777777" w:rsidTr="001F1040">
        <w:trPr>
          <w:cantSplit/>
          <w:trHeight w:val="802"/>
        </w:trPr>
        <w:tc>
          <w:tcPr>
            <w:tcW w:w="2263" w:type="dxa"/>
            <w:vAlign w:val="center"/>
          </w:tcPr>
          <w:p w14:paraId="3C53EE53" w14:textId="2B9DD101" w:rsidR="2FB941BE" w:rsidRPr="002A150B" w:rsidRDefault="2FB941BE" w:rsidP="00D54832">
            <w:pPr>
              <w:pStyle w:val="CMR-tables"/>
              <w:keepNext/>
              <w:rPr>
                <w:b/>
                <w:noProof/>
              </w:rPr>
            </w:pPr>
            <w:r w:rsidRPr="002A150B">
              <w:rPr>
                <w:b/>
                <w:noProof/>
              </w:rPr>
              <w:t xml:space="preserve">Alocare cu titlu gratuit efectivă </w:t>
            </w:r>
          </w:p>
        </w:tc>
        <w:tc>
          <w:tcPr>
            <w:tcW w:w="1125" w:type="dxa"/>
            <w:vAlign w:val="center"/>
          </w:tcPr>
          <w:p w14:paraId="6498E815" w14:textId="2980D159" w:rsidR="2FB941BE" w:rsidRPr="002A150B" w:rsidRDefault="2FB941BE" w:rsidP="00E64668">
            <w:pPr>
              <w:pStyle w:val="CMR-tables"/>
              <w:keepNext/>
              <w:jc w:val="center"/>
              <w:rPr>
                <w:noProof/>
              </w:rPr>
            </w:pPr>
            <w:r w:rsidRPr="002A150B">
              <w:rPr>
                <w:noProof/>
              </w:rPr>
              <w:t>545,9</w:t>
            </w:r>
          </w:p>
        </w:tc>
        <w:tc>
          <w:tcPr>
            <w:tcW w:w="1125" w:type="dxa"/>
            <w:vAlign w:val="center"/>
          </w:tcPr>
          <w:p w14:paraId="2D43B582" w14:textId="4DEC1694" w:rsidR="2FB941BE" w:rsidRPr="002A150B" w:rsidRDefault="2FB941BE" w:rsidP="00E64668">
            <w:pPr>
              <w:pStyle w:val="CMR-tables"/>
              <w:keepNext/>
              <w:jc w:val="center"/>
              <w:rPr>
                <w:noProof/>
              </w:rPr>
            </w:pPr>
            <w:r w:rsidRPr="002A150B">
              <w:rPr>
                <w:noProof/>
              </w:rPr>
              <w:t>542,5</w:t>
            </w:r>
          </w:p>
        </w:tc>
        <w:tc>
          <w:tcPr>
            <w:tcW w:w="1125" w:type="dxa"/>
            <w:vAlign w:val="center"/>
          </w:tcPr>
          <w:p w14:paraId="647DF859" w14:textId="76F00F2B" w:rsidR="2FB941BE" w:rsidRPr="002A150B" w:rsidRDefault="2FB941BE" w:rsidP="00E64668">
            <w:pPr>
              <w:pStyle w:val="CMR-tables"/>
              <w:keepNext/>
              <w:jc w:val="center"/>
              <w:rPr>
                <w:noProof/>
              </w:rPr>
            </w:pPr>
            <w:r w:rsidRPr="002A150B">
              <w:rPr>
                <w:noProof/>
              </w:rPr>
              <w:t>537,3</w:t>
            </w:r>
          </w:p>
        </w:tc>
        <w:tc>
          <w:tcPr>
            <w:tcW w:w="1125" w:type="dxa"/>
            <w:vAlign w:val="center"/>
          </w:tcPr>
          <w:p w14:paraId="4361D595" w14:textId="752AFE09" w:rsidR="2FB941BE" w:rsidRPr="002A150B" w:rsidRDefault="2FB941BE" w:rsidP="00E64668">
            <w:pPr>
              <w:pStyle w:val="CMR-tables"/>
              <w:keepNext/>
              <w:jc w:val="center"/>
              <w:rPr>
                <w:noProof/>
              </w:rPr>
            </w:pPr>
            <w:r w:rsidRPr="002A150B">
              <w:rPr>
                <w:noProof/>
              </w:rPr>
              <w:t>527,0</w:t>
            </w:r>
          </w:p>
        </w:tc>
        <w:tc>
          <w:tcPr>
            <w:tcW w:w="1125" w:type="dxa"/>
            <w:vAlign w:val="center"/>
          </w:tcPr>
          <w:p w14:paraId="700B1DCC" w14:textId="0D608A0C" w:rsidR="2FB941BE" w:rsidRPr="002A150B" w:rsidRDefault="2FB941BE" w:rsidP="00E64668">
            <w:pPr>
              <w:pStyle w:val="CMR-tables"/>
              <w:keepNext/>
              <w:jc w:val="center"/>
              <w:rPr>
                <w:noProof/>
              </w:rPr>
            </w:pPr>
            <w:r w:rsidRPr="002A150B">
              <w:rPr>
                <w:noProof/>
              </w:rPr>
              <w:t>526,2</w:t>
            </w:r>
          </w:p>
        </w:tc>
        <w:tc>
          <w:tcPr>
            <w:tcW w:w="1125" w:type="dxa"/>
            <w:vAlign w:val="center"/>
          </w:tcPr>
          <w:p w14:paraId="72669C27" w14:textId="4D6C6EE0" w:rsidR="2FB941BE" w:rsidRPr="002A150B" w:rsidRDefault="2FB941BE" w:rsidP="00E64668">
            <w:pPr>
              <w:pStyle w:val="CMR-tables"/>
              <w:keepNext/>
              <w:jc w:val="center"/>
              <w:rPr>
                <w:noProof/>
              </w:rPr>
            </w:pPr>
            <w:r w:rsidRPr="002A150B">
              <w:rPr>
                <w:noProof/>
              </w:rPr>
              <w:t>2 678,9</w:t>
            </w:r>
          </w:p>
        </w:tc>
      </w:tr>
      <w:tr w:rsidR="2FB941BE" w:rsidRPr="002A150B" w14:paraId="428691B2" w14:textId="77777777" w:rsidTr="002E6061">
        <w:trPr>
          <w:cantSplit/>
          <w:trHeight w:val="802"/>
        </w:trPr>
        <w:tc>
          <w:tcPr>
            <w:tcW w:w="2263" w:type="dxa"/>
            <w:shd w:val="clear" w:color="auto" w:fill="F2F2F2" w:themeFill="background1" w:themeFillShade="F2"/>
            <w:vAlign w:val="center"/>
          </w:tcPr>
          <w:p w14:paraId="3AF6E7E7" w14:textId="2D33FF79" w:rsidR="2FB941BE" w:rsidRPr="002A150B" w:rsidRDefault="2FB941BE" w:rsidP="00D54832">
            <w:pPr>
              <w:pStyle w:val="CMR-tables"/>
              <w:keepNext/>
              <w:rPr>
                <w:b/>
                <w:noProof/>
              </w:rPr>
            </w:pPr>
            <w:r w:rsidRPr="002A150B">
              <w:rPr>
                <w:b/>
                <w:noProof/>
              </w:rPr>
              <w:t xml:space="preserve">Alocare cu titlu gratuit ajustată și corectată </w:t>
            </w:r>
          </w:p>
        </w:tc>
        <w:tc>
          <w:tcPr>
            <w:tcW w:w="1125" w:type="dxa"/>
            <w:shd w:val="clear" w:color="auto" w:fill="F2F2F2" w:themeFill="background1" w:themeFillShade="F2"/>
            <w:vAlign w:val="center"/>
          </w:tcPr>
          <w:p w14:paraId="68B7EC0D" w14:textId="520DAB05" w:rsidR="2FB941BE" w:rsidRPr="002A150B" w:rsidRDefault="2FB941BE" w:rsidP="00E64668">
            <w:pPr>
              <w:pStyle w:val="CMR-tables"/>
              <w:keepNext/>
              <w:jc w:val="center"/>
              <w:rPr>
                <w:noProof/>
              </w:rPr>
            </w:pPr>
            <w:r w:rsidRPr="002A150B">
              <w:rPr>
                <w:noProof/>
              </w:rPr>
              <w:t>-13,7</w:t>
            </w:r>
          </w:p>
        </w:tc>
        <w:tc>
          <w:tcPr>
            <w:tcW w:w="1125" w:type="dxa"/>
            <w:shd w:val="clear" w:color="auto" w:fill="F2F2F2" w:themeFill="background1" w:themeFillShade="F2"/>
            <w:vAlign w:val="center"/>
          </w:tcPr>
          <w:p w14:paraId="61CAE806" w14:textId="7166B0DC" w:rsidR="2FB941BE" w:rsidRPr="002A150B" w:rsidRDefault="2FB941BE" w:rsidP="00E64668">
            <w:pPr>
              <w:pStyle w:val="CMR-tables"/>
              <w:keepNext/>
              <w:jc w:val="center"/>
              <w:rPr>
                <w:noProof/>
              </w:rPr>
            </w:pPr>
            <w:r w:rsidRPr="002A150B">
              <w:rPr>
                <w:noProof/>
              </w:rPr>
              <w:t>-16,4</w:t>
            </w:r>
          </w:p>
        </w:tc>
        <w:tc>
          <w:tcPr>
            <w:tcW w:w="1125" w:type="dxa"/>
            <w:shd w:val="clear" w:color="auto" w:fill="F2F2F2" w:themeFill="background1" w:themeFillShade="F2"/>
            <w:vAlign w:val="center"/>
          </w:tcPr>
          <w:p w14:paraId="4FF4A443" w14:textId="0B9BE428" w:rsidR="2FB941BE" w:rsidRPr="002A150B" w:rsidRDefault="2FB941BE" w:rsidP="00E64668">
            <w:pPr>
              <w:pStyle w:val="CMR-tables"/>
              <w:keepNext/>
              <w:jc w:val="center"/>
              <w:rPr>
                <w:noProof/>
              </w:rPr>
            </w:pPr>
            <w:r w:rsidRPr="002A150B">
              <w:rPr>
                <w:noProof/>
              </w:rPr>
              <w:t>-20,9</w:t>
            </w:r>
          </w:p>
        </w:tc>
        <w:tc>
          <w:tcPr>
            <w:tcW w:w="1125" w:type="dxa"/>
            <w:shd w:val="clear" w:color="auto" w:fill="F2F2F2" w:themeFill="background1" w:themeFillShade="F2"/>
            <w:vAlign w:val="center"/>
          </w:tcPr>
          <w:p w14:paraId="54AEBB6A" w14:textId="768C8C4C" w:rsidR="2FB941BE" w:rsidRPr="002A150B" w:rsidRDefault="2FB941BE" w:rsidP="00E64668">
            <w:pPr>
              <w:pStyle w:val="CMR-tables"/>
              <w:keepNext/>
              <w:jc w:val="center"/>
              <w:rPr>
                <w:noProof/>
              </w:rPr>
            </w:pPr>
            <w:r w:rsidRPr="002A150B">
              <w:rPr>
                <w:noProof/>
              </w:rPr>
              <w:t>-30,5</w:t>
            </w:r>
          </w:p>
        </w:tc>
        <w:tc>
          <w:tcPr>
            <w:tcW w:w="1125" w:type="dxa"/>
            <w:shd w:val="clear" w:color="auto" w:fill="F2F2F2" w:themeFill="background1" w:themeFillShade="F2"/>
            <w:vAlign w:val="center"/>
          </w:tcPr>
          <w:p w14:paraId="27D881A3" w14:textId="08EF418A" w:rsidR="2FB941BE" w:rsidRPr="002A150B" w:rsidRDefault="2FB941BE" w:rsidP="00E64668">
            <w:pPr>
              <w:pStyle w:val="CMR-tables"/>
              <w:keepNext/>
              <w:jc w:val="center"/>
              <w:rPr>
                <w:noProof/>
              </w:rPr>
            </w:pPr>
            <w:r w:rsidRPr="002A150B">
              <w:rPr>
                <w:noProof/>
              </w:rPr>
              <w:t>-30,6</w:t>
            </w:r>
          </w:p>
        </w:tc>
        <w:tc>
          <w:tcPr>
            <w:tcW w:w="1125" w:type="dxa"/>
            <w:shd w:val="clear" w:color="auto" w:fill="F2F2F2" w:themeFill="background1" w:themeFillShade="F2"/>
            <w:vAlign w:val="center"/>
          </w:tcPr>
          <w:p w14:paraId="4F89833B" w14:textId="7CB73A13" w:rsidR="2FB941BE" w:rsidRPr="002A150B" w:rsidRDefault="2FB941BE" w:rsidP="00E64668">
            <w:pPr>
              <w:pStyle w:val="CMR-tables"/>
              <w:keepNext/>
              <w:jc w:val="center"/>
              <w:rPr>
                <w:noProof/>
              </w:rPr>
            </w:pPr>
            <w:r w:rsidRPr="002A150B">
              <w:rPr>
                <w:noProof/>
              </w:rPr>
              <w:t>-112,2</w:t>
            </w:r>
          </w:p>
        </w:tc>
      </w:tr>
    </w:tbl>
    <w:p w14:paraId="767A662F" w14:textId="46B69D77" w:rsidR="598F38E2" w:rsidRPr="002A150B" w:rsidRDefault="598F38E2" w:rsidP="00790832">
      <w:pPr>
        <w:pStyle w:val="CMR-text"/>
        <w:rPr>
          <w:noProof/>
        </w:rPr>
      </w:pPr>
      <w:r w:rsidRPr="002A150B">
        <w:rPr>
          <w:noProof/>
        </w:rPr>
        <w:t xml:space="preserve">Revizuirea Directivei EU ETS aliniază normele privind alocarea cu titlu gratuit la schema EU ETS consolidată. Domeniul de aplicare al activităților reglementate de schemă și al criteriilor de referință a fost extins pentru a încuraja implementarea de noi tehnologii, cum ar fi hidrogenul verde sau producția de oțel cu ajutorul hidrogenului. În paralel, au fost introduse cerințe de condiționalitate pentru a obține acces la alocarea cu titlu gratuit. Acestea iau forma auditurilor energetice și, pentru anumite instalații, a planurilor de neutralitate climatică. </w:t>
      </w:r>
    </w:p>
    <w:p w14:paraId="1EDE6AAB" w14:textId="58F58CC6" w:rsidR="4C9857E1" w:rsidRPr="002A150B" w:rsidRDefault="005F358E" w:rsidP="7304D034">
      <w:pPr>
        <w:pStyle w:val="CMR-text"/>
        <w:rPr>
          <w:noProof/>
        </w:rPr>
      </w:pPr>
      <w:r w:rsidRPr="002A150B">
        <w:rPr>
          <w:noProof/>
        </w:rPr>
        <w:t>Pentru a pune în aplicare revizuirea din 2023 a Directivei EU ETS, în ianuarie 2024 a fost adoptată o revizuire a Regulamentului privind alocarea cu titlu gratuit [Regulamentul delegat (UE) 2019/331]</w:t>
      </w:r>
      <w:r w:rsidR="00756789" w:rsidRPr="002A150B">
        <w:rPr>
          <w:rStyle w:val="FootnoteReference"/>
          <w:noProof/>
        </w:rPr>
        <w:footnoteReference w:id="29"/>
      </w:r>
      <w:r w:rsidRPr="002A150B">
        <w:rPr>
          <w:noProof/>
        </w:rPr>
        <w:t>. Revizuirea introduce îmbunătățiri suplimentare pe baza experienței acumulate în primii ani din perioada de alocare actuală. Principalele modificări vizează introducerea condiționalității privind alocarea cu titlu gratuit și eliminarea treptată a alocării cu titlu gratuit pentru anumite produse, care corespunde introducerii treptate a mecanismului de ajustare a carbonului la frontieră (</w:t>
      </w:r>
      <w:r w:rsidRPr="002A150B">
        <w:rPr>
          <w:i/>
          <w:iCs/>
          <w:noProof/>
        </w:rPr>
        <w:t>Carbon Border Adjustment Mechanism</w:t>
      </w:r>
      <w:r w:rsidRPr="002A150B">
        <w:rPr>
          <w:noProof/>
        </w:rPr>
        <w:t xml:space="preserve"> – CBAM). În plus, pentru a stimula în continuare reducerea emisiilor și pentru a asigura condiții de concurență echitabile între tehnologiile convenționale și cele noi, au fost modificate unele definiții de referință ale produselor, în special cele legate de producția de hidrogen și oțel. Au fost ajustate și alte aspecte ale Regulamentului privind alocarea cu titlu gratuit, cu scopul de a stimula electrificarea proceselor industriale.</w:t>
      </w:r>
    </w:p>
    <w:p w14:paraId="076DD4A5" w14:textId="4D34545B" w:rsidR="008949B8" w:rsidRPr="002A150B" w:rsidRDefault="002C446D" w:rsidP="00A57CB1">
      <w:pPr>
        <w:pStyle w:val="CMR-Subheading"/>
        <w:rPr>
          <w:noProof/>
        </w:rPr>
      </w:pPr>
      <w:bookmarkStart w:id="27" w:name="_Toc189482431"/>
      <w:bookmarkStart w:id="28" w:name="_Toc180513397"/>
      <w:r w:rsidRPr="002A150B">
        <w:rPr>
          <w:noProof/>
        </w:rPr>
        <w:t>Mecanismul de ajustare a carbonului la frontieră</w:t>
      </w:r>
      <w:bookmarkEnd w:id="27"/>
      <w:r w:rsidRPr="002A150B">
        <w:rPr>
          <w:noProof/>
        </w:rPr>
        <w:t xml:space="preserve"> </w:t>
      </w:r>
      <w:bookmarkEnd w:id="28"/>
    </w:p>
    <w:p w14:paraId="7F1238B1" w14:textId="3E46BD2C" w:rsidR="00D52984" w:rsidRPr="002A150B" w:rsidRDefault="6FDB8928" w:rsidP="009035AD">
      <w:pPr>
        <w:pStyle w:val="CMR-text"/>
        <w:rPr>
          <w:noProof/>
        </w:rPr>
      </w:pPr>
      <w:r w:rsidRPr="002A150B">
        <w:rPr>
          <w:noProof/>
        </w:rPr>
        <w:t>Pentru a atenua riscul de relocare a emisiilor de dioxid de carbon pe măsură ce UE își consolidează acțiunile în domeniul climatic, în cadrul pachetului „Pregătiți pentru 55” a fost adoptat Regulamentul privind mecanismul de ajustare a carbonului la frontieră [Regulamentul (UE) 2023/956]</w:t>
      </w:r>
      <w:r w:rsidR="002C446D" w:rsidRPr="002A150B">
        <w:rPr>
          <w:noProof/>
          <w:vertAlign w:val="superscript"/>
        </w:rPr>
        <w:footnoteReference w:id="30"/>
      </w:r>
      <w:r w:rsidRPr="002A150B">
        <w:rPr>
          <w:noProof/>
        </w:rPr>
        <w:t xml:space="preserve">. </w:t>
      </w:r>
    </w:p>
    <w:p w14:paraId="07AE67C3" w14:textId="4AD58681" w:rsidR="00CA07B3" w:rsidRPr="002A150B" w:rsidRDefault="5FC30C0E" w:rsidP="009035AD">
      <w:pPr>
        <w:pStyle w:val="CMR-text"/>
        <w:rPr>
          <w:rFonts w:cs="Arial"/>
          <w:noProof/>
        </w:rPr>
      </w:pPr>
      <w:r w:rsidRPr="002A150B">
        <w:rPr>
          <w:noProof/>
        </w:rPr>
        <w:t>În anumite sectoare industriale care fac obiectul EU ETS (ciment, aluminiu, îngrășăminte, hidrogen, fier și oțel), CBAM va înlocui treptat alocarea cu titlu gratuit începând cu 2026. În perioada 2021-2025, acestor sectoare le revine aproximativ 54 % din totalul alocărilor cu titlu gratuit. Începând din 2026, entitățile care importă în UE mărfuri din sectoarele CBAM vor trebui să cumpere și să restituie certificate pentru emisiile încorporate în acestea. Pentru a sprijini industria în eforturile sale de decarbonizare, Directiva EU ETS direcționează către Fondul pentru inovare veniturile din vânzarea prin licitație a certificatelor gratuite eliminate treptat (a se vedea capitolul 8.2), acordând o atenție deosebită proiectelor din sectoarele CBAM.</w:t>
      </w:r>
    </w:p>
    <w:p w14:paraId="53883DCE" w14:textId="619810AC" w:rsidR="001B7142" w:rsidRPr="002A150B" w:rsidRDefault="00707524" w:rsidP="00BC4C9A">
      <w:pPr>
        <w:pStyle w:val="CMR-text"/>
        <w:rPr>
          <w:noProof/>
        </w:rPr>
      </w:pPr>
      <w:r w:rsidRPr="002A150B">
        <w:rPr>
          <w:noProof/>
        </w:rPr>
        <w:t xml:space="preserve">Asigurând plata unui preț echivalent pentru emisiile de carbon încorporate generate în procesul de producție a anumitor bunuri importate în UE, CBAM va garanta echivalența dintre prețul carbonului aferent importurilor și prețul carbonului aferent producției interne (vizat de EU ETS), asigurându-se astfel că nu sunt subminate obiectivele climatice ale UE. CBAM va acoperi emisiile directe din toate sectoarele vizate și emisiile indirecte (provenite din consumul de energie electrică în timpul proceselor de producție) din sectoarele cimentului și îngrășămintelor. Inițial, nu vor fi luate în considerare emisiile indirecte din sectoarele eligibile pentru ajutorul pentru costurile indirecte ale carbonului (și anume sectorul aluminiului, al hidrogenului, al fierului și al oțelului – a se vedea capitolul 8.1). </w:t>
      </w:r>
    </w:p>
    <w:p w14:paraId="7301DEB1" w14:textId="679B7879" w:rsidR="00BC4C9A" w:rsidRPr="002A150B" w:rsidRDefault="5FC30C0E" w:rsidP="00BC4C9A">
      <w:pPr>
        <w:pStyle w:val="CMR-text"/>
        <w:rPr>
          <w:noProof/>
        </w:rPr>
      </w:pPr>
      <w:r w:rsidRPr="002A150B">
        <w:rPr>
          <w:noProof/>
        </w:rPr>
        <w:t>În octombrie 2023 a început o perioadă de tranziție, în cursul căreia importatorii raportează emisiile, dar nu sunt încă obligați să efectueze plăți, și care va dura până la sfârșitul anului 2025, înainte de introducerea treptată a noului regim.</w:t>
      </w:r>
    </w:p>
    <w:p w14:paraId="13198535" w14:textId="34D61566" w:rsidR="009D2238" w:rsidRPr="002A150B" w:rsidRDefault="00FC327F" w:rsidP="00A053A4">
      <w:pPr>
        <w:pStyle w:val="CMR-Subheading"/>
        <w:rPr>
          <w:noProof/>
        </w:rPr>
      </w:pPr>
      <w:bookmarkStart w:id="29" w:name="_Toc189482432"/>
      <w:r w:rsidRPr="002A150B">
        <w:rPr>
          <w:noProof/>
        </w:rPr>
        <w:t>Riscul de relocare a emisiilor de dioxid de carbon pentru mărfurile destinate exportului produse în UE în sectoarele CBAM</w:t>
      </w:r>
      <w:bookmarkEnd w:id="29"/>
      <w:r w:rsidRPr="002A150B">
        <w:rPr>
          <w:noProof/>
        </w:rPr>
        <w:t xml:space="preserve"> </w:t>
      </w:r>
    </w:p>
    <w:p w14:paraId="4B37E32E" w14:textId="0AA83436" w:rsidR="00DA1222" w:rsidRPr="002A150B" w:rsidRDefault="00BF01B3" w:rsidP="009B36E1">
      <w:pPr>
        <w:pStyle w:val="CMR-text"/>
        <w:rPr>
          <w:rFonts w:cs="Arial"/>
          <w:noProof/>
        </w:rPr>
      </w:pPr>
      <w:r w:rsidRPr="002A150B">
        <w:rPr>
          <w:noProof/>
        </w:rPr>
        <w:t xml:space="preserve">Mărfurile destinate exportului produse în UE în sectoarele CBAM s-ar putea confrunta cu un dezavantaj competitiv pe piețele țărilor terțe în cazul în care concurează cu mărfuri pentru care nu s-a stabilit un preț echivalent al carbonului. În temeiul articolului 10a alineatul (1a) din Directiva EU ETS, ca parte a raportului său anual privind funcționarea pieței europene a carbonului (prezentul raport), Comisia trebuie să evalueze riscul de relocare a emisiilor de dioxid de carbon pentru mărfurile produse în UE de sectoarele CBAM și exportate către țări terțe care nu aplică EU ETS sau un mecanism similar de stabilire a prețului carbonului. </w:t>
      </w:r>
    </w:p>
    <w:p w14:paraId="1143C7E3" w14:textId="5A8900CE" w:rsidR="009B36E1" w:rsidRPr="002A150B" w:rsidRDefault="0091504C" w:rsidP="009B36E1">
      <w:pPr>
        <w:pStyle w:val="CMR-text"/>
        <w:rPr>
          <w:rFonts w:cs="Arial"/>
          <w:noProof/>
        </w:rPr>
      </w:pPr>
      <w:r w:rsidRPr="002A150B">
        <w:rPr>
          <w:noProof/>
        </w:rPr>
        <w:t>Comisia și-a lansat evaluarea în T3 din 2024</w:t>
      </w:r>
      <w:r w:rsidRPr="002A150B">
        <w:rPr>
          <w:rFonts w:cs="Arial"/>
          <w:noProof/>
          <w:vertAlign w:val="superscript"/>
        </w:rPr>
        <w:footnoteReference w:id="31"/>
      </w:r>
      <w:r w:rsidRPr="002A150B">
        <w:rPr>
          <w:noProof/>
        </w:rPr>
        <w:t>, iar prezentul raport include constatările inițiale. Alegerea indicatorilor și a metodologiei va fi îmbunătățită și mai mult pentru evaluările viitoare, astfel încât riscul potențial de relocare a emisiilor de dioxid de carbon să fie monitorizat într-un mod care să poată fi actualizat în timp</w:t>
      </w:r>
      <w:r w:rsidR="001C671A" w:rsidRPr="002A150B">
        <w:rPr>
          <w:rFonts w:cs="Arial"/>
          <w:noProof/>
          <w:vertAlign w:val="superscript"/>
        </w:rPr>
        <w:footnoteReference w:id="32"/>
      </w:r>
      <w:r w:rsidRPr="002A150B">
        <w:rPr>
          <w:noProof/>
        </w:rPr>
        <w:t>. Constatările inițiale nu pot fi considerate definitive, deoarece CBAM se află încă în etapa sa de tranziție. Totuși, Comisia va continua să evalueze relocarea emisiilor de dioxid de carbon în cazul exporturilor în timpul introducerii treptate a CBAM (și a eliminării treptate a alocării cu titlu gratuit), astfel cum se prevede în Directiva EU ETS și în Regulamentul CBAM.</w:t>
      </w:r>
    </w:p>
    <w:p w14:paraId="1199304D" w14:textId="368FA0FB" w:rsidR="00853A37" w:rsidRPr="002A150B" w:rsidRDefault="00853A37" w:rsidP="00853A37">
      <w:pPr>
        <w:pStyle w:val="CMR-text"/>
        <w:rPr>
          <w:rFonts w:cs="Arial"/>
          <w:noProof/>
        </w:rPr>
      </w:pPr>
      <w:r w:rsidRPr="002A150B">
        <w:rPr>
          <w:noProof/>
        </w:rPr>
        <w:t xml:space="preserve">După finalizarea demersului analitic, vor fi publicate rezultate actualizate bazate pe o gamă mai largă de indicatori, analize calitative și feedback din partea părților interesate. În plus, se vor realiza evaluări privind rolul hidrogenului și adoptarea accelerată a acestuia, precum și privind evoluțiile fluxurilor comerciale și ale emisiilor încorporate în mărfurile produse de sectoarele CBAM pe piața mondială. Comisia va continua să evalueze problema riscului de relocare a emisiilor de dioxid de carbon asociată exporturilor pe măsură ce CBAM va intra în faza definitivă și va emite un raport cu privire la aceasta înainte de ianuarie 2028, astfel cum se prevede la articolul 30 alineatul (6) din Regulamentul CBAM. </w:t>
      </w:r>
    </w:p>
    <w:p w14:paraId="0290208B" w14:textId="3728B2ED" w:rsidR="00E5312C" w:rsidRPr="002A150B" w:rsidRDefault="00853A37" w:rsidP="00E5312C">
      <w:pPr>
        <w:pStyle w:val="CMR-text"/>
        <w:rPr>
          <w:rFonts w:cs="Arial"/>
          <w:noProof/>
        </w:rPr>
      </w:pPr>
      <w:bookmarkStart w:id="30" w:name="_Toc176419518"/>
      <w:bookmarkStart w:id="31" w:name="_Toc176419549"/>
      <w:bookmarkStart w:id="32" w:name="_Toc176419519"/>
      <w:bookmarkStart w:id="33" w:name="_Toc176419550"/>
      <w:bookmarkEnd w:id="30"/>
      <w:bookmarkEnd w:id="31"/>
      <w:bookmarkEnd w:id="32"/>
      <w:bookmarkEnd w:id="33"/>
      <w:r w:rsidRPr="002A150B">
        <w:rPr>
          <w:noProof/>
        </w:rPr>
        <w:t>Evaluarea inițială a pus accentul pe compararea intensității emisiilor în UE (exprimată în kg echivalent CO</w:t>
      </w:r>
      <w:r w:rsidRPr="002A150B">
        <w:rPr>
          <w:noProof/>
          <w:vertAlign w:val="subscript"/>
        </w:rPr>
        <w:t>2</w:t>
      </w:r>
      <w:r w:rsidRPr="002A150B">
        <w:rPr>
          <w:noProof/>
        </w:rPr>
        <w:t xml:space="preserve"> pe EUR din valoarea producției)</w:t>
      </w:r>
      <w:r w:rsidRPr="002A150B">
        <w:rPr>
          <w:rFonts w:cs="Arial"/>
          <w:noProof/>
          <w:vertAlign w:val="superscript"/>
        </w:rPr>
        <w:footnoteReference w:id="33"/>
      </w:r>
      <w:r w:rsidRPr="002A150B">
        <w:rPr>
          <w:noProof/>
        </w:rPr>
        <w:t xml:space="preserve"> și a intensității exporturilor (valoarea exporturilor împărțită la suma dintre valoarea producției și valoarea importurilor)</w:t>
      </w:r>
      <w:r w:rsidRPr="002A150B">
        <w:rPr>
          <w:rFonts w:cs="Arial"/>
          <w:noProof/>
          <w:vertAlign w:val="superscript"/>
        </w:rPr>
        <w:footnoteReference w:id="34"/>
      </w:r>
      <w:r w:rsidRPr="002A150B">
        <w:rPr>
          <w:noProof/>
        </w:rPr>
        <w:t>. Figura 3 compară cei doi indicatori la nivel de 8 cifre (NC)</w:t>
      </w:r>
      <w:r w:rsidR="00B92A34" w:rsidRPr="002A150B">
        <w:rPr>
          <w:rFonts w:cs="Arial"/>
          <w:noProof/>
          <w:vertAlign w:val="superscript"/>
        </w:rPr>
        <w:footnoteReference w:id="35"/>
      </w:r>
      <w:r w:rsidRPr="002A150B">
        <w:rPr>
          <w:noProof/>
        </w:rPr>
        <w:t>. Cu cât intensitatea exporturilor și intensitatea emisiilor unei mărfuri CBAM sunt mai mari, cu atât exporturile mărfii respective sunt mai sensibile la creșterea prețurilor carbonului și cu atât pot fi mai vulnerabile la un risc potențial de relocare a emisiilor de dioxid de carbon în cazul unor diferențe relevante față de țările terțe în ceea ce privește prețul efectiv al carbonului.</w:t>
      </w:r>
    </w:p>
    <w:p w14:paraId="6E3D1DEE" w14:textId="22946660" w:rsidR="00E5312C" w:rsidRPr="002A150B" w:rsidRDefault="00E5312C" w:rsidP="00E5312C">
      <w:pPr>
        <w:pStyle w:val="CMR-text"/>
        <w:rPr>
          <w:rFonts w:cs="Arial"/>
          <w:noProof/>
        </w:rPr>
      </w:pPr>
      <w:r w:rsidRPr="002A150B">
        <w:rPr>
          <w:noProof/>
        </w:rPr>
        <w:t>Mărimea cercurilor din figura 3 reprezintă valoarea combinată obținută prin înmulțirea intensității exporturilor cu intensitatea emisiilor pentru fiecare dintre mărfurile CBAM. Această valoare a indicatorului combinat la nivelul de 8 cifre poate oferi un indiciu general al sensibilității exporturilor la tarifarea carbonului. Ea nu este însă direct comparabilă cu indicatorul privind relocarea emisiilor de dioxid de carbon (</w:t>
      </w:r>
      <w:r w:rsidRPr="002A150B">
        <w:rPr>
          <w:i/>
          <w:iCs/>
          <w:noProof/>
        </w:rPr>
        <w:t>carbon leakage indicator</w:t>
      </w:r>
      <w:r w:rsidRPr="002A150B">
        <w:rPr>
          <w:noProof/>
        </w:rPr>
        <w:t xml:space="preserve"> – CLI) utilizat pentru a stabili lista privind riscul de relocare a emisiilor de dioxid de carbon în perioada 2021-2030, care este mai agregată (nivel de 4 cifre) și nu se axează în mod specific pe exporturi</w:t>
      </w:r>
      <w:r w:rsidR="009235E6" w:rsidRPr="002A150B">
        <w:rPr>
          <w:rFonts w:cs="Arial"/>
          <w:noProof/>
          <w:vertAlign w:val="superscript"/>
        </w:rPr>
        <w:footnoteReference w:id="36"/>
      </w:r>
      <w:r w:rsidRPr="002A150B">
        <w:rPr>
          <w:noProof/>
        </w:rPr>
        <w:t>. Din rezultatele preliminare se pot desprinde următoarele concluzii inițiale:</w:t>
      </w:r>
    </w:p>
    <w:p w14:paraId="2D78B831" w14:textId="2B986BBE" w:rsidR="00530D8F" w:rsidRPr="002A150B" w:rsidRDefault="009235E6" w:rsidP="00A316BB">
      <w:pPr>
        <w:pStyle w:val="CMR-text"/>
        <w:numPr>
          <w:ilvl w:val="0"/>
          <w:numId w:val="24"/>
        </w:numPr>
        <w:rPr>
          <w:rFonts w:cs="Arial"/>
          <w:noProof/>
        </w:rPr>
      </w:pPr>
      <w:r w:rsidRPr="002A150B">
        <w:rPr>
          <w:noProof/>
        </w:rPr>
        <w:t>niciun produs nu se încadrează în cadranul cu emisii și exporturi intensive. Produsele cu nivel foarte mare de emisii sunt comercializate pe scară mică, iar toate produsele cu intensitate ridicată a exporturilor au o intensitate relativ scăzută a emisiilor;</w:t>
      </w:r>
    </w:p>
    <w:p w14:paraId="09121EC2" w14:textId="7301AF52" w:rsidR="00BE7084" w:rsidRPr="002A150B" w:rsidRDefault="00E5312C" w:rsidP="00BE7084">
      <w:pPr>
        <w:pStyle w:val="CMR-text"/>
        <w:numPr>
          <w:ilvl w:val="0"/>
          <w:numId w:val="24"/>
        </w:numPr>
        <w:rPr>
          <w:rFonts w:cs="Arial"/>
          <w:noProof/>
        </w:rPr>
      </w:pPr>
      <w:r w:rsidRPr="002A150B">
        <w:rPr>
          <w:noProof/>
        </w:rPr>
        <w:t xml:space="preserve">intensitatea emisiilor asociate hidrogenului (cercul gri) este relativ mare, dar intensitatea exporturilor de hidrogen este foarte mică, ceea ce face ca valoarea indicatorului combinat să fie mică, și anume 0,013. Totuși, odată cu adoptarea hidrogenului produs cu energie din surse regenerabile, aceste tendințe ar putea să se inverseze, în funcție de modul în care se va dezvolta piața hidrogenului din surse regenerabile; </w:t>
      </w:r>
    </w:p>
    <w:p w14:paraId="025AE6AD" w14:textId="116A2C65" w:rsidR="00BE7084" w:rsidRPr="002A150B" w:rsidRDefault="00BE7084" w:rsidP="00BE7084">
      <w:pPr>
        <w:pStyle w:val="CMR-text"/>
        <w:numPr>
          <w:ilvl w:val="0"/>
          <w:numId w:val="24"/>
        </w:numPr>
        <w:rPr>
          <w:rFonts w:cs="Arial"/>
          <w:noProof/>
        </w:rPr>
      </w:pPr>
      <w:bookmarkStart w:id="34" w:name="_Hlk176936887"/>
      <w:r w:rsidRPr="002A150B">
        <w:rPr>
          <w:noProof/>
        </w:rPr>
        <w:t xml:space="preserve">mărfurile din sectorul cimentului (cercurile portocalii) sunt comercializate mai rar. Totuși, clincherul de ciment – un factor de producție cu intensitate mare a emisiilor – este expediat mai ușor decât cimentul. Sunt așadar necesare investigații suplimentare, deoarece în cazul lui valoarea indicatorului combinat este în prezent ridicată, și anume 2,109; </w:t>
      </w:r>
    </w:p>
    <w:p w14:paraId="745020D5" w14:textId="4E4CCD79" w:rsidR="00BE7084" w:rsidRPr="002A150B" w:rsidRDefault="00BE7084" w:rsidP="00BE7084">
      <w:pPr>
        <w:pStyle w:val="CMR-text"/>
        <w:numPr>
          <w:ilvl w:val="0"/>
          <w:numId w:val="24"/>
        </w:numPr>
        <w:rPr>
          <w:rFonts w:cs="Arial"/>
          <w:noProof/>
        </w:rPr>
      </w:pPr>
      <w:r w:rsidRPr="002A150B">
        <w:rPr>
          <w:noProof/>
        </w:rPr>
        <w:t xml:space="preserve">multe îngrășăminte (cercurile galbene), mărfurile din aluminiu (cercuri verzi) și cele din oțel (cercurile albastre) au valori mai scăzute ale intensității emisiilor decât mărfurile reprezentate de hidrogen și ciment, dar sunt exportate mult mai frecvent și, prin urmare, se obțin valori relativ mari ale indicatorului combinat. </w:t>
      </w:r>
    </w:p>
    <w:p w14:paraId="41088F1B" w14:textId="7CC7281C" w:rsidR="00BE7084" w:rsidRPr="002A150B" w:rsidRDefault="00BE7084" w:rsidP="00F8607D">
      <w:pPr>
        <w:pStyle w:val="CMR-text"/>
        <w:rPr>
          <w:rFonts w:cs="Arial"/>
          <w:noProof/>
        </w:rPr>
      </w:pPr>
      <w:r w:rsidRPr="002A150B">
        <w:rPr>
          <w:noProof/>
        </w:rPr>
        <w:t>Valorile indicatorilor combinați pentru selecția de produse CBAM din fiecare sector industrial vizat sunt prezentate numai în scop ilustrativ. Nu au fost stabilite valori-prag care să limiteze domeniul de aplicare al mărfurilor CBAM care urmează să fie evaluate atât cantitativ, cât și calitativ în ceea ce privește riscul potențial de relocare a emisiilor de dioxid de carbon.</w:t>
      </w:r>
    </w:p>
    <w:p w14:paraId="169E4465" w14:textId="117EDD28" w:rsidR="00C57D23" w:rsidRPr="002A150B" w:rsidRDefault="00690080" w:rsidP="00F8607D">
      <w:pPr>
        <w:pStyle w:val="CMR-text"/>
        <w:keepNext/>
        <w:jc w:val="center"/>
        <w:rPr>
          <w:noProof/>
        </w:rPr>
      </w:pPr>
      <w:r w:rsidRPr="00690080">
        <w:rPr>
          <w:noProof/>
          <w:lang w:val="en-GB" w:eastAsia="en-GB"/>
        </w:rPr>
        <w:drawing>
          <wp:inline distT="0" distB="0" distL="0" distR="0" wp14:anchorId="4AF6FFA7" wp14:editId="5F293DB5">
            <wp:extent cx="5731510" cy="4161790"/>
            <wp:effectExtent l="0" t="0" r="2540" b="0"/>
            <wp:docPr id="85234225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52342254" name=""/>
                    <pic:cNvPicPr/>
                  </pic:nvPicPr>
                  <pic:blipFill>
                    <a:blip r:embed="rId32"/>
                    <a:stretch>
                      <a:fillRect/>
                    </a:stretch>
                  </pic:blipFill>
                  <pic:spPr>
                    <a:xfrm>
                      <a:off x="0" y="0"/>
                      <a:ext cx="5731510" cy="4161790"/>
                    </a:xfrm>
                    <a:prstGeom prst="rect">
                      <a:avLst/>
                    </a:prstGeom>
                  </pic:spPr>
                </pic:pic>
              </a:graphicData>
            </a:graphic>
          </wp:inline>
        </w:drawing>
      </w:r>
    </w:p>
    <w:p w14:paraId="69B11804" w14:textId="170B83CF" w:rsidR="00BE7084" w:rsidRPr="002A150B" w:rsidRDefault="00C57D23" w:rsidP="00F8607D">
      <w:pPr>
        <w:pStyle w:val="Caption"/>
        <w:jc w:val="left"/>
        <w:rPr>
          <w:rFonts w:cs="Arial"/>
          <w:noProof/>
        </w:rPr>
      </w:pPr>
      <w:bookmarkStart w:id="35" w:name="_Ref176937203"/>
      <w:r w:rsidRPr="002A150B">
        <w:rPr>
          <w:noProof/>
        </w:rPr>
        <w:t xml:space="preserve">Figura </w:t>
      </w:r>
      <w:r w:rsidR="003B51C5" w:rsidRPr="002A150B">
        <w:rPr>
          <w:noProof/>
        </w:rPr>
        <w:fldChar w:fldCharType="begin"/>
      </w:r>
      <w:r w:rsidR="003B51C5" w:rsidRPr="002A150B">
        <w:rPr>
          <w:noProof/>
        </w:rPr>
        <w:instrText xml:space="preserve"> SEQ Figure \* ARABIC </w:instrText>
      </w:r>
      <w:r w:rsidR="003B51C5" w:rsidRPr="002A150B">
        <w:rPr>
          <w:noProof/>
        </w:rPr>
        <w:fldChar w:fldCharType="separate"/>
      </w:r>
      <w:r w:rsidR="00411CDC" w:rsidRPr="002A150B">
        <w:rPr>
          <w:noProof/>
        </w:rPr>
        <w:t>3</w:t>
      </w:r>
      <w:r w:rsidR="003B51C5" w:rsidRPr="002A150B">
        <w:rPr>
          <w:noProof/>
        </w:rPr>
        <w:fldChar w:fldCharType="end"/>
      </w:r>
      <w:bookmarkEnd w:id="35"/>
      <w:r w:rsidRPr="002A150B">
        <w:rPr>
          <w:noProof/>
        </w:rPr>
        <w:t>. Comparație între valorile intensității exporturilor și intensității emisiilor mărfurilor CBAM</w:t>
      </w:r>
    </w:p>
    <w:p w14:paraId="67C5943A" w14:textId="738BA158" w:rsidR="00DB484C" w:rsidRPr="002A150B" w:rsidRDefault="00613B80" w:rsidP="00CF7B78">
      <w:pPr>
        <w:pStyle w:val="CMR-Heading"/>
        <w:rPr>
          <w:noProof/>
        </w:rPr>
      </w:pPr>
      <w:bookmarkStart w:id="36" w:name="_Toc180513398"/>
      <w:bookmarkStart w:id="37" w:name="_Toc189482433"/>
      <w:bookmarkEnd w:id="34"/>
      <w:r w:rsidRPr="002A150B">
        <w:rPr>
          <w:noProof/>
        </w:rPr>
        <w:t>Piața carbonului din UE</w:t>
      </w:r>
      <w:bookmarkEnd w:id="36"/>
      <w:bookmarkEnd w:id="37"/>
      <w:r w:rsidRPr="002A150B">
        <w:rPr>
          <w:noProof/>
        </w:rPr>
        <w:t xml:space="preserve"> </w:t>
      </w:r>
    </w:p>
    <w:p w14:paraId="5899D9BF" w14:textId="547E80B1" w:rsidR="00DB484C" w:rsidRPr="002A150B" w:rsidRDefault="00E0576C" w:rsidP="00A57CB1">
      <w:pPr>
        <w:pStyle w:val="CMR-Subheading"/>
        <w:rPr>
          <w:noProof/>
        </w:rPr>
      </w:pPr>
      <w:bookmarkStart w:id="38" w:name="_Toc180513399"/>
      <w:bookmarkStart w:id="39" w:name="_Toc189482434"/>
      <w:r w:rsidRPr="002A150B">
        <w:rPr>
          <w:noProof/>
        </w:rPr>
        <w:t>Echilibrarea cererii și a ofertei</w:t>
      </w:r>
      <w:bookmarkEnd w:id="38"/>
      <w:bookmarkEnd w:id="39"/>
    </w:p>
    <w:p w14:paraId="59F0CAA7" w14:textId="4FCC2C6E" w:rsidR="00B244AB" w:rsidRPr="002A150B" w:rsidRDefault="00B244AB" w:rsidP="0006239E">
      <w:pPr>
        <w:pStyle w:val="CMR-text"/>
        <w:rPr>
          <w:noProof/>
        </w:rPr>
      </w:pPr>
      <w:r w:rsidRPr="002A150B">
        <w:rPr>
          <w:noProof/>
        </w:rPr>
        <w:t xml:space="preserve">Rezerva pentru stabilitatea pieței (RSP) este o soluție pe termen lung, bazată pe norme, la dezechilibrul structural dintre oferta și cererea de certificate pe piața carbonului din UE la începutul fazei 3. În 2013, piața a înregistrat un excedent de 2,1 miliarde de certificate, dar între timp RSP a contribuit la scăderea acestuia. Rezerva îmbunătățește echilibrul pieței și pe termen scurt, făcând-o astfel mai rezilientă la șocurile bruște legate de cerere și ofertă, de exemplu din cauza încetinirii creșterii economice cauzate de pandemia de COVID-19 în 2020. </w:t>
      </w:r>
    </w:p>
    <w:p w14:paraId="059B5DC9" w14:textId="49F18E20" w:rsidR="00B244AB" w:rsidRPr="002A150B" w:rsidRDefault="00B244AB" w:rsidP="0006239E">
      <w:pPr>
        <w:pStyle w:val="CMR-text"/>
        <w:rPr>
          <w:noProof/>
        </w:rPr>
      </w:pPr>
      <w:r w:rsidRPr="002A150B">
        <w:rPr>
          <w:noProof/>
        </w:rPr>
        <w:t>RSP ajustează oferta de certificate de pe piața UE a carbonului în funcție de pragurile predefinite ale numărului total de certificate aflate în circulație (NTCA). Pe baza nivelului NTCA, certificatele sunt fie retrase din licitații și plasate în rezervă, fie scoase din rezervă și scoase la licitație. În acest mod, rezerva pentru stabilitatea pieței stimulează echilibrul și reziliența la șocurile cererii și ofertei, facilitând buna funcționare a pieței carbonului din UE. Rezerva a devenit funcțională în 2019 și, de atunci, retrage certificate din circulație în fiecare an.</w:t>
      </w:r>
    </w:p>
    <w:p w14:paraId="245BA34F" w14:textId="09865CC4" w:rsidR="00BA6F4D" w:rsidRPr="002A150B" w:rsidRDefault="00B244AB" w:rsidP="0006239E">
      <w:pPr>
        <w:pStyle w:val="CMR-text"/>
        <w:rPr>
          <w:noProof/>
        </w:rPr>
      </w:pPr>
      <w:r w:rsidRPr="002A150B">
        <w:rPr>
          <w:noProof/>
        </w:rPr>
        <w:t>Comisia publică NTCA în fiecare an. Numărul se calculează pentru anul precedent, iar ajustările ofertei se efectuează în termen de 12 luni de la publicarea sa, în conformitate cu o cheie specifică. La 1 iunie 2024, Comisia a publicat Comunicarea privind NTCA în 2023</w:t>
      </w:r>
      <w:r w:rsidR="00B14664" w:rsidRPr="002A150B">
        <w:rPr>
          <w:rStyle w:val="FootnoteReference"/>
          <w:noProof/>
        </w:rPr>
        <w:footnoteReference w:id="37"/>
      </w:r>
      <w:r w:rsidRPr="002A150B">
        <w:rPr>
          <w:noProof/>
        </w:rPr>
        <w:t xml:space="preserve">. Aceasta reflectă modificările aduse de pachetul legislativ „Pregătiți pentru 55” – prin revizuirea atât a Directivei EU ETS, cât și a Deciziei privind RSP – în vederea consolidării rezervei. </w:t>
      </w:r>
    </w:p>
    <w:p w14:paraId="2A32D739" w14:textId="1D0AA3B3" w:rsidR="00314598" w:rsidRPr="002A150B" w:rsidRDefault="00721126" w:rsidP="00314598">
      <w:pPr>
        <w:pStyle w:val="CMR-text"/>
        <w:rPr>
          <w:noProof/>
        </w:rPr>
      </w:pPr>
      <w:r w:rsidRPr="002A150B">
        <w:rPr>
          <w:noProof/>
        </w:rPr>
        <w:t xml:space="preserve">În 2023, NTCA s-a ridicat la un total de 1,11 miliarde de certificate – o scădere față de 2022, dar în continuare peste pragul de activare a rezervei. Drept urmare, în perioada septembrie 2024-august 2025 sunt retrase din licitații 267 de milioane de certificate (24 % din NTCA). Începând din 2023, RSP invalidează certificatele din participațiile sale care depășesc un anumit prag. Începând din 2024, pragul aplicabil a fost stabilit la 400 de milioane de certificate. La 1 ianuarie 2024, RSP a invalidat 382 de milioane de certificate, lăsând 400 de milioane în rezervă. Începând din 2023, RSP a invalidat în total 2,9 miliarde de certificate. </w:t>
      </w:r>
    </w:p>
    <w:p w14:paraId="6668795C" w14:textId="63D62F50" w:rsidR="00701B18" w:rsidRPr="002A150B" w:rsidRDefault="00224478" w:rsidP="0006239E">
      <w:pPr>
        <w:pStyle w:val="CMR-text"/>
        <w:rPr>
          <w:noProof/>
        </w:rPr>
      </w:pPr>
      <w:r w:rsidRPr="002A150B">
        <w:rPr>
          <w:noProof/>
        </w:rPr>
        <w:t>Figura 4 ilustrează evoluția excedentului de certificate pe piața carbonului din UE începând din 2013. Contribuțiile naționale la RSP sunt prezentate în tabelul B din secțiunea II a documentului de lucru însoțitor al serviciilor Comisiei.</w:t>
      </w:r>
    </w:p>
    <w:p w14:paraId="0B0785EC" w14:textId="684CC006" w:rsidR="00E84CD0" w:rsidRPr="002A150B" w:rsidRDefault="00690080" w:rsidP="00E84CD0">
      <w:pPr>
        <w:keepNext/>
        <w:rPr>
          <w:rFonts w:ascii="Times New Roman" w:hAnsi="Times New Roman" w:cs="Times New Roman"/>
          <w:noProof/>
        </w:rPr>
      </w:pPr>
      <w:r w:rsidRPr="00690080">
        <w:rPr>
          <w:noProof/>
          <w:lang w:val="en-GB" w:eastAsia="en-GB"/>
        </w:rPr>
        <w:drawing>
          <wp:inline distT="0" distB="0" distL="0" distR="0" wp14:anchorId="0488DBF7" wp14:editId="16D78531">
            <wp:extent cx="5731510" cy="2471420"/>
            <wp:effectExtent l="0" t="0" r="2540" b="5080"/>
            <wp:docPr id="184193170"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33" cstate="print">
                      <a:extLst>
                        <a:ext uri="{28A0092B-C50C-407E-A947-70E740481C1C}">
                          <a14:useLocalDpi xmlns:a14="http://schemas.microsoft.com/office/drawing/2010/main" val="0"/>
                        </a:ext>
                      </a:extLst>
                    </a:blip>
                    <a:srcRect/>
                    <a:stretch>
                      <a:fillRect/>
                    </a:stretch>
                  </pic:blipFill>
                  <pic:spPr bwMode="auto">
                    <a:xfrm>
                      <a:off x="0" y="0"/>
                      <a:ext cx="5731510" cy="2471420"/>
                    </a:xfrm>
                    <a:prstGeom prst="rect">
                      <a:avLst/>
                    </a:prstGeom>
                    <a:noFill/>
                    <a:ln>
                      <a:noFill/>
                    </a:ln>
                  </pic:spPr>
                </pic:pic>
              </a:graphicData>
            </a:graphic>
          </wp:inline>
        </w:drawing>
      </w:r>
    </w:p>
    <w:p w14:paraId="5DCE95C3" w14:textId="2F06716C" w:rsidR="00966B7E" w:rsidRPr="002A150B" w:rsidRDefault="00E84CD0" w:rsidP="000006BA">
      <w:pPr>
        <w:pStyle w:val="Caption"/>
        <w:jc w:val="left"/>
        <w:rPr>
          <w:noProof/>
        </w:rPr>
      </w:pPr>
      <w:bookmarkStart w:id="40" w:name="_Ref176771602"/>
      <w:r w:rsidRPr="002A150B">
        <w:rPr>
          <w:noProof/>
        </w:rPr>
        <w:t xml:space="preserve">Figura </w:t>
      </w:r>
      <w:r w:rsidR="003B51C5" w:rsidRPr="002A150B">
        <w:rPr>
          <w:noProof/>
        </w:rPr>
        <w:fldChar w:fldCharType="begin"/>
      </w:r>
      <w:r w:rsidR="003B51C5" w:rsidRPr="002A150B">
        <w:rPr>
          <w:noProof/>
        </w:rPr>
        <w:instrText xml:space="preserve"> SEQ Figure \* ARABIC </w:instrText>
      </w:r>
      <w:r w:rsidR="003B51C5" w:rsidRPr="002A150B">
        <w:rPr>
          <w:noProof/>
        </w:rPr>
        <w:fldChar w:fldCharType="separate"/>
      </w:r>
      <w:r w:rsidR="00411CDC" w:rsidRPr="002A150B">
        <w:rPr>
          <w:noProof/>
        </w:rPr>
        <w:t>4</w:t>
      </w:r>
      <w:r w:rsidR="003B51C5" w:rsidRPr="002A150B">
        <w:rPr>
          <w:noProof/>
        </w:rPr>
        <w:fldChar w:fldCharType="end"/>
      </w:r>
      <w:bookmarkEnd w:id="40"/>
      <w:r w:rsidRPr="002A150B">
        <w:rPr>
          <w:noProof/>
        </w:rPr>
        <w:t>. Excedentul de certificate din EU ETS (2013-2023)</w:t>
      </w:r>
    </w:p>
    <w:p w14:paraId="1B20F85B" w14:textId="21C36937" w:rsidR="00DB484C" w:rsidRPr="002A150B" w:rsidRDefault="000E3032" w:rsidP="00A57CB1">
      <w:pPr>
        <w:pStyle w:val="CMR-Subheading"/>
        <w:rPr>
          <w:noProof/>
          <w:szCs w:val="24"/>
        </w:rPr>
      </w:pPr>
      <w:bookmarkStart w:id="41" w:name="_Toc180513400"/>
      <w:bookmarkStart w:id="42" w:name="_Toc189482435"/>
      <w:r w:rsidRPr="002A150B">
        <w:rPr>
          <w:noProof/>
        </w:rPr>
        <w:t>Anularea voluntară</w:t>
      </w:r>
      <w:bookmarkEnd w:id="41"/>
      <w:bookmarkEnd w:id="42"/>
      <w:r w:rsidRPr="002A150B">
        <w:rPr>
          <w:noProof/>
        </w:rPr>
        <w:t xml:space="preserve"> </w:t>
      </w:r>
    </w:p>
    <w:p w14:paraId="3ACC9BD7" w14:textId="616C7C0A" w:rsidR="001B5B8B" w:rsidRPr="002A150B" w:rsidRDefault="001B5B8B" w:rsidP="00930C75">
      <w:pPr>
        <w:pStyle w:val="CMR-text"/>
        <w:rPr>
          <w:noProof/>
        </w:rPr>
      </w:pPr>
      <w:r w:rsidRPr="002A150B">
        <w:rPr>
          <w:noProof/>
        </w:rPr>
        <w:t xml:space="preserve">Articolul 12 alineatul (4) din Directiva EU ETS prevede anularea de către statele membre a certificatelor în cazul închiderii unei capacități de producție de energie electrică pe teritoriul lor ca urmare a unor măsuri naționale suplimentare. Într-un astfel de caz, statul membru în cauză trebuie să informeze Comisia cu privire la anularea preconizată. Anularea se efectuează prin reducerea cantității totale de certificate care urmează să fie scoase la licitație de statul membru în cauză, iar cantitatea este limitată la suma maximă a emisiilor verificate ale instalației (instalațiilor) închise pe perioada celor 5 ani anteriori închiderii. Procedura de anulare a certificatelor este prevăzută la articolul 25 din Regulamentul privind licitațiile. </w:t>
      </w:r>
    </w:p>
    <w:p w14:paraId="41A52770" w14:textId="2E245803" w:rsidR="001A08D3" w:rsidRPr="002A150B" w:rsidRDefault="00931B33" w:rsidP="00930C75">
      <w:pPr>
        <w:pStyle w:val="CMR-text"/>
        <w:rPr>
          <w:noProof/>
        </w:rPr>
      </w:pPr>
      <w:r w:rsidRPr="002A150B">
        <w:rPr>
          <w:noProof/>
        </w:rPr>
        <w:t>În decembrie 2023, Germania și-a notificat intenția de a anula în mod voluntar certificate în urma închiderii a două centrale electrice în 2022, ca parte a politicii naționale de eliminare treptată a cărbunelui. Numărul notificat de certificate care urmează să fie anulate nu a fost încă stabilit. Comisia a publicat notificarea pe site-ul său</w:t>
      </w:r>
      <w:r w:rsidR="00A50B6E" w:rsidRPr="002A150B">
        <w:rPr>
          <w:rStyle w:val="FootnoteReference"/>
          <w:noProof/>
        </w:rPr>
        <w:footnoteReference w:id="38"/>
      </w:r>
      <w:r w:rsidRPr="002A150B">
        <w:rPr>
          <w:noProof/>
        </w:rPr>
        <w:t>.</w:t>
      </w:r>
    </w:p>
    <w:p w14:paraId="4F5F5432" w14:textId="45B29F2B" w:rsidR="00F33956" w:rsidRPr="002A150B" w:rsidRDefault="00E86133" w:rsidP="00930C75">
      <w:pPr>
        <w:pStyle w:val="CMR-text"/>
        <w:rPr>
          <w:noProof/>
        </w:rPr>
      </w:pPr>
      <w:r w:rsidRPr="002A150B">
        <w:rPr>
          <w:noProof/>
        </w:rPr>
        <w:t xml:space="preserve">Anulările sunt planificate să aibă loc în perioada 2025-2030. Numărul exact de certificate care urmează să fie anulate în legătură cu notificarea poate fi comunicat Comisiei anual. Termenul pentru prima notificare este 31 mai 2025. Metodologia de calculare a numărului total de certificate care urmează să fie anulate face parte din notificare și ține seama de emisiile generate în producția energiei electrice înlocuitoare pe piața energiei electrice, precum și de funcționarea rezervei pentru stabilitatea pieței. </w:t>
      </w:r>
    </w:p>
    <w:p w14:paraId="7D8A997A" w14:textId="2A69CCCF" w:rsidR="00613B80" w:rsidRPr="002A150B" w:rsidRDefault="00613B80" w:rsidP="00A57CB1">
      <w:pPr>
        <w:pStyle w:val="CMR-Subheading"/>
        <w:rPr>
          <w:noProof/>
        </w:rPr>
      </w:pPr>
      <w:bookmarkStart w:id="43" w:name="_Toc180513401"/>
      <w:bookmarkStart w:id="44" w:name="_Toc189482436"/>
      <w:r w:rsidRPr="002A150B">
        <w:rPr>
          <w:noProof/>
        </w:rPr>
        <w:t>Supravegherea pieței</w:t>
      </w:r>
      <w:bookmarkEnd w:id="43"/>
      <w:bookmarkEnd w:id="44"/>
      <w:r w:rsidRPr="002A150B">
        <w:rPr>
          <w:noProof/>
        </w:rPr>
        <w:t xml:space="preserve"> </w:t>
      </w:r>
    </w:p>
    <w:p w14:paraId="647F3E25" w14:textId="1800AFD3" w:rsidR="301D5333" w:rsidRPr="002A150B" w:rsidRDefault="6BE53663" w:rsidP="0006239E">
      <w:pPr>
        <w:pStyle w:val="CMR-text"/>
        <w:rPr>
          <w:noProof/>
        </w:rPr>
      </w:pPr>
      <w:r w:rsidRPr="002A150B">
        <w:rPr>
          <w:noProof/>
        </w:rPr>
        <w:t>Piața carbonului din UE face obiectul unor norme solide de supraveghere a pieței, consacrate pe piețele financiare ale UE. Ea este formată dintr-o piață primară, pe care certificatele de emisii sunt licitate participanților la piață, și o piață secundară, pe care participanții la piață tranzacționează contracte spot și contracte derivate pe certificate de emisii. Atât instrumentele spot, cât și instrumentele derivate pe certificate de emisii sunt clasificate ca instrumente financiare în temeiul MIFID II – Directiva privind piețele instrumentelor financiare (Directiva 2014/65/UE)</w:t>
      </w:r>
      <w:r w:rsidR="00EC2FDE" w:rsidRPr="002A150B">
        <w:rPr>
          <w:rStyle w:val="FootnoteReference"/>
          <w:noProof/>
        </w:rPr>
        <w:footnoteReference w:id="39"/>
      </w:r>
      <w:r w:rsidRPr="002A150B">
        <w:rPr>
          <w:noProof/>
        </w:rPr>
        <w:t>. Această clasificare se reflectă și în legislația secundară, de exemplu în Regulamentul privind licitațiile, care supraveghează piața primară (licitațiile de certificate).</w:t>
      </w:r>
    </w:p>
    <w:p w14:paraId="4455B3A5" w14:textId="3BBD5466" w:rsidR="003A55BF" w:rsidRPr="002A150B" w:rsidRDefault="6BE53663" w:rsidP="0006239E">
      <w:pPr>
        <w:pStyle w:val="CMR-text"/>
        <w:rPr>
          <w:noProof/>
        </w:rPr>
      </w:pPr>
      <w:r w:rsidRPr="002A150B">
        <w:rPr>
          <w:noProof/>
        </w:rPr>
        <w:t>Supravegherea pieței carbonului din UE este partajată între autoritățile financiare din toate statele membre</w:t>
      </w:r>
      <w:r w:rsidR="00FB65F5" w:rsidRPr="002A150B">
        <w:rPr>
          <w:rStyle w:val="FootnoteReference"/>
          <w:rFonts w:eastAsia="Times New Roman" w:cstheme="minorHAnsi"/>
          <w:noProof/>
          <w:color w:val="333333"/>
          <w:szCs w:val="24"/>
        </w:rPr>
        <w:footnoteReference w:id="40"/>
      </w:r>
      <w:r w:rsidRPr="002A150B">
        <w:rPr>
          <w:noProof/>
        </w:rPr>
        <w:t>, sub coordonarea autorității europene de reglementare, Autoritatea Europeană pentru Valori Mobiliare și Piețe (ESMA). ESMA monitorizează comportamentul participanților la piață prin cerințe ample de raportare și transparență. În plus, Regulamentul privind abuzul de piață [Regulamentul (UE) 596/2014]</w:t>
      </w:r>
      <w:r w:rsidR="00DE7C5D" w:rsidRPr="002A150B">
        <w:rPr>
          <w:rStyle w:val="FootnoteReference"/>
          <w:rFonts w:eastAsia="Times New Roman" w:cstheme="minorHAnsi"/>
          <w:noProof/>
          <w:color w:val="333333"/>
          <w:szCs w:val="24"/>
        </w:rPr>
        <w:footnoteReference w:id="41"/>
      </w:r>
      <w:r w:rsidRPr="002A150B">
        <w:rPr>
          <w:noProof/>
        </w:rPr>
        <w:t xml:space="preserve"> obligă participanții la piață să raporteze imediat ordinele și tranzacțiile suspecte. La rândul lor, autoritățile naționale au competența de a interveni prin măsuri de remediere sau sancțiuni în cazul în care identifică abuzuri de piață. </w:t>
      </w:r>
    </w:p>
    <w:p w14:paraId="281231CD" w14:textId="072C4A9C" w:rsidR="00472353" w:rsidRPr="002A150B" w:rsidRDefault="0020545B" w:rsidP="00C85649">
      <w:pPr>
        <w:pStyle w:val="CMR-text"/>
        <w:rPr>
          <w:noProof/>
        </w:rPr>
      </w:pPr>
      <w:r w:rsidRPr="002A150B">
        <w:rPr>
          <w:noProof/>
        </w:rPr>
        <w:t xml:space="preserve">În cadrul revizuirii din 2023 a Directivei EU ETS, au fost convenite o serie de modificări cu scopul de a îmbunătăți și mai mult transparența pieței carbonului din UE. ESMA a fost invitată să efectueze o evaluare periodică a funcționării pieței. La 31 august 2023, ESMA a publicat „Raportul privind tendințele, riscurile și vulnerabilitățile din 2023”, a cărui concluzie este că piața carbonului din UE a rămas stabilă în 2023 și a continuat să funcționeze în conformitate cu principiile fundamentale ale pieței. </w:t>
      </w:r>
    </w:p>
    <w:p w14:paraId="0FE76890" w14:textId="799AB814" w:rsidR="00F9367F" w:rsidRPr="002A150B" w:rsidRDefault="38C25BDA" w:rsidP="00C85649">
      <w:pPr>
        <w:pStyle w:val="CMR-text"/>
        <w:rPr>
          <w:noProof/>
        </w:rPr>
      </w:pPr>
      <w:r w:rsidRPr="002A150B">
        <w:rPr>
          <w:noProof/>
        </w:rPr>
        <w:t>La 7 octombrie 2024, ESMA a publicat un raport actualizat privind monitorizarea pieței carbonului din UE</w:t>
      </w:r>
      <w:r w:rsidR="00F1285D" w:rsidRPr="002A150B">
        <w:rPr>
          <w:rStyle w:val="FootnoteReference"/>
          <w:noProof/>
        </w:rPr>
        <w:footnoteReference w:id="42"/>
      </w:r>
      <w:r w:rsidRPr="002A150B">
        <w:rPr>
          <w:noProof/>
        </w:rPr>
        <w:t xml:space="preserve">. Acesta include cea mai recentă analiză a pieței carbonului, bazată pe datele din 2023. Raportul nu relevă nicio problemă semnificativă în funcționarea pieței și identifică decarbonizarea sectorului energetic și activitatea industrială ca elemente fundamentale ale pieței, importante pentru evoluția pieței. </w:t>
      </w:r>
    </w:p>
    <w:p w14:paraId="2FCE02F7" w14:textId="06CAE337" w:rsidR="00642E53" w:rsidRPr="002A150B" w:rsidRDefault="000B6FE9" w:rsidP="00C85649">
      <w:pPr>
        <w:pStyle w:val="CMR-text"/>
        <w:rPr>
          <w:noProof/>
        </w:rPr>
      </w:pPr>
      <w:r w:rsidRPr="002A150B">
        <w:rPr>
          <w:noProof/>
        </w:rPr>
        <w:t xml:space="preserve">ESMA a atras atenția și asupra relativei concentrări a licitațiilor, care se datorează preferinței operatorilor de a obține certificate prin intermediari financiari. ESMA a explicat că tranzacționarea pe piețele secundare se realizează în principal prin instrumente financiare derivate, în urma ciclului anual de conformitate cu EU ETS, în care firmele din sectorul nefinanciar dețin poziții lungi (din motive de conformitate), în timp ce băncile și firmele de investiții dețin poziții scurte. Raportul subliniază că majoritatea recomandărilor cuprinse în raportul ESMA din 2022, menite să îmbunătățească transparența pieței carbonului, au fost puse în aplicare. </w:t>
      </w:r>
    </w:p>
    <w:p w14:paraId="59993081" w14:textId="12EE14B2" w:rsidR="00D03E38" w:rsidRPr="002A150B" w:rsidRDefault="006C66F1" w:rsidP="00C85649">
      <w:pPr>
        <w:pStyle w:val="CMR-text"/>
        <w:rPr>
          <w:noProof/>
        </w:rPr>
      </w:pPr>
      <w:r w:rsidRPr="002A150B">
        <w:rPr>
          <w:noProof/>
        </w:rPr>
        <w:t xml:space="preserve">ESMA a subliniat, de asemenea, importanța disponibilității unor identificatori ai entității juridice (LEI) pentru entitățile din registrul Uniunii și invită administratorii naționali să depună eforturi suplimentare pentru a asigura punerea în aplicare în timp util a cerinței privind înregistrarea LEI. Acest lucru este deosebit de relevant în 2024, întrucât numărul titularilor de conturi va crește odată cu extinderea EU ETS. În acest sens, ESMA consideră că se justifică analizarea aprofundată și monitorizarea în continuare a pieței carbonului. </w:t>
      </w:r>
    </w:p>
    <w:p w14:paraId="5F34B86E" w14:textId="0C5A000A" w:rsidR="00251165" w:rsidRPr="002A150B" w:rsidRDefault="00586A67" w:rsidP="00C85649">
      <w:pPr>
        <w:pStyle w:val="CMR-text"/>
        <w:rPr>
          <w:noProof/>
        </w:rPr>
      </w:pPr>
      <w:r w:rsidRPr="002A150B">
        <w:rPr>
          <w:noProof/>
        </w:rPr>
        <w:t>Deși nu este obligatoriu să existe un LEI pentru a deschide un cont în registrul Uniunii, entitățile care au un LEI au obligația de a introduce această informație în registrul Uniunii atunci când deschid un cont. În plus, modificarea din 2023 a Regulamentului privind registrul [Regulamentul (UE) 2019/1122]</w:t>
      </w:r>
      <w:r w:rsidR="000C4C3C" w:rsidRPr="002A150B">
        <w:rPr>
          <w:rStyle w:val="FootnoteReference"/>
          <w:noProof/>
        </w:rPr>
        <w:footnoteReference w:id="43"/>
      </w:r>
      <w:r w:rsidRPr="002A150B">
        <w:rPr>
          <w:noProof/>
        </w:rPr>
        <w:t xml:space="preserve"> prevede ca administratorii naționali să verifice, până la sfârșitul anului 2024, conturile care nu conțin informații privind LEI sau statutul locului de tranzacționare sau al contrapărții centrale menționate în tabelul III-I din anexa III la regulament.</w:t>
      </w:r>
    </w:p>
    <w:p w14:paraId="5DF6AA9F" w14:textId="7C255465" w:rsidR="00AC64A9" w:rsidRPr="002A150B" w:rsidRDefault="0067277D" w:rsidP="00C85649">
      <w:pPr>
        <w:pStyle w:val="CMR-text"/>
        <w:rPr>
          <w:noProof/>
        </w:rPr>
      </w:pPr>
      <w:r w:rsidRPr="002A150B">
        <w:rPr>
          <w:noProof/>
        </w:rPr>
        <w:t>La 28 martie 2024 au intrat în vigoare Directiva MIFID II revizuită</w:t>
      </w:r>
      <w:r w:rsidRPr="002A150B">
        <w:rPr>
          <w:noProof/>
          <w:vertAlign w:val="superscript"/>
        </w:rPr>
        <w:footnoteReference w:id="44"/>
      </w:r>
      <w:r w:rsidRPr="002A150B">
        <w:rPr>
          <w:noProof/>
        </w:rPr>
        <w:t xml:space="preserve"> și MIFIR – Regulamentul privind piețele instrumentelor financiare [Regulamentul (UE) 2024/791]</w:t>
      </w:r>
      <w:r w:rsidR="00B362EB" w:rsidRPr="002A150B">
        <w:rPr>
          <w:noProof/>
          <w:vertAlign w:val="superscript"/>
        </w:rPr>
        <w:footnoteReference w:id="45"/>
      </w:r>
      <w:r w:rsidRPr="002A150B">
        <w:rPr>
          <w:noProof/>
        </w:rPr>
        <w:t>, consolidând și mai mult normele privind piețele financiare, transparența și supravegherea. Articolul 57 din MIFIR extinde mecanismele de control al administrării pozițiilor la locurile de tranzacționare care tranzacționează instrumente financiare derivate pe certificate de emisii. Articolul 58 din MIFIR modifică domeniul de aplicare al raportării pozițiilor de către locurile de tranzacționare și firmele de investiții prin excluderea certificatelor de emisii și introduce o nouă obligație, aceea de a prezenta rapoarte privind pozițiile de două ori pe săptămână</w:t>
      </w:r>
      <w:r w:rsidR="005D5E97" w:rsidRPr="002A150B">
        <w:rPr>
          <w:noProof/>
          <w:vertAlign w:val="superscript"/>
        </w:rPr>
        <w:footnoteReference w:id="46"/>
      </w:r>
      <w:r w:rsidRPr="002A150B">
        <w:rPr>
          <w:noProof/>
        </w:rPr>
        <w:t xml:space="preserve">, sporind transparența în tranzacționarea certificatelor de emisii și a instrumentelor financiare derivate pe acestea. </w:t>
      </w:r>
    </w:p>
    <w:p w14:paraId="620C327B" w14:textId="3E4C949F" w:rsidR="00923179" w:rsidRPr="002A150B" w:rsidRDefault="00A11B68" w:rsidP="00C85649">
      <w:pPr>
        <w:pStyle w:val="CMR-text"/>
        <w:rPr>
          <w:noProof/>
        </w:rPr>
      </w:pPr>
      <w:r w:rsidRPr="002A150B">
        <w:rPr>
          <w:noProof/>
        </w:rPr>
        <w:t>De asemenea, noile norme prevăd obligația Comisiei de a efectua, până la 31 iulie 2025, o evaluare cuprinzătoare a adecvării cadrului general de reglementare pentru piețele instrumentelor financiare derivate pe mărfuri, care include certificatele de emisii și produsele derivate asociate. Această evaluare va analiza dacă regimurile de limitare a pozițiilor și mecanismele de control al administrării pozițiilor contribuie la prevenirea abuzului de piață și la favorizarea condițiilor de cotație și de decontare ordonată. Totodată, Comisia va evalua criteriile pe baza cărora se stabilește când o activitate trebuie considerată auxiliară în raport cu activitatea principală la nivel de grup, ținând seama de lichiditate și de funcționarea ordonată a piețelor pentru instrumentele financiare derivate pe mărfuri, inclusiv de tranzacționarea certificatelor de emisii și a instrumentelor financiare derivate pe acestea. În plus, Comisia ar trebui să evalueze în ce măsură datele privind tranzacțiile de pe piețele instrumentelor financiare derivate pe mărfuri sau ale instrumentelor financiare derivate pe certificate de emisii ar putea fi colectate într-o singură entitate de colectare și armonizate în cadrul MIFIR și al Regulamentului privind instrumentele financiare derivate extrabursiere, contrapărțile centrale și registrele centrale de tranzacții [Regulamentul (UE) nr. 648/2012]</w:t>
      </w:r>
      <w:r w:rsidR="008D7DC1" w:rsidRPr="002A150B">
        <w:rPr>
          <w:rStyle w:val="FootnoteReference"/>
          <w:noProof/>
        </w:rPr>
        <w:footnoteReference w:id="47"/>
      </w:r>
      <w:r w:rsidRPr="002A150B">
        <w:rPr>
          <w:noProof/>
        </w:rPr>
        <w:t xml:space="preserve">, precum și să determine care dintre datele referitoare la tranzacții ar fi pertinente pentru public și modul optim de difuzare a acestor date referitoare la tranzacții. </w:t>
      </w:r>
    </w:p>
    <w:p w14:paraId="54240DEB" w14:textId="48FBED72" w:rsidR="008C75ED" w:rsidRPr="002A150B" w:rsidRDefault="007078AB" w:rsidP="008C75ED">
      <w:pPr>
        <w:pStyle w:val="CMR-text"/>
        <w:rPr>
          <w:noProof/>
        </w:rPr>
      </w:pPr>
      <w:r w:rsidRPr="002A150B">
        <w:rPr>
          <w:noProof/>
        </w:rPr>
        <w:t>Ca urmare a noilor norme, ESMA a publicat, la 24 mai 2024, un document de consultare</w:t>
      </w:r>
      <w:r w:rsidR="00DD7293" w:rsidRPr="002A150B">
        <w:rPr>
          <w:rStyle w:val="FootnoteReference"/>
          <w:rFonts w:eastAsia="Times New Roman"/>
          <w:noProof/>
          <w:color w:val="333333"/>
        </w:rPr>
        <w:footnoteReference w:id="48"/>
      </w:r>
      <w:r w:rsidRPr="002A150B">
        <w:rPr>
          <w:noProof/>
        </w:rPr>
        <w:t xml:space="preserve"> privind instrumentele financiare derivate pe mărfuri, care acoperă toate modificările esențiale ale standardelor tehnice legate de revizuirea MiFID II în ceea ce privește instrumentele financiare derivate pe mărfuri. În acest mod se solicită opiniile părților interesate cu privire la modificările propuse. Pe baza feedbackului primit în urma acestei consultări publice, se preconizează că ESMA va finaliza un raport până la sfârșitul anului 2024 și, pe această bază, poate propune modificări de nivelul 2. </w:t>
      </w:r>
    </w:p>
    <w:p w14:paraId="3DD8AE7E" w14:textId="3164585F" w:rsidR="00613B80" w:rsidRPr="002A150B" w:rsidRDefault="00613B80" w:rsidP="00A72CC2">
      <w:pPr>
        <w:pStyle w:val="CMR-Heading"/>
        <w:rPr>
          <w:noProof/>
        </w:rPr>
      </w:pPr>
      <w:bookmarkStart w:id="45" w:name="_Toc180513402"/>
      <w:bookmarkStart w:id="46" w:name="_Toc189482437"/>
      <w:r w:rsidRPr="002A150B">
        <w:rPr>
          <w:noProof/>
        </w:rPr>
        <w:t>Tendințe în materie de emisii</w:t>
      </w:r>
      <w:bookmarkEnd w:id="45"/>
      <w:bookmarkEnd w:id="46"/>
    </w:p>
    <w:p w14:paraId="155A747E" w14:textId="5D6BC26D" w:rsidR="00E3093D" w:rsidRPr="002A150B" w:rsidRDefault="00411BF0" w:rsidP="00A13A32">
      <w:pPr>
        <w:jc w:val="both"/>
        <w:rPr>
          <w:rFonts w:ascii="Times New Roman" w:hAnsi="Times New Roman"/>
          <w:noProof/>
          <w:kern w:val="0"/>
          <w:sz w:val="24"/>
          <w14:ligatures w14:val="none"/>
        </w:rPr>
      </w:pPr>
      <w:r w:rsidRPr="002A150B">
        <w:rPr>
          <w:rFonts w:ascii="Times New Roman" w:hAnsi="Times New Roman"/>
          <w:noProof/>
          <w:sz w:val="24"/>
        </w:rPr>
        <w:t>În 2023, emisiile totale din cadrul EU ETS s-au ridicat la 1 149,1 milioane de tone (Mt) de echivalent CO</w:t>
      </w:r>
      <w:r w:rsidRPr="002A150B">
        <w:rPr>
          <w:rFonts w:ascii="Times New Roman" w:hAnsi="Times New Roman"/>
          <w:noProof/>
          <w:sz w:val="24"/>
          <w:vertAlign w:val="subscript"/>
        </w:rPr>
        <w:t>2</w:t>
      </w:r>
      <w:r w:rsidRPr="002A150B">
        <w:rPr>
          <w:rFonts w:ascii="Times New Roman" w:hAnsi="Times New Roman"/>
          <w:noProof/>
          <w:sz w:val="24"/>
        </w:rPr>
        <w:t xml:space="preserve"> (în scădere de la 1 361,9 Mt de echivalent CO</w:t>
      </w:r>
      <w:r w:rsidRPr="002A150B">
        <w:rPr>
          <w:rFonts w:ascii="Times New Roman" w:hAnsi="Times New Roman"/>
          <w:noProof/>
          <w:sz w:val="24"/>
          <w:vertAlign w:val="subscript"/>
        </w:rPr>
        <w:t>2</w:t>
      </w:r>
      <w:r w:rsidRPr="002A150B">
        <w:rPr>
          <w:rFonts w:ascii="Times New Roman" w:hAnsi="Times New Roman"/>
          <w:noProof/>
          <w:sz w:val="24"/>
        </w:rPr>
        <w:t xml:space="preserve"> în 2022). Emisiile provenite de la instalații s-au ridicat la 1 095,9 Mt echivalent CO</w:t>
      </w:r>
      <w:r w:rsidRPr="002A150B">
        <w:rPr>
          <w:rFonts w:ascii="Times New Roman" w:hAnsi="Times New Roman"/>
          <w:noProof/>
          <w:sz w:val="24"/>
          <w:vertAlign w:val="subscript"/>
        </w:rPr>
        <w:t>2</w:t>
      </w:r>
      <w:r w:rsidRPr="002A150B">
        <w:rPr>
          <w:rFonts w:ascii="Times New Roman" w:hAnsi="Times New Roman"/>
          <w:noProof/>
          <w:sz w:val="24"/>
        </w:rPr>
        <w:t>, cu 16,5 % mai puține decât în 2022. Este cea mai mare reducere a acestor emisii de până în prezent.</w:t>
      </w:r>
    </w:p>
    <w:p w14:paraId="2F2B49CB" w14:textId="61753B5A" w:rsidR="009F6FA0" w:rsidRPr="002A150B" w:rsidRDefault="009F6FA0" w:rsidP="00EB53EF">
      <w:pPr>
        <w:jc w:val="both"/>
        <w:rPr>
          <w:rFonts w:ascii="Times New Roman" w:hAnsi="Times New Roman"/>
          <w:noProof/>
          <w:kern w:val="0"/>
          <w:sz w:val="24"/>
          <w14:ligatures w14:val="none"/>
        </w:rPr>
      </w:pPr>
      <w:r w:rsidRPr="002A150B">
        <w:rPr>
          <w:rFonts w:ascii="Times New Roman" w:hAnsi="Times New Roman"/>
          <w:noProof/>
          <w:sz w:val="24"/>
        </w:rPr>
        <w:t>Odată cu această evoluție, emisiile ETS provenite de la instalații sunt în prezent cu aproximativ 47,6 % sub nivelurile din 2005 și sunt pe cale să atingă obiectivul de -62 % stabilit pentru 2030. Tendința observată confirmă eficacitatea și eficiența EU ETS ca unul dintre principalele stimulente strategice pentru decarbonizarea economiei europene.</w:t>
      </w:r>
    </w:p>
    <w:p w14:paraId="46D38617" w14:textId="2DE1E4EB" w:rsidR="006210A4" w:rsidRPr="002A150B" w:rsidRDefault="00E3093D" w:rsidP="00321772">
      <w:pPr>
        <w:jc w:val="both"/>
        <w:rPr>
          <w:rFonts w:ascii="Times New Roman" w:hAnsi="Times New Roman"/>
          <w:noProof/>
          <w:kern w:val="0"/>
          <w:sz w:val="24"/>
          <w14:ligatures w14:val="none"/>
        </w:rPr>
      </w:pPr>
      <w:r w:rsidRPr="002A150B">
        <w:rPr>
          <w:rFonts w:ascii="Times New Roman" w:hAnsi="Times New Roman"/>
          <w:noProof/>
          <w:sz w:val="24"/>
        </w:rPr>
        <w:t>Cel mai important factor determinant pentru scăderea record a emisiilor EU ETS a fost sectorul energetic, în care emisiile generate de producția energiei electrice și termice au scăzut cu 24 % față de 2022. Această scădere se datorează în principal unei creșteri substanțiale a producției de energie electrică din surse regenerabile (în principal eoliană și solară) și a înlocuirii cărbunelui cu gaze în producția de energie electrică, facilitată de menținerea prețurilor medii ale carbonului la peste 80 EUR/tCO</w:t>
      </w:r>
      <w:r w:rsidRPr="002A150B">
        <w:rPr>
          <w:rFonts w:ascii="Times New Roman" w:hAnsi="Times New Roman"/>
          <w:noProof/>
          <w:sz w:val="24"/>
          <w:vertAlign w:val="subscript"/>
        </w:rPr>
        <w:t>2</w:t>
      </w:r>
      <w:r w:rsidRPr="002A150B">
        <w:rPr>
          <w:rFonts w:ascii="Times New Roman" w:hAnsi="Times New Roman"/>
          <w:noProof/>
          <w:sz w:val="24"/>
        </w:rPr>
        <w:t xml:space="preserve"> în 2023. </w:t>
      </w:r>
    </w:p>
    <w:p w14:paraId="7213F9FA" w14:textId="7BF04F88" w:rsidR="006D2011" w:rsidRPr="002A150B" w:rsidRDefault="009B2848" w:rsidP="00321772">
      <w:pPr>
        <w:jc w:val="both"/>
        <w:rPr>
          <w:rFonts w:ascii="Times New Roman" w:hAnsi="Times New Roman"/>
          <w:noProof/>
          <w:kern w:val="0"/>
          <w:sz w:val="24"/>
          <w14:ligatures w14:val="none"/>
        </w:rPr>
      </w:pPr>
      <w:r w:rsidRPr="002A150B">
        <w:rPr>
          <w:rFonts w:ascii="Times New Roman" w:hAnsi="Times New Roman"/>
          <w:noProof/>
          <w:sz w:val="24"/>
        </w:rPr>
        <w:t>În 2023, energia din surse regenerabile a fost principala sursă de energie electrică din UE, reprezentând 44,7 % din producția totală de energie electrică</w:t>
      </w:r>
      <w:r w:rsidR="00926D12" w:rsidRPr="002A150B">
        <w:rPr>
          <w:rStyle w:val="FootnoteReference"/>
          <w:rFonts w:ascii="Times New Roman" w:hAnsi="Times New Roman"/>
          <w:noProof/>
          <w:kern w:val="0"/>
          <w:sz w:val="24"/>
        </w:rPr>
        <w:footnoteReference w:id="49"/>
      </w:r>
      <w:r w:rsidRPr="002A150B">
        <w:rPr>
          <w:rFonts w:ascii="Times New Roman" w:hAnsi="Times New Roman"/>
          <w:noProof/>
          <w:sz w:val="24"/>
        </w:rPr>
        <w:t>. În același timp, energia electrică generată din combustibili fosili a scăzut cu 19,7 % față de 2022, contribuind cu 32,5 % la producția totală de energie electrică.</w:t>
      </w:r>
    </w:p>
    <w:p w14:paraId="54A928ED" w14:textId="63E97523" w:rsidR="00D77650" w:rsidRPr="002A150B" w:rsidRDefault="00E308D0" w:rsidP="00321772">
      <w:pPr>
        <w:jc w:val="both"/>
        <w:rPr>
          <w:rFonts w:ascii="Times New Roman" w:hAnsi="Times New Roman"/>
          <w:noProof/>
          <w:kern w:val="0"/>
          <w:sz w:val="24"/>
          <w14:ligatures w14:val="none"/>
        </w:rPr>
      </w:pPr>
      <w:r w:rsidRPr="002A150B">
        <w:rPr>
          <w:rFonts w:ascii="Times New Roman" w:hAnsi="Times New Roman"/>
          <w:noProof/>
          <w:sz w:val="24"/>
        </w:rPr>
        <w:t xml:space="preserve">Prin instalarea unei noi capacități de producere a energiei solare de 56 GW în 2023, UE a stabilit un nou record, depășind capacitatea suplimentară de 40 GW instalată în 2022. Energia eoliană onshore și offshore din UE a avut o capacitate instalată cumulată totală </w:t>
      </w:r>
      <w:r w:rsidRPr="002A150B">
        <w:rPr>
          <w:rStyle w:val="CMR-textChar"/>
          <w:noProof/>
        </w:rPr>
        <w:t xml:space="preserve">de 221 GW (201 GW onshore; 19 GW offshore), cu 16 GW instalată în 2023. </w:t>
      </w:r>
      <w:r w:rsidRPr="002A150B">
        <w:rPr>
          <w:rFonts w:ascii="Times New Roman" w:hAnsi="Times New Roman"/>
          <w:noProof/>
          <w:sz w:val="24"/>
        </w:rPr>
        <w:t>Energia eoliană a depășit gazele naturale, devenind a doua tehnologie de generare a energiei electrice ca mărime din UE, după cea nucleară</w:t>
      </w:r>
      <w:r w:rsidR="00D77650" w:rsidRPr="002A150B">
        <w:rPr>
          <w:rStyle w:val="FootnoteReference"/>
          <w:rFonts w:ascii="Times New Roman" w:hAnsi="Times New Roman"/>
          <w:noProof/>
          <w:kern w:val="0"/>
          <w:sz w:val="24"/>
        </w:rPr>
        <w:footnoteReference w:id="50"/>
      </w:r>
      <w:r w:rsidRPr="002A150B">
        <w:rPr>
          <w:rFonts w:ascii="Times New Roman" w:hAnsi="Times New Roman"/>
          <w:noProof/>
          <w:sz w:val="24"/>
        </w:rPr>
        <w:t xml:space="preserve">. </w:t>
      </w:r>
    </w:p>
    <w:p w14:paraId="5CF4AF44" w14:textId="730E1608" w:rsidR="00E3093D" w:rsidRPr="002A150B" w:rsidRDefault="007575FA" w:rsidP="00321772">
      <w:pPr>
        <w:jc w:val="both"/>
        <w:rPr>
          <w:rFonts w:ascii="Times New Roman" w:hAnsi="Times New Roman" w:cs="Times New Roman"/>
          <w:noProof/>
        </w:rPr>
      </w:pPr>
      <w:r w:rsidRPr="002A150B">
        <w:rPr>
          <w:rStyle w:val="CMR-textChar"/>
          <w:noProof/>
        </w:rPr>
        <w:t>Deși într-o măsură mai mică, scăderea emisiilor în sectorul energetic a fost determinată și de revenirea hidroenergiei ca urmare a condițiilor climatice mai favorabile și a energiei nucleare, precum și de reducerea cu 2 % a producției de energie electrică în ansamblu</w:t>
      </w:r>
      <w:r w:rsidR="00A1122C" w:rsidRPr="002A150B">
        <w:rPr>
          <w:rStyle w:val="CMR-textChar"/>
          <w:noProof/>
          <w:vertAlign w:val="superscript"/>
        </w:rPr>
        <w:footnoteReference w:id="51"/>
      </w:r>
      <w:r w:rsidRPr="002A150B">
        <w:rPr>
          <w:rStyle w:val="CMR-textChar"/>
          <w:noProof/>
        </w:rPr>
        <w:t>. Primele indicii arată că, în prima jumătate a anului 2024, aproximativ 50 % din producția de energie electrică a provenit din surse regenerabile, energia eoliană și solară generând mai multă energie electrică decât combustibilii fosili împreună</w:t>
      </w:r>
      <w:r w:rsidR="006F5185" w:rsidRPr="002A150B">
        <w:rPr>
          <w:rStyle w:val="CMR-textChar"/>
          <w:noProof/>
          <w:vertAlign w:val="superscript"/>
        </w:rPr>
        <w:footnoteReference w:id="52"/>
      </w:r>
      <w:r w:rsidRPr="002A150B">
        <w:rPr>
          <w:rStyle w:val="CMR-textChar"/>
          <w:noProof/>
        </w:rPr>
        <w:t xml:space="preserve">. </w:t>
      </w:r>
    </w:p>
    <w:p w14:paraId="6AFE5FD0" w14:textId="135E3102" w:rsidR="00317FAE" w:rsidRPr="002A150B" w:rsidRDefault="5741EEB1" w:rsidP="4F9B5EBC">
      <w:pPr>
        <w:jc w:val="both"/>
        <w:rPr>
          <w:rFonts w:ascii="Times New Roman" w:hAnsi="Times New Roman"/>
          <w:noProof/>
          <w:kern w:val="0"/>
          <w:sz w:val="24"/>
          <w:szCs w:val="24"/>
          <w14:ligatures w14:val="none"/>
        </w:rPr>
      </w:pPr>
      <w:r w:rsidRPr="002A150B">
        <w:rPr>
          <w:rFonts w:ascii="Times New Roman" w:hAnsi="Times New Roman"/>
          <w:noProof/>
          <w:sz w:val="24"/>
        </w:rPr>
        <w:t>În sectoarele industriale energointensive s-a observat o reducere a emisiilor cu 7,5 % față de 2022, ca urmare a unei combinații între scăderea producției și creșterea eficienței. Nivelurile de producție ale instalațiilor care intră în domeniul de aplicare al EU ETS nu sunt disponibile la momentul publicării. Statisticile Eurostat privind producția industrială arată că, în ansamblu, producția industrială a scăzut ușor în 2023, dar rămâne mai ridicată decât în 2019 și 2021 (adică imediat înainte de pandemia de COVID-19 și de invadarea Ucrainei de către Rusia).</w:t>
      </w:r>
    </w:p>
    <w:p w14:paraId="5C0E7843" w14:textId="432A83D6" w:rsidR="00DA0D5D" w:rsidRPr="002A150B" w:rsidRDefault="0000581D" w:rsidP="00EE2D31">
      <w:pPr>
        <w:pStyle w:val="CMR-text"/>
        <w:rPr>
          <w:noProof/>
        </w:rPr>
      </w:pPr>
      <w:r w:rsidRPr="002A150B">
        <w:rPr>
          <w:rFonts w:cs="Times New Roman"/>
          <w:noProof/>
        </w:rPr>
        <w:fldChar w:fldCharType="begin"/>
      </w:r>
      <w:r w:rsidRPr="002A150B">
        <w:rPr>
          <w:rFonts w:cs="Times New Roman"/>
          <w:noProof/>
        </w:rPr>
        <w:instrText xml:space="preserve"> REF _Ref176771676 \h </w:instrText>
      </w:r>
      <w:r w:rsidR="00B574FD" w:rsidRPr="002A150B">
        <w:rPr>
          <w:rFonts w:cs="Times New Roman"/>
          <w:noProof/>
        </w:rPr>
        <w:instrText xml:space="preserve"> \* MERGEFORMAT </w:instrText>
      </w:r>
      <w:r w:rsidRPr="002A150B">
        <w:rPr>
          <w:rFonts w:cs="Times New Roman"/>
          <w:noProof/>
        </w:rPr>
      </w:r>
      <w:r w:rsidRPr="002A150B">
        <w:rPr>
          <w:rFonts w:cs="Times New Roman"/>
          <w:noProof/>
        </w:rPr>
        <w:fldChar w:fldCharType="separate"/>
      </w:r>
      <w:r w:rsidR="00411CDC" w:rsidRPr="002A150B">
        <w:rPr>
          <w:rFonts w:cs="Times New Roman"/>
          <w:noProof/>
        </w:rPr>
        <w:t>Tab</w:t>
      </w:r>
      <w:r w:rsidR="00084B38" w:rsidRPr="002A150B">
        <w:rPr>
          <w:rFonts w:cs="Times New Roman"/>
          <w:noProof/>
        </w:rPr>
        <w:t>elul</w:t>
      </w:r>
      <w:r w:rsidR="00411CDC" w:rsidRPr="002A150B">
        <w:rPr>
          <w:rFonts w:cs="Times New Roman"/>
          <w:noProof/>
        </w:rPr>
        <w:t xml:space="preserve"> 4</w:t>
      </w:r>
      <w:r w:rsidRPr="002A150B">
        <w:rPr>
          <w:rFonts w:cs="Times New Roman"/>
          <w:noProof/>
        </w:rPr>
        <w:fldChar w:fldCharType="end"/>
      </w:r>
      <w:r w:rsidRPr="002A150B">
        <w:rPr>
          <w:noProof/>
        </w:rPr>
        <w:t xml:space="preserve"> arată evoluția emisiilor ETS provenite de la instalațiile energetice și industriale începând din 2019. Emisiile generate de aviație sunt discutate în capitolul 9. </w:t>
      </w:r>
    </w:p>
    <w:p w14:paraId="758D68A2" w14:textId="0C258F8D" w:rsidR="009235EF" w:rsidRPr="002A150B" w:rsidRDefault="009235EF" w:rsidP="00787D75">
      <w:pPr>
        <w:pStyle w:val="Caption"/>
        <w:keepNext/>
        <w:rPr>
          <w:noProof/>
        </w:rPr>
      </w:pPr>
      <w:bookmarkStart w:id="47" w:name="_Ref176771676"/>
      <w:r w:rsidRPr="002A150B">
        <w:rPr>
          <w:noProof/>
        </w:rPr>
        <w:t xml:space="preserve">Tabelul </w:t>
      </w:r>
      <w:r w:rsidR="003B51C5" w:rsidRPr="002A150B">
        <w:rPr>
          <w:noProof/>
        </w:rPr>
        <w:fldChar w:fldCharType="begin"/>
      </w:r>
      <w:r w:rsidR="003B51C5" w:rsidRPr="002A150B">
        <w:rPr>
          <w:noProof/>
        </w:rPr>
        <w:instrText xml:space="preserve"> SEQ Table \* ARABIC </w:instrText>
      </w:r>
      <w:r w:rsidR="003B51C5" w:rsidRPr="002A150B">
        <w:rPr>
          <w:noProof/>
        </w:rPr>
        <w:fldChar w:fldCharType="separate"/>
      </w:r>
      <w:r w:rsidR="00411CDC" w:rsidRPr="002A150B">
        <w:rPr>
          <w:noProof/>
        </w:rPr>
        <w:t>4</w:t>
      </w:r>
      <w:r w:rsidR="003B51C5" w:rsidRPr="002A150B">
        <w:rPr>
          <w:noProof/>
        </w:rPr>
        <w:fldChar w:fldCharType="end"/>
      </w:r>
      <w:bookmarkEnd w:id="47"/>
      <w:r w:rsidRPr="002A150B">
        <w:rPr>
          <w:noProof/>
        </w:rPr>
        <w:t>. Emisii verificate provenite de la instalații în cadrul EU ETS (2019-2023) [milioane de tone echivalent CO</w:t>
      </w:r>
      <w:r w:rsidRPr="002A150B">
        <w:rPr>
          <w:noProof/>
          <w:vertAlign w:val="subscript"/>
        </w:rPr>
        <w:t>2</w:t>
      </w:r>
      <w:r w:rsidRPr="002A150B">
        <w:rPr>
          <w:noProof/>
        </w:rPr>
        <w:t xml:space="preserve">]. Date extrase din registrul UE la 30 iunie 2024. </w:t>
      </w:r>
    </w:p>
    <w:tbl>
      <w:tblPr>
        <w:tblStyle w:val="TableGridLight"/>
        <w:tblW w:w="5000" w:type="pct"/>
        <w:tblLook w:val="04A0" w:firstRow="1" w:lastRow="0" w:firstColumn="1" w:lastColumn="0" w:noHBand="0" w:noVBand="1"/>
      </w:tblPr>
      <w:tblGrid>
        <w:gridCol w:w="2305"/>
        <w:gridCol w:w="1127"/>
        <w:gridCol w:w="1663"/>
        <w:gridCol w:w="1663"/>
        <w:gridCol w:w="1129"/>
        <w:gridCol w:w="1129"/>
      </w:tblGrid>
      <w:tr w:rsidR="007C0CA9" w:rsidRPr="002A150B" w14:paraId="44BC9381" w14:textId="77777777" w:rsidTr="007C0CA9">
        <w:trPr>
          <w:cantSplit/>
        </w:trPr>
        <w:tc>
          <w:tcPr>
            <w:tcW w:w="1279" w:type="pct"/>
            <w:vAlign w:val="center"/>
          </w:tcPr>
          <w:p w14:paraId="1E7C9FB8" w14:textId="4F6DAC21" w:rsidR="00426633" w:rsidRPr="002A150B" w:rsidRDefault="00202CE1" w:rsidP="005518BD">
            <w:pPr>
              <w:pStyle w:val="CMR-tables"/>
              <w:keepNext/>
              <w:rPr>
                <w:b/>
                <w:noProof/>
              </w:rPr>
            </w:pPr>
            <w:r w:rsidRPr="002A150B">
              <w:rPr>
                <w:b/>
                <w:noProof/>
              </w:rPr>
              <w:t>Anul</w:t>
            </w:r>
          </w:p>
        </w:tc>
        <w:tc>
          <w:tcPr>
            <w:tcW w:w="625" w:type="pct"/>
            <w:vAlign w:val="center"/>
          </w:tcPr>
          <w:p w14:paraId="2E081815" w14:textId="7C9AEE9B" w:rsidR="00426633" w:rsidRPr="002A150B" w:rsidRDefault="00202CE1" w:rsidP="005518BD">
            <w:pPr>
              <w:pStyle w:val="CMR-tables"/>
              <w:keepNext/>
              <w:jc w:val="center"/>
              <w:rPr>
                <w:noProof/>
              </w:rPr>
            </w:pPr>
            <w:r w:rsidRPr="002A150B">
              <w:rPr>
                <w:noProof/>
              </w:rPr>
              <w:t>2019</w:t>
            </w:r>
          </w:p>
        </w:tc>
        <w:tc>
          <w:tcPr>
            <w:tcW w:w="922" w:type="pct"/>
            <w:vAlign w:val="center"/>
          </w:tcPr>
          <w:p w14:paraId="0790A6FD" w14:textId="5BF818FD" w:rsidR="00426633" w:rsidRPr="002A150B" w:rsidRDefault="007D0961" w:rsidP="005518BD">
            <w:pPr>
              <w:pStyle w:val="CMR-tables"/>
              <w:keepNext/>
              <w:jc w:val="center"/>
              <w:rPr>
                <w:noProof/>
              </w:rPr>
            </w:pPr>
            <w:r w:rsidRPr="002A150B">
              <w:rPr>
                <w:noProof/>
              </w:rPr>
              <w:t>2020</w:t>
            </w:r>
          </w:p>
        </w:tc>
        <w:tc>
          <w:tcPr>
            <w:tcW w:w="922" w:type="pct"/>
            <w:vAlign w:val="center"/>
          </w:tcPr>
          <w:p w14:paraId="5362E4B7" w14:textId="44293D3D" w:rsidR="00426633" w:rsidRPr="002A150B" w:rsidRDefault="007D0961" w:rsidP="005518BD">
            <w:pPr>
              <w:pStyle w:val="CMR-tables"/>
              <w:keepNext/>
              <w:jc w:val="center"/>
              <w:rPr>
                <w:noProof/>
              </w:rPr>
            </w:pPr>
            <w:r w:rsidRPr="002A150B">
              <w:rPr>
                <w:noProof/>
              </w:rPr>
              <w:t>2021</w:t>
            </w:r>
          </w:p>
        </w:tc>
        <w:tc>
          <w:tcPr>
            <w:tcW w:w="626" w:type="pct"/>
            <w:vAlign w:val="center"/>
          </w:tcPr>
          <w:p w14:paraId="13ED3226" w14:textId="6B0EE53F" w:rsidR="00426633" w:rsidRPr="002A150B" w:rsidRDefault="007D0961" w:rsidP="005518BD">
            <w:pPr>
              <w:pStyle w:val="CMR-tables"/>
              <w:keepNext/>
              <w:jc w:val="center"/>
              <w:rPr>
                <w:noProof/>
              </w:rPr>
            </w:pPr>
            <w:r w:rsidRPr="002A150B">
              <w:rPr>
                <w:noProof/>
              </w:rPr>
              <w:t>2022</w:t>
            </w:r>
          </w:p>
        </w:tc>
        <w:tc>
          <w:tcPr>
            <w:tcW w:w="626" w:type="pct"/>
            <w:vAlign w:val="center"/>
          </w:tcPr>
          <w:p w14:paraId="0DA9A457" w14:textId="54513474" w:rsidR="00426633" w:rsidRPr="002A150B" w:rsidRDefault="007D0961" w:rsidP="005518BD">
            <w:pPr>
              <w:pStyle w:val="CMR-tables"/>
              <w:keepNext/>
              <w:jc w:val="center"/>
              <w:rPr>
                <w:noProof/>
              </w:rPr>
            </w:pPr>
            <w:r w:rsidRPr="002A150B">
              <w:rPr>
                <w:noProof/>
              </w:rPr>
              <w:t>2023</w:t>
            </w:r>
          </w:p>
        </w:tc>
      </w:tr>
      <w:tr w:rsidR="002821CD" w:rsidRPr="002A150B" w14:paraId="499AD4CA" w14:textId="77777777" w:rsidTr="002E6061">
        <w:trPr>
          <w:cantSplit/>
          <w:trHeight w:val="884"/>
        </w:trPr>
        <w:tc>
          <w:tcPr>
            <w:tcW w:w="1279" w:type="pct"/>
            <w:shd w:val="clear" w:color="auto" w:fill="F2F2F2" w:themeFill="background1" w:themeFillShade="F2"/>
            <w:vAlign w:val="center"/>
          </w:tcPr>
          <w:p w14:paraId="18C06FAF" w14:textId="137FF181" w:rsidR="00426633" w:rsidRPr="002A150B" w:rsidRDefault="00CC7941" w:rsidP="005C4EA4">
            <w:pPr>
              <w:pStyle w:val="CMR-tables"/>
              <w:keepNext/>
              <w:rPr>
                <w:b/>
                <w:noProof/>
              </w:rPr>
            </w:pPr>
            <w:r w:rsidRPr="002A150B">
              <w:rPr>
                <w:b/>
                <w:noProof/>
              </w:rPr>
              <w:t>Emisii verificate – instalații</w:t>
            </w:r>
          </w:p>
        </w:tc>
        <w:tc>
          <w:tcPr>
            <w:tcW w:w="625" w:type="pct"/>
            <w:shd w:val="clear" w:color="auto" w:fill="F2F2F2" w:themeFill="background1" w:themeFillShade="F2"/>
            <w:vAlign w:val="center"/>
          </w:tcPr>
          <w:p w14:paraId="298950FC" w14:textId="17CC7F5A" w:rsidR="00426633" w:rsidRPr="002A150B" w:rsidRDefault="00AE0781" w:rsidP="005518BD">
            <w:pPr>
              <w:pStyle w:val="CMR-tables"/>
              <w:keepNext/>
              <w:jc w:val="center"/>
              <w:rPr>
                <w:noProof/>
              </w:rPr>
            </w:pPr>
            <w:r w:rsidRPr="002A150B">
              <w:rPr>
                <w:noProof/>
              </w:rPr>
              <w:t>1 530</w:t>
            </w:r>
          </w:p>
        </w:tc>
        <w:tc>
          <w:tcPr>
            <w:tcW w:w="922" w:type="pct"/>
            <w:shd w:val="clear" w:color="auto" w:fill="F2F2F2" w:themeFill="background1" w:themeFillShade="F2"/>
            <w:vAlign w:val="center"/>
          </w:tcPr>
          <w:p w14:paraId="09F49A93" w14:textId="77777777" w:rsidR="00581222" w:rsidRPr="002A150B" w:rsidRDefault="00581222" w:rsidP="005518BD">
            <w:pPr>
              <w:pStyle w:val="CMR-tables"/>
              <w:keepNext/>
              <w:jc w:val="center"/>
              <w:rPr>
                <w:noProof/>
              </w:rPr>
            </w:pPr>
            <w:r w:rsidRPr="002A150B">
              <w:rPr>
                <w:noProof/>
              </w:rPr>
              <w:t>1 356</w:t>
            </w:r>
          </w:p>
          <w:p w14:paraId="13F4A72B" w14:textId="760ACEC8" w:rsidR="00426633" w:rsidRPr="002A150B" w:rsidRDefault="00581222" w:rsidP="005518BD">
            <w:pPr>
              <w:pStyle w:val="CMR-tables"/>
              <w:keepNext/>
              <w:jc w:val="center"/>
              <w:rPr>
                <w:noProof/>
              </w:rPr>
            </w:pPr>
            <w:r w:rsidRPr="002A150B">
              <w:rPr>
                <w:noProof/>
              </w:rPr>
              <w:t>(1 253 exceptând Regatul Unit)</w:t>
            </w:r>
          </w:p>
        </w:tc>
        <w:tc>
          <w:tcPr>
            <w:tcW w:w="922" w:type="pct"/>
            <w:shd w:val="clear" w:color="auto" w:fill="F2F2F2" w:themeFill="background1" w:themeFillShade="F2"/>
            <w:vAlign w:val="center"/>
          </w:tcPr>
          <w:p w14:paraId="2BBDEB5F" w14:textId="242F700E" w:rsidR="00426633" w:rsidRPr="002A150B" w:rsidRDefault="00023A47" w:rsidP="005518BD">
            <w:pPr>
              <w:pStyle w:val="CMR-tables"/>
              <w:keepNext/>
              <w:jc w:val="center"/>
              <w:rPr>
                <w:noProof/>
              </w:rPr>
            </w:pPr>
            <w:r w:rsidRPr="002A150B">
              <w:rPr>
                <w:noProof/>
              </w:rPr>
              <w:t>1 337</w:t>
            </w:r>
          </w:p>
        </w:tc>
        <w:tc>
          <w:tcPr>
            <w:tcW w:w="626" w:type="pct"/>
            <w:shd w:val="clear" w:color="auto" w:fill="F2F2F2" w:themeFill="background1" w:themeFillShade="F2"/>
            <w:vAlign w:val="center"/>
          </w:tcPr>
          <w:p w14:paraId="2FFB71AE" w14:textId="50723019" w:rsidR="00426633" w:rsidRPr="002A150B" w:rsidRDefault="00F767B7" w:rsidP="005518BD">
            <w:pPr>
              <w:pStyle w:val="CMR-tables"/>
              <w:keepNext/>
              <w:jc w:val="center"/>
              <w:rPr>
                <w:noProof/>
              </w:rPr>
            </w:pPr>
            <w:r w:rsidRPr="002A150B">
              <w:rPr>
                <w:noProof/>
              </w:rPr>
              <w:t>1 313</w:t>
            </w:r>
          </w:p>
        </w:tc>
        <w:tc>
          <w:tcPr>
            <w:tcW w:w="626" w:type="pct"/>
            <w:shd w:val="clear" w:color="auto" w:fill="F2F2F2" w:themeFill="background1" w:themeFillShade="F2"/>
            <w:vAlign w:val="center"/>
          </w:tcPr>
          <w:p w14:paraId="5C44F5B4" w14:textId="607E4692" w:rsidR="00426633" w:rsidRPr="002A150B" w:rsidRDefault="004B532E" w:rsidP="005518BD">
            <w:pPr>
              <w:pStyle w:val="CMR-tables"/>
              <w:keepNext/>
              <w:jc w:val="center"/>
              <w:rPr>
                <w:noProof/>
              </w:rPr>
            </w:pPr>
            <w:r w:rsidRPr="002A150B">
              <w:rPr>
                <w:noProof/>
              </w:rPr>
              <w:t>1 096</w:t>
            </w:r>
          </w:p>
        </w:tc>
      </w:tr>
      <w:tr w:rsidR="007C0CA9" w:rsidRPr="002A150B" w14:paraId="63DDA08A" w14:textId="77777777" w:rsidTr="007C0CA9">
        <w:trPr>
          <w:cantSplit/>
        </w:trPr>
        <w:tc>
          <w:tcPr>
            <w:tcW w:w="1279" w:type="pct"/>
            <w:vAlign w:val="center"/>
          </w:tcPr>
          <w:p w14:paraId="09577C6D" w14:textId="40A1DBE1" w:rsidR="00426633" w:rsidRPr="002A150B" w:rsidRDefault="004C2889" w:rsidP="005C4EA4">
            <w:pPr>
              <w:pStyle w:val="CMR-tables"/>
              <w:keepNext/>
              <w:rPr>
                <w:b/>
                <w:noProof/>
              </w:rPr>
            </w:pPr>
            <w:r w:rsidRPr="002A150B">
              <w:rPr>
                <w:b/>
                <w:noProof/>
              </w:rPr>
              <w:t>Variație de la an la an</w:t>
            </w:r>
          </w:p>
        </w:tc>
        <w:tc>
          <w:tcPr>
            <w:tcW w:w="625" w:type="pct"/>
            <w:vAlign w:val="center"/>
          </w:tcPr>
          <w:p w14:paraId="7C4D1A17" w14:textId="36CCD990" w:rsidR="00426633" w:rsidRPr="002A150B" w:rsidRDefault="000E7D3C" w:rsidP="005518BD">
            <w:pPr>
              <w:pStyle w:val="CMR-tables"/>
              <w:keepNext/>
              <w:jc w:val="center"/>
              <w:rPr>
                <w:noProof/>
              </w:rPr>
            </w:pPr>
            <w:r w:rsidRPr="002A150B">
              <w:rPr>
                <w:noProof/>
              </w:rPr>
              <w:t>-9,1 %</w:t>
            </w:r>
          </w:p>
        </w:tc>
        <w:tc>
          <w:tcPr>
            <w:tcW w:w="922" w:type="pct"/>
            <w:vAlign w:val="center"/>
          </w:tcPr>
          <w:p w14:paraId="34EEE2E9" w14:textId="5C51E28E" w:rsidR="00426633" w:rsidRPr="002A150B" w:rsidRDefault="00E9740A" w:rsidP="005518BD">
            <w:pPr>
              <w:pStyle w:val="CMR-tables"/>
              <w:keepNext/>
              <w:jc w:val="center"/>
              <w:rPr>
                <w:noProof/>
              </w:rPr>
            </w:pPr>
            <w:r w:rsidRPr="002A150B">
              <w:rPr>
                <w:noProof/>
              </w:rPr>
              <w:t>-11,4 %</w:t>
            </w:r>
          </w:p>
        </w:tc>
        <w:tc>
          <w:tcPr>
            <w:tcW w:w="922" w:type="pct"/>
            <w:vAlign w:val="center"/>
          </w:tcPr>
          <w:p w14:paraId="6FD82D6C" w14:textId="77777777" w:rsidR="00426633" w:rsidRPr="002A150B" w:rsidRDefault="00B21B9D" w:rsidP="005518BD">
            <w:pPr>
              <w:pStyle w:val="CMR-tables"/>
              <w:keepNext/>
              <w:jc w:val="center"/>
              <w:rPr>
                <w:noProof/>
              </w:rPr>
            </w:pPr>
            <w:r w:rsidRPr="002A150B">
              <w:rPr>
                <w:noProof/>
              </w:rPr>
              <w:t>-1,4 %</w:t>
            </w:r>
          </w:p>
          <w:p w14:paraId="4B83D68A" w14:textId="658E57B7" w:rsidR="00B21B9D" w:rsidRPr="002A150B" w:rsidRDefault="00B21B9D" w:rsidP="005518BD">
            <w:pPr>
              <w:pStyle w:val="CMR-tables"/>
              <w:keepNext/>
              <w:jc w:val="center"/>
              <w:rPr>
                <w:noProof/>
              </w:rPr>
            </w:pPr>
            <w:r w:rsidRPr="002A150B">
              <w:rPr>
                <w:noProof/>
              </w:rPr>
              <w:t>(6,6 % exceptând Regatul Unit)</w:t>
            </w:r>
          </w:p>
        </w:tc>
        <w:tc>
          <w:tcPr>
            <w:tcW w:w="626" w:type="pct"/>
            <w:vAlign w:val="center"/>
          </w:tcPr>
          <w:p w14:paraId="1BCA5A6E" w14:textId="54A65C0C" w:rsidR="00426633" w:rsidRPr="002A150B" w:rsidRDefault="00FE3351" w:rsidP="005518BD">
            <w:pPr>
              <w:pStyle w:val="CMR-tables"/>
              <w:keepNext/>
              <w:jc w:val="center"/>
              <w:rPr>
                <w:noProof/>
              </w:rPr>
            </w:pPr>
            <w:r w:rsidRPr="002A150B">
              <w:rPr>
                <w:noProof/>
              </w:rPr>
              <w:t>-1,8 %</w:t>
            </w:r>
          </w:p>
        </w:tc>
        <w:tc>
          <w:tcPr>
            <w:tcW w:w="626" w:type="pct"/>
            <w:vAlign w:val="center"/>
          </w:tcPr>
          <w:p w14:paraId="3CFBEFD3" w14:textId="5EFE6A67" w:rsidR="00426633" w:rsidRPr="002A150B" w:rsidRDefault="008C7DBA" w:rsidP="005518BD">
            <w:pPr>
              <w:pStyle w:val="CMR-tables"/>
              <w:keepNext/>
              <w:jc w:val="center"/>
              <w:rPr>
                <w:noProof/>
              </w:rPr>
            </w:pPr>
            <w:r w:rsidRPr="002A150B">
              <w:rPr>
                <w:noProof/>
              </w:rPr>
              <w:t>-16,5 %</w:t>
            </w:r>
          </w:p>
        </w:tc>
      </w:tr>
      <w:tr w:rsidR="007C0CA9" w:rsidRPr="002A150B" w14:paraId="669CFA02" w14:textId="77777777" w:rsidTr="00A0384F">
        <w:trPr>
          <w:cantSplit/>
        </w:trPr>
        <w:tc>
          <w:tcPr>
            <w:tcW w:w="1279" w:type="pct"/>
            <w:shd w:val="clear" w:color="auto" w:fill="F2F2F2" w:themeFill="background1" w:themeFillShade="F2"/>
            <w:vAlign w:val="center"/>
          </w:tcPr>
          <w:p w14:paraId="4467A8D2" w14:textId="2F07B9B9" w:rsidR="00426633" w:rsidRPr="002A150B" w:rsidRDefault="002903DE" w:rsidP="005C4EA4">
            <w:pPr>
              <w:pStyle w:val="CMR-tables"/>
              <w:keepNext/>
              <w:rPr>
                <w:b/>
                <w:noProof/>
              </w:rPr>
            </w:pPr>
            <w:r w:rsidRPr="002A150B">
              <w:rPr>
                <w:b/>
                <w:noProof/>
              </w:rPr>
              <w:t>Emisii verificate – producția de energie electrică și termică</w:t>
            </w:r>
          </w:p>
        </w:tc>
        <w:tc>
          <w:tcPr>
            <w:tcW w:w="625" w:type="pct"/>
            <w:shd w:val="clear" w:color="auto" w:fill="F2F2F2" w:themeFill="background1" w:themeFillShade="F2"/>
            <w:vAlign w:val="center"/>
          </w:tcPr>
          <w:p w14:paraId="57C449B8" w14:textId="4721ACD9" w:rsidR="00426633" w:rsidRPr="002A150B" w:rsidRDefault="000E7D3C" w:rsidP="005518BD">
            <w:pPr>
              <w:pStyle w:val="CMR-tables"/>
              <w:keepNext/>
              <w:jc w:val="center"/>
              <w:rPr>
                <w:noProof/>
              </w:rPr>
            </w:pPr>
            <w:r w:rsidRPr="002A150B">
              <w:rPr>
                <w:noProof/>
              </w:rPr>
              <w:t>822</w:t>
            </w:r>
          </w:p>
        </w:tc>
        <w:tc>
          <w:tcPr>
            <w:tcW w:w="922" w:type="pct"/>
            <w:shd w:val="clear" w:color="auto" w:fill="F2F2F2" w:themeFill="background1" w:themeFillShade="F2"/>
            <w:vAlign w:val="center"/>
          </w:tcPr>
          <w:p w14:paraId="6E69FDD6" w14:textId="77777777" w:rsidR="00426633" w:rsidRPr="002A150B" w:rsidRDefault="00E9740A" w:rsidP="005518BD">
            <w:pPr>
              <w:pStyle w:val="CMR-tables"/>
              <w:keepNext/>
              <w:jc w:val="center"/>
              <w:rPr>
                <w:noProof/>
              </w:rPr>
            </w:pPr>
            <w:r w:rsidRPr="002A150B">
              <w:rPr>
                <w:noProof/>
              </w:rPr>
              <w:t>696</w:t>
            </w:r>
          </w:p>
          <w:p w14:paraId="204CF1FC" w14:textId="5B0282F5" w:rsidR="00E9740A" w:rsidRPr="002A150B" w:rsidRDefault="00A07DD8" w:rsidP="005518BD">
            <w:pPr>
              <w:pStyle w:val="CMR-tables"/>
              <w:keepNext/>
              <w:jc w:val="center"/>
              <w:rPr>
                <w:noProof/>
              </w:rPr>
            </w:pPr>
            <w:r w:rsidRPr="002A150B">
              <w:rPr>
                <w:noProof/>
              </w:rPr>
              <w:t>(653 exceptând Regatul Unit)</w:t>
            </w:r>
          </w:p>
        </w:tc>
        <w:tc>
          <w:tcPr>
            <w:tcW w:w="922" w:type="pct"/>
            <w:shd w:val="clear" w:color="auto" w:fill="F2F2F2" w:themeFill="background1" w:themeFillShade="F2"/>
            <w:vAlign w:val="center"/>
          </w:tcPr>
          <w:p w14:paraId="42EC17BB" w14:textId="6DC2C133" w:rsidR="00426633" w:rsidRPr="002A150B" w:rsidRDefault="00B21B9D" w:rsidP="005518BD">
            <w:pPr>
              <w:pStyle w:val="CMR-tables"/>
              <w:keepNext/>
              <w:jc w:val="center"/>
              <w:rPr>
                <w:noProof/>
              </w:rPr>
            </w:pPr>
            <w:r w:rsidRPr="002A150B">
              <w:rPr>
                <w:noProof/>
              </w:rPr>
              <w:t>708</w:t>
            </w:r>
          </w:p>
        </w:tc>
        <w:tc>
          <w:tcPr>
            <w:tcW w:w="626" w:type="pct"/>
            <w:shd w:val="clear" w:color="auto" w:fill="F2F2F2" w:themeFill="background1" w:themeFillShade="F2"/>
            <w:vAlign w:val="center"/>
          </w:tcPr>
          <w:p w14:paraId="765729D6" w14:textId="67B2E561" w:rsidR="00426633" w:rsidRPr="002A150B" w:rsidRDefault="00FE3351" w:rsidP="005518BD">
            <w:pPr>
              <w:pStyle w:val="CMR-tables"/>
              <w:keepNext/>
              <w:jc w:val="center"/>
              <w:rPr>
                <w:noProof/>
              </w:rPr>
            </w:pPr>
            <w:r w:rsidRPr="002A150B">
              <w:rPr>
                <w:noProof/>
              </w:rPr>
              <w:t>725</w:t>
            </w:r>
          </w:p>
        </w:tc>
        <w:tc>
          <w:tcPr>
            <w:tcW w:w="626" w:type="pct"/>
            <w:shd w:val="clear" w:color="auto" w:fill="F2F2F2" w:themeFill="background1" w:themeFillShade="F2"/>
            <w:vAlign w:val="center"/>
          </w:tcPr>
          <w:p w14:paraId="08ECECD5" w14:textId="5E00873A" w:rsidR="00426633" w:rsidRPr="002A150B" w:rsidRDefault="00BB5981" w:rsidP="005518BD">
            <w:pPr>
              <w:pStyle w:val="CMR-tables"/>
              <w:keepNext/>
              <w:jc w:val="center"/>
              <w:rPr>
                <w:noProof/>
              </w:rPr>
            </w:pPr>
            <w:r w:rsidRPr="002A150B">
              <w:rPr>
                <w:noProof/>
              </w:rPr>
              <w:t>552</w:t>
            </w:r>
          </w:p>
        </w:tc>
      </w:tr>
      <w:tr w:rsidR="007C0CA9" w:rsidRPr="002A150B" w14:paraId="1CF3F98A" w14:textId="77777777" w:rsidTr="007C0CA9">
        <w:trPr>
          <w:cantSplit/>
        </w:trPr>
        <w:tc>
          <w:tcPr>
            <w:tcW w:w="1279" w:type="pct"/>
            <w:vAlign w:val="center"/>
          </w:tcPr>
          <w:p w14:paraId="1B9F43A5" w14:textId="0EA4977D" w:rsidR="00426633" w:rsidRPr="002A150B" w:rsidRDefault="004C2889" w:rsidP="005C4EA4">
            <w:pPr>
              <w:pStyle w:val="CMR-tables"/>
              <w:keepNext/>
              <w:rPr>
                <w:b/>
                <w:noProof/>
              </w:rPr>
            </w:pPr>
            <w:r w:rsidRPr="002A150B">
              <w:rPr>
                <w:b/>
                <w:noProof/>
              </w:rPr>
              <w:t>Variație de la an la an</w:t>
            </w:r>
          </w:p>
        </w:tc>
        <w:tc>
          <w:tcPr>
            <w:tcW w:w="625" w:type="pct"/>
            <w:vAlign w:val="center"/>
          </w:tcPr>
          <w:p w14:paraId="47F2D2F4" w14:textId="42327BF2" w:rsidR="00426633" w:rsidRPr="002A150B" w:rsidRDefault="00FE73CF" w:rsidP="005518BD">
            <w:pPr>
              <w:pStyle w:val="CMR-tables"/>
              <w:keepNext/>
              <w:jc w:val="center"/>
              <w:rPr>
                <w:noProof/>
              </w:rPr>
            </w:pPr>
            <w:r w:rsidRPr="002A150B">
              <w:rPr>
                <w:noProof/>
              </w:rPr>
              <w:t>-14,7 %</w:t>
            </w:r>
          </w:p>
        </w:tc>
        <w:tc>
          <w:tcPr>
            <w:tcW w:w="922" w:type="pct"/>
            <w:vAlign w:val="center"/>
          </w:tcPr>
          <w:p w14:paraId="4993B574" w14:textId="50397E4D" w:rsidR="00426633" w:rsidRPr="002A150B" w:rsidRDefault="00505850" w:rsidP="005518BD">
            <w:pPr>
              <w:pStyle w:val="CMR-tables"/>
              <w:keepNext/>
              <w:jc w:val="center"/>
              <w:rPr>
                <w:noProof/>
              </w:rPr>
            </w:pPr>
            <w:r w:rsidRPr="002A150B">
              <w:rPr>
                <w:noProof/>
              </w:rPr>
              <w:t>-15,3 %</w:t>
            </w:r>
          </w:p>
        </w:tc>
        <w:tc>
          <w:tcPr>
            <w:tcW w:w="922" w:type="pct"/>
            <w:vAlign w:val="center"/>
          </w:tcPr>
          <w:p w14:paraId="01A38009" w14:textId="77777777" w:rsidR="00426633" w:rsidRPr="002A150B" w:rsidRDefault="00462D11" w:rsidP="005518BD">
            <w:pPr>
              <w:pStyle w:val="CMR-tables"/>
              <w:keepNext/>
              <w:jc w:val="center"/>
              <w:rPr>
                <w:noProof/>
              </w:rPr>
            </w:pPr>
            <w:r w:rsidRPr="002A150B">
              <w:rPr>
                <w:noProof/>
              </w:rPr>
              <w:t>1,6 %</w:t>
            </w:r>
          </w:p>
          <w:p w14:paraId="42A502AD" w14:textId="5C0350EC" w:rsidR="00462D11" w:rsidRPr="002A150B" w:rsidRDefault="00462D11" w:rsidP="005518BD">
            <w:pPr>
              <w:pStyle w:val="CMR-tables"/>
              <w:keepNext/>
              <w:jc w:val="center"/>
              <w:rPr>
                <w:noProof/>
              </w:rPr>
            </w:pPr>
            <w:r w:rsidRPr="002A150B">
              <w:rPr>
                <w:noProof/>
              </w:rPr>
              <w:t>(8,5 % exceptând Regatul Unit)</w:t>
            </w:r>
          </w:p>
        </w:tc>
        <w:tc>
          <w:tcPr>
            <w:tcW w:w="626" w:type="pct"/>
            <w:vAlign w:val="center"/>
          </w:tcPr>
          <w:p w14:paraId="4F647107" w14:textId="07ADB100" w:rsidR="00426633" w:rsidRPr="002A150B" w:rsidRDefault="004B111F" w:rsidP="005518BD">
            <w:pPr>
              <w:pStyle w:val="CMR-tables"/>
              <w:keepNext/>
              <w:jc w:val="center"/>
              <w:rPr>
                <w:noProof/>
              </w:rPr>
            </w:pPr>
            <w:r w:rsidRPr="002A150B">
              <w:rPr>
                <w:noProof/>
              </w:rPr>
              <w:t>2,4 %</w:t>
            </w:r>
          </w:p>
        </w:tc>
        <w:tc>
          <w:tcPr>
            <w:tcW w:w="626" w:type="pct"/>
            <w:vAlign w:val="center"/>
          </w:tcPr>
          <w:p w14:paraId="5B50ECA3" w14:textId="2542262B" w:rsidR="00426633" w:rsidRPr="002A150B" w:rsidRDefault="00BB5981" w:rsidP="005518BD">
            <w:pPr>
              <w:pStyle w:val="CMR-tables"/>
              <w:keepNext/>
              <w:jc w:val="center"/>
              <w:rPr>
                <w:noProof/>
              </w:rPr>
            </w:pPr>
            <w:r w:rsidRPr="002A150B">
              <w:rPr>
                <w:noProof/>
              </w:rPr>
              <w:t>-23,9 %</w:t>
            </w:r>
          </w:p>
        </w:tc>
      </w:tr>
      <w:tr w:rsidR="007C0CA9" w:rsidRPr="002A150B" w14:paraId="60FA30C5" w14:textId="77777777" w:rsidTr="00A0384F">
        <w:trPr>
          <w:cantSplit/>
        </w:trPr>
        <w:tc>
          <w:tcPr>
            <w:tcW w:w="1279" w:type="pct"/>
            <w:shd w:val="clear" w:color="auto" w:fill="F2F2F2" w:themeFill="background1" w:themeFillShade="F2"/>
            <w:vAlign w:val="center"/>
          </w:tcPr>
          <w:p w14:paraId="076FC4AA" w14:textId="2F23A96D" w:rsidR="00426633" w:rsidRPr="002A150B" w:rsidRDefault="002903DE" w:rsidP="005C4EA4">
            <w:pPr>
              <w:pStyle w:val="CMR-tables"/>
              <w:keepNext/>
              <w:rPr>
                <w:b/>
                <w:noProof/>
              </w:rPr>
            </w:pPr>
            <w:r w:rsidRPr="002A150B">
              <w:rPr>
                <w:b/>
                <w:noProof/>
              </w:rPr>
              <w:t>Emisii verificate – producție industrială</w:t>
            </w:r>
          </w:p>
        </w:tc>
        <w:tc>
          <w:tcPr>
            <w:tcW w:w="625" w:type="pct"/>
            <w:shd w:val="clear" w:color="auto" w:fill="F2F2F2" w:themeFill="background1" w:themeFillShade="F2"/>
            <w:vAlign w:val="center"/>
          </w:tcPr>
          <w:p w14:paraId="65D85A43" w14:textId="3DDBA15F" w:rsidR="00426633" w:rsidRPr="002A150B" w:rsidRDefault="00FE73CF" w:rsidP="005518BD">
            <w:pPr>
              <w:pStyle w:val="CMR-tables"/>
              <w:keepNext/>
              <w:jc w:val="center"/>
              <w:rPr>
                <w:noProof/>
              </w:rPr>
            </w:pPr>
            <w:r w:rsidRPr="002A150B">
              <w:rPr>
                <w:noProof/>
              </w:rPr>
              <w:t>708</w:t>
            </w:r>
          </w:p>
        </w:tc>
        <w:tc>
          <w:tcPr>
            <w:tcW w:w="922" w:type="pct"/>
            <w:shd w:val="clear" w:color="auto" w:fill="F2F2F2" w:themeFill="background1" w:themeFillShade="F2"/>
            <w:vAlign w:val="center"/>
          </w:tcPr>
          <w:p w14:paraId="1344EE89" w14:textId="77777777" w:rsidR="00426633" w:rsidRPr="002A150B" w:rsidRDefault="00505850" w:rsidP="005518BD">
            <w:pPr>
              <w:pStyle w:val="CMR-tables"/>
              <w:keepNext/>
              <w:jc w:val="center"/>
              <w:rPr>
                <w:noProof/>
              </w:rPr>
            </w:pPr>
            <w:r w:rsidRPr="002A150B">
              <w:rPr>
                <w:noProof/>
              </w:rPr>
              <w:t>660</w:t>
            </w:r>
          </w:p>
          <w:p w14:paraId="380BB87F" w14:textId="272F5C5A" w:rsidR="00505850" w:rsidRPr="002A150B" w:rsidRDefault="00505850" w:rsidP="005518BD">
            <w:pPr>
              <w:pStyle w:val="CMR-tables"/>
              <w:keepNext/>
              <w:jc w:val="center"/>
              <w:rPr>
                <w:noProof/>
              </w:rPr>
            </w:pPr>
            <w:r w:rsidRPr="002A150B">
              <w:rPr>
                <w:noProof/>
              </w:rPr>
              <w:t>(601 exceptând Regatul Unit)</w:t>
            </w:r>
          </w:p>
        </w:tc>
        <w:tc>
          <w:tcPr>
            <w:tcW w:w="922" w:type="pct"/>
            <w:shd w:val="clear" w:color="auto" w:fill="F2F2F2" w:themeFill="background1" w:themeFillShade="F2"/>
            <w:vAlign w:val="center"/>
          </w:tcPr>
          <w:p w14:paraId="34B1B927" w14:textId="2827D9B0" w:rsidR="00426633" w:rsidRPr="002A150B" w:rsidRDefault="000479D7" w:rsidP="005518BD">
            <w:pPr>
              <w:pStyle w:val="CMR-tables"/>
              <w:keepNext/>
              <w:jc w:val="center"/>
              <w:rPr>
                <w:noProof/>
              </w:rPr>
            </w:pPr>
            <w:r w:rsidRPr="002A150B">
              <w:rPr>
                <w:noProof/>
              </w:rPr>
              <w:t>629</w:t>
            </w:r>
          </w:p>
        </w:tc>
        <w:tc>
          <w:tcPr>
            <w:tcW w:w="626" w:type="pct"/>
            <w:shd w:val="clear" w:color="auto" w:fill="F2F2F2" w:themeFill="background1" w:themeFillShade="F2"/>
            <w:vAlign w:val="center"/>
          </w:tcPr>
          <w:p w14:paraId="2118DEEB" w14:textId="7C73705D" w:rsidR="00426633" w:rsidRPr="002A150B" w:rsidRDefault="00441F87" w:rsidP="005518BD">
            <w:pPr>
              <w:pStyle w:val="CMR-tables"/>
              <w:keepNext/>
              <w:jc w:val="center"/>
              <w:rPr>
                <w:noProof/>
              </w:rPr>
            </w:pPr>
            <w:r w:rsidRPr="002A150B">
              <w:rPr>
                <w:noProof/>
              </w:rPr>
              <w:t>589</w:t>
            </w:r>
          </w:p>
        </w:tc>
        <w:tc>
          <w:tcPr>
            <w:tcW w:w="626" w:type="pct"/>
            <w:shd w:val="clear" w:color="auto" w:fill="F2F2F2" w:themeFill="background1" w:themeFillShade="F2"/>
            <w:vAlign w:val="center"/>
          </w:tcPr>
          <w:p w14:paraId="522C975D" w14:textId="6F89D5C6" w:rsidR="00426633" w:rsidRPr="002A150B" w:rsidRDefault="00DC60E5" w:rsidP="005518BD">
            <w:pPr>
              <w:pStyle w:val="CMR-tables"/>
              <w:keepNext/>
              <w:jc w:val="center"/>
              <w:rPr>
                <w:noProof/>
              </w:rPr>
            </w:pPr>
            <w:r w:rsidRPr="002A150B">
              <w:rPr>
                <w:noProof/>
              </w:rPr>
              <w:t>544</w:t>
            </w:r>
          </w:p>
        </w:tc>
      </w:tr>
      <w:tr w:rsidR="007C0CA9" w:rsidRPr="002A150B" w14:paraId="20550022" w14:textId="77777777" w:rsidTr="007C0CA9">
        <w:trPr>
          <w:cantSplit/>
        </w:trPr>
        <w:tc>
          <w:tcPr>
            <w:tcW w:w="1279" w:type="pct"/>
            <w:vAlign w:val="center"/>
          </w:tcPr>
          <w:p w14:paraId="0A9778BE" w14:textId="3FF67A31" w:rsidR="00426633" w:rsidRPr="002A150B" w:rsidRDefault="004C2889" w:rsidP="005C4EA4">
            <w:pPr>
              <w:pStyle w:val="CMR-tables"/>
              <w:keepNext/>
              <w:rPr>
                <w:b/>
                <w:noProof/>
              </w:rPr>
            </w:pPr>
            <w:r w:rsidRPr="002A150B">
              <w:rPr>
                <w:b/>
                <w:noProof/>
              </w:rPr>
              <w:t>Variație de la an la an</w:t>
            </w:r>
          </w:p>
        </w:tc>
        <w:tc>
          <w:tcPr>
            <w:tcW w:w="625" w:type="pct"/>
            <w:vAlign w:val="center"/>
          </w:tcPr>
          <w:p w14:paraId="6FFFD97A" w14:textId="1F3B700A" w:rsidR="00426633" w:rsidRPr="002A150B" w:rsidRDefault="00FE73CF" w:rsidP="005518BD">
            <w:pPr>
              <w:pStyle w:val="CMR-tables"/>
              <w:keepNext/>
              <w:jc w:val="center"/>
              <w:rPr>
                <w:noProof/>
              </w:rPr>
            </w:pPr>
            <w:r w:rsidRPr="002A150B">
              <w:rPr>
                <w:noProof/>
              </w:rPr>
              <w:t>-1,6 %</w:t>
            </w:r>
          </w:p>
        </w:tc>
        <w:tc>
          <w:tcPr>
            <w:tcW w:w="922" w:type="pct"/>
            <w:vAlign w:val="center"/>
          </w:tcPr>
          <w:p w14:paraId="45470FF6" w14:textId="30505F51" w:rsidR="00426633" w:rsidRPr="002A150B" w:rsidRDefault="00ED7779" w:rsidP="005518BD">
            <w:pPr>
              <w:pStyle w:val="CMR-tables"/>
              <w:keepNext/>
              <w:jc w:val="center"/>
              <w:rPr>
                <w:noProof/>
              </w:rPr>
            </w:pPr>
            <w:r w:rsidRPr="002A150B">
              <w:rPr>
                <w:noProof/>
              </w:rPr>
              <w:t>-6,9 %</w:t>
            </w:r>
          </w:p>
        </w:tc>
        <w:tc>
          <w:tcPr>
            <w:tcW w:w="922" w:type="pct"/>
            <w:vAlign w:val="center"/>
          </w:tcPr>
          <w:p w14:paraId="5FDC7E38" w14:textId="77777777" w:rsidR="00426633" w:rsidRPr="002A150B" w:rsidRDefault="007A5598" w:rsidP="005518BD">
            <w:pPr>
              <w:pStyle w:val="CMR-tables"/>
              <w:keepNext/>
              <w:jc w:val="center"/>
              <w:rPr>
                <w:noProof/>
              </w:rPr>
            </w:pPr>
            <w:r w:rsidRPr="002A150B">
              <w:rPr>
                <w:noProof/>
              </w:rPr>
              <w:t>-4,7 %</w:t>
            </w:r>
          </w:p>
          <w:p w14:paraId="523C26E9" w14:textId="5B649A5A" w:rsidR="007A5598" w:rsidRPr="002A150B" w:rsidRDefault="007A5598" w:rsidP="005518BD">
            <w:pPr>
              <w:pStyle w:val="CMR-tables"/>
              <w:keepNext/>
              <w:jc w:val="center"/>
              <w:rPr>
                <w:noProof/>
              </w:rPr>
            </w:pPr>
            <w:r w:rsidRPr="002A150B">
              <w:rPr>
                <w:noProof/>
              </w:rPr>
              <w:t>(4,7 % exceptând Regatul Unit)</w:t>
            </w:r>
          </w:p>
        </w:tc>
        <w:tc>
          <w:tcPr>
            <w:tcW w:w="626" w:type="pct"/>
            <w:vAlign w:val="center"/>
          </w:tcPr>
          <w:p w14:paraId="68AD8A9D" w14:textId="7D77AD2D" w:rsidR="00426633" w:rsidRPr="002A150B" w:rsidRDefault="00196854" w:rsidP="005518BD">
            <w:pPr>
              <w:pStyle w:val="CMR-tables"/>
              <w:keepNext/>
              <w:jc w:val="center"/>
              <w:rPr>
                <w:noProof/>
              </w:rPr>
            </w:pPr>
            <w:r w:rsidRPr="002A150B">
              <w:rPr>
                <w:noProof/>
              </w:rPr>
              <w:t>-6,4 %</w:t>
            </w:r>
          </w:p>
        </w:tc>
        <w:tc>
          <w:tcPr>
            <w:tcW w:w="626" w:type="pct"/>
            <w:vAlign w:val="center"/>
          </w:tcPr>
          <w:p w14:paraId="64AB9E4C" w14:textId="45E8E0D5" w:rsidR="00426633" w:rsidRPr="002A150B" w:rsidRDefault="0094301A" w:rsidP="005518BD">
            <w:pPr>
              <w:pStyle w:val="CMR-tables"/>
              <w:keepNext/>
              <w:jc w:val="center"/>
              <w:rPr>
                <w:noProof/>
              </w:rPr>
            </w:pPr>
            <w:r w:rsidRPr="002A150B">
              <w:rPr>
                <w:noProof/>
              </w:rPr>
              <w:t>-7,5 %</w:t>
            </w:r>
          </w:p>
        </w:tc>
      </w:tr>
    </w:tbl>
    <w:p w14:paraId="7D7315AA" w14:textId="77777777" w:rsidR="00D03D41" w:rsidRPr="002A150B" w:rsidRDefault="00D03D41" w:rsidP="00A13A32">
      <w:pPr>
        <w:jc w:val="both"/>
        <w:rPr>
          <w:rFonts w:ascii="Times New Roman" w:hAnsi="Times New Roman"/>
          <w:noProof/>
          <w:kern w:val="0"/>
          <w:sz w:val="24"/>
          <w14:ligatures w14:val="none"/>
        </w:rPr>
      </w:pPr>
    </w:p>
    <w:p w14:paraId="6A91E1E6" w14:textId="3072186C" w:rsidR="00AD2322" w:rsidRPr="002A150B" w:rsidRDefault="00A70C6B" w:rsidP="00F20957">
      <w:pPr>
        <w:jc w:val="both"/>
        <w:rPr>
          <w:rFonts w:ascii="Times New Roman" w:hAnsi="Times New Roman"/>
          <w:noProof/>
          <w:sz w:val="24"/>
          <w:szCs w:val="24"/>
        </w:rPr>
      </w:pPr>
      <w:r w:rsidRPr="002A150B">
        <w:rPr>
          <w:rStyle w:val="CMR-textChar"/>
          <w:noProof/>
        </w:rPr>
        <w:fldChar w:fldCharType="begin"/>
      </w:r>
      <w:r w:rsidRPr="002A150B">
        <w:rPr>
          <w:rStyle w:val="CMR-textChar"/>
          <w:noProof/>
        </w:rPr>
        <w:instrText xml:space="preserve"> REF _Ref176771715 \h  \* MERGEFORMAT </w:instrText>
      </w:r>
      <w:r w:rsidRPr="002A150B">
        <w:rPr>
          <w:rStyle w:val="CMR-textChar"/>
          <w:noProof/>
        </w:rPr>
      </w:r>
      <w:r w:rsidRPr="002A150B">
        <w:rPr>
          <w:rStyle w:val="CMR-textChar"/>
          <w:noProof/>
        </w:rPr>
        <w:fldChar w:fldCharType="separate"/>
      </w:r>
      <w:r w:rsidR="00411CDC" w:rsidRPr="002A150B">
        <w:rPr>
          <w:rStyle w:val="CMR-textChar"/>
          <w:noProof/>
        </w:rPr>
        <w:t>Figur</w:t>
      </w:r>
      <w:r w:rsidR="00DA5B04" w:rsidRPr="002A150B">
        <w:rPr>
          <w:rStyle w:val="CMR-textChar"/>
          <w:noProof/>
        </w:rPr>
        <w:t>a</w:t>
      </w:r>
      <w:r w:rsidR="00411CDC" w:rsidRPr="002A150B">
        <w:rPr>
          <w:rStyle w:val="CMR-textChar"/>
          <w:noProof/>
        </w:rPr>
        <w:t xml:space="preserve"> 5</w:t>
      </w:r>
      <w:r w:rsidRPr="002A150B">
        <w:rPr>
          <w:rStyle w:val="CMR-textChar"/>
          <w:noProof/>
        </w:rPr>
        <w:fldChar w:fldCharType="end"/>
      </w:r>
      <w:r w:rsidRPr="002A150B">
        <w:rPr>
          <w:rStyle w:val="CMR-textChar"/>
          <w:noProof/>
        </w:rPr>
        <w:t xml:space="preserve"> și figura 6 ilustrează </w:t>
      </w:r>
      <w:r w:rsidRPr="002A150B">
        <w:rPr>
          <w:rFonts w:ascii="Times New Roman" w:hAnsi="Times New Roman"/>
          <w:noProof/>
          <w:sz w:val="24"/>
        </w:rPr>
        <w:t xml:space="preserve">evoluția emisiilor provenite din arderea combustibililor fosili în </w:t>
      </w:r>
      <w:r w:rsidRPr="002A150B">
        <w:rPr>
          <w:rStyle w:val="CMR-textChar"/>
          <w:noProof/>
        </w:rPr>
        <w:t xml:space="preserve">instalațiile care intră sub incidența </w:t>
      </w:r>
      <w:r w:rsidRPr="002A150B">
        <w:rPr>
          <w:rFonts w:ascii="Times New Roman" w:hAnsi="Times New Roman"/>
          <w:noProof/>
          <w:sz w:val="24"/>
        </w:rPr>
        <w:t>EU ETS</w:t>
      </w:r>
      <w:r w:rsidRPr="002A150B">
        <w:rPr>
          <w:rStyle w:val="CMR-textChar"/>
          <w:noProof/>
        </w:rPr>
        <w:t xml:space="preserve"> – ca procentaj din emisiile totale ale instalațiilor și, respectiv, în funcție de tipul de combustibil</w:t>
      </w:r>
      <w:r w:rsidR="005F69A5" w:rsidRPr="002A150B">
        <w:rPr>
          <w:rStyle w:val="FootnoteReference"/>
          <w:rFonts w:ascii="Times New Roman" w:hAnsi="Times New Roman"/>
          <w:noProof/>
          <w:kern w:val="0"/>
          <w:sz w:val="24"/>
        </w:rPr>
        <w:footnoteReference w:id="53"/>
      </w:r>
      <w:r w:rsidRPr="002A150B">
        <w:rPr>
          <w:rStyle w:val="CMR-textChar"/>
          <w:noProof/>
        </w:rPr>
        <w:t>.</w:t>
      </w:r>
      <w:r w:rsidRPr="002A150B">
        <w:rPr>
          <w:rFonts w:ascii="Times New Roman" w:hAnsi="Times New Roman"/>
          <w:noProof/>
          <w:sz w:val="24"/>
        </w:rPr>
        <w:t xml:space="preserve"> Nu toate emisiile din cadrul ETS provin din arderea combustibililor fosili – unele provin direct din procese industriale. Figura 5 prezintă ponderea emisiilor provenite din arderea combustibililor fosili în emisiile totale ale instalațiilor. </w:t>
      </w:r>
      <w:r w:rsidRPr="002A150B">
        <w:rPr>
          <w:rStyle w:val="CMR-textChar"/>
          <w:noProof/>
        </w:rPr>
        <w:t>Figura 6 prezintă</w:t>
      </w:r>
      <w:r w:rsidRPr="002A150B">
        <w:rPr>
          <w:rFonts w:ascii="Times New Roman" w:hAnsi="Times New Roman"/>
          <w:noProof/>
          <w:sz w:val="24"/>
        </w:rPr>
        <w:t xml:space="preserve"> defalcarea emisiilor de ardere în funcție de tipul de combustibil. </w:t>
      </w:r>
    </w:p>
    <w:p w14:paraId="586B27C5" w14:textId="0DF97FFD" w:rsidR="00C67AE7" w:rsidRPr="002A150B" w:rsidRDefault="00C67AE7" w:rsidP="00F20957">
      <w:pPr>
        <w:jc w:val="both"/>
        <w:rPr>
          <w:rFonts w:ascii="Times New Roman" w:hAnsi="Times New Roman"/>
          <w:noProof/>
          <w:kern w:val="0"/>
          <w:sz w:val="24"/>
          <w14:ligatures w14:val="none"/>
        </w:rPr>
      </w:pPr>
      <w:r w:rsidRPr="002A150B">
        <w:rPr>
          <w:rStyle w:val="CMR-textChar"/>
          <w:noProof/>
        </w:rPr>
        <w:t>În ansamblu, emisiile prezintă o evoluție descendentă</w:t>
      </w:r>
      <w:r w:rsidRPr="002A150B">
        <w:rPr>
          <w:rFonts w:ascii="Times New Roman" w:hAnsi="Times New Roman"/>
          <w:noProof/>
          <w:sz w:val="24"/>
        </w:rPr>
        <w:t>, determinată de decarbonizarea sectorului energetic (a se vedea capitolul 7) – răspândirea surselor regenerabile de energie, înlocuirea cărbunelui cu gaze naturale și utilizarea tot mai frecventă a biomasei</w:t>
      </w:r>
      <w:r w:rsidR="00C75203" w:rsidRPr="002A150B">
        <w:rPr>
          <w:rStyle w:val="FootnoteReference"/>
          <w:rFonts w:ascii="Times New Roman" w:hAnsi="Times New Roman"/>
          <w:noProof/>
          <w:kern w:val="0"/>
          <w:sz w:val="24"/>
        </w:rPr>
        <w:footnoteReference w:id="54"/>
      </w:r>
      <w:r w:rsidRPr="002A150B">
        <w:rPr>
          <w:rFonts w:ascii="Times New Roman" w:hAnsi="Times New Roman"/>
          <w:noProof/>
          <w:sz w:val="24"/>
        </w:rPr>
        <w:t xml:space="preserve">. </w:t>
      </w:r>
      <w:r w:rsidRPr="002A150B">
        <w:rPr>
          <w:rStyle w:val="CMR-textChar"/>
          <w:noProof/>
        </w:rPr>
        <w:t>Astfel cum se arată în figura 6</w:t>
      </w:r>
      <w:r w:rsidRPr="002A150B">
        <w:rPr>
          <w:rFonts w:ascii="Times New Roman" w:hAnsi="Times New Roman"/>
          <w:noProof/>
          <w:sz w:val="24"/>
        </w:rPr>
        <w:t>, tendința de creștere a utilizării antracitului observată în 2022 (corelată cu creșterea prețurilor gazelor naturale ca urmare a invadării Ucrainei de către Rusia) s-a inversat în cea mai mare parte în 2023. Între timp, UE a reușit să obțină și o scădere cu 18 % a cererii de gaze naturale în perioada august 2022-mai 2024</w:t>
      </w:r>
      <w:r w:rsidR="00DF04EA" w:rsidRPr="002A150B">
        <w:rPr>
          <w:rStyle w:val="FootnoteReference"/>
          <w:rFonts w:ascii="Times New Roman" w:hAnsi="Times New Roman"/>
          <w:noProof/>
          <w:kern w:val="0"/>
          <w:sz w:val="24"/>
        </w:rPr>
        <w:footnoteReference w:id="55"/>
      </w:r>
      <w:r w:rsidRPr="002A150B">
        <w:rPr>
          <w:rFonts w:ascii="Times New Roman" w:hAnsi="Times New Roman"/>
          <w:noProof/>
          <w:sz w:val="24"/>
        </w:rPr>
        <w:t xml:space="preserve">. </w:t>
      </w:r>
    </w:p>
    <w:p w14:paraId="191CFDD7" w14:textId="43A59A40" w:rsidR="00CC46ED" w:rsidRPr="002A150B" w:rsidRDefault="00BF2F90" w:rsidP="00CC46ED">
      <w:pPr>
        <w:keepNext/>
        <w:jc w:val="both"/>
        <w:rPr>
          <w:rFonts w:ascii="Times New Roman" w:hAnsi="Times New Roman" w:cs="Times New Roman"/>
          <w:noProof/>
          <w:highlight w:val="yellow"/>
        </w:rPr>
      </w:pPr>
      <w:r w:rsidRPr="00BF2F90">
        <w:rPr>
          <w:noProof/>
          <w:lang w:val="en-GB" w:eastAsia="en-GB"/>
        </w:rPr>
        <w:drawing>
          <wp:inline distT="0" distB="0" distL="0" distR="0" wp14:anchorId="3330E352" wp14:editId="40F462E0">
            <wp:extent cx="5731510" cy="1967230"/>
            <wp:effectExtent l="0" t="0" r="2540" b="0"/>
            <wp:docPr id="2118210702"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34" cstate="print">
                      <a:extLst>
                        <a:ext uri="{28A0092B-C50C-407E-A947-70E740481C1C}">
                          <a14:useLocalDpi xmlns:a14="http://schemas.microsoft.com/office/drawing/2010/main" val="0"/>
                        </a:ext>
                      </a:extLst>
                    </a:blip>
                    <a:srcRect/>
                    <a:stretch>
                      <a:fillRect/>
                    </a:stretch>
                  </pic:blipFill>
                  <pic:spPr bwMode="auto">
                    <a:xfrm>
                      <a:off x="0" y="0"/>
                      <a:ext cx="5731510" cy="1967230"/>
                    </a:xfrm>
                    <a:prstGeom prst="rect">
                      <a:avLst/>
                    </a:prstGeom>
                    <a:noFill/>
                    <a:ln>
                      <a:noFill/>
                    </a:ln>
                  </pic:spPr>
                </pic:pic>
              </a:graphicData>
            </a:graphic>
          </wp:inline>
        </w:drawing>
      </w:r>
    </w:p>
    <w:p w14:paraId="011A370A" w14:textId="07FE0379" w:rsidR="001A56DF" w:rsidRPr="002A150B" w:rsidRDefault="00CC46ED" w:rsidP="00CC46ED">
      <w:pPr>
        <w:pStyle w:val="Caption"/>
        <w:rPr>
          <w:noProof/>
          <w:sz w:val="24"/>
        </w:rPr>
      </w:pPr>
      <w:bookmarkStart w:id="48" w:name="_Ref176771715"/>
      <w:r w:rsidRPr="002A150B">
        <w:rPr>
          <w:noProof/>
        </w:rPr>
        <w:t xml:space="preserve">Figura </w:t>
      </w:r>
      <w:r w:rsidR="003B51C5" w:rsidRPr="002A150B">
        <w:rPr>
          <w:noProof/>
        </w:rPr>
        <w:fldChar w:fldCharType="begin"/>
      </w:r>
      <w:r w:rsidR="003B51C5" w:rsidRPr="002A150B">
        <w:rPr>
          <w:noProof/>
        </w:rPr>
        <w:instrText xml:space="preserve"> SEQ Figure \* ARABIC </w:instrText>
      </w:r>
      <w:r w:rsidR="003B51C5" w:rsidRPr="002A150B">
        <w:rPr>
          <w:noProof/>
        </w:rPr>
        <w:fldChar w:fldCharType="separate"/>
      </w:r>
      <w:r w:rsidR="00411CDC" w:rsidRPr="002A150B">
        <w:rPr>
          <w:noProof/>
        </w:rPr>
        <w:t>5</w:t>
      </w:r>
      <w:r w:rsidR="003B51C5" w:rsidRPr="002A150B">
        <w:rPr>
          <w:noProof/>
        </w:rPr>
        <w:fldChar w:fldCharType="end"/>
      </w:r>
      <w:bookmarkEnd w:id="48"/>
      <w:r w:rsidRPr="002A150B">
        <w:rPr>
          <w:noProof/>
        </w:rPr>
        <w:t xml:space="preserve">. Evoluția emisiilor totale provenite din arderea combustibililor fosili în instalațiile care intră sub incidența EU ETS (2013-2023). Etichetele indică ponderea procentuală din emisiile totale ale instalațiilor. </w:t>
      </w:r>
    </w:p>
    <w:p w14:paraId="6E63846E" w14:textId="17F24E4D" w:rsidR="00130AC0" w:rsidRPr="002A150B" w:rsidRDefault="00BF2F90" w:rsidP="00130AC0">
      <w:pPr>
        <w:keepNext/>
        <w:jc w:val="both"/>
        <w:rPr>
          <w:rFonts w:ascii="Times New Roman" w:hAnsi="Times New Roman" w:cs="Times New Roman"/>
          <w:noProof/>
          <w:highlight w:val="yellow"/>
        </w:rPr>
      </w:pPr>
      <w:r w:rsidRPr="00BF2F90">
        <w:rPr>
          <w:noProof/>
          <w:lang w:val="en-GB" w:eastAsia="en-GB"/>
        </w:rPr>
        <w:drawing>
          <wp:inline distT="0" distB="0" distL="0" distR="0" wp14:anchorId="364D09FB" wp14:editId="082CF230">
            <wp:extent cx="5731510" cy="2985770"/>
            <wp:effectExtent l="0" t="0" r="2540" b="5080"/>
            <wp:docPr id="810336962"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35" cstate="print">
                      <a:extLst>
                        <a:ext uri="{28A0092B-C50C-407E-A947-70E740481C1C}">
                          <a14:useLocalDpi xmlns:a14="http://schemas.microsoft.com/office/drawing/2010/main" val="0"/>
                        </a:ext>
                      </a:extLst>
                    </a:blip>
                    <a:srcRect/>
                    <a:stretch>
                      <a:fillRect/>
                    </a:stretch>
                  </pic:blipFill>
                  <pic:spPr bwMode="auto">
                    <a:xfrm>
                      <a:off x="0" y="0"/>
                      <a:ext cx="5731510" cy="2985770"/>
                    </a:xfrm>
                    <a:prstGeom prst="rect">
                      <a:avLst/>
                    </a:prstGeom>
                    <a:noFill/>
                    <a:ln>
                      <a:noFill/>
                    </a:ln>
                  </pic:spPr>
                </pic:pic>
              </a:graphicData>
            </a:graphic>
          </wp:inline>
        </w:drawing>
      </w:r>
    </w:p>
    <w:p w14:paraId="47A9609B" w14:textId="650590DF" w:rsidR="001A56DF" w:rsidRPr="002A150B" w:rsidRDefault="00130AC0" w:rsidP="00130AC0">
      <w:pPr>
        <w:pStyle w:val="Caption"/>
        <w:rPr>
          <w:noProof/>
          <w:sz w:val="24"/>
        </w:rPr>
      </w:pPr>
      <w:bookmarkStart w:id="49" w:name="_Ref176771720"/>
      <w:r w:rsidRPr="002A150B">
        <w:rPr>
          <w:noProof/>
        </w:rPr>
        <w:t xml:space="preserve">Figura </w:t>
      </w:r>
      <w:r w:rsidR="003B51C5" w:rsidRPr="002A150B">
        <w:rPr>
          <w:noProof/>
        </w:rPr>
        <w:fldChar w:fldCharType="begin"/>
      </w:r>
      <w:r w:rsidR="003B51C5" w:rsidRPr="002A150B">
        <w:rPr>
          <w:noProof/>
        </w:rPr>
        <w:instrText xml:space="preserve"> SEQ Figure \* ARABIC </w:instrText>
      </w:r>
      <w:r w:rsidR="003B51C5" w:rsidRPr="002A150B">
        <w:rPr>
          <w:noProof/>
        </w:rPr>
        <w:fldChar w:fldCharType="separate"/>
      </w:r>
      <w:r w:rsidR="00411CDC" w:rsidRPr="002A150B">
        <w:rPr>
          <w:noProof/>
        </w:rPr>
        <w:t>6</w:t>
      </w:r>
      <w:r w:rsidR="003B51C5" w:rsidRPr="002A150B">
        <w:rPr>
          <w:noProof/>
        </w:rPr>
        <w:fldChar w:fldCharType="end"/>
      </w:r>
      <w:bookmarkEnd w:id="49"/>
      <w:r w:rsidRPr="002A150B">
        <w:rPr>
          <w:noProof/>
        </w:rPr>
        <w:t xml:space="preserve">. Evoluția ponderii emisiilor provenite din arderea a diverși combustibili în instalațiile care intră sub incidența EU ETS (2013-2023). Etichetele indică ponderea procentuală din totalul emisiilor de ardere ale instalațiilor. Etichetele nu sunt afișate în situațiile în care emisiile provenite din arderea unui anumit combustibil nu depășesc niciodată o pondere de 3 %. Alți combustibili fosili* se referă la combustibilii care nu sunt menționați deja în legendă. Emisiile provenite din arderea biomasei au un factor de emisie zero în cadrul EU ETS și, prin urmare, sunt prezentate deasupra emisiilor totale de ardere ale instalațiilor. </w:t>
      </w:r>
    </w:p>
    <w:p w14:paraId="3F1F697C" w14:textId="5CFE3244" w:rsidR="00613B80" w:rsidRPr="002A150B" w:rsidRDefault="00613B80" w:rsidP="001B5200">
      <w:pPr>
        <w:pStyle w:val="CMR-Heading"/>
        <w:rPr>
          <w:noProof/>
        </w:rPr>
      </w:pPr>
      <w:bookmarkStart w:id="50" w:name="_Toc180513403"/>
      <w:bookmarkStart w:id="51" w:name="_Toc189482438"/>
      <w:r w:rsidRPr="002A150B">
        <w:rPr>
          <w:noProof/>
        </w:rPr>
        <w:t>Veniturile din EU ETS</w:t>
      </w:r>
      <w:bookmarkEnd w:id="50"/>
      <w:bookmarkEnd w:id="51"/>
      <w:r w:rsidRPr="002A150B">
        <w:rPr>
          <w:noProof/>
        </w:rPr>
        <w:t xml:space="preserve"> </w:t>
      </w:r>
    </w:p>
    <w:p w14:paraId="3CF0E860" w14:textId="232CE8EA" w:rsidR="00757735" w:rsidRPr="002A150B" w:rsidRDefault="00757735" w:rsidP="008C7E4E">
      <w:pPr>
        <w:pStyle w:val="CMR-text"/>
        <w:rPr>
          <w:noProof/>
        </w:rPr>
      </w:pPr>
      <w:r w:rsidRPr="002A150B">
        <w:rPr>
          <w:noProof/>
        </w:rPr>
        <w:t xml:space="preserve">Vânzarea certificatelor în cadrul licitațiilor EU ETS generează venituri substanțiale pentru statele membre, destinate sprijinirii acțiunilor climatice și transformării energetice. În 2023, veniturile totale obținute din licitarea certificatelor s-au ridicat la 43,6 miliarde EUR. Din această sumă, 33 de miliarde EUR au revenit direct statelor membre, iar 0,3 miliarde EUR au fost alocate Islandei, Liechtensteinului, Norvegiei și Irlandei de Nord. 7,4 miliarde EUR au fost alocate Fondului ETS pentru inovare și Fondului ETS pentru modernizare, iar restul de 2,8 miliarde EUR au fost alocate Mecanismului de redresare și reziliență, pe care statele membre îl utilizează pentru a promova tranziția către o energie curată și pentru a stimula securitatea energetică – prin realizarea reformelor și a investițiilor incluse în planurile lor de redresare și reziliență. </w:t>
      </w:r>
      <w:r w:rsidR="00470D76" w:rsidRPr="002A150B">
        <w:rPr>
          <w:rFonts w:cs="Times New Roman"/>
          <w:noProof/>
        </w:rPr>
        <w:fldChar w:fldCharType="begin"/>
      </w:r>
      <w:r w:rsidR="00470D76" w:rsidRPr="002A150B">
        <w:rPr>
          <w:rFonts w:cs="Times New Roman"/>
          <w:noProof/>
        </w:rPr>
        <w:instrText xml:space="preserve"> REF _Ref176945887 \h </w:instrText>
      </w:r>
      <w:r w:rsidR="00B574FD" w:rsidRPr="002A150B">
        <w:rPr>
          <w:rFonts w:cs="Times New Roman"/>
          <w:noProof/>
        </w:rPr>
        <w:instrText xml:space="preserve"> \* MERGEFORMAT </w:instrText>
      </w:r>
      <w:r w:rsidR="00470D76" w:rsidRPr="002A150B">
        <w:rPr>
          <w:rFonts w:cs="Times New Roman"/>
          <w:noProof/>
        </w:rPr>
      </w:r>
      <w:r w:rsidR="00470D76" w:rsidRPr="002A150B">
        <w:rPr>
          <w:rFonts w:cs="Times New Roman"/>
          <w:noProof/>
        </w:rPr>
        <w:fldChar w:fldCharType="separate"/>
      </w:r>
      <w:r w:rsidR="00411CDC" w:rsidRPr="002A150B">
        <w:rPr>
          <w:rFonts w:cs="Times New Roman"/>
          <w:noProof/>
        </w:rPr>
        <w:t>Figur</w:t>
      </w:r>
      <w:r w:rsidR="009744CB" w:rsidRPr="002A150B">
        <w:rPr>
          <w:rFonts w:cs="Times New Roman"/>
          <w:noProof/>
        </w:rPr>
        <w:t>a</w:t>
      </w:r>
      <w:r w:rsidR="00411CDC" w:rsidRPr="002A150B">
        <w:rPr>
          <w:rFonts w:cs="Times New Roman"/>
          <w:noProof/>
        </w:rPr>
        <w:t xml:space="preserve"> 7</w:t>
      </w:r>
      <w:r w:rsidR="00470D76" w:rsidRPr="002A150B">
        <w:rPr>
          <w:rFonts w:cs="Times New Roman"/>
          <w:noProof/>
        </w:rPr>
        <w:fldChar w:fldCharType="end"/>
      </w:r>
      <w:r w:rsidRPr="002A150B">
        <w:rPr>
          <w:noProof/>
        </w:rPr>
        <w:t xml:space="preserve"> arată distribuția veniturilor obținute din licitarea certificatelor din 2023. Datele detaliate privind veniturile alocate fiecărei țări și fiecărui fond sunt incluse în secțiunea III din documentul de lucru însoțitor al serviciilor Comisiei. </w:t>
      </w:r>
    </w:p>
    <w:p w14:paraId="30BFCBF4" w14:textId="60A96057" w:rsidR="003A7581" w:rsidRPr="002A150B" w:rsidRDefault="0081323B" w:rsidP="00A70C6B">
      <w:pPr>
        <w:pStyle w:val="CMR-tables"/>
        <w:jc w:val="center"/>
        <w:rPr>
          <w:noProof/>
        </w:rPr>
      </w:pPr>
      <w:r w:rsidRPr="0081323B">
        <w:rPr>
          <w:noProof/>
          <w:lang w:val="en-GB" w:eastAsia="en-GB"/>
        </w:rPr>
        <w:drawing>
          <wp:inline distT="0" distB="0" distL="0" distR="0" wp14:anchorId="122A08D8" wp14:editId="4CED07FF">
            <wp:extent cx="4273236" cy="3010663"/>
            <wp:effectExtent l="0" t="0" r="0" b="0"/>
            <wp:docPr id="467211125"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36" cstate="print">
                      <a:extLst>
                        <a:ext uri="{28A0092B-C50C-407E-A947-70E740481C1C}">
                          <a14:useLocalDpi xmlns:a14="http://schemas.microsoft.com/office/drawing/2010/main" val="0"/>
                        </a:ext>
                      </a:extLst>
                    </a:blip>
                    <a:srcRect/>
                    <a:stretch>
                      <a:fillRect/>
                    </a:stretch>
                  </pic:blipFill>
                  <pic:spPr bwMode="auto">
                    <a:xfrm>
                      <a:off x="0" y="0"/>
                      <a:ext cx="4277535" cy="3013692"/>
                    </a:xfrm>
                    <a:prstGeom prst="rect">
                      <a:avLst/>
                    </a:prstGeom>
                    <a:noFill/>
                    <a:ln>
                      <a:noFill/>
                    </a:ln>
                  </pic:spPr>
                </pic:pic>
              </a:graphicData>
            </a:graphic>
          </wp:inline>
        </w:drawing>
      </w:r>
    </w:p>
    <w:p w14:paraId="18641BEB" w14:textId="2C752684" w:rsidR="007B6B81" w:rsidRPr="002A150B" w:rsidRDefault="003A7581" w:rsidP="00A70C6B">
      <w:pPr>
        <w:pStyle w:val="Caption"/>
        <w:jc w:val="left"/>
        <w:rPr>
          <w:noProof/>
        </w:rPr>
      </w:pPr>
      <w:bookmarkStart w:id="52" w:name="_Ref176945887"/>
      <w:r w:rsidRPr="002A150B">
        <w:rPr>
          <w:noProof/>
        </w:rPr>
        <w:t xml:space="preserve">Figura </w:t>
      </w:r>
      <w:r w:rsidR="003B51C5" w:rsidRPr="002A150B">
        <w:rPr>
          <w:noProof/>
        </w:rPr>
        <w:fldChar w:fldCharType="begin"/>
      </w:r>
      <w:r w:rsidR="003B51C5" w:rsidRPr="002A150B">
        <w:rPr>
          <w:noProof/>
        </w:rPr>
        <w:instrText xml:space="preserve"> SEQ Figure \* ARABIC </w:instrText>
      </w:r>
      <w:r w:rsidR="003B51C5" w:rsidRPr="002A150B">
        <w:rPr>
          <w:noProof/>
        </w:rPr>
        <w:fldChar w:fldCharType="separate"/>
      </w:r>
      <w:r w:rsidR="00411CDC" w:rsidRPr="002A150B">
        <w:rPr>
          <w:noProof/>
        </w:rPr>
        <w:t>7</w:t>
      </w:r>
      <w:r w:rsidR="003B51C5" w:rsidRPr="002A150B">
        <w:rPr>
          <w:noProof/>
        </w:rPr>
        <w:fldChar w:fldCharType="end"/>
      </w:r>
      <w:bookmarkEnd w:id="52"/>
      <w:r w:rsidRPr="002A150B">
        <w:rPr>
          <w:noProof/>
        </w:rPr>
        <w:t>. Distribuția veniturilor obținute din licitarea certificatelor din 2023 între bugetele naționale, Fondul pentru inovare, Fondul pentru modernizare și Mecanismul de redresare și reziliență</w:t>
      </w:r>
    </w:p>
    <w:p w14:paraId="04351C18" w14:textId="48BCC897" w:rsidR="00C93ED1" w:rsidRPr="002A150B" w:rsidRDefault="00757735" w:rsidP="000866E8">
      <w:pPr>
        <w:pStyle w:val="CMR-text"/>
        <w:rPr>
          <w:noProof/>
        </w:rPr>
      </w:pPr>
      <w:r w:rsidRPr="002A150B">
        <w:rPr>
          <w:noProof/>
        </w:rPr>
        <w:t>Odată cu revizuirea din 2023 a Directivei EU ETS, normele privind utilizarea veniturilor obținute din licitarea certificatelor au suferit modificări. În temeiul articolului 10 alineatul (3) din Directiva EU ETS, începând din iunie 2023, statele membre sunt obligate să utilizeze 100 % din veniturile colectate (sau o valoare financiară echivalentă) pentru a sprijini acțiunile climatice și transformarea energetică, cu excepția oricăror venituri pe care statele membre le cheltuiesc ca ajutor destinat industriilor mari consumatoare de energie electrică pentru costurile indirecte ale emisiilor de dioxid de carbon (a se vedea capitolul 8.1). Scopurile specifice sunt enumerate la articolul 10 alineatul (3) și includ decarbonizarea industrială, transformarea energetică, tehnologiile tehnologice curate, adaptarea la schimbările climatice, decarbonizarea sectorului transporturilor și acțiuni pentru o tranziție justă. Comisia va monitoriza îndeaproape respectarea acestei noi obligații pentru a se asigura că toate veniturile ETS sunt cheltuite cu adevărat în aceste scopuri.</w:t>
      </w:r>
    </w:p>
    <w:p w14:paraId="516D1734" w14:textId="6DCF2F25" w:rsidR="009A7085" w:rsidRPr="002A150B" w:rsidRDefault="007B7A7D" w:rsidP="009A7085">
      <w:pPr>
        <w:pStyle w:val="CMR-text"/>
        <w:rPr>
          <w:noProof/>
        </w:rPr>
      </w:pPr>
      <w:r w:rsidRPr="002A150B">
        <w:rPr>
          <w:noProof/>
        </w:rPr>
        <w:t xml:space="preserve">Obligația acoperă veniturile obținute din vânzarea prin licitație a certificatelor suplimentare ca urmare a includerii transportului maritim în EU ETS, statele membre fiind încurajate să își majoreze contribuția la protejarea, refacerea și o mai bună gestionare a ecosistemelor marine, în special a zonelor marine protejate. De asemenea, statele membre care primesc volume mai mari de certificate suplimentare ca urmare a raportului ridicat între companiile lor de transport maritim și populație ar trebui să utilizeze ponderea corespunzătoare în scopuri legate de domeniul maritim. </w:t>
      </w:r>
    </w:p>
    <w:p w14:paraId="5ACC01CE" w14:textId="6852CE43" w:rsidR="00B56728" w:rsidRPr="002A150B" w:rsidRDefault="4EA14F5C" w:rsidP="001E72FA">
      <w:pPr>
        <w:pStyle w:val="CMR-text"/>
        <w:rPr>
          <w:noProof/>
        </w:rPr>
      </w:pPr>
      <w:r w:rsidRPr="002A150B">
        <w:rPr>
          <w:noProof/>
        </w:rPr>
        <w:t>Statele membre raportează anual Comisiei, în temeiul Regulamentului privind guvernanța [Regulamentul (UE) 2018/1999]</w:t>
      </w:r>
      <w:r w:rsidR="00AC7C5E" w:rsidRPr="002A150B">
        <w:rPr>
          <w:rStyle w:val="FootnoteReference"/>
          <w:noProof/>
        </w:rPr>
        <w:footnoteReference w:id="56"/>
      </w:r>
      <w:r w:rsidRPr="002A150B">
        <w:rPr>
          <w:noProof/>
        </w:rPr>
        <w:t>, cu privire la modul în care utilizează veniturile provenite din ETS. Aceste rapoarte sunt întocmite conform unor modele și sunt puse la dispoziția publicului</w:t>
      </w:r>
      <w:r w:rsidR="00206544" w:rsidRPr="002A150B">
        <w:rPr>
          <w:rStyle w:val="FootnoteReference"/>
          <w:noProof/>
        </w:rPr>
        <w:footnoteReference w:id="57"/>
      </w:r>
      <w:r w:rsidRPr="002A150B">
        <w:rPr>
          <w:noProof/>
        </w:rPr>
        <w:t>. Modelele au fost actualizate în mai 2024 pentru a reflecta noua obligație și pentru a colecta mai multe informații cu privire la utilizarea veniturilor</w:t>
      </w:r>
      <w:r w:rsidR="005E3BEB" w:rsidRPr="002A150B">
        <w:rPr>
          <w:rStyle w:val="FootnoteReference"/>
          <w:noProof/>
        </w:rPr>
        <w:footnoteReference w:id="58"/>
      </w:r>
      <w:r w:rsidRPr="002A150B">
        <w:rPr>
          <w:noProof/>
        </w:rPr>
        <w:t xml:space="preserve">. Raportarea trebuie să fie suficient de detaliată pentru a evalua respectarea obiectivului privind cheltuielile. În caz contrar, Comisia poate impune unui stat membru să retransmită informațiile și să completeze toate lacunele. </w:t>
      </w:r>
    </w:p>
    <w:p w14:paraId="02708BEE" w14:textId="2D141CDD" w:rsidR="001E72FA" w:rsidRPr="002A150B" w:rsidRDefault="00542884" w:rsidP="001E72FA">
      <w:pPr>
        <w:pStyle w:val="CMR-text"/>
        <w:rPr>
          <w:noProof/>
        </w:rPr>
      </w:pPr>
      <w:r w:rsidRPr="002A150B">
        <w:rPr>
          <w:noProof/>
        </w:rPr>
        <w:t>Deși toate veniturile ETS relevante trebuie să fie direcționate către investiții legate de climă și energie, nu este obligatoriu ca acest buget să fie cheltuit integral în același an în care sunt generate veniturile. Din veniturile obținute în 2023 și destinate utilizării în scopurile prevăzute la articolul 10 alineatul (3), 72 % au fost plătite deja în 2023, iar alte 3 % au fost angajate pentru acțiuni specifice. Modul în care statele membre au utilizat restul fondurilor va fi descris în rapoartele viitoare.</w:t>
      </w:r>
    </w:p>
    <w:p w14:paraId="2587DF9B" w14:textId="627BFA4F" w:rsidR="00C347BD" w:rsidRPr="002A150B" w:rsidRDefault="00427270" w:rsidP="008C7E4E">
      <w:pPr>
        <w:pStyle w:val="CMR-text"/>
        <w:rPr>
          <w:noProof/>
        </w:rPr>
      </w:pPr>
      <w:r w:rsidRPr="002A150B">
        <w:rPr>
          <w:noProof/>
        </w:rPr>
        <w:t>Din cele 33 de miliarde EUR colectate de statele membre în 2023 sub formă de venituri ETS, 30,9 miliarde EUR fac obiectul obligației prevăzute la articolul 10 alineatul (3)</w:t>
      </w:r>
      <w:r w:rsidR="0055278A" w:rsidRPr="002A150B">
        <w:rPr>
          <w:rStyle w:val="FootnoteReference"/>
          <w:noProof/>
        </w:rPr>
        <w:footnoteReference w:id="59"/>
      </w:r>
      <w:r w:rsidRPr="002A150B">
        <w:rPr>
          <w:noProof/>
        </w:rPr>
        <w:t>. Potrivit rapoartelor, 2,1 miliarde EUR din veniturile obținute în 2023 au fost alocate pentru finanțarea costurilor indirecte ale emisiilor de dioxid de carbon ale industriilor energointensive. Din cele 30,9 miliarde EUR, statele membre au raportat</w:t>
      </w:r>
      <w:r w:rsidR="004342FC" w:rsidRPr="002A150B">
        <w:rPr>
          <w:rStyle w:val="FootnoteReference"/>
          <w:noProof/>
        </w:rPr>
        <w:footnoteReference w:id="60"/>
      </w:r>
      <w:r w:rsidRPr="002A150B">
        <w:rPr>
          <w:noProof/>
        </w:rPr>
        <w:t xml:space="preserve"> că au plătit deja 22,2 miliarde EUR și au angajat încă 0,8 miliarde EUR în scopurile prevăzute la articolul 10 alineatul (3). Ca atare, mai rămân de alocat, plătit și raportat aproximativ 7,9 miliarde EUR. </w:t>
      </w:r>
    </w:p>
    <w:p w14:paraId="2F56C3B8" w14:textId="2968DDD1" w:rsidR="006A4D8C" w:rsidRPr="002A150B" w:rsidRDefault="00B977BE" w:rsidP="008C7E4E">
      <w:pPr>
        <w:pStyle w:val="CMR-text"/>
        <w:rPr>
          <w:noProof/>
        </w:rPr>
      </w:pPr>
      <w:r w:rsidRPr="002A150B">
        <w:rPr>
          <w:noProof/>
        </w:rPr>
        <w:fldChar w:fldCharType="begin"/>
      </w:r>
      <w:r w:rsidRPr="002A150B">
        <w:rPr>
          <w:noProof/>
        </w:rPr>
        <w:instrText xml:space="preserve"> REF _Ref180760941 \h </w:instrText>
      </w:r>
      <w:r w:rsidRPr="002A150B">
        <w:rPr>
          <w:noProof/>
        </w:rPr>
      </w:r>
      <w:r w:rsidRPr="002A150B">
        <w:rPr>
          <w:noProof/>
        </w:rPr>
        <w:fldChar w:fldCharType="separate"/>
      </w:r>
      <w:r w:rsidR="00411CDC" w:rsidRPr="002A150B">
        <w:rPr>
          <w:noProof/>
        </w:rPr>
        <w:t>Tab</w:t>
      </w:r>
      <w:r w:rsidR="00976D2F" w:rsidRPr="002A150B">
        <w:rPr>
          <w:noProof/>
        </w:rPr>
        <w:t>elul</w:t>
      </w:r>
      <w:r w:rsidR="00411CDC" w:rsidRPr="002A150B">
        <w:rPr>
          <w:noProof/>
        </w:rPr>
        <w:t xml:space="preserve"> 5</w:t>
      </w:r>
      <w:r w:rsidRPr="002A150B">
        <w:rPr>
          <w:noProof/>
        </w:rPr>
        <w:fldChar w:fldCharType="end"/>
      </w:r>
      <w:r w:rsidRPr="002A150B">
        <w:rPr>
          <w:noProof/>
        </w:rPr>
        <w:t xml:space="preserve"> prezintă o defalcare a veniturilor ETS în cuantum de 33 de miliarde EUR colectate de statele membre în 2023. În plus, statele membre au raportat alocarea în 2023 a unor venituri în cuantum de 1,0 miliard EUR generate în anii anteriori (0,6 miliarde EUR plătite și 0,4 miliarde EUR angajate) în scopurile prevăzute la articolul 10 alineatul (3).</w:t>
      </w:r>
    </w:p>
    <w:p w14:paraId="22DC90AA" w14:textId="11AE8163" w:rsidR="003B51C5" w:rsidRPr="002A150B" w:rsidRDefault="003B51C5" w:rsidP="003B51C5">
      <w:pPr>
        <w:pStyle w:val="Caption"/>
        <w:keepNext/>
        <w:rPr>
          <w:noProof/>
        </w:rPr>
      </w:pPr>
      <w:bookmarkStart w:id="53" w:name="_Ref180760941"/>
      <w:r w:rsidRPr="002A150B">
        <w:rPr>
          <w:noProof/>
        </w:rPr>
        <w:t xml:space="preserve">Tabelul </w:t>
      </w:r>
      <w:r w:rsidRPr="002A150B">
        <w:rPr>
          <w:noProof/>
        </w:rPr>
        <w:fldChar w:fldCharType="begin"/>
      </w:r>
      <w:r w:rsidRPr="002A150B">
        <w:rPr>
          <w:noProof/>
        </w:rPr>
        <w:instrText xml:space="preserve"> SEQ Table \* ARABIC </w:instrText>
      </w:r>
      <w:r w:rsidRPr="002A150B">
        <w:rPr>
          <w:noProof/>
        </w:rPr>
        <w:fldChar w:fldCharType="separate"/>
      </w:r>
      <w:r w:rsidR="00411CDC" w:rsidRPr="002A150B">
        <w:rPr>
          <w:noProof/>
        </w:rPr>
        <w:t>5</w:t>
      </w:r>
      <w:r w:rsidRPr="002A150B">
        <w:rPr>
          <w:noProof/>
        </w:rPr>
        <w:fldChar w:fldCharType="end"/>
      </w:r>
      <w:bookmarkEnd w:id="53"/>
      <w:r w:rsidRPr="002A150B">
        <w:rPr>
          <w:noProof/>
        </w:rPr>
        <w:t>. Defalcarea veniturilor ETS, în cuantum de 33 de miliarde EUR, colectate de statele membre în 2023</w:t>
      </w:r>
    </w:p>
    <w:tbl>
      <w:tblPr>
        <w:tblStyle w:val="PlainTable5"/>
        <w:tblW w:w="0" w:type="auto"/>
        <w:tblLook w:val="04A0" w:firstRow="1" w:lastRow="0" w:firstColumn="1" w:lastColumn="0" w:noHBand="0" w:noVBand="1"/>
      </w:tblPr>
      <w:tblGrid>
        <w:gridCol w:w="7083"/>
        <w:gridCol w:w="1933"/>
      </w:tblGrid>
      <w:tr w:rsidR="00F510C3" w:rsidRPr="002A150B" w14:paraId="5144FFC6" w14:textId="77777777" w:rsidTr="008D3D02">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7083" w:type="dxa"/>
          </w:tcPr>
          <w:p w14:paraId="1E42D358" w14:textId="77777777" w:rsidR="00F510C3" w:rsidRPr="002A150B" w:rsidRDefault="00F510C3" w:rsidP="00A0384F">
            <w:pPr>
              <w:pStyle w:val="CMR-tables"/>
              <w:keepNext/>
              <w:rPr>
                <w:noProof/>
              </w:rPr>
            </w:pPr>
          </w:p>
        </w:tc>
        <w:tc>
          <w:tcPr>
            <w:tcW w:w="1933" w:type="dxa"/>
          </w:tcPr>
          <w:p w14:paraId="04B28FD8" w14:textId="40509940" w:rsidR="00F510C3" w:rsidRPr="002A150B" w:rsidRDefault="00065373" w:rsidP="00A0384F">
            <w:pPr>
              <w:pStyle w:val="CMR-tables"/>
              <w:keepNext/>
              <w:jc w:val="center"/>
              <w:cnfStyle w:val="100000000000" w:firstRow="1" w:lastRow="0" w:firstColumn="0" w:lastColumn="0" w:oddVBand="0" w:evenVBand="0" w:oddHBand="0" w:evenHBand="0" w:firstRowFirstColumn="0" w:firstRowLastColumn="0" w:lastRowFirstColumn="0" w:lastRowLastColumn="0"/>
              <w:rPr>
                <w:b/>
                <w:bCs w:val="0"/>
                <w:i w:val="0"/>
                <w:iCs w:val="0"/>
                <w:noProof/>
              </w:rPr>
            </w:pPr>
            <w:r w:rsidRPr="002A150B">
              <w:rPr>
                <w:b/>
                <w:i w:val="0"/>
                <w:noProof/>
              </w:rPr>
              <w:t xml:space="preserve">Venituri </w:t>
            </w:r>
            <w:r w:rsidRPr="002A150B">
              <w:rPr>
                <w:b/>
                <w:i w:val="0"/>
                <w:noProof/>
              </w:rPr>
              <w:br/>
              <w:t>(miliarde EUR)</w:t>
            </w:r>
          </w:p>
        </w:tc>
      </w:tr>
      <w:tr w:rsidR="005353DB" w:rsidRPr="002A150B" w14:paraId="21349C27" w14:textId="77777777" w:rsidTr="008C711C">
        <w:trPr>
          <w:cnfStyle w:val="000000100000" w:firstRow="0" w:lastRow="0" w:firstColumn="0" w:lastColumn="0" w:oddVBand="0" w:evenVBand="0" w:oddHBand="1" w:evenHBand="0" w:firstRowFirstColumn="0" w:firstRowLastColumn="0" w:lastRowFirstColumn="0" w:lastRowLastColumn="0"/>
          <w:trHeight w:val="700"/>
        </w:trPr>
        <w:tc>
          <w:tcPr>
            <w:cnfStyle w:val="001000000000" w:firstRow="0" w:lastRow="0" w:firstColumn="1" w:lastColumn="0" w:oddVBand="0" w:evenVBand="0" w:oddHBand="0" w:evenHBand="0" w:firstRowFirstColumn="0" w:firstRowLastColumn="0" w:lastRowFirstColumn="0" w:lastRowLastColumn="0"/>
            <w:tcW w:w="0" w:type="dxa"/>
            <w:shd w:val="clear" w:color="auto" w:fill="F2F2F2" w:themeFill="background1" w:themeFillShade="F2"/>
            <w:vAlign w:val="center"/>
          </w:tcPr>
          <w:p w14:paraId="5B5CFBFB" w14:textId="3848A843" w:rsidR="005353DB" w:rsidRPr="002A150B" w:rsidRDefault="005353DB" w:rsidP="00A0384F">
            <w:pPr>
              <w:pStyle w:val="CMR-tables"/>
              <w:keepNext/>
              <w:rPr>
                <w:i w:val="0"/>
                <w:iCs w:val="0"/>
                <w:noProof/>
              </w:rPr>
            </w:pPr>
            <w:r w:rsidRPr="002A150B">
              <w:rPr>
                <w:i w:val="0"/>
                <w:noProof/>
              </w:rPr>
              <w:t>Venituri raportate ca utilizate pentru finanțarea ajutorului pentru costurile emisiilor de dioxid de carbon</w:t>
            </w:r>
          </w:p>
        </w:tc>
        <w:tc>
          <w:tcPr>
            <w:tcW w:w="0" w:type="dxa"/>
            <w:vAlign w:val="center"/>
          </w:tcPr>
          <w:p w14:paraId="193BABA5" w14:textId="566BE8CE" w:rsidR="005353DB" w:rsidRPr="002A150B" w:rsidRDefault="005353DB" w:rsidP="00A0384F">
            <w:pPr>
              <w:pStyle w:val="CMR-tables"/>
              <w:keepNext/>
              <w:jc w:val="right"/>
              <w:cnfStyle w:val="000000100000" w:firstRow="0" w:lastRow="0" w:firstColumn="0" w:lastColumn="0" w:oddVBand="0" w:evenVBand="0" w:oddHBand="1" w:evenHBand="0" w:firstRowFirstColumn="0" w:firstRowLastColumn="0" w:lastRowFirstColumn="0" w:lastRowLastColumn="0"/>
              <w:rPr>
                <w:noProof/>
              </w:rPr>
            </w:pPr>
            <w:r w:rsidRPr="002A150B">
              <w:rPr>
                <w:noProof/>
              </w:rPr>
              <w:t>2,1</w:t>
            </w:r>
          </w:p>
        </w:tc>
      </w:tr>
      <w:tr w:rsidR="005353DB" w:rsidRPr="002A150B" w14:paraId="6CB75938" w14:textId="77777777" w:rsidTr="00C347BD">
        <w:trPr>
          <w:trHeight w:val="700"/>
        </w:trPr>
        <w:tc>
          <w:tcPr>
            <w:cnfStyle w:val="001000000000" w:firstRow="0" w:lastRow="0" w:firstColumn="1" w:lastColumn="0" w:oddVBand="0" w:evenVBand="0" w:oddHBand="0" w:evenHBand="0" w:firstRowFirstColumn="0" w:firstRowLastColumn="0" w:lastRowFirstColumn="0" w:lastRowLastColumn="0"/>
            <w:tcW w:w="7083" w:type="dxa"/>
            <w:vAlign w:val="center"/>
          </w:tcPr>
          <w:p w14:paraId="3C90A9CF" w14:textId="7B62F33B" w:rsidR="005353DB" w:rsidRPr="002A150B" w:rsidRDefault="005353DB" w:rsidP="00A0384F">
            <w:pPr>
              <w:pStyle w:val="CMR-tables"/>
              <w:keepNext/>
              <w:rPr>
                <w:i w:val="0"/>
                <w:iCs w:val="0"/>
                <w:noProof/>
              </w:rPr>
            </w:pPr>
            <w:r w:rsidRPr="002A150B">
              <w:rPr>
                <w:i w:val="0"/>
                <w:noProof/>
              </w:rPr>
              <w:t>Venituri care fac obiectul obligației prevăzute la articolul 10 alineatul (3) și plătite în 2023</w:t>
            </w:r>
          </w:p>
        </w:tc>
        <w:tc>
          <w:tcPr>
            <w:tcW w:w="1933" w:type="dxa"/>
            <w:vAlign w:val="center"/>
          </w:tcPr>
          <w:p w14:paraId="14CF3881" w14:textId="578BC70C" w:rsidR="005353DB" w:rsidRPr="002A150B" w:rsidRDefault="00F40F1A" w:rsidP="00A0384F">
            <w:pPr>
              <w:pStyle w:val="CMR-tables"/>
              <w:keepNext/>
              <w:jc w:val="right"/>
              <w:cnfStyle w:val="000000000000" w:firstRow="0" w:lastRow="0" w:firstColumn="0" w:lastColumn="0" w:oddVBand="0" w:evenVBand="0" w:oddHBand="0" w:evenHBand="0" w:firstRowFirstColumn="0" w:firstRowLastColumn="0" w:lastRowFirstColumn="0" w:lastRowLastColumn="0"/>
              <w:rPr>
                <w:noProof/>
              </w:rPr>
            </w:pPr>
            <w:r w:rsidRPr="002A150B">
              <w:rPr>
                <w:noProof/>
              </w:rPr>
              <w:t>22,2</w:t>
            </w:r>
          </w:p>
        </w:tc>
      </w:tr>
      <w:tr w:rsidR="008C711C" w:rsidRPr="002A150B" w14:paraId="7B6C31E7" w14:textId="77777777" w:rsidTr="008C711C">
        <w:trPr>
          <w:cnfStyle w:val="000000100000" w:firstRow="0" w:lastRow="0" w:firstColumn="0" w:lastColumn="0" w:oddVBand="0" w:evenVBand="0" w:oddHBand="1" w:evenHBand="0" w:firstRowFirstColumn="0" w:firstRowLastColumn="0" w:lastRowFirstColumn="0" w:lastRowLastColumn="0"/>
          <w:trHeight w:val="700"/>
        </w:trPr>
        <w:tc>
          <w:tcPr>
            <w:cnfStyle w:val="001000000000" w:firstRow="0" w:lastRow="0" w:firstColumn="1" w:lastColumn="0" w:oddVBand="0" w:evenVBand="0" w:oddHBand="0" w:evenHBand="0" w:firstRowFirstColumn="0" w:firstRowLastColumn="0" w:lastRowFirstColumn="0" w:lastRowLastColumn="0"/>
            <w:tcW w:w="0" w:type="dxa"/>
            <w:shd w:val="clear" w:color="auto" w:fill="F2F2F2" w:themeFill="background1" w:themeFillShade="F2"/>
            <w:vAlign w:val="center"/>
          </w:tcPr>
          <w:p w14:paraId="50E6A790" w14:textId="19E1FA2B" w:rsidR="005353DB" w:rsidRPr="002A150B" w:rsidRDefault="00F40F1A" w:rsidP="00A0384F">
            <w:pPr>
              <w:pStyle w:val="CMR-tables"/>
              <w:keepNext/>
              <w:rPr>
                <w:i w:val="0"/>
                <w:iCs w:val="0"/>
                <w:noProof/>
              </w:rPr>
            </w:pPr>
            <w:r w:rsidRPr="002A150B">
              <w:rPr>
                <w:i w:val="0"/>
                <w:noProof/>
              </w:rPr>
              <w:t>Venituri colectate de statele membre în 2023 care fac obiectul obligației prevăzute la articolul 10 alineatul (3) și angajate</w:t>
            </w:r>
          </w:p>
        </w:tc>
        <w:tc>
          <w:tcPr>
            <w:tcW w:w="0" w:type="dxa"/>
            <w:vAlign w:val="center"/>
          </w:tcPr>
          <w:p w14:paraId="3BB720A5" w14:textId="520FD26E" w:rsidR="005353DB" w:rsidRPr="002A150B" w:rsidRDefault="00F40F1A" w:rsidP="00A0384F">
            <w:pPr>
              <w:pStyle w:val="CMR-tables"/>
              <w:keepNext/>
              <w:jc w:val="right"/>
              <w:cnfStyle w:val="000000100000" w:firstRow="0" w:lastRow="0" w:firstColumn="0" w:lastColumn="0" w:oddVBand="0" w:evenVBand="0" w:oddHBand="1" w:evenHBand="0" w:firstRowFirstColumn="0" w:firstRowLastColumn="0" w:lastRowFirstColumn="0" w:lastRowLastColumn="0"/>
              <w:rPr>
                <w:noProof/>
              </w:rPr>
            </w:pPr>
            <w:r w:rsidRPr="002A150B">
              <w:rPr>
                <w:noProof/>
              </w:rPr>
              <w:t>0,8</w:t>
            </w:r>
          </w:p>
        </w:tc>
      </w:tr>
      <w:tr w:rsidR="00F40F1A" w:rsidRPr="002A150B" w14:paraId="7E837526" w14:textId="77777777" w:rsidTr="00C347BD">
        <w:trPr>
          <w:trHeight w:val="700"/>
        </w:trPr>
        <w:tc>
          <w:tcPr>
            <w:cnfStyle w:val="001000000000" w:firstRow="0" w:lastRow="0" w:firstColumn="1" w:lastColumn="0" w:oddVBand="0" w:evenVBand="0" w:oddHBand="0" w:evenHBand="0" w:firstRowFirstColumn="0" w:firstRowLastColumn="0" w:lastRowFirstColumn="0" w:lastRowLastColumn="0"/>
            <w:tcW w:w="7083" w:type="dxa"/>
            <w:vAlign w:val="center"/>
          </w:tcPr>
          <w:p w14:paraId="243B7E66" w14:textId="6C91052A" w:rsidR="00F40F1A" w:rsidRPr="002A150B" w:rsidRDefault="001758B7" w:rsidP="00A0384F">
            <w:pPr>
              <w:pStyle w:val="CMR-tables"/>
              <w:keepNext/>
              <w:rPr>
                <w:i w:val="0"/>
                <w:iCs w:val="0"/>
                <w:noProof/>
              </w:rPr>
            </w:pPr>
            <w:r w:rsidRPr="002A150B">
              <w:rPr>
                <w:i w:val="0"/>
                <w:noProof/>
              </w:rPr>
              <w:t>Venituri colectate de statele membre în 2023 și care nu au fost încă alocate, plătite și raportate</w:t>
            </w:r>
          </w:p>
        </w:tc>
        <w:tc>
          <w:tcPr>
            <w:tcW w:w="1933" w:type="dxa"/>
            <w:vAlign w:val="center"/>
          </w:tcPr>
          <w:p w14:paraId="196CD065" w14:textId="55C2CB94" w:rsidR="00F40F1A" w:rsidRPr="002A150B" w:rsidRDefault="00A56FA6" w:rsidP="00A0384F">
            <w:pPr>
              <w:pStyle w:val="CMR-tables"/>
              <w:keepNext/>
              <w:jc w:val="right"/>
              <w:cnfStyle w:val="000000000000" w:firstRow="0" w:lastRow="0" w:firstColumn="0" w:lastColumn="0" w:oddVBand="0" w:evenVBand="0" w:oddHBand="0" w:evenHBand="0" w:firstRowFirstColumn="0" w:firstRowLastColumn="0" w:lastRowFirstColumn="0" w:lastRowLastColumn="0"/>
              <w:rPr>
                <w:noProof/>
              </w:rPr>
            </w:pPr>
            <w:r w:rsidRPr="002A150B">
              <w:rPr>
                <w:noProof/>
              </w:rPr>
              <w:t>7,9</w:t>
            </w:r>
          </w:p>
        </w:tc>
      </w:tr>
    </w:tbl>
    <w:p w14:paraId="4C71D184" w14:textId="5B3C8B98" w:rsidR="003B1D7C" w:rsidRPr="002A150B" w:rsidRDefault="0078185E" w:rsidP="008C7E4E">
      <w:pPr>
        <w:pStyle w:val="CMR-text"/>
        <w:rPr>
          <w:noProof/>
        </w:rPr>
      </w:pPr>
      <w:r w:rsidRPr="002A150B">
        <w:rPr>
          <w:noProof/>
        </w:rPr>
        <w:t xml:space="preserve">Astfel cum se arată în figura 8, din veniturile de 22,2 miliarde EUR raportate ca fiind plătite în 2023 în scopurile prevăzute la articolul 10 alineatul (3), 9,7 miliarde EUR au fost utilizate pentru proiecte din categoria „Aprovizionarea cu energie, rețelele și stocarea energiei”, 2,3 miliarde EUR pentru „Eficiența energetică, încălzirea și răcirea clădirilor” și 5,1 miliarde EUR pentru „Transport public și mobilitate”. Dintre cele 323 de acțiuni raportate în aceste trei categorii, se pot menționa ca exemple instalarea de sisteme fotovoltaice în România, granturile pentru îmbunătățirea eficienței energetice a gospodăriilor cu venituri mici din Franța și extinderea rețelelor de metrou în orașele Lisabona și Porto din Portugalia. </w:t>
      </w:r>
    </w:p>
    <w:p w14:paraId="2B781472" w14:textId="572FB3DB" w:rsidR="00D03EE3" w:rsidRPr="002A150B" w:rsidRDefault="00620D6A" w:rsidP="008C7E4E">
      <w:pPr>
        <w:pStyle w:val="CMR-text"/>
        <w:rPr>
          <w:noProof/>
        </w:rPr>
      </w:pPr>
      <w:r w:rsidRPr="002A150B">
        <w:rPr>
          <w:noProof/>
        </w:rPr>
        <w:t xml:space="preserve">În plus, statele membre au raportat că au alocat 0,7 miliarde EUR pentru proiecte din categoria „Decarbonizarea industriei (tehnologii cu emisii scăzute de dioxid de carbon, CUSC și eficiență energetică în sectoarele industriale, cu excepția sectorului energetic)”, printre care sprijin financiar și tehnic acordat întreprinderilor din Regiunea Valonă a Belgiei în tranziția lor către o economie neutră climatic. Statele membre au raportat, totodată, că au alocat 2,7 miliarde EUR pentru „Sprijin social și tranziție justă”, de exemplu prin Fondul elen pentru tranziția energetică (care acoperă, printre altele, subvenții la energie pentru gospodăriile cu venituri mici, sprijin pentru întreprinderile din zone aflate în tranziție, programe de recalificare și proiecte de infrastructură verde). </w:t>
      </w:r>
    </w:p>
    <w:p w14:paraId="3F9C7461" w14:textId="3527A01A" w:rsidR="00E51274" w:rsidRPr="002A150B" w:rsidRDefault="008D274B" w:rsidP="004B0B27">
      <w:pPr>
        <w:pStyle w:val="CMR-text"/>
        <w:rPr>
          <w:noProof/>
        </w:rPr>
      </w:pPr>
      <w:r w:rsidRPr="002A150B">
        <w:rPr>
          <w:noProof/>
        </w:rPr>
        <w:t xml:space="preserve">Pentru 1,4 miliarde EUR din plățile efectuate în 2023, statele membre au indicat categoria „Altele”, care cuprinde acțiunile care nu se încadrează în nicio altă categorie sau care se încadrează în mai multe categorii. Ca exemplu, se poate menționa fondul „Climate Leap” din Suedia, care sprijină diverse proiecte legate de reducerea emisiilor, de biogaz, biodiversitate și cercetare. </w:t>
      </w:r>
    </w:p>
    <w:p w14:paraId="44C2B55B" w14:textId="77777777" w:rsidR="0060008E" w:rsidRPr="002A150B" w:rsidRDefault="0060008E" w:rsidP="004B0B27">
      <w:pPr>
        <w:pStyle w:val="CMR-text"/>
        <w:rPr>
          <w:noProof/>
        </w:rPr>
      </w:pPr>
    </w:p>
    <w:p w14:paraId="64B27CBA" w14:textId="35F28BBC" w:rsidR="00154214" w:rsidRPr="002A150B" w:rsidRDefault="0081323B" w:rsidP="007C0CA9">
      <w:pPr>
        <w:pStyle w:val="CMR-text"/>
        <w:keepNext/>
        <w:rPr>
          <w:noProof/>
        </w:rPr>
      </w:pPr>
      <w:r w:rsidRPr="0081323B">
        <w:rPr>
          <w:noProof/>
          <w:lang w:val="en-GB" w:eastAsia="en-GB"/>
        </w:rPr>
        <w:drawing>
          <wp:inline distT="0" distB="0" distL="0" distR="0" wp14:anchorId="7B9C13C0" wp14:editId="1BD72A07">
            <wp:extent cx="5731510" cy="2268220"/>
            <wp:effectExtent l="0" t="0" r="2540" b="0"/>
            <wp:docPr id="1283815640"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37" cstate="print">
                      <a:extLst>
                        <a:ext uri="{28A0092B-C50C-407E-A947-70E740481C1C}">
                          <a14:useLocalDpi xmlns:a14="http://schemas.microsoft.com/office/drawing/2010/main" val="0"/>
                        </a:ext>
                      </a:extLst>
                    </a:blip>
                    <a:srcRect/>
                    <a:stretch>
                      <a:fillRect/>
                    </a:stretch>
                  </pic:blipFill>
                  <pic:spPr bwMode="auto">
                    <a:xfrm>
                      <a:off x="0" y="0"/>
                      <a:ext cx="5731510" cy="2268220"/>
                    </a:xfrm>
                    <a:prstGeom prst="rect">
                      <a:avLst/>
                    </a:prstGeom>
                    <a:noFill/>
                    <a:ln>
                      <a:noFill/>
                    </a:ln>
                  </pic:spPr>
                </pic:pic>
              </a:graphicData>
            </a:graphic>
          </wp:inline>
        </w:drawing>
      </w:r>
    </w:p>
    <w:p w14:paraId="76EBA519" w14:textId="324B8AE8" w:rsidR="002D1FDB" w:rsidRPr="002A150B" w:rsidRDefault="00154214" w:rsidP="007C0CA9">
      <w:pPr>
        <w:pStyle w:val="Caption"/>
        <w:rPr>
          <w:noProof/>
        </w:rPr>
      </w:pPr>
      <w:bookmarkStart w:id="54" w:name="_Ref178859783"/>
      <w:r w:rsidRPr="002A150B">
        <w:rPr>
          <w:noProof/>
        </w:rPr>
        <w:t xml:space="preserve">Figura </w:t>
      </w:r>
      <w:r w:rsidR="003B51C5" w:rsidRPr="002A150B">
        <w:rPr>
          <w:noProof/>
        </w:rPr>
        <w:fldChar w:fldCharType="begin"/>
      </w:r>
      <w:r w:rsidR="003B51C5" w:rsidRPr="002A150B">
        <w:rPr>
          <w:noProof/>
        </w:rPr>
        <w:instrText xml:space="preserve"> SEQ Figure \* ARABIC </w:instrText>
      </w:r>
      <w:r w:rsidR="003B51C5" w:rsidRPr="002A150B">
        <w:rPr>
          <w:noProof/>
        </w:rPr>
        <w:fldChar w:fldCharType="separate"/>
      </w:r>
      <w:r w:rsidR="00411CDC" w:rsidRPr="002A150B">
        <w:rPr>
          <w:noProof/>
        </w:rPr>
        <w:t>8</w:t>
      </w:r>
      <w:r w:rsidR="003B51C5" w:rsidRPr="002A150B">
        <w:rPr>
          <w:noProof/>
        </w:rPr>
        <w:fldChar w:fldCharType="end"/>
      </w:r>
      <w:bookmarkEnd w:id="54"/>
      <w:r w:rsidRPr="002A150B">
        <w:rPr>
          <w:noProof/>
        </w:rPr>
        <w:t>. Defalcarea celor 22,2 miliarde EUR din veniturile obținute din licitarea certificatelor ETS în 2023 raportate ca fiind plătite, pe categorii. Categoriile combinate sub 500 de milioane EUR sunt (în milioane EUR) transportul rutier (309), adaptarea (155), scopurile internaționale și finanțarea internațională a combaterii schimbărilor climatice (110), LULUCF, agricultura și absorbțiile cu ajutorul terenurilor (59), cheltuielile administrative (54), gestionarea deșeurilor (29), transportul maritim (17), aviația (13) și absorbțiile permanente (3).</w:t>
      </w:r>
    </w:p>
    <w:p w14:paraId="0FCCEF92" w14:textId="11532ADC" w:rsidR="004B0B27" w:rsidRPr="002A150B" w:rsidRDefault="003978B5" w:rsidP="004B0B27">
      <w:pPr>
        <w:pStyle w:val="CMR-text"/>
        <w:rPr>
          <w:noProof/>
        </w:rPr>
      </w:pPr>
      <w:r w:rsidRPr="002A150B">
        <w:rPr>
          <w:noProof/>
        </w:rPr>
        <w:t>Veniturile obținute din licitarea certificatelor EU ETS au reprezentat o contribuție esențială la aceste proiecte și la multe alte proiecte de impact din statele membre. Aceste proiecte au contribuit nu numai la reducerea emisiilor, ci și la asigurarea faptului că tranziția verde este justă. Studiile de caz privind 13 proiecte (co)finanțate din veniturile obținute din vânzarea certificatelor prin licitație demonstrează efectele pozitive ale veniturilor asupra tranziției climatice în UE</w:t>
      </w:r>
      <w:r w:rsidR="004B0B27" w:rsidRPr="002A150B">
        <w:rPr>
          <w:rStyle w:val="FootnoteReference"/>
          <w:noProof/>
        </w:rPr>
        <w:footnoteReference w:id="61"/>
      </w:r>
      <w:r w:rsidRPr="002A150B">
        <w:rPr>
          <w:noProof/>
        </w:rPr>
        <w:t xml:space="preserve">. Este important de precizat că statele membre trebuie să depună eforturi pentru a asigura vizibilitatea sursei de finanțare a acțiunilor sau proiectelor finanțate din veniturile ETS, pentru a demonstra contribuția EU ETS la decarbonizarea progresivă și la tranziția justă. Acest lucru nu s-a întâmplat în cazul majorității acțiunilor raportate pentru 2023, iar Comisia intenționează să monitorizeze situația. </w:t>
      </w:r>
    </w:p>
    <w:p w14:paraId="331E7ED5" w14:textId="01BDD795" w:rsidR="00836A03" w:rsidRPr="002A150B" w:rsidRDefault="60101D40" w:rsidP="008C7E4E">
      <w:pPr>
        <w:pStyle w:val="CMR-text"/>
        <w:rPr>
          <w:noProof/>
        </w:rPr>
      </w:pPr>
      <w:r w:rsidRPr="002A150B">
        <w:rPr>
          <w:noProof/>
        </w:rPr>
        <w:t>În documentul de lucru al serviciilor Comisiei care însoțește Raportul intermediar privind politicile climatice 2024</w:t>
      </w:r>
      <w:r w:rsidR="004B0B27" w:rsidRPr="002A150B">
        <w:rPr>
          <w:rStyle w:val="FootnoteReference"/>
          <w:noProof/>
        </w:rPr>
        <w:footnoteReference w:id="62"/>
      </w:r>
      <w:r w:rsidRPr="002A150B">
        <w:rPr>
          <w:noProof/>
        </w:rPr>
        <w:t xml:space="preserve"> este inclusă o prezentare generală a modului în care fiecare stat membru și-a utilizat veniturile provenite din ETS. </w:t>
      </w:r>
    </w:p>
    <w:p w14:paraId="22A46E0F" w14:textId="113A52B0" w:rsidR="00613B80" w:rsidRPr="002A150B" w:rsidRDefault="00274D7B" w:rsidP="000E6C63">
      <w:pPr>
        <w:pStyle w:val="CMR-Subheading"/>
        <w:rPr>
          <w:noProof/>
        </w:rPr>
      </w:pPr>
      <w:bookmarkStart w:id="55" w:name="_Toc180513404"/>
      <w:bookmarkStart w:id="56" w:name="_Toc189482439"/>
      <w:r w:rsidRPr="002A150B">
        <w:rPr>
          <w:noProof/>
        </w:rPr>
        <w:t>Ajutoarele pentru costuri indirecte</w:t>
      </w:r>
      <w:bookmarkEnd w:id="55"/>
      <w:bookmarkEnd w:id="56"/>
      <w:r w:rsidRPr="002A150B">
        <w:rPr>
          <w:noProof/>
        </w:rPr>
        <w:t xml:space="preserve"> </w:t>
      </w:r>
    </w:p>
    <w:p w14:paraId="1B435B3E" w14:textId="17E1D98D" w:rsidR="003E6FD5" w:rsidRPr="002A150B" w:rsidRDefault="4FF7EB89" w:rsidP="00CF2A79">
      <w:pPr>
        <w:pStyle w:val="CMR-text"/>
        <w:rPr>
          <w:noProof/>
        </w:rPr>
      </w:pPr>
      <w:r w:rsidRPr="002A150B">
        <w:rPr>
          <w:noProof/>
        </w:rPr>
        <w:t>Statele membre pot acorda ajutoare de stat prin EU ETS anumitor industrii mari consumatoare de energie electrică pentru costurile dioxidului de carbon determinate de emisiile indirecte, în special pentru cele determinate de prețurile crescute ale energiei electrice ca urmare a faptului că întreprinderile din domeniul energiei transferă consumatorilor costurile de cumpărare a certificatelor de emisii. Comisia a adoptat orientări privind ajutoarele de stat acordate în cadrul EU ETS pentru a armoniza punerea în aplicare a acestor ajutoare între statele membre și pentru a reduce la minimum denaturările concurenței pe piața unică</w:t>
      </w:r>
      <w:r w:rsidR="003A2E0D" w:rsidRPr="002A150B">
        <w:rPr>
          <w:rStyle w:val="FootnoteReference"/>
          <w:noProof/>
        </w:rPr>
        <w:footnoteReference w:id="63"/>
      </w:r>
      <w:r w:rsidRPr="002A150B">
        <w:rPr>
          <w:noProof/>
        </w:rPr>
        <w:t xml:space="preserve">. </w:t>
      </w:r>
    </w:p>
    <w:p w14:paraId="6833401D" w14:textId="339E2AD1" w:rsidR="00CF2A79" w:rsidRPr="002A150B" w:rsidRDefault="4FF7EB89" w:rsidP="00CF2A79">
      <w:pPr>
        <w:pStyle w:val="CMR-text"/>
        <w:rPr>
          <w:noProof/>
        </w:rPr>
      </w:pPr>
      <w:r w:rsidRPr="002A150B">
        <w:rPr>
          <w:noProof/>
        </w:rPr>
        <w:t>În 2023, 15 state membre au plătit pentru costurile indirecte suportate în 2022, după ce au notificat Comisiei schemele lor în vederea evaluării ajutoarelor de stat și după ce au primit confirmarea faptului că acestea sunt compatibile cu piața unică. Austria, Grecia și Slovenia au introdus scheme noi, iar Țările de Jos au suspendat aplicarea schemei lor</w:t>
      </w:r>
      <w:r w:rsidR="00B9060C" w:rsidRPr="002A150B">
        <w:rPr>
          <w:rStyle w:val="FootnoteReference"/>
          <w:noProof/>
        </w:rPr>
        <w:footnoteReference w:id="64"/>
      </w:r>
      <w:r w:rsidRPr="002A150B">
        <w:rPr>
          <w:noProof/>
        </w:rPr>
        <w:t xml:space="preserve">. În cadrul schemelor puse în aplicare de statele membre, beneficiarii trebuie să reinvestească o parte din ajutor în proiecte care le reduc amprenta de carbon directă sau indirectă și, ca atare, expunerea la riscul de relocare a emisiilor de dioxid de carbon. </w:t>
      </w:r>
    </w:p>
    <w:p w14:paraId="13FB48B2" w14:textId="01B0AB9D" w:rsidR="0071312F" w:rsidRPr="002A150B" w:rsidRDefault="00511216" w:rsidP="0071312F">
      <w:pPr>
        <w:pStyle w:val="CMR-text"/>
        <w:rPr>
          <w:noProof/>
        </w:rPr>
      </w:pPr>
      <w:r w:rsidRPr="002A150B">
        <w:rPr>
          <w:noProof/>
        </w:rPr>
        <w:t xml:space="preserve">În termen de trei luni de la sfârșitul fiecărui an, statele membre în care există o schemă de compensare a costurilor indirecte trebuie să publice valoarea totală a compensației plătite, inclusiv o defalcare pe sectoare și subsectoare beneficiare. </w:t>
      </w:r>
      <w:r w:rsidR="00C72D82" w:rsidRPr="002A150B">
        <w:rPr>
          <w:rFonts w:cs="Times New Roman"/>
          <w:noProof/>
          <w:highlight w:val="blue"/>
        </w:rPr>
        <w:fldChar w:fldCharType="begin"/>
      </w:r>
      <w:r w:rsidR="00C72D82" w:rsidRPr="002A150B">
        <w:rPr>
          <w:rFonts w:cs="Times New Roman"/>
          <w:noProof/>
        </w:rPr>
        <w:instrText xml:space="preserve"> REF _Ref176779007 \h </w:instrText>
      </w:r>
      <w:r w:rsidR="00B574FD" w:rsidRPr="002A150B">
        <w:rPr>
          <w:rFonts w:cs="Times New Roman"/>
          <w:noProof/>
          <w:highlight w:val="blue"/>
        </w:rPr>
        <w:instrText xml:space="preserve"> \* MERGEFORMAT </w:instrText>
      </w:r>
      <w:r w:rsidR="00C72D82" w:rsidRPr="002A150B">
        <w:rPr>
          <w:rFonts w:cs="Times New Roman"/>
          <w:noProof/>
          <w:highlight w:val="blue"/>
        </w:rPr>
      </w:r>
      <w:r w:rsidR="00C72D82" w:rsidRPr="002A150B">
        <w:rPr>
          <w:rFonts w:cs="Times New Roman"/>
          <w:noProof/>
          <w:highlight w:val="blue"/>
        </w:rPr>
        <w:fldChar w:fldCharType="separate"/>
      </w:r>
      <w:r w:rsidR="00411CDC" w:rsidRPr="002A150B">
        <w:rPr>
          <w:rFonts w:cs="Times New Roman"/>
          <w:noProof/>
        </w:rPr>
        <w:t>Tab</w:t>
      </w:r>
      <w:r w:rsidR="00BF56FF" w:rsidRPr="002A150B">
        <w:rPr>
          <w:rFonts w:cs="Times New Roman"/>
          <w:noProof/>
        </w:rPr>
        <w:t>elul</w:t>
      </w:r>
      <w:r w:rsidR="00411CDC" w:rsidRPr="002A150B">
        <w:rPr>
          <w:rFonts w:cs="Times New Roman"/>
          <w:noProof/>
        </w:rPr>
        <w:t xml:space="preserve"> 6</w:t>
      </w:r>
      <w:r w:rsidR="00C72D82" w:rsidRPr="002A150B">
        <w:rPr>
          <w:rFonts w:cs="Times New Roman"/>
          <w:noProof/>
          <w:highlight w:val="blue"/>
        </w:rPr>
        <w:fldChar w:fldCharType="end"/>
      </w:r>
      <w:r w:rsidRPr="002A150B">
        <w:rPr>
          <w:noProof/>
        </w:rPr>
        <w:t xml:space="preserve"> sintetizează datele publicate de statele membre cu privire la ajutorul plătit în 2023 pentru costurile indirecte suportate în 2022. Aceste sume sunt comparate și cu veniturile obținute în urma licitării certificatelor de emisii în 2022. </w:t>
      </w:r>
    </w:p>
    <w:p w14:paraId="059A5FF6" w14:textId="6BFFB458" w:rsidR="0071312F" w:rsidRPr="002A150B" w:rsidRDefault="0071312F" w:rsidP="0071312F">
      <w:pPr>
        <w:pStyle w:val="CMR-text"/>
        <w:rPr>
          <w:noProof/>
        </w:rPr>
      </w:pPr>
      <w:r w:rsidRPr="002A150B">
        <w:rPr>
          <w:noProof/>
        </w:rPr>
        <w:t>Totalul plăților suportate de aceste 15 state membre pentru costurile indirecte în 2023 s-a ridicat la aproximativ 3,95 miliarde EUR. Această sumă depășește suma de 2,16 miliarde EUR plătită în 2022, ceea ce reprezintă o creștere cu aproximativ 80 % a plăților pentru costuri indirecte. Numărul instalațiilor care au beneficiat de ajutor a crescut ușor (cu 56), întrucât schemele pentru costuri indirecte au fost puse în aplicare de mai multe state membre.</w:t>
      </w:r>
    </w:p>
    <w:p w14:paraId="0E60090E" w14:textId="511BE1A5" w:rsidR="0071312F" w:rsidRPr="002A150B" w:rsidRDefault="0071312F" w:rsidP="0071312F">
      <w:pPr>
        <w:pStyle w:val="CMR-text"/>
        <w:rPr>
          <w:noProof/>
        </w:rPr>
      </w:pPr>
      <w:r w:rsidRPr="002A150B">
        <w:rPr>
          <w:noProof/>
        </w:rPr>
        <w:t>Ajutoarele pentru costurile indirecte ale emisiilor de dioxid de carbon într-un anumit an se bazează pe prețul la termen al certificatelor din anul precedent. Astfel, ajutorul plătit în 2023 pentru costurile suportate în 2022 se bazează pe prețul mediu la termen din 2021. Acest preț a fost de 54,1 EUR, ceea ce înseamnă mai mult decât dublu față de prețul de 25,09 EUR utilizat pentru costurile indirecte suportate în 2021. De atunci, acest preț la termen a crescut la peste 80 EUR în 2022 și 2023, ceea ce înseamnă că ajutorul pentru costurile indirecte suportate în 2023 și 2024 se va baza pe un preț mai mare al carbonului. Schemele de compensare a costurilor indirecte au, de regulă, un buget maxim calculat pentru întreaga perioadă de aplicare (în majoritatea statelor membre, aceasta este perioada 2021-2030).</w:t>
      </w:r>
    </w:p>
    <w:p w14:paraId="13A9DEC3" w14:textId="5F68DE16" w:rsidR="00510DED" w:rsidRPr="002A150B" w:rsidRDefault="00510DED" w:rsidP="00510DED">
      <w:pPr>
        <w:pStyle w:val="CMR-text"/>
        <w:rPr>
          <w:noProof/>
        </w:rPr>
      </w:pPr>
      <w:r w:rsidRPr="002A150B">
        <w:rPr>
          <w:noProof/>
        </w:rPr>
        <w:t>Plățile costurilor indirecte au crescut și în termeni relativi. Totalul plăților pentru costurile indirecte suportate în 2022 a fost echivalent cu 16 % din veniturile obținute în urma licitării certificatelor de emisii din 2022 colectate de cele 15 state membre, față de 10 % din veniturile colectate în 2021 de către cele 13 state membre care au acordat ajutor pentru același an. Acest lucru a fost determinat în mare măsură de scăderea volumului absolut al certificatelor scoase la licitație în 2022, precum și de creșterea prețului la termen menționat mai sus.</w:t>
      </w:r>
    </w:p>
    <w:p w14:paraId="67B80535" w14:textId="154829C4" w:rsidR="00FA2C7D" w:rsidRPr="002A150B" w:rsidRDefault="00FA2C7D" w:rsidP="00B32A2A">
      <w:pPr>
        <w:pStyle w:val="CMR-text"/>
        <w:rPr>
          <w:rFonts w:cs="Times New Roman"/>
          <w:noProof/>
          <w:sz w:val="18"/>
          <w:szCs w:val="18"/>
          <w:lang w:eastAsia="en-IE"/>
        </w:rPr>
      </w:pPr>
    </w:p>
    <w:p w14:paraId="4B5FD525" w14:textId="6BAA1452" w:rsidR="00A33672" w:rsidRPr="002A150B" w:rsidRDefault="00A33672" w:rsidP="00B32A2A">
      <w:pPr>
        <w:pStyle w:val="Caption"/>
        <w:keepNext/>
        <w:rPr>
          <w:noProof/>
        </w:rPr>
      </w:pPr>
      <w:bookmarkStart w:id="57" w:name="_Ref176779007"/>
      <w:r w:rsidRPr="002A150B">
        <w:rPr>
          <w:noProof/>
        </w:rPr>
        <w:t>Tabelul 6</w:t>
      </w:r>
      <w:bookmarkEnd w:id="57"/>
      <w:r w:rsidRPr="002A150B">
        <w:rPr>
          <w:noProof/>
        </w:rPr>
        <w:t>. Cuantumurile ajutoarelor plătite în 2023 din veniturile obținute din licitarea certificatelor ETS pentru costurile indirecte suportate în 2022</w:t>
      </w:r>
    </w:p>
    <w:tbl>
      <w:tblPr>
        <w:tblStyle w:val="TableGridLight"/>
        <w:tblW w:w="5000" w:type="pct"/>
        <w:tblLook w:val="04A0" w:firstRow="1" w:lastRow="0" w:firstColumn="1" w:lastColumn="0" w:noHBand="0" w:noVBand="1"/>
      </w:tblPr>
      <w:tblGrid>
        <w:gridCol w:w="1966"/>
        <w:gridCol w:w="1762"/>
        <w:gridCol w:w="1762"/>
        <w:gridCol w:w="1762"/>
        <w:gridCol w:w="1764"/>
      </w:tblGrid>
      <w:tr w:rsidR="00FA2C7D" w:rsidRPr="002A150B" w14:paraId="788BB942" w14:textId="77777777" w:rsidTr="00A0384F">
        <w:tc>
          <w:tcPr>
            <w:tcW w:w="1090" w:type="pct"/>
            <w:vAlign w:val="center"/>
            <w:hideMark/>
          </w:tcPr>
          <w:p w14:paraId="19ACB340" w14:textId="218C4E2D" w:rsidR="00FA2C7D" w:rsidRPr="002A150B" w:rsidRDefault="00FA2C7D" w:rsidP="000C17EA">
            <w:pPr>
              <w:pStyle w:val="CMR-tables"/>
              <w:keepNext/>
              <w:jc w:val="center"/>
              <w:rPr>
                <w:b/>
                <w:noProof/>
                <w:szCs w:val="24"/>
              </w:rPr>
            </w:pPr>
            <w:r w:rsidRPr="002A150B">
              <w:rPr>
                <w:b/>
                <w:noProof/>
              </w:rPr>
              <w:t>Statul membru</w:t>
            </w:r>
          </w:p>
        </w:tc>
        <w:tc>
          <w:tcPr>
            <w:tcW w:w="977" w:type="pct"/>
            <w:vAlign w:val="center"/>
            <w:hideMark/>
          </w:tcPr>
          <w:p w14:paraId="11654E6F" w14:textId="3690099F" w:rsidR="00FA2C7D" w:rsidRPr="002A150B" w:rsidRDefault="00FA2C7D" w:rsidP="000C17EA">
            <w:pPr>
              <w:pStyle w:val="CMR-tables"/>
              <w:keepNext/>
              <w:jc w:val="center"/>
              <w:rPr>
                <w:b/>
                <w:noProof/>
                <w:szCs w:val="24"/>
              </w:rPr>
            </w:pPr>
            <w:r w:rsidRPr="002A150B">
              <w:rPr>
                <w:b/>
                <w:noProof/>
                <w:color w:val="000000"/>
              </w:rPr>
              <w:t xml:space="preserve">Suma plătită pentru costurile indirecte suportate în 2022 </w:t>
            </w:r>
            <w:r w:rsidRPr="002A150B">
              <w:rPr>
                <w:b/>
                <w:noProof/>
                <w:color w:val="000000"/>
              </w:rPr>
              <w:br/>
              <w:t>[milioane EUR]</w:t>
            </w:r>
          </w:p>
        </w:tc>
        <w:tc>
          <w:tcPr>
            <w:tcW w:w="977" w:type="pct"/>
            <w:vAlign w:val="center"/>
            <w:hideMark/>
          </w:tcPr>
          <w:p w14:paraId="767EA3EE" w14:textId="252AF2B7" w:rsidR="00FA2C7D" w:rsidRPr="002A150B" w:rsidRDefault="00FA2C7D" w:rsidP="000C17EA">
            <w:pPr>
              <w:pStyle w:val="CMR-tables"/>
              <w:keepNext/>
              <w:jc w:val="center"/>
              <w:rPr>
                <w:b/>
                <w:noProof/>
                <w:szCs w:val="24"/>
              </w:rPr>
            </w:pPr>
            <w:r w:rsidRPr="002A150B">
              <w:rPr>
                <w:b/>
                <w:noProof/>
                <w:color w:val="000000"/>
              </w:rPr>
              <w:t>Numărul destinatarilor</w:t>
            </w:r>
            <w:r w:rsidR="001418C5">
              <w:rPr>
                <w:b/>
                <w:noProof/>
                <w:color w:val="000000"/>
              </w:rPr>
              <w:t xml:space="preserve"> </w:t>
            </w:r>
            <w:r w:rsidRPr="002A150B">
              <w:rPr>
                <w:b/>
                <w:noProof/>
                <w:color w:val="000000"/>
              </w:rPr>
              <w:br/>
              <w:t>(instalații)</w:t>
            </w:r>
          </w:p>
        </w:tc>
        <w:tc>
          <w:tcPr>
            <w:tcW w:w="977" w:type="pct"/>
            <w:vAlign w:val="center"/>
            <w:hideMark/>
          </w:tcPr>
          <w:p w14:paraId="7363D6B9" w14:textId="4FE74CF1" w:rsidR="00FA2C7D" w:rsidRPr="002A150B" w:rsidRDefault="50C56E07" w:rsidP="000C17EA">
            <w:pPr>
              <w:pStyle w:val="CMR-tables"/>
              <w:keepNext/>
              <w:jc w:val="center"/>
              <w:rPr>
                <w:b/>
                <w:noProof/>
                <w:szCs w:val="24"/>
              </w:rPr>
            </w:pPr>
            <w:r w:rsidRPr="002A150B">
              <w:rPr>
                <w:b/>
                <w:noProof/>
                <w:color w:val="000000"/>
              </w:rPr>
              <w:t>Venituri obținute din licitarea certificatelor de emisii în 2022</w:t>
            </w:r>
            <w:r w:rsidR="00EA70D9" w:rsidRPr="002A150B">
              <w:rPr>
                <w:rStyle w:val="FootnoteReference"/>
                <w:b/>
                <w:noProof/>
                <w:color w:val="000000"/>
                <w:sz w:val="17"/>
                <w:szCs w:val="17"/>
                <w:lang w:eastAsia="en-IE"/>
              </w:rPr>
              <w:footnoteReference w:id="65"/>
            </w:r>
            <w:r w:rsidRPr="002A150B">
              <w:rPr>
                <w:b/>
                <w:noProof/>
                <w:color w:val="000000"/>
              </w:rPr>
              <w:t xml:space="preserve"> </w:t>
            </w:r>
            <w:r w:rsidRPr="002A150B">
              <w:rPr>
                <w:b/>
                <w:noProof/>
                <w:color w:val="000000"/>
              </w:rPr>
              <w:br/>
              <w:t>[milioane EUR]</w:t>
            </w:r>
          </w:p>
        </w:tc>
        <w:tc>
          <w:tcPr>
            <w:tcW w:w="978" w:type="pct"/>
            <w:vAlign w:val="center"/>
            <w:hideMark/>
          </w:tcPr>
          <w:p w14:paraId="58315B63" w14:textId="2E4D0573" w:rsidR="00FA2C7D" w:rsidRPr="002A150B" w:rsidRDefault="00D915DA" w:rsidP="000C17EA">
            <w:pPr>
              <w:pStyle w:val="CMR-tables"/>
              <w:keepNext/>
              <w:jc w:val="center"/>
              <w:rPr>
                <w:b/>
                <w:noProof/>
                <w:szCs w:val="24"/>
              </w:rPr>
            </w:pPr>
            <w:r w:rsidRPr="002A150B">
              <w:rPr>
                <w:b/>
                <w:noProof/>
                <w:color w:val="000000"/>
              </w:rPr>
              <w:t>Valoarea relativă a ajutorului pentru costurile indirecte în comparație cu veniturile obținute din licitarea certificatelor</w:t>
            </w:r>
          </w:p>
        </w:tc>
      </w:tr>
      <w:tr w:rsidR="00FA2C7D" w:rsidRPr="002A150B" w14:paraId="31867EEF" w14:textId="77777777" w:rsidTr="00A0384F">
        <w:trPr>
          <w:trHeight w:val="502"/>
        </w:trPr>
        <w:tc>
          <w:tcPr>
            <w:tcW w:w="1090" w:type="pct"/>
            <w:shd w:val="clear" w:color="auto" w:fill="F2F2F2" w:themeFill="background1" w:themeFillShade="F2"/>
            <w:hideMark/>
          </w:tcPr>
          <w:p w14:paraId="234F0014" w14:textId="106F951E" w:rsidR="00FA2C7D" w:rsidRPr="002A150B" w:rsidRDefault="00FA2C7D" w:rsidP="00D54832">
            <w:pPr>
              <w:pStyle w:val="CMR-tables"/>
              <w:keepNext/>
              <w:rPr>
                <w:noProof/>
                <w:szCs w:val="24"/>
              </w:rPr>
            </w:pPr>
            <w:r w:rsidRPr="002A150B">
              <w:rPr>
                <w:noProof/>
                <w:color w:val="000000"/>
              </w:rPr>
              <w:t>Austria</w:t>
            </w:r>
          </w:p>
        </w:tc>
        <w:tc>
          <w:tcPr>
            <w:tcW w:w="977" w:type="pct"/>
            <w:shd w:val="clear" w:color="auto" w:fill="F2F2F2" w:themeFill="background1" w:themeFillShade="F2"/>
            <w:hideMark/>
          </w:tcPr>
          <w:p w14:paraId="28C2D6B5" w14:textId="77777777" w:rsidR="00FA2C7D" w:rsidRPr="002A150B" w:rsidRDefault="00FA2C7D" w:rsidP="00D54832">
            <w:pPr>
              <w:pStyle w:val="CMR-tables"/>
              <w:keepNext/>
              <w:jc w:val="right"/>
              <w:rPr>
                <w:noProof/>
                <w:szCs w:val="24"/>
              </w:rPr>
            </w:pPr>
            <w:r w:rsidRPr="002A150B">
              <w:rPr>
                <w:noProof/>
                <w:color w:val="000000"/>
              </w:rPr>
              <w:t>184,8 </w:t>
            </w:r>
          </w:p>
        </w:tc>
        <w:tc>
          <w:tcPr>
            <w:tcW w:w="977" w:type="pct"/>
            <w:shd w:val="clear" w:color="auto" w:fill="F2F2F2" w:themeFill="background1" w:themeFillShade="F2"/>
            <w:hideMark/>
          </w:tcPr>
          <w:p w14:paraId="55B3B69E" w14:textId="5B9B6DB3" w:rsidR="00FA2C7D" w:rsidRPr="002A150B" w:rsidRDefault="00545D72" w:rsidP="00D54832">
            <w:pPr>
              <w:pStyle w:val="CMR-tables"/>
              <w:keepNext/>
              <w:jc w:val="right"/>
              <w:rPr>
                <w:noProof/>
                <w:szCs w:val="24"/>
              </w:rPr>
            </w:pPr>
            <w:r w:rsidRPr="002A150B">
              <w:rPr>
                <w:noProof/>
                <w:color w:val="000000"/>
              </w:rPr>
              <w:t>76 </w:t>
            </w:r>
          </w:p>
        </w:tc>
        <w:tc>
          <w:tcPr>
            <w:tcW w:w="977" w:type="pct"/>
            <w:shd w:val="clear" w:color="auto" w:fill="F2F2F2" w:themeFill="background1" w:themeFillShade="F2"/>
            <w:hideMark/>
          </w:tcPr>
          <w:p w14:paraId="6A71B592" w14:textId="77777777" w:rsidR="00FA2C7D" w:rsidRPr="002A150B" w:rsidRDefault="00FA2C7D" w:rsidP="00D54832">
            <w:pPr>
              <w:pStyle w:val="CMR-tables"/>
              <w:keepNext/>
              <w:jc w:val="right"/>
              <w:rPr>
                <w:noProof/>
                <w:szCs w:val="24"/>
              </w:rPr>
            </w:pPr>
            <w:r w:rsidRPr="002A150B">
              <w:rPr>
                <w:noProof/>
                <w:color w:val="000000"/>
              </w:rPr>
              <w:t>375,4 </w:t>
            </w:r>
          </w:p>
        </w:tc>
        <w:tc>
          <w:tcPr>
            <w:tcW w:w="978" w:type="pct"/>
            <w:shd w:val="clear" w:color="auto" w:fill="F2F2F2" w:themeFill="background1" w:themeFillShade="F2"/>
            <w:hideMark/>
          </w:tcPr>
          <w:p w14:paraId="274F8AA4" w14:textId="77777777" w:rsidR="00FA2C7D" w:rsidRPr="002A150B" w:rsidRDefault="00FA2C7D" w:rsidP="00D54832">
            <w:pPr>
              <w:pStyle w:val="CMR-tables"/>
              <w:keepNext/>
              <w:jc w:val="right"/>
              <w:rPr>
                <w:noProof/>
                <w:szCs w:val="24"/>
              </w:rPr>
            </w:pPr>
            <w:r w:rsidRPr="002A150B">
              <w:rPr>
                <w:noProof/>
                <w:color w:val="000000"/>
              </w:rPr>
              <w:t>49,2 % </w:t>
            </w:r>
          </w:p>
        </w:tc>
      </w:tr>
      <w:tr w:rsidR="00F61142" w:rsidRPr="002A150B" w14:paraId="573FD7B7" w14:textId="77777777" w:rsidTr="008D1FB9">
        <w:trPr>
          <w:trHeight w:val="502"/>
        </w:trPr>
        <w:tc>
          <w:tcPr>
            <w:tcW w:w="1090" w:type="pct"/>
            <w:hideMark/>
          </w:tcPr>
          <w:p w14:paraId="0FC069FF" w14:textId="5ADC4EE1" w:rsidR="00F61142" w:rsidRPr="002A150B" w:rsidRDefault="00F61142" w:rsidP="00D54832">
            <w:pPr>
              <w:pStyle w:val="CMR-tables"/>
              <w:keepNext/>
              <w:rPr>
                <w:noProof/>
                <w:szCs w:val="24"/>
              </w:rPr>
            </w:pPr>
            <w:r w:rsidRPr="002A150B">
              <w:rPr>
                <w:noProof/>
                <w:color w:val="000000"/>
              </w:rPr>
              <w:t>Belgia</w:t>
            </w:r>
          </w:p>
        </w:tc>
        <w:tc>
          <w:tcPr>
            <w:tcW w:w="977" w:type="pct"/>
            <w:hideMark/>
          </w:tcPr>
          <w:p w14:paraId="63AF26F0" w14:textId="4929EBCA" w:rsidR="00F61142" w:rsidRPr="002A150B" w:rsidRDefault="00F61142" w:rsidP="00D54832">
            <w:pPr>
              <w:pStyle w:val="CMR-tables"/>
              <w:keepNext/>
              <w:jc w:val="right"/>
              <w:rPr>
                <w:noProof/>
                <w:szCs w:val="24"/>
              </w:rPr>
            </w:pPr>
            <w:r w:rsidRPr="002A150B">
              <w:rPr>
                <w:noProof/>
                <w:color w:val="000000"/>
              </w:rPr>
              <w:t>186,2 </w:t>
            </w:r>
          </w:p>
        </w:tc>
        <w:tc>
          <w:tcPr>
            <w:tcW w:w="977" w:type="pct"/>
            <w:hideMark/>
          </w:tcPr>
          <w:p w14:paraId="5175B415" w14:textId="0277A772" w:rsidR="00F61142" w:rsidRPr="002A150B" w:rsidRDefault="00F61142" w:rsidP="00D54832">
            <w:pPr>
              <w:pStyle w:val="CMR-tables"/>
              <w:keepNext/>
              <w:jc w:val="right"/>
              <w:rPr>
                <w:noProof/>
                <w:szCs w:val="24"/>
              </w:rPr>
            </w:pPr>
            <w:r w:rsidRPr="002A150B">
              <w:rPr>
                <w:noProof/>
                <w:color w:val="000000"/>
              </w:rPr>
              <w:t>59</w:t>
            </w:r>
          </w:p>
        </w:tc>
        <w:tc>
          <w:tcPr>
            <w:tcW w:w="977" w:type="pct"/>
            <w:hideMark/>
          </w:tcPr>
          <w:p w14:paraId="2B8A5CE0" w14:textId="77777777" w:rsidR="00F61142" w:rsidRPr="002A150B" w:rsidRDefault="00F61142" w:rsidP="00D54832">
            <w:pPr>
              <w:pStyle w:val="CMR-tables"/>
              <w:keepNext/>
              <w:jc w:val="right"/>
              <w:rPr>
                <w:noProof/>
                <w:szCs w:val="24"/>
              </w:rPr>
            </w:pPr>
            <w:r w:rsidRPr="002A150B">
              <w:rPr>
                <w:noProof/>
                <w:color w:val="000000"/>
              </w:rPr>
              <w:t>649,2 </w:t>
            </w:r>
          </w:p>
        </w:tc>
        <w:tc>
          <w:tcPr>
            <w:tcW w:w="978" w:type="pct"/>
            <w:hideMark/>
          </w:tcPr>
          <w:p w14:paraId="7619CFA5" w14:textId="77777777" w:rsidR="00F61142" w:rsidRPr="002A150B" w:rsidRDefault="00F61142" w:rsidP="00D54832">
            <w:pPr>
              <w:pStyle w:val="CMR-tables"/>
              <w:keepNext/>
              <w:jc w:val="right"/>
              <w:rPr>
                <w:noProof/>
                <w:szCs w:val="24"/>
              </w:rPr>
            </w:pPr>
            <w:r w:rsidRPr="002A150B">
              <w:rPr>
                <w:noProof/>
                <w:color w:val="000000"/>
              </w:rPr>
              <w:t>28,7 % </w:t>
            </w:r>
          </w:p>
        </w:tc>
      </w:tr>
      <w:tr w:rsidR="00FA2C7D" w:rsidRPr="002A150B" w14:paraId="11D3E0E9" w14:textId="77777777" w:rsidTr="00A0384F">
        <w:trPr>
          <w:trHeight w:val="502"/>
        </w:trPr>
        <w:tc>
          <w:tcPr>
            <w:tcW w:w="1090" w:type="pct"/>
            <w:shd w:val="clear" w:color="auto" w:fill="F2F2F2" w:themeFill="background1" w:themeFillShade="F2"/>
            <w:hideMark/>
          </w:tcPr>
          <w:p w14:paraId="4D0156AE" w14:textId="23B852C7" w:rsidR="00FA2C7D" w:rsidRPr="002A150B" w:rsidRDefault="00FA2C7D" w:rsidP="00D54832">
            <w:pPr>
              <w:pStyle w:val="CMR-tables"/>
              <w:keepNext/>
              <w:rPr>
                <w:noProof/>
                <w:szCs w:val="24"/>
              </w:rPr>
            </w:pPr>
            <w:r w:rsidRPr="002A150B">
              <w:rPr>
                <w:noProof/>
                <w:color w:val="000000"/>
              </w:rPr>
              <w:t>Cehia</w:t>
            </w:r>
          </w:p>
        </w:tc>
        <w:tc>
          <w:tcPr>
            <w:tcW w:w="977" w:type="pct"/>
            <w:shd w:val="clear" w:color="auto" w:fill="F2F2F2" w:themeFill="background1" w:themeFillShade="F2"/>
            <w:hideMark/>
          </w:tcPr>
          <w:p w14:paraId="47673B02" w14:textId="77777777" w:rsidR="00FA2C7D" w:rsidRPr="002A150B" w:rsidRDefault="00FA2C7D" w:rsidP="00D54832">
            <w:pPr>
              <w:pStyle w:val="CMR-tables"/>
              <w:keepNext/>
              <w:jc w:val="right"/>
              <w:rPr>
                <w:noProof/>
                <w:szCs w:val="24"/>
              </w:rPr>
            </w:pPr>
            <w:r w:rsidRPr="002A150B">
              <w:rPr>
                <w:noProof/>
                <w:color w:val="000000"/>
              </w:rPr>
              <w:t>50,3 </w:t>
            </w:r>
          </w:p>
        </w:tc>
        <w:tc>
          <w:tcPr>
            <w:tcW w:w="977" w:type="pct"/>
            <w:shd w:val="clear" w:color="auto" w:fill="F2F2F2" w:themeFill="background1" w:themeFillShade="F2"/>
            <w:hideMark/>
          </w:tcPr>
          <w:p w14:paraId="5E4FA7D9" w14:textId="77777777" w:rsidR="00FA2C7D" w:rsidRPr="002A150B" w:rsidRDefault="00FA2C7D" w:rsidP="00D54832">
            <w:pPr>
              <w:pStyle w:val="CMR-tables"/>
              <w:keepNext/>
              <w:jc w:val="right"/>
              <w:rPr>
                <w:noProof/>
                <w:szCs w:val="24"/>
              </w:rPr>
            </w:pPr>
            <w:r w:rsidRPr="002A150B">
              <w:rPr>
                <w:noProof/>
                <w:color w:val="000000"/>
              </w:rPr>
              <w:t>21 </w:t>
            </w:r>
          </w:p>
        </w:tc>
        <w:tc>
          <w:tcPr>
            <w:tcW w:w="977" w:type="pct"/>
            <w:shd w:val="clear" w:color="auto" w:fill="F2F2F2" w:themeFill="background1" w:themeFillShade="F2"/>
            <w:hideMark/>
          </w:tcPr>
          <w:p w14:paraId="30E70DCB" w14:textId="77777777" w:rsidR="00FA2C7D" w:rsidRPr="002A150B" w:rsidRDefault="00FA2C7D" w:rsidP="00D54832">
            <w:pPr>
              <w:pStyle w:val="CMR-tables"/>
              <w:keepNext/>
              <w:jc w:val="right"/>
              <w:rPr>
                <w:noProof/>
                <w:szCs w:val="24"/>
              </w:rPr>
            </w:pPr>
            <w:r w:rsidRPr="002A150B">
              <w:rPr>
                <w:noProof/>
                <w:color w:val="000000"/>
              </w:rPr>
              <w:t>670,6 </w:t>
            </w:r>
          </w:p>
        </w:tc>
        <w:tc>
          <w:tcPr>
            <w:tcW w:w="978" w:type="pct"/>
            <w:shd w:val="clear" w:color="auto" w:fill="F2F2F2" w:themeFill="background1" w:themeFillShade="F2"/>
            <w:hideMark/>
          </w:tcPr>
          <w:p w14:paraId="2B08F60B" w14:textId="77777777" w:rsidR="00FA2C7D" w:rsidRPr="002A150B" w:rsidRDefault="00FA2C7D" w:rsidP="00D54832">
            <w:pPr>
              <w:pStyle w:val="CMR-tables"/>
              <w:keepNext/>
              <w:jc w:val="right"/>
              <w:rPr>
                <w:noProof/>
                <w:szCs w:val="24"/>
              </w:rPr>
            </w:pPr>
            <w:r w:rsidRPr="002A150B">
              <w:rPr>
                <w:noProof/>
                <w:color w:val="000000"/>
              </w:rPr>
              <w:t>7,5 % </w:t>
            </w:r>
          </w:p>
        </w:tc>
      </w:tr>
      <w:tr w:rsidR="00FA2C7D" w:rsidRPr="002A150B" w14:paraId="0C42587B" w14:textId="77777777" w:rsidTr="008D1FB9">
        <w:trPr>
          <w:trHeight w:val="502"/>
        </w:trPr>
        <w:tc>
          <w:tcPr>
            <w:tcW w:w="1090" w:type="pct"/>
            <w:hideMark/>
          </w:tcPr>
          <w:p w14:paraId="0868071E" w14:textId="714C5C94" w:rsidR="00FA2C7D" w:rsidRPr="002A150B" w:rsidRDefault="00FA2C7D" w:rsidP="00D54832">
            <w:pPr>
              <w:pStyle w:val="CMR-tables"/>
              <w:keepNext/>
              <w:rPr>
                <w:noProof/>
                <w:szCs w:val="24"/>
              </w:rPr>
            </w:pPr>
            <w:r w:rsidRPr="002A150B">
              <w:rPr>
                <w:noProof/>
                <w:color w:val="000000"/>
              </w:rPr>
              <w:t>Finlanda</w:t>
            </w:r>
          </w:p>
        </w:tc>
        <w:tc>
          <w:tcPr>
            <w:tcW w:w="977" w:type="pct"/>
            <w:hideMark/>
          </w:tcPr>
          <w:p w14:paraId="19E5AD6B" w14:textId="77777777" w:rsidR="00FA2C7D" w:rsidRPr="002A150B" w:rsidRDefault="00FA2C7D" w:rsidP="00D54832">
            <w:pPr>
              <w:pStyle w:val="CMR-tables"/>
              <w:keepNext/>
              <w:jc w:val="right"/>
              <w:rPr>
                <w:noProof/>
                <w:szCs w:val="24"/>
              </w:rPr>
            </w:pPr>
            <w:r w:rsidRPr="002A150B">
              <w:rPr>
                <w:noProof/>
                <w:color w:val="000000"/>
              </w:rPr>
              <w:t>117,7 </w:t>
            </w:r>
          </w:p>
        </w:tc>
        <w:tc>
          <w:tcPr>
            <w:tcW w:w="977" w:type="pct"/>
            <w:hideMark/>
          </w:tcPr>
          <w:p w14:paraId="1B3A9919" w14:textId="77777777" w:rsidR="00FA2C7D" w:rsidRPr="002A150B" w:rsidRDefault="00FA2C7D" w:rsidP="00D54832">
            <w:pPr>
              <w:pStyle w:val="CMR-tables"/>
              <w:keepNext/>
              <w:jc w:val="right"/>
              <w:rPr>
                <w:noProof/>
                <w:szCs w:val="24"/>
              </w:rPr>
            </w:pPr>
            <w:r w:rsidRPr="002A150B">
              <w:rPr>
                <w:noProof/>
                <w:color w:val="000000"/>
              </w:rPr>
              <w:t>49 </w:t>
            </w:r>
          </w:p>
        </w:tc>
        <w:tc>
          <w:tcPr>
            <w:tcW w:w="977" w:type="pct"/>
            <w:hideMark/>
          </w:tcPr>
          <w:p w14:paraId="3210028A" w14:textId="77777777" w:rsidR="00FA2C7D" w:rsidRPr="002A150B" w:rsidRDefault="00FA2C7D" w:rsidP="00D54832">
            <w:pPr>
              <w:pStyle w:val="CMR-tables"/>
              <w:keepNext/>
              <w:jc w:val="right"/>
              <w:rPr>
                <w:noProof/>
                <w:szCs w:val="24"/>
              </w:rPr>
            </w:pPr>
            <w:r w:rsidRPr="002A150B">
              <w:rPr>
                <w:noProof/>
                <w:color w:val="000000"/>
              </w:rPr>
              <w:t>504,7 </w:t>
            </w:r>
          </w:p>
        </w:tc>
        <w:tc>
          <w:tcPr>
            <w:tcW w:w="978" w:type="pct"/>
            <w:hideMark/>
          </w:tcPr>
          <w:p w14:paraId="2B3E334A" w14:textId="77777777" w:rsidR="00FA2C7D" w:rsidRPr="002A150B" w:rsidRDefault="00FA2C7D" w:rsidP="00D54832">
            <w:pPr>
              <w:pStyle w:val="CMR-tables"/>
              <w:keepNext/>
              <w:jc w:val="right"/>
              <w:rPr>
                <w:noProof/>
                <w:szCs w:val="24"/>
              </w:rPr>
            </w:pPr>
            <w:r w:rsidRPr="002A150B">
              <w:rPr>
                <w:noProof/>
                <w:color w:val="000000"/>
              </w:rPr>
              <w:t>23,3 % </w:t>
            </w:r>
          </w:p>
        </w:tc>
      </w:tr>
      <w:tr w:rsidR="00FA2C7D" w:rsidRPr="002A150B" w14:paraId="01ECC8A6" w14:textId="77777777" w:rsidTr="00A0384F">
        <w:trPr>
          <w:trHeight w:val="502"/>
        </w:trPr>
        <w:tc>
          <w:tcPr>
            <w:tcW w:w="1090" w:type="pct"/>
            <w:shd w:val="clear" w:color="auto" w:fill="F2F2F2" w:themeFill="background1" w:themeFillShade="F2"/>
            <w:hideMark/>
          </w:tcPr>
          <w:p w14:paraId="68491BCE" w14:textId="19889420" w:rsidR="00FA2C7D" w:rsidRPr="002A150B" w:rsidRDefault="00FA2C7D" w:rsidP="00D54832">
            <w:pPr>
              <w:pStyle w:val="CMR-tables"/>
              <w:keepNext/>
              <w:rPr>
                <w:noProof/>
                <w:szCs w:val="24"/>
              </w:rPr>
            </w:pPr>
            <w:r w:rsidRPr="002A150B">
              <w:rPr>
                <w:noProof/>
                <w:color w:val="000000"/>
              </w:rPr>
              <w:t>Franța</w:t>
            </w:r>
          </w:p>
        </w:tc>
        <w:tc>
          <w:tcPr>
            <w:tcW w:w="977" w:type="pct"/>
            <w:shd w:val="clear" w:color="auto" w:fill="F2F2F2" w:themeFill="background1" w:themeFillShade="F2"/>
            <w:hideMark/>
          </w:tcPr>
          <w:p w14:paraId="57BCA5B8" w14:textId="77777777" w:rsidR="00FA2C7D" w:rsidRPr="002A150B" w:rsidRDefault="00FA2C7D" w:rsidP="00D54832">
            <w:pPr>
              <w:pStyle w:val="CMR-tables"/>
              <w:keepNext/>
              <w:jc w:val="right"/>
              <w:rPr>
                <w:noProof/>
                <w:szCs w:val="24"/>
              </w:rPr>
            </w:pPr>
            <w:r w:rsidRPr="002A150B">
              <w:rPr>
                <w:noProof/>
                <w:color w:val="000000"/>
              </w:rPr>
              <w:t>604,2 </w:t>
            </w:r>
          </w:p>
        </w:tc>
        <w:tc>
          <w:tcPr>
            <w:tcW w:w="977" w:type="pct"/>
            <w:shd w:val="clear" w:color="auto" w:fill="F2F2F2" w:themeFill="background1" w:themeFillShade="F2"/>
            <w:hideMark/>
          </w:tcPr>
          <w:p w14:paraId="7B2E75A8" w14:textId="2A7DD646" w:rsidR="00FA2C7D" w:rsidRPr="002A150B" w:rsidRDefault="00FA2C7D" w:rsidP="00D54832">
            <w:pPr>
              <w:pStyle w:val="CMR-tables"/>
              <w:keepNext/>
              <w:jc w:val="right"/>
              <w:rPr>
                <w:noProof/>
                <w:szCs w:val="24"/>
              </w:rPr>
            </w:pPr>
            <w:r w:rsidRPr="002A150B">
              <w:rPr>
                <w:noProof/>
                <w:color w:val="000000"/>
              </w:rPr>
              <w:t>280 </w:t>
            </w:r>
          </w:p>
        </w:tc>
        <w:tc>
          <w:tcPr>
            <w:tcW w:w="977" w:type="pct"/>
            <w:shd w:val="clear" w:color="auto" w:fill="F2F2F2" w:themeFill="background1" w:themeFillShade="F2"/>
            <w:hideMark/>
          </w:tcPr>
          <w:p w14:paraId="4064AADD" w14:textId="77777777" w:rsidR="00FA2C7D" w:rsidRPr="002A150B" w:rsidRDefault="00FA2C7D" w:rsidP="00D54832">
            <w:pPr>
              <w:pStyle w:val="CMR-tables"/>
              <w:keepNext/>
              <w:jc w:val="right"/>
              <w:rPr>
                <w:noProof/>
                <w:szCs w:val="24"/>
              </w:rPr>
            </w:pPr>
            <w:r w:rsidRPr="002A150B">
              <w:rPr>
                <w:noProof/>
                <w:color w:val="000000"/>
              </w:rPr>
              <w:t>1 834,7 </w:t>
            </w:r>
          </w:p>
        </w:tc>
        <w:tc>
          <w:tcPr>
            <w:tcW w:w="978" w:type="pct"/>
            <w:shd w:val="clear" w:color="auto" w:fill="F2F2F2" w:themeFill="background1" w:themeFillShade="F2"/>
            <w:hideMark/>
          </w:tcPr>
          <w:p w14:paraId="70FBAB70" w14:textId="77777777" w:rsidR="00FA2C7D" w:rsidRPr="002A150B" w:rsidRDefault="00FA2C7D" w:rsidP="00D54832">
            <w:pPr>
              <w:pStyle w:val="CMR-tables"/>
              <w:keepNext/>
              <w:jc w:val="right"/>
              <w:rPr>
                <w:noProof/>
                <w:szCs w:val="24"/>
              </w:rPr>
            </w:pPr>
            <w:r w:rsidRPr="002A150B">
              <w:rPr>
                <w:noProof/>
                <w:color w:val="000000"/>
              </w:rPr>
              <w:t>32,9 % </w:t>
            </w:r>
          </w:p>
        </w:tc>
      </w:tr>
      <w:tr w:rsidR="00FA2C7D" w:rsidRPr="002A150B" w14:paraId="0DA2F15F" w14:textId="77777777" w:rsidTr="008D1FB9">
        <w:trPr>
          <w:trHeight w:val="502"/>
        </w:trPr>
        <w:tc>
          <w:tcPr>
            <w:tcW w:w="1090" w:type="pct"/>
            <w:hideMark/>
          </w:tcPr>
          <w:p w14:paraId="73DA3D93" w14:textId="27A75AEE" w:rsidR="00FA2C7D" w:rsidRPr="002A150B" w:rsidRDefault="00FA2C7D" w:rsidP="00D54832">
            <w:pPr>
              <w:pStyle w:val="CMR-tables"/>
              <w:keepNext/>
              <w:rPr>
                <w:noProof/>
                <w:szCs w:val="24"/>
              </w:rPr>
            </w:pPr>
            <w:r w:rsidRPr="002A150B">
              <w:rPr>
                <w:noProof/>
                <w:color w:val="000000"/>
              </w:rPr>
              <w:t>Germania</w:t>
            </w:r>
          </w:p>
        </w:tc>
        <w:tc>
          <w:tcPr>
            <w:tcW w:w="977" w:type="pct"/>
            <w:hideMark/>
          </w:tcPr>
          <w:p w14:paraId="1679363B" w14:textId="54520A5C" w:rsidR="00FA2C7D" w:rsidRPr="002A150B" w:rsidRDefault="00FA2C7D" w:rsidP="00D54832">
            <w:pPr>
              <w:pStyle w:val="CMR-tables"/>
              <w:keepNext/>
              <w:jc w:val="right"/>
              <w:rPr>
                <w:noProof/>
                <w:szCs w:val="24"/>
              </w:rPr>
            </w:pPr>
            <w:r w:rsidRPr="002A150B">
              <w:rPr>
                <w:noProof/>
                <w:color w:val="000000"/>
              </w:rPr>
              <w:t>1 643,7 </w:t>
            </w:r>
          </w:p>
        </w:tc>
        <w:tc>
          <w:tcPr>
            <w:tcW w:w="977" w:type="pct"/>
            <w:hideMark/>
          </w:tcPr>
          <w:p w14:paraId="4322295C" w14:textId="77777777" w:rsidR="00FA2C7D" w:rsidRPr="002A150B" w:rsidRDefault="00FA2C7D" w:rsidP="00D54832">
            <w:pPr>
              <w:pStyle w:val="CMR-tables"/>
              <w:keepNext/>
              <w:jc w:val="right"/>
              <w:rPr>
                <w:noProof/>
                <w:szCs w:val="24"/>
              </w:rPr>
            </w:pPr>
            <w:r w:rsidRPr="002A150B">
              <w:rPr>
                <w:noProof/>
                <w:color w:val="000000"/>
              </w:rPr>
              <w:t>668 </w:t>
            </w:r>
          </w:p>
        </w:tc>
        <w:tc>
          <w:tcPr>
            <w:tcW w:w="977" w:type="pct"/>
            <w:hideMark/>
          </w:tcPr>
          <w:p w14:paraId="1099838B" w14:textId="1CE395FF" w:rsidR="00FA2C7D" w:rsidRPr="002A150B" w:rsidRDefault="00FA2C7D" w:rsidP="00D54832">
            <w:pPr>
              <w:pStyle w:val="CMR-tables"/>
              <w:keepNext/>
              <w:jc w:val="right"/>
              <w:rPr>
                <w:noProof/>
                <w:szCs w:val="24"/>
              </w:rPr>
            </w:pPr>
            <w:r w:rsidRPr="002A150B">
              <w:rPr>
                <w:noProof/>
                <w:color w:val="000000"/>
              </w:rPr>
              <w:t>6 772,4 </w:t>
            </w:r>
          </w:p>
        </w:tc>
        <w:tc>
          <w:tcPr>
            <w:tcW w:w="978" w:type="pct"/>
            <w:hideMark/>
          </w:tcPr>
          <w:p w14:paraId="6C582C28" w14:textId="77777777" w:rsidR="00FA2C7D" w:rsidRPr="002A150B" w:rsidRDefault="00FA2C7D" w:rsidP="00D54832">
            <w:pPr>
              <w:pStyle w:val="CMR-tables"/>
              <w:keepNext/>
              <w:jc w:val="right"/>
              <w:rPr>
                <w:noProof/>
                <w:szCs w:val="24"/>
              </w:rPr>
            </w:pPr>
            <w:r w:rsidRPr="002A150B">
              <w:rPr>
                <w:noProof/>
                <w:color w:val="000000"/>
              </w:rPr>
              <w:t>24,3 % </w:t>
            </w:r>
          </w:p>
        </w:tc>
      </w:tr>
      <w:tr w:rsidR="00FA2C7D" w:rsidRPr="002A150B" w14:paraId="77CCF72F" w14:textId="77777777" w:rsidTr="00A0384F">
        <w:trPr>
          <w:trHeight w:val="502"/>
        </w:trPr>
        <w:tc>
          <w:tcPr>
            <w:tcW w:w="1090" w:type="pct"/>
            <w:shd w:val="clear" w:color="auto" w:fill="F2F2F2" w:themeFill="background1" w:themeFillShade="F2"/>
            <w:hideMark/>
          </w:tcPr>
          <w:p w14:paraId="3F128049" w14:textId="066A6150" w:rsidR="00FA2C7D" w:rsidRPr="002A150B" w:rsidRDefault="50C56E07" w:rsidP="00D54832">
            <w:pPr>
              <w:pStyle w:val="CMR-tables"/>
              <w:keepNext/>
              <w:rPr>
                <w:noProof/>
                <w:szCs w:val="24"/>
              </w:rPr>
            </w:pPr>
            <w:r w:rsidRPr="002A150B">
              <w:rPr>
                <w:noProof/>
                <w:color w:val="000000"/>
              </w:rPr>
              <w:t>Grecia</w:t>
            </w:r>
            <w:r w:rsidR="00350DC0" w:rsidRPr="002A150B">
              <w:rPr>
                <w:rStyle w:val="FootnoteReference"/>
                <w:noProof/>
                <w:color w:val="000000"/>
                <w:lang w:eastAsia="en-IE"/>
              </w:rPr>
              <w:footnoteReference w:id="66"/>
            </w:r>
          </w:p>
        </w:tc>
        <w:tc>
          <w:tcPr>
            <w:tcW w:w="977" w:type="pct"/>
            <w:shd w:val="clear" w:color="auto" w:fill="F2F2F2" w:themeFill="background1" w:themeFillShade="F2"/>
            <w:hideMark/>
          </w:tcPr>
          <w:p w14:paraId="43D041E4" w14:textId="77777777" w:rsidR="00FA2C7D" w:rsidRPr="002A150B" w:rsidRDefault="00FA2C7D" w:rsidP="00D54832">
            <w:pPr>
              <w:pStyle w:val="CMR-tables"/>
              <w:keepNext/>
              <w:jc w:val="right"/>
              <w:rPr>
                <w:noProof/>
                <w:szCs w:val="24"/>
              </w:rPr>
            </w:pPr>
            <w:r w:rsidRPr="002A150B">
              <w:rPr>
                <w:noProof/>
                <w:color w:val="000000"/>
              </w:rPr>
              <w:t>171,5 </w:t>
            </w:r>
          </w:p>
        </w:tc>
        <w:tc>
          <w:tcPr>
            <w:tcW w:w="977" w:type="pct"/>
            <w:shd w:val="clear" w:color="auto" w:fill="F2F2F2" w:themeFill="background1" w:themeFillShade="F2"/>
            <w:hideMark/>
          </w:tcPr>
          <w:p w14:paraId="277CABB6" w14:textId="77777777" w:rsidR="00FA2C7D" w:rsidRPr="002A150B" w:rsidRDefault="00FA2C7D" w:rsidP="00D54832">
            <w:pPr>
              <w:pStyle w:val="CMR-tables"/>
              <w:keepNext/>
              <w:jc w:val="right"/>
              <w:rPr>
                <w:noProof/>
                <w:szCs w:val="24"/>
              </w:rPr>
            </w:pPr>
            <w:r w:rsidRPr="002A150B">
              <w:rPr>
                <w:noProof/>
                <w:color w:val="000000"/>
              </w:rPr>
              <w:t>53 </w:t>
            </w:r>
          </w:p>
        </w:tc>
        <w:tc>
          <w:tcPr>
            <w:tcW w:w="977" w:type="pct"/>
            <w:shd w:val="clear" w:color="auto" w:fill="F2F2F2" w:themeFill="background1" w:themeFillShade="F2"/>
            <w:hideMark/>
          </w:tcPr>
          <w:p w14:paraId="74D41D76" w14:textId="15C1830B" w:rsidR="00FA2C7D" w:rsidRPr="002A150B" w:rsidRDefault="00FA2C7D" w:rsidP="00D54832">
            <w:pPr>
              <w:pStyle w:val="CMR-tables"/>
              <w:keepNext/>
              <w:jc w:val="right"/>
              <w:rPr>
                <w:noProof/>
                <w:szCs w:val="24"/>
              </w:rPr>
            </w:pPr>
            <w:r w:rsidRPr="002A150B">
              <w:rPr>
                <w:noProof/>
                <w:color w:val="000000"/>
              </w:rPr>
              <w:t>1 314,0 </w:t>
            </w:r>
          </w:p>
        </w:tc>
        <w:tc>
          <w:tcPr>
            <w:tcW w:w="978" w:type="pct"/>
            <w:shd w:val="clear" w:color="auto" w:fill="F2F2F2" w:themeFill="background1" w:themeFillShade="F2"/>
            <w:hideMark/>
          </w:tcPr>
          <w:p w14:paraId="087B287D" w14:textId="77777777" w:rsidR="00FA2C7D" w:rsidRPr="002A150B" w:rsidRDefault="00FA2C7D" w:rsidP="00D54832">
            <w:pPr>
              <w:pStyle w:val="CMR-tables"/>
              <w:keepNext/>
              <w:jc w:val="right"/>
              <w:rPr>
                <w:noProof/>
                <w:szCs w:val="24"/>
              </w:rPr>
            </w:pPr>
            <w:r w:rsidRPr="002A150B">
              <w:rPr>
                <w:noProof/>
                <w:color w:val="000000"/>
              </w:rPr>
              <w:t>13,1 % </w:t>
            </w:r>
          </w:p>
        </w:tc>
      </w:tr>
      <w:tr w:rsidR="00FA2C7D" w:rsidRPr="002A150B" w14:paraId="08F623B8" w14:textId="77777777" w:rsidTr="008D1FB9">
        <w:trPr>
          <w:trHeight w:val="502"/>
        </w:trPr>
        <w:tc>
          <w:tcPr>
            <w:tcW w:w="1090" w:type="pct"/>
            <w:hideMark/>
          </w:tcPr>
          <w:p w14:paraId="0D33B39F" w14:textId="5A5824FE" w:rsidR="00FA2C7D" w:rsidRPr="002A150B" w:rsidRDefault="00FA2C7D" w:rsidP="00D54832">
            <w:pPr>
              <w:pStyle w:val="CMR-tables"/>
              <w:keepNext/>
              <w:rPr>
                <w:noProof/>
                <w:szCs w:val="24"/>
              </w:rPr>
            </w:pPr>
            <w:r w:rsidRPr="002A150B">
              <w:rPr>
                <w:noProof/>
                <w:color w:val="000000"/>
              </w:rPr>
              <w:t>Italia</w:t>
            </w:r>
          </w:p>
        </w:tc>
        <w:tc>
          <w:tcPr>
            <w:tcW w:w="977" w:type="pct"/>
            <w:hideMark/>
          </w:tcPr>
          <w:p w14:paraId="137EA3D2" w14:textId="77777777" w:rsidR="00FA2C7D" w:rsidRPr="002A150B" w:rsidRDefault="00FA2C7D" w:rsidP="00D54832">
            <w:pPr>
              <w:pStyle w:val="CMR-tables"/>
              <w:keepNext/>
              <w:jc w:val="right"/>
              <w:rPr>
                <w:noProof/>
                <w:szCs w:val="24"/>
              </w:rPr>
            </w:pPr>
            <w:r w:rsidRPr="002A150B">
              <w:rPr>
                <w:noProof/>
                <w:color w:val="000000"/>
              </w:rPr>
              <w:t>150,6 </w:t>
            </w:r>
          </w:p>
        </w:tc>
        <w:tc>
          <w:tcPr>
            <w:tcW w:w="977" w:type="pct"/>
            <w:hideMark/>
          </w:tcPr>
          <w:p w14:paraId="7C5F6695" w14:textId="77777777" w:rsidR="00FA2C7D" w:rsidRPr="002A150B" w:rsidRDefault="00FA2C7D" w:rsidP="00D54832">
            <w:pPr>
              <w:pStyle w:val="CMR-tables"/>
              <w:keepNext/>
              <w:jc w:val="right"/>
              <w:rPr>
                <w:noProof/>
                <w:szCs w:val="24"/>
              </w:rPr>
            </w:pPr>
            <w:r w:rsidRPr="002A150B">
              <w:rPr>
                <w:noProof/>
                <w:color w:val="000000"/>
              </w:rPr>
              <w:t>251 </w:t>
            </w:r>
          </w:p>
        </w:tc>
        <w:tc>
          <w:tcPr>
            <w:tcW w:w="977" w:type="pct"/>
            <w:hideMark/>
          </w:tcPr>
          <w:p w14:paraId="72EF6447" w14:textId="56420271" w:rsidR="00FA2C7D" w:rsidRPr="002A150B" w:rsidRDefault="00FA2C7D" w:rsidP="00D54832">
            <w:pPr>
              <w:pStyle w:val="CMR-tables"/>
              <w:keepNext/>
              <w:jc w:val="right"/>
              <w:rPr>
                <w:noProof/>
                <w:szCs w:val="24"/>
              </w:rPr>
            </w:pPr>
            <w:r w:rsidRPr="002A150B">
              <w:rPr>
                <w:noProof/>
                <w:color w:val="000000"/>
              </w:rPr>
              <w:t>3 166,1 </w:t>
            </w:r>
          </w:p>
        </w:tc>
        <w:tc>
          <w:tcPr>
            <w:tcW w:w="978" w:type="pct"/>
            <w:hideMark/>
          </w:tcPr>
          <w:p w14:paraId="64E6E543" w14:textId="77777777" w:rsidR="00FA2C7D" w:rsidRPr="002A150B" w:rsidRDefault="00FA2C7D" w:rsidP="00D54832">
            <w:pPr>
              <w:pStyle w:val="CMR-tables"/>
              <w:keepNext/>
              <w:jc w:val="right"/>
              <w:rPr>
                <w:noProof/>
                <w:szCs w:val="24"/>
              </w:rPr>
            </w:pPr>
            <w:r w:rsidRPr="002A150B">
              <w:rPr>
                <w:noProof/>
              </w:rPr>
              <w:t>4,8 % </w:t>
            </w:r>
          </w:p>
        </w:tc>
      </w:tr>
      <w:tr w:rsidR="00FA2C7D" w:rsidRPr="002A150B" w14:paraId="6BB017B3" w14:textId="77777777" w:rsidTr="00A0384F">
        <w:trPr>
          <w:trHeight w:val="502"/>
        </w:trPr>
        <w:tc>
          <w:tcPr>
            <w:tcW w:w="1090" w:type="pct"/>
            <w:shd w:val="clear" w:color="auto" w:fill="F2F2F2" w:themeFill="background1" w:themeFillShade="F2"/>
            <w:hideMark/>
          </w:tcPr>
          <w:p w14:paraId="65C4FE4B" w14:textId="028FF786" w:rsidR="00FA2C7D" w:rsidRPr="002A150B" w:rsidRDefault="00FA2C7D" w:rsidP="00D54832">
            <w:pPr>
              <w:pStyle w:val="CMR-tables"/>
              <w:keepNext/>
              <w:rPr>
                <w:noProof/>
                <w:szCs w:val="24"/>
              </w:rPr>
            </w:pPr>
            <w:r w:rsidRPr="002A150B">
              <w:rPr>
                <w:noProof/>
                <w:color w:val="000000"/>
              </w:rPr>
              <w:t>Luxemburg</w:t>
            </w:r>
          </w:p>
        </w:tc>
        <w:tc>
          <w:tcPr>
            <w:tcW w:w="977" w:type="pct"/>
            <w:shd w:val="clear" w:color="auto" w:fill="F2F2F2" w:themeFill="background1" w:themeFillShade="F2"/>
            <w:hideMark/>
          </w:tcPr>
          <w:p w14:paraId="515C62C7" w14:textId="77777777" w:rsidR="00FA2C7D" w:rsidRPr="002A150B" w:rsidRDefault="00FA2C7D" w:rsidP="00D54832">
            <w:pPr>
              <w:pStyle w:val="CMR-tables"/>
              <w:keepNext/>
              <w:jc w:val="right"/>
              <w:rPr>
                <w:noProof/>
                <w:szCs w:val="24"/>
              </w:rPr>
            </w:pPr>
            <w:r w:rsidRPr="002A150B">
              <w:rPr>
                <w:noProof/>
                <w:color w:val="000000"/>
              </w:rPr>
              <w:t>25,0 </w:t>
            </w:r>
          </w:p>
        </w:tc>
        <w:tc>
          <w:tcPr>
            <w:tcW w:w="977" w:type="pct"/>
            <w:shd w:val="clear" w:color="auto" w:fill="F2F2F2" w:themeFill="background1" w:themeFillShade="F2"/>
            <w:hideMark/>
          </w:tcPr>
          <w:p w14:paraId="60465CD5" w14:textId="77777777" w:rsidR="00FA2C7D" w:rsidRPr="002A150B" w:rsidRDefault="00FA2C7D" w:rsidP="00D54832">
            <w:pPr>
              <w:pStyle w:val="CMR-tables"/>
              <w:keepNext/>
              <w:jc w:val="right"/>
              <w:rPr>
                <w:noProof/>
                <w:szCs w:val="24"/>
              </w:rPr>
            </w:pPr>
            <w:r w:rsidRPr="002A150B">
              <w:rPr>
                <w:noProof/>
                <w:color w:val="000000"/>
              </w:rPr>
              <w:t>4 </w:t>
            </w:r>
          </w:p>
        </w:tc>
        <w:tc>
          <w:tcPr>
            <w:tcW w:w="977" w:type="pct"/>
            <w:shd w:val="clear" w:color="auto" w:fill="F2F2F2" w:themeFill="background1" w:themeFillShade="F2"/>
            <w:hideMark/>
          </w:tcPr>
          <w:p w14:paraId="066450D7" w14:textId="77777777" w:rsidR="00FA2C7D" w:rsidRPr="002A150B" w:rsidRDefault="00FA2C7D" w:rsidP="00D54832">
            <w:pPr>
              <w:pStyle w:val="CMR-tables"/>
              <w:keepNext/>
              <w:jc w:val="right"/>
              <w:rPr>
                <w:noProof/>
                <w:szCs w:val="24"/>
              </w:rPr>
            </w:pPr>
            <w:r w:rsidRPr="002A150B">
              <w:rPr>
                <w:noProof/>
                <w:color w:val="000000"/>
              </w:rPr>
              <w:t>4,8 </w:t>
            </w:r>
          </w:p>
        </w:tc>
        <w:tc>
          <w:tcPr>
            <w:tcW w:w="978" w:type="pct"/>
            <w:shd w:val="clear" w:color="auto" w:fill="F2F2F2" w:themeFill="background1" w:themeFillShade="F2"/>
            <w:hideMark/>
          </w:tcPr>
          <w:p w14:paraId="517E0C70" w14:textId="77777777" w:rsidR="00FA2C7D" w:rsidRPr="002A150B" w:rsidRDefault="00FA2C7D" w:rsidP="00D54832">
            <w:pPr>
              <w:pStyle w:val="CMR-tables"/>
              <w:keepNext/>
              <w:jc w:val="right"/>
              <w:rPr>
                <w:noProof/>
                <w:szCs w:val="24"/>
              </w:rPr>
            </w:pPr>
            <w:r w:rsidRPr="002A150B">
              <w:rPr>
                <w:noProof/>
                <w:color w:val="000000"/>
              </w:rPr>
              <w:t>517,0 % </w:t>
            </w:r>
          </w:p>
        </w:tc>
      </w:tr>
      <w:tr w:rsidR="00FA2C7D" w:rsidRPr="002A150B" w14:paraId="17717611" w14:textId="77777777" w:rsidTr="008D1FB9">
        <w:trPr>
          <w:trHeight w:val="502"/>
        </w:trPr>
        <w:tc>
          <w:tcPr>
            <w:tcW w:w="1090" w:type="pct"/>
            <w:hideMark/>
          </w:tcPr>
          <w:p w14:paraId="5D8A2743" w14:textId="68177B96" w:rsidR="00FA2C7D" w:rsidRPr="002A150B" w:rsidRDefault="00FA2C7D" w:rsidP="00D54832">
            <w:pPr>
              <w:pStyle w:val="CMR-tables"/>
              <w:keepNext/>
              <w:rPr>
                <w:noProof/>
                <w:szCs w:val="24"/>
              </w:rPr>
            </w:pPr>
            <w:r w:rsidRPr="002A150B">
              <w:rPr>
                <w:noProof/>
                <w:color w:val="000000"/>
              </w:rPr>
              <w:t>Polonia</w:t>
            </w:r>
          </w:p>
        </w:tc>
        <w:tc>
          <w:tcPr>
            <w:tcW w:w="977" w:type="pct"/>
            <w:hideMark/>
          </w:tcPr>
          <w:p w14:paraId="18110B49" w14:textId="77777777" w:rsidR="00FA2C7D" w:rsidRPr="002A150B" w:rsidRDefault="00FA2C7D" w:rsidP="00D54832">
            <w:pPr>
              <w:pStyle w:val="CMR-tables"/>
              <w:keepNext/>
              <w:jc w:val="right"/>
              <w:rPr>
                <w:noProof/>
                <w:szCs w:val="24"/>
              </w:rPr>
            </w:pPr>
            <w:r w:rsidRPr="002A150B">
              <w:rPr>
                <w:noProof/>
                <w:color w:val="000000"/>
              </w:rPr>
              <w:t>372,7 </w:t>
            </w:r>
          </w:p>
        </w:tc>
        <w:tc>
          <w:tcPr>
            <w:tcW w:w="977" w:type="pct"/>
            <w:hideMark/>
          </w:tcPr>
          <w:p w14:paraId="60EAB01B" w14:textId="77777777" w:rsidR="00FA2C7D" w:rsidRPr="002A150B" w:rsidRDefault="00FA2C7D" w:rsidP="00D54832">
            <w:pPr>
              <w:pStyle w:val="CMR-tables"/>
              <w:keepNext/>
              <w:jc w:val="right"/>
              <w:rPr>
                <w:noProof/>
                <w:szCs w:val="24"/>
              </w:rPr>
            </w:pPr>
            <w:r w:rsidRPr="002A150B">
              <w:rPr>
                <w:noProof/>
                <w:color w:val="000000"/>
              </w:rPr>
              <w:t>95 </w:t>
            </w:r>
          </w:p>
        </w:tc>
        <w:tc>
          <w:tcPr>
            <w:tcW w:w="977" w:type="pct"/>
            <w:hideMark/>
          </w:tcPr>
          <w:p w14:paraId="2672EBAE" w14:textId="77CB72FA" w:rsidR="00FA2C7D" w:rsidRPr="002A150B" w:rsidRDefault="00FA2C7D" w:rsidP="00D54832">
            <w:pPr>
              <w:pStyle w:val="CMR-tables"/>
              <w:keepNext/>
              <w:jc w:val="right"/>
              <w:rPr>
                <w:noProof/>
                <w:szCs w:val="24"/>
              </w:rPr>
            </w:pPr>
            <w:r w:rsidRPr="002A150B">
              <w:rPr>
                <w:noProof/>
                <w:color w:val="000000"/>
              </w:rPr>
              <w:t>4 966,4 </w:t>
            </w:r>
          </w:p>
        </w:tc>
        <w:tc>
          <w:tcPr>
            <w:tcW w:w="978" w:type="pct"/>
            <w:hideMark/>
          </w:tcPr>
          <w:p w14:paraId="21C82CF5" w14:textId="77777777" w:rsidR="00FA2C7D" w:rsidRPr="002A150B" w:rsidRDefault="00FA2C7D" w:rsidP="00D54832">
            <w:pPr>
              <w:pStyle w:val="CMR-tables"/>
              <w:keepNext/>
              <w:jc w:val="right"/>
              <w:rPr>
                <w:noProof/>
                <w:szCs w:val="24"/>
              </w:rPr>
            </w:pPr>
            <w:r w:rsidRPr="002A150B">
              <w:rPr>
                <w:noProof/>
                <w:color w:val="000000"/>
              </w:rPr>
              <w:t>7,5 % </w:t>
            </w:r>
          </w:p>
        </w:tc>
      </w:tr>
      <w:tr w:rsidR="00FA2C7D" w:rsidRPr="002A150B" w14:paraId="4D7FD47A" w14:textId="77777777" w:rsidTr="00A0384F">
        <w:trPr>
          <w:trHeight w:val="502"/>
        </w:trPr>
        <w:tc>
          <w:tcPr>
            <w:tcW w:w="1090" w:type="pct"/>
            <w:shd w:val="clear" w:color="auto" w:fill="F2F2F2" w:themeFill="background1" w:themeFillShade="F2"/>
            <w:hideMark/>
          </w:tcPr>
          <w:p w14:paraId="76CB3374" w14:textId="5D255812" w:rsidR="00FA2C7D" w:rsidRPr="002A150B" w:rsidRDefault="50C56E07" w:rsidP="00D54832">
            <w:pPr>
              <w:pStyle w:val="CMR-tables"/>
              <w:keepNext/>
              <w:rPr>
                <w:noProof/>
                <w:szCs w:val="24"/>
              </w:rPr>
            </w:pPr>
            <w:r w:rsidRPr="002A150B">
              <w:rPr>
                <w:noProof/>
                <w:color w:val="000000"/>
              </w:rPr>
              <w:t>Portugalia</w:t>
            </w:r>
            <w:r w:rsidR="00B22FAC" w:rsidRPr="002A150B">
              <w:rPr>
                <w:rStyle w:val="FootnoteReference"/>
                <w:noProof/>
                <w:color w:val="000000"/>
                <w:lang w:eastAsia="en-IE"/>
              </w:rPr>
              <w:footnoteReference w:id="67"/>
            </w:r>
          </w:p>
        </w:tc>
        <w:tc>
          <w:tcPr>
            <w:tcW w:w="977" w:type="pct"/>
            <w:shd w:val="clear" w:color="auto" w:fill="F2F2F2" w:themeFill="background1" w:themeFillShade="F2"/>
            <w:hideMark/>
          </w:tcPr>
          <w:p w14:paraId="6C81DBB4" w14:textId="77777777" w:rsidR="00FA2C7D" w:rsidRPr="002A150B" w:rsidRDefault="00FA2C7D" w:rsidP="00D54832">
            <w:pPr>
              <w:pStyle w:val="CMR-tables"/>
              <w:keepNext/>
              <w:jc w:val="right"/>
              <w:rPr>
                <w:noProof/>
                <w:szCs w:val="24"/>
              </w:rPr>
            </w:pPr>
            <w:r w:rsidRPr="002A150B">
              <w:rPr>
                <w:noProof/>
                <w:color w:val="000000"/>
              </w:rPr>
              <w:t>25,0 </w:t>
            </w:r>
          </w:p>
        </w:tc>
        <w:tc>
          <w:tcPr>
            <w:tcW w:w="977" w:type="pct"/>
            <w:shd w:val="clear" w:color="auto" w:fill="F2F2F2" w:themeFill="background1" w:themeFillShade="F2"/>
            <w:hideMark/>
          </w:tcPr>
          <w:p w14:paraId="4CD67E41" w14:textId="77777777" w:rsidR="00FA2C7D" w:rsidRPr="002A150B" w:rsidRDefault="00FA2C7D" w:rsidP="00D54832">
            <w:pPr>
              <w:pStyle w:val="CMR-tables"/>
              <w:keepNext/>
              <w:jc w:val="right"/>
              <w:rPr>
                <w:noProof/>
                <w:szCs w:val="24"/>
              </w:rPr>
            </w:pPr>
            <w:r w:rsidRPr="002A150B">
              <w:rPr>
                <w:noProof/>
                <w:color w:val="000000"/>
              </w:rPr>
              <w:t>22 </w:t>
            </w:r>
          </w:p>
        </w:tc>
        <w:tc>
          <w:tcPr>
            <w:tcW w:w="977" w:type="pct"/>
            <w:shd w:val="clear" w:color="auto" w:fill="F2F2F2" w:themeFill="background1" w:themeFillShade="F2"/>
            <w:hideMark/>
          </w:tcPr>
          <w:p w14:paraId="5BB652D0" w14:textId="77777777" w:rsidR="00FA2C7D" w:rsidRPr="002A150B" w:rsidRDefault="00FA2C7D" w:rsidP="00D54832">
            <w:pPr>
              <w:pStyle w:val="CMR-tables"/>
              <w:keepNext/>
              <w:jc w:val="right"/>
              <w:rPr>
                <w:noProof/>
                <w:szCs w:val="24"/>
              </w:rPr>
            </w:pPr>
            <w:r w:rsidRPr="002A150B">
              <w:rPr>
                <w:noProof/>
                <w:color w:val="000000"/>
              </w:rPr>
              <w:t>661,6 </w:t>
            </w:r>
          </w:p>
        </w:tc>
        <w:tc>
          <w:tcPr>
            <w:tcW w:w="978" w:type="pct"/>
            <w:shd w:val="clear" w:color="auto" w:fill="F2F2F2" w:themeFill="background1" w:themeFillShade="F2"/>
            <w:hideMark/>
          </w:tcPr>
          <w:p w14:paraId="7C93CF2C" w14:textId="1D28519A" w:rsidR="00FA2C7D" w:rsidRPr="002A150B" w:rsidRDefault="008B0FB1" w:rsidP="00D54832">
            <w:pPr>
              <w:pStyle w:val="CMR-tables"/>
              <w:keepNext/>
              <w:jc w:val="right"/>
              <w:rPr>
                <w:noProof/>
                <w:szCs w:val="24"/>
              </w:rPr>
            </w:pPr>
            <w:r w:rsidRPr="002A150B">
              <w:rPr>
                <w:noProof/>
                <w:color w:val="000000"/>
              </w:rPr>
              <w:t>3,8 % </w:t>
            </w:r>
          </w:p>
        </w:tc>
      </w:tr>
      <w:tr w:rsidR="00FA2C7D" w:rsidRPr="002A150B" w14:paraId="37117FC1" w14:textId="77777777" w:rsidTr="008D1FB9">
        <w:trPr>
          <w:trHeight w:val="502"/>
        </w:trPr>
        <w:tc>
          <w:tcPr>
            <w:tcW w:w="1090" w:type="pct"/>
            <w:hideMark/>
          </w:tcPr>
          <w:p w14:paraId="3C073226" w14:textId="67ED1444" w:rsidR="00FA2C7D" w:rsidRPr="002A150B" w:rsidRDefault="00FA2C7D" w:rsidP="00D54832">
            <w:pPr>
              <w:pStyle w:val="CMR-tables"/>
              <w:keepNext/>
              <w:rPr>
                <w:noProof/>
                <w:szCs w:val="24"/>
              </w:rPr>
            </w:pPr>
            <w:r w:rsidRPr="002A150B">
              <w:rPr>
                <w:noProof/>
                <w:color w:val="000000"/>
              </w:rPr>
              <w:t>România</w:t>
            </w:r>
          </w:p>
        </w:tc>
        <w:tc>
          <w:tcPr>
            <w:tcW w:w="977" w:type="pct"/>
            <w:hideMark/>
          </w:tcPr>
          <w:p w14:paraId="7B1BAFDF" w14:textId="77777777" w:rsidR="00FA2C7D" w:rsidRPr="002A150B" w:rsidRDefault="00FA2C7D" w:rsidP="00D54832">
            <w:pPr>
              <w:pStyle w:val="CMR-tables"/>
              <w:keepNext/>
              <w:jc w:val="right"/>
              <w:rPr>
                <w:noProof/>
                <w:szCs w:val="24"/>
              </w:rPr>
            </w:pPr>
            <w:r w:rsidRPr="002A150B">
              <w:rPr>
                <w:noProof/>
                <w:color w:val="000000"/>
              </w:rPr>
              <w:t>145,0 </w:t>
            </w:r>
          </w:p>
        </w:tc>
        <w:tc>
          <w:tcPr>
            <w:tcW w:w="977" w:type="pct"/>
            <w:hideMark/>
          </w:tcPr>
          <w:p w14:paraId="7036F692" w14:textId="77777777" w:rsidR="00FA2C7D" w:rsidRPr="002A150B" w:rsidRDefault="00FA2C7D" w:rsidP="00D54832">
            <w:pPr>
              <w:pStyle w:val="CMR-tables"/>
              <w:keepNext/>
              <w:jc w:val="right"/>
              <w:rPr>
                <w:noProof/>
                <w:szCs w:val="24"/>
              </w:rPr>
            </w:pPr>
            <w:r w:rsidRPr="002A150B">
              <w:rPr>
                <w:noProof/>
                <w:color w:val="000000"/>
              </w:rPr>
              <w:t>30 </w:t>
            </w:r>
          </w:p>
        </w:tc>
        <w:tc>
          <w:tcPr>
            <w:tcW w:w="977" w:type="pct"/>
            <w:hideMark/>
          </w:tcPr>
          <w:p w14:paraId="079E22EC" w14:textId="77777777" w:rsidR="00FA2C7D" w:rsidRPr="002A150B" w:rsidRDefault="00FA2C7D" w:rsidP="00D54832">
            <w:pPr>
              <w:pStyle w:val="CMR-tables"/>
              <w:keepNext/>
              <w:jc w:val="right"/>
              <w:rPr>
                <w:noProof/>
                <w:szCs w:val="24"/>
              </w:rPr>
            </w:pPr>
            <w:r w:rsidRPr="002A150B">
              <w:rPr>
                <w:noProof/>
                <w:color w:val="000000"/>
              </w:rPr>
              <w:t>482,4 </w:t>
            </w:r>
          </w:p>
        </w:tc>
        <w:tc>
          <w:tcPr>
            <w:tcW w:w="978" w:type="pct"/>
            <w:hideMark/>
          </w:tcPr>
          <w:p w14:paraId="58AE7027" w14:textId="77777777" w:rsidR="00FA2C7D" w:rsidRPr="002A150B" w:rsidRDefault="00FA2C7D" w:rsidP="00D54832">
            <w:pPr>
              <w:pStyle w:val="CMR-tables"/>
              <w:keepNext/>
              <w:jc w:val="right"/>
              <w:rPr>
                <w:noProof/>
                <w:szCs w:val="24"/>
              </w:rPr>
            </w:pPr>
            <w:r w:rsidRPr="002A150B">
              <w:rPr>
                <w:noProof/>
                <w:color w:val="000000"/>
              </w:rPr>
              <w:t>30,1 % </w:t>
            </w:r>
          </w:p>
        </w:tc>
      </w:tr>
      <w:tr w:rsidR="00FA2C7D" w:rsidRPr="002A150B" w14:paraId="0E5F37C4" w14:textId="77777777" w:rsidTr="00A0384F">
        <w:trPr>
          <w:trHeight w:val="502"/>
        </w:trPr>
        <w:tc>
          <w:tcPr>
            <w:tcW w:w="1090" w:type="pct"/>
            <w:shd w:val="clear" w:color="auto" w:fill="F2F2F2" w:themeFill="background1" w:themeFillShade="F2"/>
            <w:hideMark/>
          </w:tcPr>
          <w:p w14:paraId="355EE50F" w14:textId="0D2F5F54" w:rsidR="00FA2C7D" w:rsidRPr="002A150B" w:rsidRDefault="00FA2C7D" w:rsidP="00D54832">
            <w:pPr>
              <w:pStyle w:val="CMR-tables"/>
              <w:keepNext/>
              <w:rPr>
                <w:noProof/>
                <w:szCs w:val="24"/>
              </w:rPr>
            </w:pPr>
            <w:r w:rsidRPr="002A150B">
              <w:rPr>
                <w:noProof/>
                <w:color w:val="000000"/>
              </w:rPr>
              <w:t>Slovacia</w:t>
            </w:r>
          </w:p>
        </w:tc>
        <w:tc>
          <w:tcPr>
            <w:tcW w:w="977" w:type="pct"/>
            <w:shd w:val="clear" w:color="auto" w:fill="F2F2F2" w:themeFill="background1" w:themeFillShade="F2"/>
            <w:hideMark/>
          </w:tcPr>
          <w:p w14:paraId="1486310A" w14:textId="77777777" w:rsidR="00FA2C7D" w:rsidRPr="002A150B" w:rsidRDefault="00FA2C7D" w:rsidP="00D54832">
            <w:pPr>
              <w:pStyle w:val="CMR-tables"/>
              <w:keepNext/>
              <w:jc w:val="right"/>
              <w:rPr>
                <w:noProof/>
                <w:szCs w:val="24"/>
              </w:rPr>
            </w:pPr>
            <w:r w:rsidRPr="002A150B">
              <w:rPr>
                <w:noProof/>
                <w:color w:val="000000"/>
              </w:rPr>
              <w:t>20,9 </w:t>
            </w:r>
          </w:p>
        </w:tc>
        <w:tc>
          <w:tcPr>
            <w:tcW w:w="977" w:type="pct"/>
            <w:shd w:val="clear" w:color="auto" w:fill="F2F2F2" w:themeFill="background1" w:themeFillShade="F2"/>
            <w:hideMark/>
          </w:tcPr>
          <w:p w14:paraId="7B141622" w14:textId="77777777" w:rsidR="00FA2C7D" w:rsidRPr="002A150B" w:rsidRDefault="00FA2C7D" w:rsidP="00D54832">
            <w:pPr>
              <w:pStyle w:val="CMR-tables"/>
              <w:keepNext/>
              <w:jc w:val="right"/>
              <w:rPr>
                <w:noProof/>
                <w:szCs w:val="24"/>
              </w:rPr>
            </w:pPr>
            <w:r w:rsidRPr="002A150B">
              <w:rPr>
                <w:noProof/>
                <w:color w:val="000000"/>
              </w:rPr>
              <w:t>9 </w:t>
            </w:r>
          </w:p>
        </w:tc>
        <w:tc>
          <w:tcPr>
            <w:tcW w:w="977" w:type="pct"/>
            <w:shd w:val="clear" w:color="auto" w:fill="F2F2F2" w:themeFill="background1" w:themeFillShade="F2"/>
            <w:hideMark/>
          </w:tcPr>
          <w:p w14:paraId="4CA21DD2" w14:textId="77777777" w:rsidR="00FA2C7D" w:rsidRPr="002A150B" w:rsidRDefault="00FA2C7D" w:rsidP="00D54832">
            <w:pPr>
              <w:pStyle w:val="CMR-tables"/>
              <w:keepNext/>
              <w:jc w:val="right"/>
              <w:rPr>
                <w:noProof/>
                <w:szCs w:val="24"/>
              </w:rPr>
            </w:pPr>
            <w:r w:rsidRPr="002A150B">
              <w:rPr>
                <w:noProof/>
                <w:color w:val="000000"/>
              </w:rPr>
              <w:t>342,4 </w:t>
            </w:r>
          </w:p>
        </w:tc>
        <w:tc>
          <w:tcPr>
            <w:tcW w:w="978" w:type="pct"/>
            <w:shd w:val="clear" w:color="auto" w:fill="F2F2F2" w:themeFill="background1" w:themeFillShade="F2"/>
            <w:hideMark/>
          </w:tcPr>
          <w:p w14:paraId="025EEAB8" w14:textId="77777777" w:rsidR="00FA2C7D" w:rsidRPr="002A150B" w:rsidRDefault="00FA2C7D" w:rsidP="00D54832">
            <w:pPr>
              <w:pStyle w:val="CMR-tables"/>
              <w:keepNext/>
              <w:jc w:val="right"/>
              <w:rPr>
                <w:noProof/>
                <w:szCs w:val="24"/>
              </w:rPr>
            </w:pPr>
            <w:r w:rsidRPr="002A150B">
              <w:rPr>
                <w:noProof/>
                <w:color w:val="000000"/>
              </w:rPr>
              <w:t>6,1 % </w:t>
            </w:r>
          </w:p>
        </w:tc>
      </w:tr>
      <w:tr w:rsidR="00FA2C7D" w:rsidRPr="002A150B" w14:paraId="1DC26C9B" w14:textId="77777777" w:rsidTr="008D1FB9">
        <w:trPr>
          <w:trHeight w:val="502"/>
        </w:trPr>
        <w:tc>
          <w:tcPr>
            <w:tcW w:w="1090" w:type="pct"/>
            <w:hideMark/>
          </w:tcPr>
          <w:p w14:paraId="75EB000B" w14:textId="6D68DF32" w:rsidR="00FA2C7D" w:rsidRPr="002A150B" w:rsidRDefault="00FA2C7D" w:rsidP="00D54832">
            <w:pPr>
              <w:pStyle w:val="CMR-tables"/>
              <w:keepNext/>
              <w:rPr>
                <w:noProof/>
                <w:szCs w:val="24"/>
              </w:rPr>
            </w:pPr>
            <w:r w:rsidRPr="002A150B">
              <w:rPr>
                <w:noProof/>
                <w:color w:val="000000"/>
              </w:rPr>
              <w:t>Slovenia</w:t>
            </w:r>
          </w:p>
        </w:tc>
        <w:tc>
          <w:tcPr>
            <w:tcW w:w="977" w:type="pct"/>
            <w:hideMark/>
          </w:tcPr>
          <w:p w14:paraId="536D8C6C" w14:textId="77777777" w:rsidR="00FA2C7D" w:rsidRPr="002A150B" w:rsidRDefault="00FA2C7D" w:rsidP="00D54832">
            <w:pPr>
              <w:pStyle w:val="CMR-tables"/>
              <w:keepNext/>
              <w:jc w:val="right"/>
              <w:rPr>
                <w:noProof/>
                <w:szCs w:val="24"/>
              </w:rPr>
            </w:pPr>
            <w:r w:rsidRPr="002A150B">
              <w:rPr>
                <w:noProof/>
                <w:color w:val="000000"/>
              </w:rPr>
              <w:t>26,0 </w:t>
            </w:r>
          </w:p>
        </w:tc>
        <w:tc>
          <w:tcPr>
            <w:tcW w:w="977" w:type="pct"/>
            <w:hideMark/>
          </w:tcPr>
          <w:p w14:paraId="2CB0F0C4" w14:textId="77777777" w:rsidR="00FA2C7D" w:rsidRPr="002A150B" w:rsidRDefault="00FA2C7D" w:rsidP="00D54832">
            <w:pPr>
              <w:pStyle w:val="CMR-tables"/>
              <w:keepNext/>
              <w:jc w:val="right"/>
              <w:rPr>
                <w:noProof/>
                <w:szCs w:val="24"/>
              </w:rPr>
            </w:pPr>
            <w:r w:rsidRPr="002A150B">
              <w:rPr>
                <w:noProof/>
                <w:color w:val="000000"/>
              </w:rPr>
              <w:t>17 </w:t>
            </w:r>
          </w:p>
        </w:tc>
        <w:tc>
          <w:tcPr>
            <w:tcW w:w="977" w:type="pct"/>
            <w:hideMark/>
          </w:tcPr>
          <w:p w14:paraId="1B114767" w14:textId="77777777" w:rsidR="00FA2C7D" w:rsidRPr="002A150B" w:rsidRDefault="00FA2C7D" w:rsidP="00D54832">
            <w:pPr>
              <w:pStyle w:val="CMR-tables"/>
              <w:keepNext/>
              <w:jc w:val="right"/>
              <w:rPr>
                <w:noProof/>
                <w:szCs w:val="24"/>
              </w:rPr>
            </w:pPr>
            <w:r w:rsidRPr="002A150B">
              <w:rPr>
                <w:noProof/>
                <w:color w:val="000000"/>
              </w:rPr>
              <w:t>170,5 </w:t>
            </w:r>
          </w:p>
        </w:tc>
        <w:tc>
          <w:tcPr>
            <w:tcW w:w="978" w:type="pct"/>
            <w:hideMark/>
          </w:tcPr>
          <w:p w14:paraId="00ECF6BD" w14:textId="77777777" w:rsidR="00FA2C7D" w:rsidRPr="002A150B" w:rsidRDefault="00FA2C7D" w:rsidP="00D54832">
            <w:pPr>
              <w:pStyle w:val="CMR-tables"/>
              <w:keepNext/>
              <w:jc w:val="right"/>
              <w:rPr>
                <w:noProof/>
                <w:szCs w:val="24"/>
              </w:rPr>
            </w:pPr>
            <w:r w:rsidRPr="002A150B">
              <w:rPr>
                <w:noProof/>
                <w:color w:val="000000"/>
              </w:rPr>
              <w:t>15,3 % </w:t>
            </w:r>
          </w:p>
        </w:tc>
      </w:tr>
      <w:tr w:rsidR="00FA2C7D" w:rsidRPr="002A150B" w14:paraId="7B50EC06" w14:textId="77777777" w:rsidTr="00A0384F">
        <w:trPr>
          <w:trHeight w:val="502"/>
        </w:trPr>
        <w:tc>
          <w:tcPr>
            <w:tcW w:w="1090" w:type="pct"/>
            <w:shd w:val="clear" w:color="auto" w:fill="F2F2F2" w:themeFill="background1" w:themeFillShade="F2"/>
            <w:hideMark/>
          </w:tcPr>
          <w:p w14:paraId="46CD35C6" w14:textId="6B477E84" w:rsidR="00FA2C7D" w:rsidRPr="002A150B" w:rsidRDefault="00FA2C7D" w:rsidP="00D54832">
            <w:pPr>
              <w:pStyle w:val="CMR-tables"/>
              <w:keepNext/>
              <w:rPr>
                <w:noProof/>
                <w:szCs w:val="24"/>
              </w:rPr>
            </w:pPr>
            <w:r w:rsidRPr="002A150B">
              <w:rPr>
                <w:noProof/>
                <w:color w:val="000000"/>
              </w:rPr>
              <w:t>Spania</w:t>
            </w:r>
          </w:p>
        </w:tc>
        <w:tc>
          <w:tcPr>
            <w:tcW w:w="977" w:type="pct"/>
            <w:shd w:val="clear" w:color="auto" w:fill="F2F2F2" w:themeFill="background1" w:themeFillShade="F2"/>
            <w:vAlign w:val="center"/>
            <w:hideMark/>
          </w:tcPr>
          <w:p w14:paraId="4994CC80" w14:textId="49DF6792" w:rsidR="00FA2C7D" w:rsidRPr="002A150B" w:rsidRDefault="00FA2C7D" w:rsidP="003A3D3A">
            <w:pPr>
              <w:pStyle w:val="CMR-tables"/>
              <w:keepNext/>
              <w:jc w:val="right"/>
              <w:rPr>
                <w:noProof/>
                <w:szCs w:val="24"/>
              </w:rPr>
            </w:pPr>
            <w:r w:rsidRPr="002A150B">
              <w:rPr>
                <w:noProof/>
                <w:color w:val="000000"/>
              </w:rPr>
              <w:t>228,8</w:t>
            </w:r>
          </w:p>
        </w:tc>
        <w:tc>
          <w:tcPr>
            <w:tcW w:w="977" w:type="pct"/>
            <w:shd w:val="clear" w:color="auto" w:fill="F2F2F2" w:themeFill="background1" w:themeFillShade="F2"/>
            <w:hideMark/>
          </w:tcPr>
          <w:p w14:paraId="6C762B4E" w14:textId="77777777" w:rsidR="00FA2C7D" w:rsidRPr="002A150B" w:rsidRDefault="00FA2C7D" w:rsidP="00D54832">
            <w:pPr>
              <w:pStyle w:val="CMR-tables"/>
              <w:keepNext/>
              <w:jc w:val="right"/>
              <w:rPr>
                <w:noProof/>
                <w:szCs w:val="24"/>
              </w:rPr>
            </w:pPr>
            <w:r w:rsidRPr="002A150B">
              <w:rPr>
                <w:noProof/>
                <w:color w:val="000000"/>
              </w:rPr>
              <w:t>185 </w:t>
            </w:r>
          </w:p>
        </w:tc>
        <w:tc>
          <w:tcPr>
            <w:tcW w:w="977" w:type="pct"/>
            <w:shd w:val="clear" w:color="auto" w:fill="F2F2F2" w:themeFill="background1" w:themeFillShade="F2"/>
            <w:hideMark/>
          </w:tcPr>
          <w:p w14:paraId="0C684341" w14:textId="4455A376" w:rsidR="00FA2C7D" w:rsidRPr="002A150B" w:rsidRDefault="00FA2C7D" w:rsidP="00D54832">
            <w:pPr>
              <w:pStyle w:val="CMR-tables"/>
              <w:keepNext/>
              <w:jc w:val="right"/>
              <w:rPr>
                <w:noProof/>
                <w:szCs w:val="24"/>
              </w:rPr>
            </w:pPr>
            <w:r w:rsidRPr="002A150B">
              <w:rPr>
                <w:noProof/>
                <w:color w:val="000000"/>
              </w:rPr>
              <w:t>3 186,8 </w:t>
            </w:r>
          </w:p>
        </w:tc>
        <w:tc>
          <w:tcPr>
            <w:tcW w:w="978" w:type="pct"/>
            <w:shd w:val="clear" w:color="auto" w:fill="F2F2F2" w:themeFill="background1" w:themeFillShade="F2"/>
            <w:hideMark/>
          </w:tcPr>
          <w:p w14:paraId="16E8C818" w14:textId="77777777" w:rsidR="00FA2C7D" w:rsidRPr="002A150B" w:rsidRDefault="00FA2C7D" w:rsidP="00D54832">
            <w:pPr>
              <w:pStyle w:val="CMR-tables"/>
              <w:keepNext/>
              <w:jc w:val="right"/>
              <w:rPr>
                <w:noProof/>
                <w:szCs w:val="24"/>
              </w:rPr>
            </w:pPr>
            <w:r w:rsidRPr="002A150B">
              <w:rPr>
                <w:noProof/>
                <w:color w:val="000000"/>
              </w:rPr>
              <w:t>7,2 % </w:t>
            </w:r>
          </w:p>
        </w:tc>
      </w:tr>
    </w:tbl>
    <w:p w14:paraId="6A6F92F2" w14:textId="2E4F7424" w:rsidR="00A363B5" w:rsidRPr="002A150B" w:rsidRDefault="00A363B5" w:rsidP="00A363B5">
      <w:pPr>
        <w:pStyle w:val="CMR-text"/>
        <w:rPr>
          <w:noProof/>
        </w:rPr>
      </w:pPr>
      <w:r w:rsidRPr="002A150B">
        <w:rPr>
          <w:noProof/>
        </w:rPr>
        <w:t xml:space="preserve">Statele membre care cheltuiesc mai mult de 25 % din veniturile pe care le-au obținut în urma licitării certificatelor de emisii pentru costurile indirecte în orice an au obligația de a publica un raport în care să explice motivele depășirii acestui prag. În 2023, majoritatea statelor membre au rămas cu mult sub acest prag. Cu toate acestea, cinci state membre au cheltuit peste 25 % din veniturile obținute în urma licitării certificatelor de emisii pentru plata costurilor indirecte: Austria, Belgia, Franța, Luxemburg și România. Justificările furnizate de aceste state membre sunt rezumate mai jos. </w:t>
      </w:r>
    </w:p>
    <w:p w14:paraId="698EF9CF" w14:textId="27CDC2B5" w:rsidR="002E6ACF" w:rsidRPr="002A150B" w:rsidRDefault="00A363B5" w:rsidP="00440155">
      <w:pPr>
        <w:pStyle w:val="CMR-text"/>
        <w:rPr>
          <w:noProof/>
        </w:rPr>
      </w:pPr>
      <w:r w:rsidRPr="002A150B">
        <w:rPr>
          <w:noProof/>
        </w:rPr>
        <w:t xml:space="preserve">Austria a raportat că în 2022 a fost adoptată o schemă temporară care permitea compensații de peste 25 % din cauza prețurilor ridicate la energie electrică și a invadării Ucrainei de către Rusia. În Belgia și Franța, proporția ridicată a plăților din veniturile obținute în urma licitării certificatelor a fost atribuită ponderii ridicate a producției de energie electrică cu emisii scăzute de dioxid de carbon din această țară, care a determinat obținerea de venituri relativ scăzute din licitații în comparație cu ponderea industriilor mari consumatoare de energie electrică. România a indicat că pragul de 25 % a fost depășit parțial din cauza creșterii prețului carbonului utilizat la calcularea plăților. </w:t>
      </w:r>
    </w:p>
    <w:p w14:paraId="4FEE014C" w14:textId="754049BF" w:rsidR="00A91F36" w:rsidRPr="002A150B" w:rsidRDefault="00A363B5" w:rsidP="00440155">
      <w:pPr>
        <w:pStyle w:val="CMR-text"/>
        <w:rPr>
          <w:noProof/>
          <w:highlight w:val="lightGray"/>
        </w:rPr>
      </w:pPr>
      <w:r w:rsidRPr="002A150B">
        <w:rPr>
          <w:noProof/>
        </w:rPr>
        <w:t>Cheltuielile Luxemburgului au depășit cu mult veniturile totale obținute de acest stat din licitarea certificatelor de emisii. Pe lângă faptul că plățile sale au crescut în 2023, creșterea ponderii veniturilor a fost atribuită și scăderii volumului licitat în Luxemburg ca urmare a utilizării certificatelor ETS pentru compensarea emisiilor în sectoarele care intră sub incidența Regulamentului privind partajarea eforturilor. Această practică este denumită „mecanismul de flexibilitate al Regulamentului privind partajarea eforturilor”</w:t>
      </w:r>
      <w:r w:rsidR="00456084" w:rsidRPr="002A150B">
        <w:rPr>
          <w:rStyle w:val="FootnoteReference"/>
          <w:noProof/>
        </w:rPr>
        <w:footnoteReference w:id="68"/>
      </w:r>
      <w:r w:rsidRPr="002A150B">
        <w:rPr>
          <w:noProof/>
        </w:rPr>
        <w:t>. Per ansamblu, în 2022 Luxemburg a obținut venituri cu 35 % mai mici decât în 2021. De asemenea, atât Luxemburg, cât și România au menționat că transferul de certificate în rezerva pentru stabilitatea pieței a contribuit la scăderea volumului certificatelor scoase la licitație.</w:t>
      </w:r>
    </w:p>
    <w:p w14:paraId="191EF956" w14:textId="1B43F4B9" w:rsidR="00613B80" w:rsidRPr="002A150B" w:rsidRDefault="00613B80" w:rsidP="00293F0C">
      <w:pPr>
        <w:pStyle w:val="CMR-Subheading"/>
        <w:rPr>
          <w:noProof/>
        </w:rPr>
      </w:pPr>
      <w:bookmarkStart w:id="58" w:name="_Toc180513405"/>
      <w:bookmarkStart w:id="59" w:name="_Toc189482440"/>
      <w:r w:rsidRPr="002A150B">
        <w:rPr>
          <w:noProof/>
        </w:rPr>
        <w:t>Fondul ETS pentru inovare</w:t>
      </w:r>
      <w:bookmarkEnd w:id="58"/>
      <w:bookmarkEnd w:id="59"/>
      <w:r w:rsidRPr="002A150B">
        <w:rPr>
          <w:noProof/>
        </w:rPr>
        <w:t xml:space="preserve"> </w:t>
      </w:r>
    </w:p>
    <w:p w14:paraId="7AC6640E" w14:textId="212F5E24" w:rsidR="00B66305" w:rsidRPr="002A150B" w:rsidRDefault="75E7290C" w:rsidP="00B66305">
      <w:pPr>
        <w:pStyle w:val="CMR-text"/>
        <w:rPr>
          <w:rFonts w:cs="Times New Roman"/>
          <w:noProof/>
        </w:rPr>
      </w:pPr>
      <w:r w:rsidRPr="002A150B">
        <w:rPr>
          <w:noProof/>
        </w:rPr>
        <w:t>Fondul pentru inovare, finanțat integral din EU ETS, este unul dintre cele mai mari programe de finanțare din lume pentru implementarea de soluții și tehnologii inovatoare cu emisii de carbon scăzute și zero în domeniul energiei, al industriei și al mobilității neutre climatic. Fondul oferă granturi pentru proiecte care vizează comercializarea tehnologiilor inovatoare cu emisii scăzute de carbon și introducerea de soluții industriale pe piață pentru decarbonizarea Europei și sprijinirea tranziției către neutralitatea climatică. Având un buget disponibil estimat la 40 de miliarde EUR (pe baza unui preț al carbonului de 75 EUR/tCO</w:t>
      </w:r>
      <w:r w:rsidRPr="002A150B">
        <w:rPr>
          <w:noProof/>
          <w:vertAlign w:val="subscript"/>
        </w:rPr>
        <w:t>2</w:t>
      </w:r>
      <w:r w:rsidRPr="002A150B">
        <w:rPr>
          <w:noProof/>
        </w:rPr>
        <w:t xml:space="preserve">), Fondul pentru inovare a lansat opt cereri de propuneri începând din 2020, dintre care una pentru licitații în cadrul Băncii Europene pentru Hidrogen. </w:t>
      </w:r>
    </w:p>
    <w:p w14:paraId="277D1AB3" w14:textId="4B063B41" w:rsidR="00FD4030" w:rsidRPr="002A150B" w:rsidRDefault="1FD90103" w:rsidP="00BF11CB">
      <w:pPr>
        <w:pStyle w:val="CMR-text"/>
        <w:rPr>
          <w:rFonts w:cs="Times New Roman"/>
          <w:noProof/>
        </w:rPr>
      </w:pPr>
      <w:r w:rsidRPr="002A150B">
        <w:rPr>
          <w:noProof/>
        </w:rPr>
        <w:t>Comisia prezintă separat rapoarte mai detaliate cu privire la punerea în aplicare a Fondului pentru inovare. Cel de al doilea raport intermediar privind punerea în aplicare a Fondului pentru inovare este așteptat în T4 2024</w:t>
      </w:r>
      <w:r w:rsidR="00FD4030" w:rsidRPr="002A150B">
        <w:rPr>
          <w:rStyle w:val="FootnoteReference"/>
          <w:rFonts w:cs="Times New Roman"/>
          <w:noProof/>
        </w:rPr>
        <w:footnoteReference w:id="69"/>
      </w:r>
      <w:r w:rsidRPr="002A150B">
        <w:rPr>
          <w:noProof/>
        </w:rPr>
        <w:t>.</w:t>
      </w:r>
    </w:p>
    <w:p w14:paraId="0575FCC7" w14:textId="4D004F89" w:rsidR="00FD4030" w:rsidRPr="002A150B" w:rsidRDefault="1C059D11" w:rsidP="00BF11CB">
      <w:pPr>
        <w:pStyle w:val="CMR-text"/>
        <w:rPr>
          <w:rFonts w:cs="Times New Roman"/>
          <w:noProof/>
        </w:rPr>
      </w:pPr>
      <w:r w:rsidRPr="002A150B">
        <w:rPr>
          <w:noProof/>
        </w:rPr>
        <w:t>În urma rundei de cereri de propuneri din 2022, au fost semnate acorduri de grant pentru 39 de proiecte la scară mare și 15 proiecte la scară mică. Peste 3,5 miliarde EUR vor finanța inovarea, de exemplu în industriile energointensive, în producția de hidrogen, în producția de energie din surse regenerabile și în fabricarea de componente pentru stocarea energiei și energia din surse regenerabile, și vor contribui la promovarea decarbonizării în 17</w:t>
      </w:r>
      <w:r w:rsidRPr="002A150B">
        <w:rPr>
          <w:noProof/>
          <w:color w:val="D13438"/>
          <w:sz w:val="22"/>
        </w:rPr>
        <w:t xml:space="preserve"> </w:t>
      </w:r>
      <w:r w:rsidRPr="002A150B">
        <w:rPr>
          <w:noProof/>
        </w:rPr>
        <w:t>țări</w:t>
      </w:r>
      <w:r w:rsidR="00FD4030" w:rsidRPr="002A150B">
        <w:rPr>
          <w:rStyle w:val="FootnoteReference"/>
          <w:rFonts w:eastAsia="Times New Roman" w:cs="Times New Roman"/>
          <w:noProof/>
          <w:color w:val="333333"/>
        </w:rPr>
        <w:footnoteReference w:id="70"/>
      </w:r>
      <w:r w:rsidRPr="002A150B">
        <w:rPr>
          <w:noProof/>
        </w:rPr>
        <w:t>. Aproximativ 55 de milioane EUR vor finanța inovarea la scară mică în mai multe sectoare greu de decarbonizat, cum ar fi cel al biocombustibililor, al sticlei și ceramicii, al cimentului, al stocării energiei și al surselor regenerabile de energie</w:t>
      </w:r>
      <w:r w:rsidR="00FD4030" w:rsidRPr="002A150B">
        <w:rPr>
          <w:rStyle w:val="FootnoteReference"/>
          <w:rFonts w:eastAsia="Times New Roman" w:cs="Times New Roman"/>
          <w:noProof/>
          <w:color w:val="333333"/>
        </w:rPr>
        <w:footnoteReference w:id="71"/>
      </w:r>
      <w:r w:rsidRPr="002A150B">
        <w:rPr>
          <w:noProof/>
        </w:rPr>
        <w:t>.</w:t>
      </w:r>
    </w:p>
    <w:p w14:paraId="1A6F172B" w14:textId="36BA20C8" w:rsidR="00FD4030" w:rsidRPr="002A150B" w:rsidRDefault="1FD90103" w:rsidP="00BF11CB">
      <w:pPr>
        <w:pStyle w:val="CMR-text"/>
        <w:rPr>
          <w:rFonts w:cs="Times New Roman"/>
          <w:noProof/>
        </w:rPr>
      </w:pPr>
      <w:r w:rsidRPr="002A150B">
        <w:rPr>
          <w:noProof/>
        </w:rPr>
        <w:t>În urma sprijinirii unor proiecte în Danemarca, Grecia, Ungaria și Letonia, echilibrul sectorial și geografic al Fondului pentru inovare s-a îmbunătățit și mai mult. În iunie 2024, portofoliul total al Fondului pentru inovare număra 127 de proiecte fie în derulare, fie în curs de întocmire a unui acord de grant, contribuția EU ETS fiind de 7,35 miliarde EUR</w:t>
      </w:r>
      <w:r w:rsidR="00FD4030" w:rsidRPr="002A150B">
        <w:rPr>
          <w:rStyle w:val="FootnoteReference"/>
          <w:rFonts w:eastAsia="Times New Roman" w:cs="Times New Roman"/>
          <w:noProof/>
          <w:color w:val="333333"/>
        </w:rPr>
        <w:footnoteReference w:id="72"/>
      </w:r>
      <w:r w:rsidRPr="002A150B">
        <w:rPr>
          <w:noProof/>
        </w:rPr>
        <w:t>. Se estimează că, până la finalizare, aceste proiecte vor realiza economii de emisii de aproximativ 457 Mt de echivalent CO</w:t>
      </w:r>
      <w:r w:rsidRPr="002A150B">
        <w:rPr>
          <w:noProof/>
          <w:vertAlign w:val="subscript"/>
        </w:rPr>
        <w:t>2</w:t>
      </w:r>
      <w:r w:rsidRPr="002A150B">
        <w:rPr>
          <w:noProof/>
        </w:rPr>
        <w:t xml:space="preserve"> în primii 10 ani de funcționare.</w:t>
      </w:r>
    </w:p>
    <w:p w14:paraId="32D87AEE" w14:textId="0D3DFF33" w:rsidR="00FD4030" w:rsidRPr="002A150B" w:rsidRDefault="1FD90103" w:rsidP="00BF11CB">
      <w:pPr>
        <w:pStyle w:val="CMR-text"/>
        <w:rPr>
          <w:rFonts w:cs="Times New Roman"/>
          <w:noProof/>
        </w:rPr>
      </w:pPr>
      <w:r w:rsidRPr="002A150B">
        <w:rPr>
          <w:noProof/>
        </w:rPr>
        <w:t>Pentru aceste proiecte, stimulentul reprezentat de prețul carbonului în cadrul EU ETS este mult mai mare decât cuantumul finanțării provenite din EU ETS. De exemplu, până în prezent avantajul dat de evitarea costului carbonului în scenariile economice ale întreprinderilor care au primit finanțare pentru proiecte prin Fondul pentru inovare este de aproximativ 34 de miliarde EUR (costurile carbonului evitate ca urmare a reducerii emisiilor, la un preț mediu al carbonului de 75 EUR/tCO</w:t>
      </w:r>
      <w:r w:rsidRPr="002A150B">
        <w:rPr>
          <w:noProof/>
          <w:vertAlign w:val="subscript"/>
        </w:rPr>
        <w:t>2</w:t>
      </w:r>
      <w:r w:rsidRPr="002A150B">
        <w:rPr>
          <w:noProof/>
        </w:rPr>
        <w:t>). Acest lucru reflectă logica EU ETS, conform căreia prețul carbonului reprezintă principalul stimulent pe termen lung, iar Fondul pentru inovare completează acest stimulent pentru a accelera schimbarea</w:t>
      </w:r>
      <w:r w:rsidR="00FD4030" w:rsidRPr="002A150B">
        <w:rPr>
          <w:rStyle w:val="FootnoteReference"/>
          <w:rFonts w:cs="Times New Roman"/>
          <w:noProof/>
        </w:rPr>
        <w:footnoteReference w:id="73"/>
      </w:r>
      <w:r w:rsidRPr="002A150B">
        <w:rPr>
          <w:noProof/>
        </w:rPr>
        <w:t>.</w:t>
      </w:r>
    </w:p>
    <w:p w14:paraId="35F0B9AE" w14:textId="610F96F1" w:rsidR="00FD4030" w:rsidRPr="002A150B" w:rsidRDefault="00FD4030" w:rsidP="00BF11CB">
      <w:pPr>
        <w:pStyle w:val="CMR-text"/>
        <w:rPr>
          <w:rFonts w:cs="Times New Roman"/>
          <w:noProof/>
        </w:rPr>
      </w:pPr>
      <w:r w:rsidRPr="002A150B">
        <w:rPr>
          <w:noProof/>
        </w:rPr>
        <w:t>În paralel, 27 de proiecte care nu au fost selectate în cadrul celei de a treia runde de cereri de propuneri (atât la scară mare, cât și la scară mică) au fost selectate pentru a beneficia de asistență pentru dezvoltare prin Fondul pentru inovare. De la începutul programului, 70 de proiecte au primit asistență pentru dezvoltarea proiectului, creându-se o rezervă solidă de propuneri viitoare de bună calitate. Acest sprijin se ridică la 24 de milioane EUR și este furnizat de Banca Europeană de Investiții (BEI).</w:t>
      </w:r>
    </w:p>
    <w:p w14:paraId="43B02EBC" w14:textId="62B261AD" w:rsidR="00517743" w:rsidRPr="002A150B" w:rsidRDefault="5DE95E4B" w:rsidP="67696D88">
      <w:pPr>
        <w:pStyle w:val="CMR-text"/>
        <w:rPr>
          <w:rFonts w:cs="Times New Roman"/>
          <w:noProof/>
        </w:rPr>
      </w:pPr>
      <w:r w:rsidRPr="002A150B">
        <w:rPr>
          <w:noProof/>
        </w:rPr>
        <w:t xml:space="preserve">Cererea de propuneri a Fondului pentru inovare pentru tehnologii neutre climatic din 2023 (cererea de propuneri IF23 NZT) s-a încheiat la 9 aprilie 2024, după primirea a 337 de propuneri. Temele specifice abordate în cerere au fost producerea de tehnologii curate și testarea lor în proiecte-pilot, pe lângă trei teme generale privind decarbonizarea, organizate în proiecte la scară mică, medie și mare. Cererea de propuneri IF23 NZT reflectă deja extinderea aplicării schemei de comercializare a certificatelor de emisii la sectorul clădirilor, al transportului rutier și, în special, la sectorul maritim, prevăzând dispoziții specifice privind accelerarea decarbonizării acestuia, inclusiv în ceea ce privește producția și utilizarea combustibililor din surse regenerabile și cu emisii scăzute de dioxid de carbon. </w:t>
      </w:r>
    </w:p>
    <w:p w14:paraId="466CCDC2" w14:textId="3CE3DDD1" w:rsidR="00FD4030" w:rsidRPr="002A150B" w:rsidRDefault="03E84AB1" w:rsidP="67696D88">
      <w:pPr>
        <w:pStyle w:val="CMR-text"/>
        <w:rPr>
          <w:rFonts w:cs="Times New Roman"/>
          <w:noProof/>
        </w:rPr>
      </w:pPr>
      <w:r w:rsidRPr="002A150B">
        <w:rPr>
          <w:noProof/>
        </w:rPr>
        <w:t>Rezultatele cererii de propuneri IF23 NZT sunt așteptate în T4-2024, iar acordurile de grant urmează să fie semnate la începutul anului 2025. Vor fi puse la dispoziție aproximativ 4 miliarde EUR pentru finanțarea tehnologiilor inovatoare cu emisii scăzute de dioxid de carbon și neutre climatic. Pentru prima dată, proiectele care îndeplinesc pragurile minime pentru toate criteriile de atribuire vor primi marca STEP (platforma Tehnologii strategice pentru Europa), introdusă prin Regulamentul STEP [Regulamentul (UE) 2024/795]</w:t>
      </w:r>
      <w:r w:rsidR="00C5385C" w:rsidRPr="002A150B">
        <w:rPr>
          <w:rStyle w:val="FootnoteReference"/>
          <w:rFonts w:cs="Times New Roman"/>
          <w:noProof/>
        </w:rPr>
        <w:footnoteReference w:id="74"/>
      </w:r>
      <w:r w:rsidRPr="002A150B">
        <w:rPr>
          <w:noProof/>
        </w:rPr>
        <w:t xml:space="preserve">. Această marcă este eticheta de calitate a UE acordată proiectelor de înaltă calitate care contribuie la obiectivele STEP. În cazul proiectelor respective, ea va facilita accesul la finanțare din partea statelor membre. </w:t>
      </w:r>
    </w:p>
    <w:p w14:paraId="5084E8DB" w14:textId="5F6B2EDB" w:rsidR="00E5475B" w:rsidRPr="002A150B" w:rsidRDefault="004B6B52">
      <w:pPr>
        <w:pStyle w:val="CMR-text"/>
        <w:rPr>
          <w:rFonts w:cs="Times New Roman"/>
          <w:noProof/>
        </w:rPr>
      </w:pPr>
      <w:r w:rsidRPr="002A150B">
        <w:rPr>
          <w:noProof/>
        </w:rPr>
        <w:t>Revizuirea din 2023 a Directivei EU ETS a introdus proceduri de ofertare concurențiale („licitații”) în cadrul Fondului pentru inovare, iar în perioada 23 noiembrie 2023-8 februarie 2024 (licitația IF23) s-a desfășurat prima licitație-pilot pentru producția de combustibili din surse regenerabile de origine nebiologică (H</w:t>
      </w:r>
      <w:r w:rsidRPr="002A150B">
        <w:rPr>
          <w:noProof/>
          <w:vertAlign w:val="subscript"/>
        </w:rPr>
        <w:t>2</w:t>
      </w:r>
      <w:r w:rsidRPr="002A150B">
        <w:rPr>
          <w:noProof/>
        </w:rPr>
        <w:t xml:space="preserve"> RFNBO). Licitația IF23 a atras 132 de oferte din 17 țări de pe tot cuprinsul Europei, bugetul solicitat fiind de 15 ori mai mare decât cel disponibil, ceea ce indică o suprasubscriere semnificativă. Rezultatele evaluării au fost publicate la sfârșitul lunii aprilie 2024. </w:t>
      </w:r>
    </w:p>
    <w:p w14:paraId="5FDB3407" w14:textId="12FFF60B" w:rsidR="00FD4030" w:rsidRPr="002A150B" w:rsidRDefault="74513E20" w:rsidP="000E65FB">
      <w:pPr>
        <w:pStyle w:val="CMR-text"/>
        <w:rPr>
          <w:rFonts w:cs="Times New Roman"/>
          <w:noProof/>
        </w:rPr>
      </w:pPr>
      <w:r w:rsidRPr="002A150B">
        <w:rPr>
          <w:noProof/>
        </w:rPr>
        <w:t>În cadrul licitației IF23 au fost selectate șapte oferte pentru pregătirea acordului de grant, contribuțiile din partea UE ridicându-se în total la 720 de milioane EUR</w:t>
      </w:r>
      <w:r w:rsidR="00926A02" w:rsidRPr="002A150B">
        <w:rPr>
          <w:rStyle w:val="FootnoteReference"/>
          <w:rFonts w:cs="Times New Roman"/>
          <w:noProof/>
        </w:rPr>
        <w:footnoteReference w:id="75"/>
      </w:r>
      <w:r w:rsidRPr="002A150B">
        <w:rPr>
          <w:noProof/>
        </w:rPr>
        <w:t>. Proiectele selectate au prezentat cereri cuprinse între 0,37 EUR și 0,48 EUR pe kilogram de H</w:t>
      </w:r>
      <w:r w:rsidRPr="002A150B">
        <w:rPr>
          <w:noProof/>
          <w:vertAlign w:val="subscript"/>
        </w:rPr>
        <w:t>2</w:t>
      </w:r>
      <w:r w:rsidRPr="002A150B">
        <w:rPr>
          <w:noProof/>
        </w:rPr>
        <w:t xml:space="preserve"> RFNBO produs. Pe baza modelului de tip „pay-as-bid” al licitației-pilot, aceste proiecte vor primi din partea Fondului pentru inovare granturi cuprinse între 8 milioane EUR și 245 de milioane EUR. Se preconizează că acordurile de grant vor fi semnate în octombrie 2024. </w:t>
      </w:r>
    </w:p>
    <w:p w14:paraId="30428CFF" w14:textId="24120B1C" w:rsidR="00FD4030" w:rsidRPr="002A150B" w:rsidRDefault="5DE95E4B" w:rsidP="000E65FB">
      <w:pPr>
        <w:pStyle w:val="CMR-text"/>
        <w:rPr>
          <w:rFonts w:cs="Times New Roman"/>
          <w:noProof/>
        </w:rPr>
      </w:pPr>
      <w:r w:rsidRPr="002A150B">
        <w:rPr>
          <w:noProof/>
        </w:rPr>
        <w:t xml:space="preserve">Prin această primă licitație-pilot, Fondul pentru inovare a testat și funcția de „licitație ca serviciu”, permițând țărilor SEE să utilizeze licitația Fondului pentru inovare pentru a aloca fonduri naționale suplimentare proiectelor interne care nu se încadrau în bugetul de licitație al Fondului pentru inovare. Germania a contribuit cu 350 de milioane EUR la o componentă națională de finanțare din cadrul licitației-pilot. În mod similar, DG Politici Climatice colaborează îndeaproape cu DG Concurență pentru a crea o funcție similară destinată cererilor de propuneri obișnuite, denumită „granturi ca serviciu”. Ambele funcții dau țărilor SEE posibilitatea de a valorifica procedurile de evaluare consacrate ale Fondului pentru inovare și de a evita sarcinile administrative inutile asociate dezvoltării și derulării unor noi scheme de sprijin pentru aceleași tehnologii. </w:t>
      </w:r>
    </w:p>
    <w:p w14:paraId="25266B21" w14:textId="568647B3" w:rsidR="00613B80" w:rsidRPr="002A150B" w:rsidRDefault="00613B80" w:rsidP="002C03CF">
      <w:pPr>
        <w:pStyle w:val="CMR-Subheading"/>
        <w:rPr>
          <w:noProof/>
        </w:rPr>
      </w:pPr>
      <w:bookmarkStart w:id="62" w:name="_Toc180513406"/>
      <w:bookmarkStart w:id="63" w:name="_Toc189482441"/>
      <w:r w:rsidRPr="002A150B">
        <w:rPr>
          <w:noProof/>
        </w:rPr>
        <w:t>Fondul ETS pentru modernizare</w:t>
      </w:r>
      <w:bookmarkEnd w:id="62"/>
      <w:bookmarkEnd w:id="63"/>
    </w:p>
    <w:p w14:paraId="594A88ED" w14:textId="5FE2DC7F" w:rsidR="006F078C" w:rsidRPr="002A150B" w:rsidRDefault="006F078C" w:rsidP="002C03CF">
      <w:pPr>
        <w:pStyle w:val="CMR-text"/>
        <w:rPr>
          <w:noProof/>
        </w:rPr>
      </w:pPr>
      <w:r w:rsidRPr="002A150B">
        <w:rPr>
          <w:noProof/>
        </w:rPr>
        <w:t>Fondul pentru modernizare este un program de solidaritate finanțat din EU ETS. Acesta ajută 10 state membre cu venituri mai mici</w:t>
      </w:r>
      <w:r w:rsidRPr="002A150B">
        <w:rPr>
          <w:rStyle w:val="FootnoteReference"/>
          <w:rFonts w:cs="Times New Roman"/>
          <w:noProof/>
        </w:rPr>
        <w:footnoteReference w:id="76"/>
      </w:r>
      <w:r w:rsidRPr="002A150B">
        <w:rPr>
          <w:noProof/>
        </w:rPr>
        <w:t xml:space="preserve"> și, începând din 2024, 13 state membre cu venituri mai mici</w:t>
      </w:r>
      <w:r w:rsidR="0069737E" w:rsidRPr="002A150B">
        <w:rPr>
          <w:rStyle w:val="FootnoteReference"/>
          <w:noProof/>
        </w:rPr>
        <w:footnoteReference w:id="77"/>
      </w:r>
      <w:r w:rsidRPr="002A150B">
        <w:rPr>
          <w:noProof/>
        </w:rPr>
        <w:t xml:space="preserve"> să își îndeplinească obiectivele în materie de climă și energie pentru 2030, contribuind la implementarea de proiecte care modernizează sistemele energetice și îmbunătățesc eficiența energetică. Bugetul fondului provine din vânzarea prin licitație a unei cote din plafonul EU ETS (corespunzând unui număr de 438 de milioane de certificate), alocată între statele membre beneficiare conform unei chei de repartizare fixe</w:t>
      </w:r>
      <w:r w:rsidRPr="002A150B">
        <w:rPr>
          <w:rStyle w:val="FootnoteReference"/>
          <w:rFonts w:cs="Times New Roman"/>
          <w:noProof/>
        </w:rPr>
        <w:footnoteReference w:id="78"/>
      </w:r>
      <w:r w:rsidRPr="002A150B">
        <w:rPr>
          <w:noProof/>
        </w:rPr>
        <w:t>. În plus, șase state membre beneficiare au transferat 320 de milioane de certificate din faza 3 a EU ETS (2013-2020) către Fondul pentru modernizare. Astfel, dimensiunea sa totală se ridică la peste 750 de milioane de certificate, adică 56 de miliarde EUR în perioada 2021-2030, presupunând un preț mediu al carbonului de 75</w:t>
      </w:r>
      <w:r w:rsidR="00E0234F">
        <w:rPr>
          <w:noProof/>
        </w:rPr>
        <w:t> </w:t>
      </w:r>
      <w:r w:rsidRPr="002A150B">
        <w:rPr>
          <w:noProof/>
        </w:rPr>
        <w:t>EUR/tCO</w:t>
      </w:r>
      <w:r w:rsidRPr="002A150B">
        <w:rPr>
          <w:noProof/>
          <w:vertAlign w:val="subscript"/>
        </w:rPr>
        <w:t>2</w:t>
      </w:r>
      <w:r w:rsidRPr="002A150B">
        <w:rPr>
          <w:noProof/>
        </w:rPr>
        <w:t>.</w:t>
      </w:r>
      <w:r w:rsidRPr="002A150B">
        <w:rPr>
          <w:noProof/>
          <w:vertAlign w:val="subscript"/>
        </w:rPr>
        <w:t xml:space="preserve"> </w:t>
      </w:r>
    </w:p>
    <w:p w14:paraId="1B73E050" w14:textId="0912730D" w:rsidR="006F078C" w:rsidRPr="002A150B" w:rsidRDefault="00C33D98" w:rsidP="002C03CF">
      <w:pPr>
        <w:pStyle w:val="CMR-text"/>
        <w:rPr>
          <w:noProof/>
        </w:rPr>
      </w:pPr>
      <w:r w:rsidRPr="002A150B">
        <w:rPr>
          <w:noProof/>
        </w:rPr>
        <w:t>Deși selectează investițiile pe care doresc să le sprijine, statele membre trebuie să utilizeze cea mai mare parte a resurselor care le sunt alocate în cadrul fondului pentru investiții prioritare. Printre acestea se numără producerea și utilizarea energiei electrice din surse regenerabile, încălzirea și răcirea, eficiența energetică, stocarea și modernizarea rețelelor energetice, sprijinirea gospodăriilor cu venituri mici în vederea combaterii sărăciei energetice și acțiuni pentru o tranziție justă în regiunile dependente de combustibili fosili. Propunerile de investiții sunt evaluate de BEI. Comisia ia o decizie de plată de îndată ce BEI confirmă o investiție ca fiind prioritară sau recomandă finanțarea de către Comitetul pentru investiții al fondului ca investiție neprioritară. Deciziile de plată sunt emise în două cicluri în fiecare an și acoperă investiții în toate statele membre beneficiare.</w:t>
      </w:r>
    </w:p>
    <w:p w14:paraId="23883846" w14:textId="252C4932" w:rsidR="0011429F" w:rsidRPr="002A150B" w:rsidRDefault="2887EC8D" w:rsidP="002C03CF">
      <w:pPr>
        <w:pStyle w:val="CMR-text"/>
        <w:rPr>
          <w:noProof/>
        </w:rPr>
      </w:pPr>
      <w:r w:rsidRPr="002A150B">
        <w:rPr>
          <w:noProof/>
        </w:rPr>
        <w:t xml:space="preserve">Începând din ianuarie 2021, au fost confirmate 176 de scheme și proiecte individuale care au primit în total 12,7 miliarde EUR, sumă care a fost plătită statelor membre beneficiare. Aceste inițiative se referă în principal la energia electrică din surse regenerabile, la eficiența energetică, la stocarea energiei și la modernizarea rețelelor energetice. </w:t>
      </w:r>
      <w:r w:rsidR="00EC19C3" w:rsidRPr="002A150B">
        <w:rPr>
          <w:noProof/>
        </w:rPr>
        <w:fldChar w:fldCharType="begin"/>
      </w:r>
      <w:r w:rsidR="00EC19C3" w:rsidRPr="002A150B">
        <w:rPr>
          <w:noProof/>
        </w:rPr>
        <w:instrText xml:space="preserve"> REF _Ref180763636 \h </w:instrText>
      </w:r>
      <w:r w:rsidR="00EC19C3" w:rsidRPr="002A150B">
        <w:rPr>
          <w:noProof/>
        </w:rPr>
      </w:r>
      <w:r w:rsidR="00EC19C3" w:rsidRPr="002A150B">
        <w:rPr>
          <w:noProof/>
        </w:rPr>
        <w:fldChar w:fldCharType="separate"/>
      </w:r>
      <w:r w:rsidR="00411CDC" w:rsidRPr="002A150B">
        <w:rPr>
          <w:noProof/>
        </w:rPr>
        <w:t>Tab</w:t>
      </w:r>
      <w:r w:rsidR="00EC1777" w:rsidRPr="002A150B">
        <w:rPr>
          <w:noProof/>
        </w:rPr>
        <w:t>elul</w:t>
      </w:r>
      <w:r w:rsidR="00411CDC" w:rsidRPr="002A150B">
        <w:rPr>
          <w:noProof/>
        </w:rPr>
        <w:t xml:space="preserve"> 7</w:t>
      </w:r>
      <w:r w:rsidR="00EC19C3" w:rsidRPr="002A150B">
        <w:rPr>
          <w:noProof/>
        </w:rPr>
        <w:fldChar w:fldCharType="end"/>
      </w:r>
      <w:r w:rsidRPr="002A150B">
        <w:rPr>
          <w:noProof/>
        </w:rPr>
        <w:t xml:space="preserve"> prezintă sumele plătite pentru fiecare stat membru. </w:t>
      </w:r>
    </w:p>
    <w:p w14:paraId="3BF8A088" w14:textId="4CC13CD7" w:rsidR="0064552C" w:rsidRPr="002A150B" w:rsidRDefault="6F920625" w:rsidP="002C03CF">
      <w:pPr>
        <w:pStyle w:val="CMR-text"/>
        <w:rPr>
          <w:noProof/>
        </w:rPr>
      </w:pPr>
      <w:r w:rsidRPr="002A150B">
        <w:rPr>
          <w:noProof/>
        </w:rPr>
        <w:t>În iunie 2024, Comisia a adoptat cea de a șaptea decizie de plată</w:t>
      </w:r>
      <w:r w:rsidR="006F078C" w:rsidRPr="002A150B">
        <w:rPr>
          <w:rStyle w:val="FootnoteReference"/>
          <w:rFonts w:cs="Times New Roman"/>
          <w:noProof/>
        </w:rPr>
        <w:footnoteReference w:id="79"/>
      </w:r>
      <w:r w:rsidRPr="002A150B">
        <w:rPr>
          <w:noProof/>
        </w:rPr>
        <w:t xml:space="preserve"> în cadrul Fondul pentru modernizare, a doua ca mărime din 2021. Pe această bază, BEI a efectuat plăți în sumă totală de 2,9 miliarde EUR către zece state membre beneficiare</w:t>
      </w:r>
      <w:r w:rsidR="006F078C" w:rsidRPr="002A150B">
        <w:rPr>
          <w:rStyle w:val="FootnoteReference"/>
          <w:rFonts w:cs="Times New Roman"/>
          <w:noProof/>
        </w:rPr>
        <w:footnoteReference w:id="80"/>
      </w:r>
      <w:r w:rsidRPr="002A150B">
        <w:rPr>
          <w:noProof/>
        </w:rPr>
        <w:t xml:space="preserve">, în vederea finanțării a 39 de propuneri de investiții. Proiectele includ sprijinirea gospodăriilor pentru achiziționarea și instalarea de noi sisteme fotovoltaice în Cehia și scheme de sprijinire a contractelor pentru diferență destinate producției de energie electrică din surse regenerabile în România. </w:t>
      </w:r>
    </w:p>
    <w:p w14:paraId="6F679527" w14:textId="2F0FE63B" w:rsidR="00DB11ED" w:rsidRPr="002A150B" w:rsidRDefault="6F920625" w:rsidP="00DB11ED">
      <w:pPr>
        <w:pStyle w:val="CMR-text"/>
        <w:rPr>
          <w:noProof/>
        </w:rPr>
      </w:pPr>
      <w:r w:rsidRPr="002A150B">
        <w:rPr>
          <w:noProof/>
        </w:rPr>
        <w:t xml:space="preserve">În cadrul unei alte rundă de propuneri a Fondului pentru modernizare s-au putut primi propuneri până la 13 august 2024 pentru proiectele neprioritare și până la 10 septembrie 2024 pentru proiectele prioritare. </w:t>
      </w:r>
    </w:p>
    <w:p w14:paraId="5BBEBFD3" w14:textId="2D411A0C" w:rsidR="006F078C" w:rsidRPr="002A150B" w:rsidRDefault="00DB11ED" w:rsidP="002C03CF">
      <w:pPr>
        <w:pStyle w:val="CMR-text"/>
        <w:rPr>
          <w:noProof/>
        </w:rPr>
      </w:pPr>
      <w:r w:rsidRPr="002A150B">
        <w:rPr>
          <w:noProof/>
        </w:rPr>
        <w:t>Revizuirea Directivei EU ETS a adus modificări importante dimensiunii și guvernanței Fondului pentru modernizare. Dimensiunea fondului a fost majorată cu 110 milioane de certificate. Această sumă suplimentară este împărțită între 13 state membre beneficiare – cei 10 beneficiari inițiali plus Grecia, Portugalia și Slovenia. O parte mai mare a resurselor din cadrul fondului a fost alocată listei de investiții prioritare, care a fost extinsă pentru a include încălzirea din surse regenerabile și tranziția justă în regiunile dependente de carbon. Investițiile care implică gaze au făcut obiectul unei serii de restricții. Începând din 2025, investițiile trebuie să respecte inclusiv cerința de „a nu aduce prejudicii semnificative” prevăzută în Regulamentul privind taxonomia. Având în vedere revizuirea, Regulamentul privind Fondul pentru modernizare [Regulamentul de punere în aplicare (UE) 2020/1001]</w:t>
      </w:r>
      <w:r w:rsidRPr="002A150B">
        <w:rPr>
          <w:rStyle w:val="FootnoteReference"/>
          <w:rFonts w:cs="Times New Roman"/>
          <w:noProof/>
        </w:rPr>
        <w:footnoteReference w:id="81"/>
      </w:r>
      <w:r w:rsidRPr="002A150B">
        <w:rPr>
          <w:noProof/>
        </w:rPr>
        <w:t xml:space="preserve"> a fost modificat. Acesta a intrat în vigoare la 1 ianuarie 2024.</w:t>
      </w:r>
    </w:p>
    <w:p w14:paraId="50E8AB08" w14:textId="0CDD2D5F" w:rsidR="00C00C56" w:rsidRPr="002A150B" w:rsidRDefault="35762C1E" w:rsidP="00450FAB">
      <w:pPr>
        <w:pStyle w:val="Caption"/>
        <w:keepNext/>
        <w:rPr>
          <w:noProof/>
        </w:rPr>
      </w:pPr>
      <w:bookmarkStart w:id="64" w:name="_Ref180763636"/>
      <w:r w:rsidRPr="002A150B">
        <w:rPr>
          <w:noProof/>
        </w:rPr>
        <w:t>Tabelul 7</w:t>
      </w:r>
      <w:bookmarkEnd w:id="64"/>
      <w:r w:rsidRPr="002A150B">
        <w:rPr>
          <w:noProof/>
        </w:rPr>
        <w:t>. Totalul plăților din Fondul pentru modernizare (de la 1 ianuarie 2021 la 30 iunie 2024)</w:t>
      </w:r>
    </w:p>
    <w:tbl>
      <w:tblPr>
        <w:tblStyle w:val="TableGridLight"/>
        <w:tblW w:w="4507" w:type="dxa"/>
        <w:jc w:val="center"/>
        <w:tblLayout w:type="fixed"/>
        <w:tblLook w:val="04A0" w:firstRow="1" w:lastRow="0" w:firstColumn="1" w:lastColumn="0" w:noHBand="0" w:noVBand="1"/>
      </w:tblPr>
      <w:tblGrid>
        <w:gridCol w:w="2253"/>
        <w:gridCol w:w="2254"/>
      </w:tblGrid>
      <w:tr w:rsidR="007976BD" w:rsidRPr="002A150B" w14:paraId="216E6163" w14:textId="77777777" w:rsidTr="00A0384F">
        <w:trPr>
          <w:trHeight w:val="334"/>
          <w:jc w:val="center"/>
        </w:trPr>
        <w:tc>
          <w:tcPr>
            <w:tcW w:w="2253" w:type="dxa"/>
            <w:noWrap/>
            <w:vAlign w:val="center"/>
            <w:hideMark/>
          </w:tcPr>
          <w:p w14:paraId="3D179DEA" w14:textId="77777777" w:rsidR="007976BD" w:rsidRPr="002A150B" w:rsidRDefault="007976BD" w:rsidP="00CE0416">
            <w:pPr>
              <w:pStyle w:val="CMR-tables"/>
              <w:keepNext/>
              <w:jc w:val="center"/>
              <w:rPr>
                <w:b/>
                <w:noProof/>
              </w:rPr>
            </w:pPr>
            <w:r w:rsidRPr="002A150B">
              <w:rPr>
                <w:b/>
                <w:noProof/>
              </w:rPr>
              <w:t>Statul membru beneficiar</w:t>
            </w:r>
          </w:p>
        </w:tc>
        <w:tc>
          <w:tcPr>
            <w:tcW w:w="2254" w:type="dxa"/>
            <w:noWrap/>
            <w:vAlign w:val="center"/>
            <w:hideMark/>
          </w:tcPr>
          <w:p w14:paraId="4E11F199" w14:textId="387E3047" w:rsidR="007976BD" w:rsidRPr="002A150B" w:rsidRDefault="007976BD" w:rsidP="00CE0416">
            <w:pPr>
              <w:pStyle w:val="CMR-tables"/>
              <w:keepNext/>
              <w:jc w:val="center"/>
              <w:rPr>
                <w:b/>
                <w:noProof/>
                <w:color w:val="000000"/>
              </w:rPr>
            </w:pPr>
            <w:r w:rsidRPr="002A150B">
              <w:rPr>
                <w:b/>
                <w:noProof/>
                <w:color w:val="000000"/>
              </w:rPr>
              <w:t>Sume plătite (milioane EUR)</w:t>
            </w:r>
          </w:p>
        </w:tc>
      </w:tr>
      <w:tr w:rsidR="007976BD" w:rsidRPr="002A150B" w14:paraId="0EDF74CB" w14:textId="77777777" w:rsidTr="00A0384F">
        <w:trPr>
          <w:trHeight w:val="513"/>
          <w:jc w:val="center"/>
        </w:trPr>
        <w:tc>
          <w:tcPr>
            <w:tcW w:w="2253" w:type="dxa"/>
            <w:shd w:val="clear" w:color="auto" w:fill="F2F2F2" w:themeFill="background1" w:themeFillShade="F2"/>
            <w:noWrap/>
            <w:vAlign w:val="center"/>
            <w:hideMark/>
          </w:tcPr>
          <w:p w14:paraId="229ACE89" w14:textId="77777777" w:rsidR="007976BD" w:rsidRPr="002A150B" w:rsidRDefault="007976BD" w:rsidP="00CE0416">
            <w:pPr>
              <w:pStyle w:val="CMR-tables"/>
              <w:keepNext/>
              <w:rPr>
                <w:noProof/>
                <w:color w:val="000000"/>
              </w:rPr>
            </w:pPr>
            <w:r w:rsidRPr="002A150B">
              <w:rPr>
                <w:noProof/>
                <w:color w:val="000000" w:themeColor="text1"/>
              </w:rPr>
              <w:t>Bulgaria</w:t>
            </w:r>
          </w:p>
        </w:tc>
        <w:tc>
          <w:tcPr>
            <w:tcW w:w="2254" w:type="dxa"/>
            <w:shd w:val="clear" w:color="auto" w:fill="F2F2F2" w:themeFill="background1" w:themeFillShade="F2"/>
            <w:noWrap/>
            <w:vAlign w:val="center"/>
          </w:tcPr>
          <w:p w14:paraId="27F220C2" w14:textId="77777777" w:rsidR="007976BD" w:rsidRPr="002A150B" w:rsidRDefault="007976BD" w:rsidP="00CE0416">
            <w:pPr>
              <w:pStyle w:val="CMR-tables"/>
              <w:keepNext/>
              <w:jc w:val="right"/>
              <w:rPr>
                <w:noProof/>
                <w:color w:val="000000"/>
              </w:rPr>
            </w:pPr>
            <w:r w:rsidRPr="002A150B">
              <w:rPr>
                <w:noProof/>
                <w:color w:val="000000" w:themeColor="text1"/>
              </w:rPr>
              <w:t>262</w:t>
            </w:r>
          </w:p>
        </w:tc>
      </w:tr>
      <w:tr w:rsidR="007976BD" w:rsidRPr="002A150B" w14:paraId="2D52E184" w14:textId="77777777" w:rsidTr="00A0384F">
        <w:trPr>
          <w:trHeight w:val="513"/>
          <w:jc w:val="center"/>
        </w:trPr>
        <w:tc>
          <w:tcPr>
            <w:tcW w:w="2253" w:type="dxa"/>
            <w:noWrap/>
            <w:vAlign w:val="center"/>
            <w:hideMark/>
          </w:tcPr>
          <w:p w14:paraId="2D9039B5" w14:textId="77777777" w:rsidR="007976BD" w:rsidRPr="002A150B" w:rsidRDefault="007976BD" w:rsidP="00CE0416">
            <w:pPr>
              <w:pStyle w:val="CMR-tables"/>
              <w:keepNext/>
              <w:rPr>
                <w:noProof/>
                <w:color w:val="000000"/>
              </w:rPr>
            </w:pPr>
            <w:r w:rsidRPr="002A150B">
              <w:rPr>
                <w:noProof/>
                <w:color w:val="000000" w:themeColor="text1"/>
              </w:rPr>
              <w:t>Cehia</w:t>
            </w:r>
          </w:p>
        </w:tc>
        <w:tc>
          <w:tcPr>
            <w:tcW w:w="2254" w:type="dxa"/>
            <w:noWrap/>
            <w:vAlign w:val="center"/>
          </w:tcPr>
          <w:p w14:paraId="1102A3CE" w14:textId="71FB7D60" w:rsidR="007976BD" w:rsidRPr="002A150B" w:rsidRDefault="007976BD" w:rsidP="00CE0416">
            <w:pPr>
              <w:pStyle w:val="CMR-tables"/>
              <w:keepNext/>
              <w:jc w:val="right"/>
              <w:rPr>
                <w:noProof/>
                <w:color w:val="000000"/>
              </w:rPr>
            </w:pPr>
            <w:r w:rsidRPr="002A150B">
              <w:rPr>
                <w:noProof/>
                <w:color w:val="000000" w:themeColor="text1"/>
              </w:rPr>
              <w:t>4 343</w:t>
            </w:r>
          </w:p>
        </w:tc>
      </w:tr>
      <w:tr w:rsidR="007976BD" w:rsidRPr="002A150B" w14:paraId="3C4ADBA8" w14:textId="77777777" w:rsidTr="00A0384F">
        <w:trPr>
          <w:trHeight w:val="513"/>
          <w:jc w:val="center"/>
        </w:trPr>
        <w:tc>
          <w:tcPr>
            <w:tcW w:w="2253" w:type="dxa"/>
            <w:shd w:val="clear" w:color="auto" w:fill="F2F2F2" w:themeFill="background1" w:themeFillShade="F2"/>
            <w:noWrap/>
            <w:vAlign w:val="center"/>
            <w:hideMark/>
          </w:tcPr>
          <w:p w14:paraId="5FA249F6" w14:textId="77777777" w:rsidR="007976BD" w:rsidRPr="002A150B" w:rsidRDefault="007976BD" w:rsidP="00CE0416">
            <w:pPr>
              <w:pStyle w:val="CMR-tables"/>
              <w:keepNext/>
              <w:rPr>
                <w:noProof/>
                <w:color w:val="000000"/>
              </w:rPr>
            </w:pPr>
            <w:r w:rsidRPr="002A150B">
              <w:rPr>
                <w:noProof/>
                <w:color w:val="000000" w:themeColor="text1"/>
              </w:rPr>
              <w:t>Estonia</w:t>
            </w:r>
          </w:p>
        </w:tc>
        <w:tc>
          <w:tcPr>
            <w:tcW w:w="2254" w:type="dxa"/>
            <w:shd w:val="clear" w:color="auto" w:fill="F2F2F2" w:themeFill="background1" w:themeFillShade="F2"/>
            <w:noWrap/>
            <w:vAlign w:val="center"/>
          </w:tcPr>
          <w:p w14:paraId="6FFC475E" w14:textId="77777777" w:rsidR="007976BD" w:rsidRPr="002A150B" w:rsidRDefault="007976BD" w:rsidP="00CE0416">
            <w:pPr>
              <w:pStyle w:val="CMR-tables"/>
              <w:keepNext/>
              <w:jc w:val="right"/>
              <w:rPr>
                <w:noProof/>
                <w:color w:val="000000"/>
              </w:rPr>
            </w:pPr>
            <w:r w:rsidRPr="002A150B">
              <w:rPr>
                <w:noProof/>
                <w:color w:val="000000" w:themeColor="text1"/>
              </w:rPr>
              <w:t>178</w:t>
            </w:r>
          </w:p>
        </w:tc>
      </w:tr>
      <w:tr w:rsidR="007976BD" w:rsidRPr="002A150B" w14:paraId="6C7E8CD6" w14:textId="77777777" w:rsidTr="00A0384F">
        <w:trPr>
          <w:trHeight w:val="513"/>
          <w:jc w:val="center"/>
        </w:trPr>
        <w:tc>
          <w:tcPr>
            <w:tcW w:w="2253" w:type="dxa"/>
            <w:noWrap/>
            <w:vAlign w:val="center"/>
            <w:hideMark/>
          </w:tcPr>
          <w:p w14:paraId="1ED99546" w14:textId="77777777" w:rsidR="007976BD" w:rsidRPr="002A150B" w:rsidRDefault="007976BD" w:rsidP="00CE0416">
            <w:pPr>
              <w:pStyle w:val="CMR-tables"/>
              <w:keepNext/>
              <w:rPr>
                <w:noProof/>
                <w:color w:val="000000"/>
              </w:rPr>
            </w:pPr>
            <w:r w:rsidRPr="002A150B">
              <w:rPr>
                <w:noProof/>
                <w:color w:val="000000" w:themeColor="text1"/>
              </w:rPr>
              <w:t>Croația</w:t>
            </w:r>
          </w:p>
        </w:tc>
        <w:tc>
          <w:tcPr>
            <w:tcW w:w="2254" w:type="dxa"/>
            <w:noWrap/>
            <w:vAlign w:val="center"/>
          </w:tcPr>
          <w:p w14:paraId="1C405EB8" w14:textId="77777777" w:rsidR="007976BD" w:rsidRPr="002A150B" w:rsidRDefault="007976BD" w:rsidP="00CE0416">
            <w:pPr>
              <w:pStyle w:val="CMR-tables"/>
              <w:keepNext/>
              <w:jc w:val="right"/>
              <w:rPr>
                <w:noProof/>
                <w:color w:val="000000"/>
              </w:rPr>
            </w:pPr>
            <w:r w:rsidRPr="002A150B">
              <w:rPr>
                <w:noProof/>
                <w:color w:val="000000" w:themeColor="text1"/>
              </w:rPr>
              <w:t>262</w:t>
            </w:r>
          </w:p>
        </w:tc>
      </w:tr>
      <w:tr w:rsidR="007976BD" w:rsidRPr="002A150B" w14:paraId="703B6133" w14:textId="77777777" w:rsidTr="00A0384F">
        <w:trPr>
          <w:trHeight w:val="513"/>
          <w:jc w:val="center"/>
        </w:trPr>
        <w:tc>
          <w:tcPr>
            <w:tcW w:w="2253" w:type="dxa"/>
            <w:shd w:val="clear" w:color="auto" w:fill="F2F2F2" w:themeFill="background1" w:themeFillShade="F2"/>
            <w:noWrap/>
            <w:vAlign w:val="center"/>
            <w:hideMark/>
          </w:tcPr>
          <w:p w14:paraId="4DEDDF55" w14:textId="77777777" w:rsidR="007976BD" w:rsidRPr="002A150B" w:rsidRDefault="007976BD" w:rsidP="00CE0416">
            <w:pPr>
              <w:pStyle w:val="CMR-tables"/>
              <w:keepNext/>
              <w:rPr>
                <w:noProof/>
                <w:color w:val="000000"/>
              </w:rPr>
            </w:pPr>
            <w:r w:rsidRPr="002A150B">
              <w:rPr>
                <w:noProof/>
                <w:color w:val="000000" w:themeColor="text1"/>
              </w:rPr>
              <w:t>Ungaria</w:t>
            </w:r>
          </w:p>
        </w:tc>
        <w:tc>
          <w:tcPr>
            <w:tcW w:w="2254" w:type="dxa"/>
            <w:shd w:val="clear" w:color="auto" w:fill="F2F2F2" w:themeFill="background1" w:themeFillShade="F2"/>
            <w:noWrap/>
            <w:vAlign w:val="center"/>
          </w:tcPr>
          <w:p w14:paraId="399DA7CE" w14:textId="77777777" w:rsidR="007976BD" w:rsidRPr="002A150B" w:rsidRDefault="007976BD" w:rsidP="00CE0416">
            <w:pPr>
              <w:pStyle w:val="CMR-tables"/>
              <w:keepNext/>
              <w:jc w:val="right"/>
              <w:rPr>
                <w:noProof/>
                <w:color w:val="000000"/>
              </w:rPr>
            </w:pPr>
            <w:r w:rsidRPr="002A150B">
              <w:rPr>
                <w:noProof/>
                <w:color w:val="000000" w:themeColor="text1"/>
              </w:rPr>
              <w:t>185</w:t>
            </w:r>
          </w:p>
        </w:tc>
      </w:tr>
      <w:tr w:rsidR="007976BD" w:rsidRPr="002A150B" w14:paraId="43F8DF29" w14:textId="77777777" w:rsidTr="00A0384F">
        <w:trPr>
          <w:trHeight w:val="513"/>
          <w:jc w:val="center"/>
        </w:trPr>
        <w:tc>
          <w:tcPr>
            <w:tcW w:w="2253" w:type="dxa"/>
            <w:noWrap/>
            <w:vAlign w:val="center"/>
          </w:tcPr>
          <w:p w14:paraId="310CD9CA" w14:textId="77777777" w:rsidR="007976BD" w:rsidRPr="002A150B" w:rsidRDefault="007976BD" w:rsidP="00CE0416">
            <w:pPr>
              <w:pStyle w:val="CMR-tables"/>
              <w:keepNext/>
              <w:rPr>
                <w:noProof/>
                <w:color w:val="000000"/>
              </w:rPr>
            </w:pPr>
            <w:r w:rsidRPr="002A150B">
              <w:rPr>
                <w:noProof/>
                <w:color w:val="000000" w:themeColor="text1"/>
              </w:rPr>
              <w:t>Lituania</w:t>
            </w:r>
          </w:p>
        </w:tc>
        <w:tc>
          <w:tcPr>
            <w:tcW w:w="2254" w:type="dxa"/>
            <w:noWrap/>
            <w:vAlign w:val="center"/>
          </w:tcPr>
          <w:p w14:paraId="550BE263" w14:textId="77777777" w:rsidR="007976BD" w:rsidRPr="002A150B" w:rsidRDefault="007976BD" w:rsidP="00CE0416">
            <w:pPr>
              <w:pStyle w:val="CMR-tables"/>
              <w:keepNext/>
              <w:jc w:val="right"/>
              <w:rPr>
                <w:noProof/>
                <w:color w:val="000000"/>
              </w:rPr>
            </w:pPr>
            <w:r w:rsidRPr="002A150B">
              <w:rPr>
                <w:noProof/>
                <w:color w:val="000000" w:themeColor="text1"/>
              </w:rPr>
              <w:t>183</w:t>
            </w:r>
          </w:p>
        </w:tc>
      </w:tr>
      <w:tr w:rsidR="007976BD" w:rsidRPr="002A150B" w14:paraId="3071666A" w14:textId="77777777" w:rsidTr="00A0384F">
        <w:trPr>
          <w:trHeight w:val="513"/>
          <w:jc w:val="center"/>
        </w:trPr>
        <w:tc>
          <w:tcPr>
            <w:tcW w:w="2253" w:type="dxa"/>
            <w:shd w:val="clear" w:color="auto" w:fill="F2F2F2" w:themeFill="background1" w:themeFillShade="F2"/>
            <w:noWrap/>
            <w:vAlign w:val="center"/>
          </w:tcPr>
          <w:p w14:paraId="3D95F0A6" w14:textId="77777777" w:rsidR="007976BD" w:rsidRPr="002A150B" w:rsidRDefault="007976BD" w:rsidP="00CE0416">
            <w:pPr>
              <w:pStyle w:val="CMR-tables"/>
              <w:keepNext/>
              <w:rPr>
                <w:noProof/>
                <w:color w:val="000000"/>
              </w:rPr>
            </w:pPr>
            <w:r w:rsidRPr="002A150B">
              <w:rPr>
                <w:noProof/>
                <w:color w:val="000000" w:themeColor="text1"/>
              </w:rPr>
              <w:t>Letonia</w:t>
            </w:r>
          </w:p>
        </w:tc>
        <w:tc>
          <w:tcPr>
            <w:tcW w:w="2254" w:type="dxa"/>
            <w:shd w:val="clear" w:color="auto" w:fill="F2F2F2" w:themeFill="background1" w:themeFillShade="F2"/>
            <w:noWrap/>
            <w:vAlign w:val="center"/>
          </w:tcPr>
          <w:p w14:paraId="3C3DF875" w14:textId="77777777" w:rsidR="007976BD" w:rsidRPr="002A150B" w:rsidRDefault="007976BD" w:rsidP="00CE0416">
            <w:pPr>
              <w:pStyle w:val="CMR-tables"/>
              <w:keepNext/>
              <w:jc w:val="right"/>
              <w:rPr>
                <w:noProof/>
                <w:color w:val="000000"/>
              </w:rPr>
            </w:pPr>
            <w:r w:rsidRPr="002A150B">
              <w:rPr>
                <w:noProof/>
                <w:color w:val="000000" w:themeColor="text1"/>
              </w:rPr>
              <w:t>32</w:t>
            </w:r>
          </w:p>
        </w:tc>
      </w:tr>
      <w:tr w:rsidR="007976BD" w:rsidRPr="002A150B" w14:paraId="79360961" w14:textId="77777777" w:rsidTr="00A0384F">
        <w:trPr>
          <w:trHeight w:val="513"/>
          <w:jc w:val="center"/>
        </w:trPr>
        <w:tc>
          <w:tcPr>
            <w:tcW w:w="2253" w:type="dxa"/>
            <w:noWrap/>
            <w:vAlign w:val="center"/>
          </w:tcPr>
          <w:p w14:paraId="0972B60C" w14:textId="77777777" w:rsidR="007976BD" w:rsidRPr="002A150B" w:rsidRDefault="007976BD" w:rsidP="00CE0416">
            <w:pPr>
              <w:pStyle w:val="CMR-tables"/>
              <w:keepNext/>
              <w:rPr>
                <w:noProof/>
                <w:color w:val="000000"/>
              </w:rPr>
            </w:pPr>
            <w:r w:rsidRPr="002A150B">
              <w:rPr>
                <w:noProof/>
                <w:color w:val="000000" w:themeColor="text1"/>
              </w:rPr>
              <w:t>Polonia</w:t>
            </w:r>
          </w:p>
        </w:tc>
        <w:tc>
          <w:tcPr>
            <w:tcW w:w="2254" w:type="dxa"/>
            <w:noWrap/>
            <w:vAlign w:val="center"/>
          </w:tcPr>
          <w:p w14:paraId="10BE8D0E" w14:textId="192D8E16" w:rsidR="007976BD" w:rsidRPr="002A150B" w:rsidRDefault="007976BD" w:rsidP="00CE0416">
            <w:pPr>
              <w:pStyle w:val="CMR-tables"/>
              <w:keepNext/>
              <w:jc w:val="right"/>
              <w:rPr>
                <w:noProof/>
                <w:color w:val="000000"/>
              </w:rPr>
            </w:pPr>
            <w:r w:rsidRPr="002A150B">
              <w:rPr>
                <w:noProof/>
                <w:color w:val="000000" w:themeColor="text1"/>
              </w:rPr>
              <w:t>1 908</w:t>
            </w:r>
          </w:p>
        </w:tc>
      </w:tr>
      <w:tr w:rsidR="007976BD" w:rsidRPr="002A150B" w14:paraId="667AB19F" w14:textId="77777777" w:rsidTr="00A0384F">
        <w:trPr>
          <w:trHeight w:val="513"/>
          <w:jc w:val="center"/>
        </w:trPr>
        <w:tc>
          <w:tcPr>
            <w:tcW w:w="2253" w:type="dxa"/>
            <w:shd w:val="clear" w:color="auto" w:fill="F2F2F2" w:themeFill="background1" w:themeFillShade="F2"/>
            <w:noWrap/>
            <w:vAlign w:val="center"/>
          </w:tcPr>
          <w:p w14:paraId="2912D064" w14:textId="77777777" w:rsidR="007976BD" w:rsidRPr="002A150B" w:rsidRDefault="007976BD" w:rsidP="00CE0416">
            <w:pPr>
              <w:pStyle w:val="CMR-tables"/>
              <w:keepNext/>
              <w:rPr>
                <w:noProof/>
                <w:color w:val="000000"/>
              </w:rPr>
            </w:pPr>
            <w:r w:rsidRPr="002A150B">
              <w:rPr>
                <w:noProof/>
                <w:color w:val="000000" w:themeColor="text1"/>
              </w:rPr>
              <w:t>România</w:t>
            </w:r>
          </w:p>
        </w:tc>
        <w:tc>
          <w:tcPr>
            <w:tcW w:w="2254" w:type="dxa"/>
            <w:shd w:val="clear" w:color="auto" w:fill="F2F2F2" w:themeFill="background1" w:themeFillShade="F2"/>
            <w:noWrap/>
            <w:vAlign w:val="center"/>
          </w:tcPr>
          <w:p w14:paraId="51D1536F" w14:textId="03B0A701" w:rsidR="007976BD" w:rsidRPr="002A150B" w:rsidRDefault="007976BD" w:rsidP="00CE0416">
            <w:pPr>
              <w:pStyle w:val="CMR-tables"/>
              <w:keepNext/>
              <w:jc w:val="right"/>
              <w:rPr>
                <w:noProof/>
                <w:color w:val="000000"/>
              </w:rPr>
            </w:pPr>
            <w:r w:rsidRPr="002A150B">
              <w:rPr>
                <w:noProof/>
                <w:color w:val="000000" w:themeColor="text1"/>
              </w:rPr>
              <w:t>4 679</w:t>
            </w:r>
          </w:p>
        </w:tc>
      </w:tr>
      <w:tr w:rsidR="007976BD" w:rsidRPr="002A150B" w14:paraId="1631B28F" w14:textId="77777777" w:rsidTr="00A0384F">
        <w:trPr>
          <w:trHeight w:val="513"/>
          <w:jc w:val="center"/>
        </w:trPr>
        <w:tc>
          <w:tcPr>
            <w:tcW w:w="2253" w:type="dxa"/>
            <w:noWrap/>
            <w:vAlign w:val="center"/>
          </w:tcPr>
          <w:p w14:paraId="0BFD1AF9" w14:textId="77777777" w:rsidR="007976BD" w:rsidRPr="002A150B" w:rsidRDefault="007976BD" w:rsidP="00CE0416">
            <w:pPr>
              <w:pStyle w:val="CMR-tables"/>
              <w:keepNext/>
              <w:rPr>
                <w:noProof/>
                <w:color w:val="000000"/>
              </w:rPr>
            </w:pPr>
            <w:r w:rsidRPr="002A150B">
              <w:rPr>
                <w:noProof/>
                <w:color w:val="000000" w:themeColor="text1"/>
              </w:rPr>
              <w:t>Slovacia</w:t>
            </w:r>
          </w:p>
        </w:tc>
        <w:tc>
          <w:tcPr>
            <w:tcW w:w="2254" w:type="dxa"/>
            <w:noWrap/>
            <w:vAlign w:val="center"/>
          </w:tcPr>
          <w:p w14:paraId="08007FC1" w14:textId="77777777" w:rsidR="007976BD" w:rsidRPr="002A150B" w:rsidRDefault="007976BD" w:rsidP="00CE0416">
            <w:pPr>
              <w:pStyle w:val="CMR-tables"/>
              <w:keepNext/>
              <w:jc w:val="right"/>
              <w:rPr>
                <w:noProof/>
                <w:color w:val="000000"/>
              </w:rPr>
            </w:pPr>
            <w:r w:rsidRPr="002A150B">
              <w:rPr>
                <w:noProof/>
                <w:color w:val="000000" w:themeColor="text1"/>
              </w:rPr>
              <w:t>615</w:t>
            </w:r>
          </w:p>
        </w:tc>
      </w:tr>
      <w:tr w:rsidR="007976BD" w:rsidRPr="002A150B" w14:paraId="59D5F528" w14:textId="77777777" w:rsidTr="00A0384F">
        <w:trPr>
          <w:trHeight w:val="513"/>
          <w:jc w:val="center"/>
        </w:trPr>
        <w:tc>
          <w:tcPr>
            <w:tcW w:w="2253" w:type="dxa"/>
            <w:noWrap/>
            <w:vAlign w:val="center"/>
          </w:tcPr>
          <w:p w14:paraId="0B9BC835" w14:textId="35789804" w:rsidR="007976BD" w:rsidRPr="002A150B" w:rsidRDefault="009335E7" w:rsidP="00CE0416">
            <w:pPr>
              <w:pStyle w:val="CMR-tables"/>
              <w:keepNext/>
              <w:rPr>
                <w:b/>
                <w:noProof/>
              </w:rPr>
            </w:pPr>
            <w:r w:rsidRPr="002A150B">
              <w:rPr>
                <w:b/>
                <w:noProof/>
              </w:rPr>
              <w:t>Total</w:t>
            </w:r>
          </w:p>
        </w:tc>
        <w:tc>
          <w:tcPr>
            <w:tcW w:w="2254" w:type="dxa"/>
            <w:noWrap/>
            <w:vAlign w:val="center"/>
          </w:tcPr>
          <w:p w14:paraId="725C4BD4" w14:textId="2B039001" w:rsidR="007976BD" w:rsidRPr="002A150B" w:rsidRDefault="007976BD" w:rsidP="00CE0416">
            <w:pPr>
              <w:pStyle w:val="CMR-tables"/>
              <w:keepNext/>
              <w:jc w:val="right"/>
              <w:rPr>
                <w:b/>
                <w:noProof/>
              </w:rPr>
            </w:pPr>
            <w:r w:rsidRPr="002A150B">
              <w:rPr>
                <w:b/>
                <w:noProof/>
              </w:rPr>
              <w:t>12 647</w:t>
            </w:r>
          </w:p>
        </w:tc>
      </w:tr>
    </w:tbl>
    <w:p w14:paraId="2334C0BF" w14:textId="21CD5FD8" w:rsidR="00213E11" w:rsidRPr="002A150B" w:rsidRDefault="00213E11" w:rsidP="002C03CF">
      <w:pPr>
        <w:pStyle w:val="CMR-Subheading"/>
        <w:rPr>
          <w:noProof/>
        </w:rPr>
      </w:pPr>
      <w:bookmarkStart w:id="65" w:name="_Toc180513407"/>
      <w:bookmarkStart w:id="66" w:name="_Toc189482442"/>
      <w:r w:rsidRPr="002A150B">
        <w:rPr>
          <w:noProof/>
        </w:rPr>
        <w:t>Fondul ETS pentru decarbonizare destinat Greciei</w:t>
      </w:r>
      <w:bookmarkEnd w:id="65"/>
      <w:bookmarkEnd w:id="66"/>
    </w:p>
    <w:p w14:paraId="4429EB96" w14:textId="188B6E86" w:rsidR="6DC88DB8" w:rsidRPr="002A150B" w:rsidRDefault="5E10DAE7" w:rsidP="725C0E57">
      <w:pPr>
        <w:pStyle w:val="CMR-text"/>
        <w:rPr>
          <w:noProof/>
        </w:rPr>
      </w:pPr>
      <w:r w:rsidRPr="002A150B">
        <w:rPr>
          <w:noProof/>
        </w:rPr>
        <w:t>Articolul 10a alineatul (9) din Directiva EU ETS acordă Greciei dreptul, în anumite condiții, de a solicita până la 25 de milioane de certificate pentru decarbonizarea aprovizionării cu energie electrică a insulelor sale</w:t>
      </w:r>
      <w:r w:rsidR="0097021E" w:rsidRPr="002A150B">
        <w:rPr>
          <w:rStyle w:val="FootnoteReference"/>
          <w:noProof/>
        </w:rPr>
        <w:footnoteReference w:id="82"/>
      </w:r>
      <w:r w:rsidRPr="002A150B">
        <w:rPr>
          <w:noProof/>
        </w:rPr>
        <w:t>. Grecia, Comisia Europeană și BEI depun eforturi pentru a operaționaliza această dispoziție. BEI va fi responsabilă de evaluarea viabilității financiare și a beneficiilor socioeconomice ale proiectului propus de Grecia privind decarbonizarea aprovizionării cu energie electrică a insulelor sale. Dacă sunt îndeplinite toate condițiile, inclusiv confirmarea de către BEI a propunerii de proiect prezentate de Grecia în temeiul articolului 10a alineatul (9), certificatele vor fi scoase la licitație și veniturile vor fi puse la dispoziție pentru cofinanțarea a până la 60 % din componentele de proiect aprobate. Concret, finanțarea ar trebui să sprijine proiecte de aprovizionare cu energie din surse regenerabile pe insule și să ajute la conectarea insulelor cu rețeaua electrică de pe continent.</w:t>
      </w:r>
    </w:p>
    <w:p w14:paraId="1E7A700B" w14:textId="738BE3E4" w:rsidR="00613B80" w:rsidRPr="002A150B" w:rsidRDefault="00613B80" w:rsidP="0054795B">
      <w:pPr>
        <w:pStyle w:val="CMR-Heading"/>
        <w:rPr>
          <w:noProof/>
        </w:rPr>
      </w:pPr>
      <w:bookmarkStart w:id="67" w:name="_Toc180513408"/>
      <w:bookmarkStart w:id="68" w:name="_Toc189482443"/>
      <w:r w:rsidRPr="002A150B">
        <w:rPr>
          <w:noProof/>
        </w:rPr>
        <w:t>Aviația</w:t>
      </w:r>
      <w:bookmarkEnd w:id="67"/>
      <w:bookmarkEnd w:id="68"/>
    </w:p>
    <w:p w14:paraId="01E853C9" w14:textId="7E4117B0" w:rsidR="00920844" w:rsidRPr="002A150B" w:rsidRDefault="322F2439" w:rsidP="00187D4D">
      <w:pPr>
        <w:pStyle w:val="CMR-text"/>
        <w:rPr>
          <w:noProof/>
        </w:rPr>
      </w:pPr>
      <w:r w:rsidRPr="002A150B">
        <w:rPr>
          <w:rStyle w:val="Bodytext1"/>
          <w:noProof/>
        </w:rPr>
        <w:t>EU ETS reglementează emisiile din sectorul aviației începând din 2012. Din punct de vedere juridic, schema acoperă toate zborurile care pleacă din SEE și toate zborurile care sosesc în SEE. Totuși, în 2013 UE a limitat obligațiile EU ETS pentru sectorul aviației la zborurile din interiorul SEE, pentru a sprijini elaborarea unei măsuri globale bazate pe piață pentru reducerea emisiilor generate de aviație de către Organizația Aviației Civile Internaționale (OACI)</w:t>
      </w:r>
      <w:r w:rsidR="00187D4D" w:rsidRPr="002A150B">
        <w:rPr>
          <w:rStyle w:val="Bodytext1"/>
          <w:rFonts w:cs="Times New Roman"/>
          <w:noProof/>
          <w:vertAlign w:val="superscript"/>
        </w:rPr>
        <w:footnoteReference w:id="83"/>
      </w:r>
      <w:r w:rsidRPr="002A150B">
        <w:rPr>
          <w:rStyle w:val="Bodytext1"/>
          <w:noProof/>
        </w:rPr>
        <w:t>. De atunci, limitarea domeniului de aplicare al Directivei EU ETS a fost prelungită de trei ori, iar revizuirea din 2023 a Directivei EU ETS subliniază că aceasta ar trebui să fie ultima derogare temporară de la EU ETS</w:t>
      </w:r>
      <w:r w:rsidR="00E772AF" w:rsidRPr="002A150B">
        <w:rPr>
          <w:rStyle w:val="FootnoteReference"/>
          <w:rFonts w:cs="Times New Roman"/>
          <w:noProof/>
          <w:lang w:eastAsia="bg-BG" w:bidi="bg-BG"/>
        </w:rPr>
        <w:footnoteReference w:id="84"/>
      </w:r>
      <w:r w:rsidRPr="002A150B">
        <w:rPr>
          <w:rStyle w:val="Bodytext1"/>
          <w:noProof/>
        </w:rPr>
        <w:t>.</w:t>
      </w:r>
      <w:r w:rsidRPr="002A150B">
        <w:rPr>
          <w:noProof/>
        </w:rPr>
        <w:t xml:space="preserve"> </w:t>
      </w:r>
    </w:p>
    <w:p w14:paraId="34825B68" w14:textId="71083C48" w:rsidR="00B31F66" w:rsidRPr="002A150B" w:rsidRDefault="006312BD" w:rsidP="00187D4D">
      <w:pPr>
        <w:pStyle w:val="CMR-text"/>
        <w:rPr>
          <w:rStyle w:val="Bodytext1"/>
          <w:rFonts w:cs="Times New Roman"/>
          <w:noProof/>
        </w:rPr>
      </w:pPr>
      <w:r w:rsidRPr="002A150B">
        <w:rPr>
          <w:rStyle w:val="Bodytext1"/>
          <w:noProof/>
        </w:rPr>
        <w:t>În perioada 2013-2023, EU ETS a realizat scăderea cu 206 Mt în total a emisiilor nete de CO</w:t>
      </w:r>
      <w:r w:rsidRPr="002A150B">
        <w:rPr>
          <w:rStyle w:val="Bodytext1"/>
          <w:noProof/>
          <w:vertAlign w:val="subscript"/>
        </w:rPr>
        <w:t>2</w:t>
      </w:r>
      <w:r w:rsidRPr="002A150B">
        <w:rPr>
          <w:rStyle w:val="Bodytext1"/>
          <w:noProof/>
        </w:rPr>
        <w:t xml:space="preserve"> generate de aviație prin finanțarea reducerii emisiilor în alte sectoare. În perioada 2012-2020, operatorii din sectorul aviației au utilizat aproape 19 milioane de credite internaționale pentru asigurarea conformității cu EU ETS. </w:t>
      </w:r>
    </w:p>
    <w:p w14:paraId="60FF6E22" w14:textId="254C4D24" w:rsidR="00187D4D" w:rsidRPr="002A150B" w:rsidRDefault="00C46D90" w:rsidP="00187D4D">
      <w:pPr>
        <w:pStyle w:val="CMR-text"/>
        <w:rPr>
          <w:rStyle w:val="Bodytext1"/>
          <w:rFonts w:cs="Times New Roman"/>
          <w:noProof/>
        </w:rPr>
      </w:pPr>
      <w:r w:rsidRPr="002A150B">
        <w:rPr>
          <w:rStyle w:val="Bodytext1"/>
          <w:noProof/>
        </w:rPr>
        <w:t>Începând cu 1 ianuarie 2020, EU ETS acoperă emisiile generate de zborurile cu plecare către Elveția, iar schema ETS a Elveției se aplică zborurilor cu plecare către aeroporturile din SEE. Acest lucru asigură un stimulent pentru decarbonizare, creând totodată condiții de concurență echitabile în ambele direcții. Începând cu 1 ianuarie 2021, EU ETS se aplică zborurilor de plecare către Regatul Unit, iar schema ETS a Regatului Unit se aplică zborurilor cu plecare către aeroporturi din SEE. Astfel, tarifarea carbonului continuă să acopere emisiile generate de aviație în pofida ieșirii din UE a Regatului Unit.</w:t>
      </w:r>
    </w:p>
    <w:p w14:paraId="42310410" w14:textId="35C62F8E" w:rsidR="00187D4D" w:rsidRPr="002A150B" w:rsidRDefault="4256045E" w:rsidP="00187D4D">
      <w:pPr>
        <w:pStyle w:val="CMR-text"/>
        <w:rPr>
          <w:rStyle w:val="Bodytext1"/>
          <w:rFonts w:cs="Times New Roman"/>
          <w:noProof/>
          <w:szCs w:val="24"/>
        </w:rPr>
      </w:pPr>
      <w:r w:rsidRPr="002A150B">
        <w:rPr>
          <w:rStyle w:val="Bodytext1"/>
          <w:noProof/>
        </w:rPr>
        <w:t>Începând cu 1 ianuarie 2024, EU ETS acoperă emisiile provenite de la majoritatea zborurilor</w:t>
      </w:r>
      <w:r w:rsidR="00187D4D" w:rsidRPr="002A150B">
        <w:rPr>
          <w:rStyle w:val="FootnoteReference"/>
          <w:rFonts w:cs="Times New Roman"/>
          <w:noProof/>
        </w:rPr>
        <w:footnoteReference w:id="85"/>
      </w:r>
      <w:r w:rsidRPr="002A150B">
        <w:rPr>
          <w:rStyle w:val="Bodytext1"/>
          <w:noProof/>
        </w:rPr>
        <w:t xml:space="preserve"> înspre și dinspre cele nouă regiuni ultraperiferice ale UE, precum și emisiile generate de zborurile care pleacă din regiunile ultraperiferice către Elveția și către Regatul Unit. În total, acest lucru echivalează cu o extindere de aproximativ 7 % a acoperirii ETS în ceea ce privește stabilirea prețului carbonului. De asemenea, Elveția a inclus în schema sa ETS emisiile generate de zborurile cu plecare către regiunile ultraperiferice începând din 2024</w:t>
      </w:r>
      <w:r w:rsidR="00D06F73" w:rsidRPr="002A150B">
        <w:rPr>
          <w:rStyle w:val="FootnoteReference"/>
          <w:rFonts w:cs="Times New Roman"/>
          <w:noProof/>
        </w:rPr>
        <w:footnoteReference w:id="86"/>
      </w:r>
      <w:r w:rsidRPr="002A150B">
        <w:rPr>
          <w:rStyle w:val="Bodytext1"/>
          <w:noProof/>
        </w:rPr>
        <w:t>.</w:t>
      </w:r>
    </w:p>
    <w:p w14:paraId="0A30EDE0" w14:textId="1F21E904" w:rsidR="00822B2C" w:rsidRPr="002A150B" w:rsidRDefault="00F33996" w:rsidP="00187D4D">
      <w:pPr>
        <w:pStyle w:val="CMR-text"/>
        <w:rPr>
          <w:rStyle w:val="Bodytext1"/>
          <w:noProof/>
        </w:rPr>
      </w:pPr>
      <w:bookmarkStart w:id="69" w:name="_Hlk148689619"/>
      <w:r w:rsidRPr="002A150B">
        <w:rPr>
          <w:rStyle w:val="Bodytext1"/>
          <w:noProof/>
        </w:rPr>
        <w:t>În paralel, pentru a facilita progresele în cadrul OACI, domeniul de aplicare limitat la nivel intraeuropean al EU ETS pentru aviație a fost prelungit până la sfârșitul anului 2026, deoarece începând din 2027 toate țările terțe importante ar trebui să aplice Schema de compensare și de reducere a emisiilor de carbon pentru aviația internațională (CORSIA)</w:t>
      </w:r>
      <w:bookmarkEnd w:id="69"/>
      <w:r w:rsidRPr="002A150B">
        <w:rPr>
          <w:rStyle w:val="Bodytext1"/>
          <w:noProof/>
        </w:rPr>
        <w:t>. La faza voluntară a CORSIA, care se desfășoară în perioada 2024-2026, participă 129 de state.</w:t>
      </w:r>
    </w:p>
    <w:p w14:paraId="6D75C15C" w14:textId="5D74F87A" w:rsidR="00187D4D" w:rsidRPr="002A150B" w:rsidRDefault="00187D4D" w:rsidP="00187D4D">
      <w:pPr>
        <w:pStyle w:val="CMR-text"/>
        <w:rPr>
          <w:rFonts w:cs="Times New Roman"/>
          <w:noProof/>
        </w:rPr>
      </w:pPr>
      <w:r w:rsidRPr="002A150B">
        <w:rPr>
          <w:rStyle w:val="Bodytext1"/>
          <w:noProof/>
        </w:rPr>
        <w:t xml:space="preserve">În 2023 au fost emise aproximativ </w:t>
      </w:r>
      <w:r w:rsidRPr="002A150B">
        <w:rPr>
          <w:noProof/>
        </w:rPr>
        <w:t>26 de milioane</w:t>
      </w:r>
      <w:r w:rsidRPr="002A150B">
        <w:rPr>
          <w:rStyle w:val="Bodytext1"/>
          <w:noProof/>
        </w:rPr>
        <w:t xml:space="preserve"> de certificate pentru aviație în conformitate cu domeniul de aplicare actualizat al EU ETS. S-au alocat cu titlu gratuit 22,5 milioane de certificate. Operatorii de aeronave administrați de administratori naționali din SEE au primit cu titlu gratuit aproape 0,5 milioane de certificate elvețiene pentru aviație în cadrul schemei ETS a Elveției. În 2023 au fost scoase la licitație aproximativ 5,7 milioane de certificate pentru aviație. </w:t>
      </w:r>
    </w:p>
    <w:p w14:paraId="0AC3BD1F" w14:textId="044BDD9C" w:rsidR="00B7738B" w:rsidRPr="002A150B" w:rsidRDefault="322F2439" w:rsidP="00B7738B">
      <w:pPr>
        <w:pStyle w:val="CMR-text"/>
        <w:rPr>
          <w:rStyle w:val="Bodytext1"/>
          <w:rFonts w:cs="Times New Roman"/>
          <w:noProof/>
        </w:rPr>
      </w:pPr>
      <w:r w:rsidRPr="002A150B">
        <w:rPr>
          <w:noProof/>
        </w:rPr>
        <w:t>Emisiile provenite de la operatorii de aeronave au continuat să crească în 2023 comparativ cu 2022. În 2023, emisiile s-au ridicat la 54,1 Mt echivalent CO</w:t>
      </w:r>
      <w:r w:rsidRPr="002A150B">
        <w:rPr>
          <w:noProof/>
          <w:vertAlign w:val="subscript"/>
        </w:rPr>
        <w:t>2</w:t>
      </w:r>
      <w:r w:rsidRPr="002A150B">
        <w:rPr>
          <w:noProof/>
        </w:rPr>
        <w:t xml:space="preserve"> (din care 0,9 Mt de la operatorii administrați de Elveția), în creștere de la 49,5 Mt în 2022. Emisiile generate de sectorul aviației din cadrul EU ETS se apropie de nivelurile din 2019 (ajustate pentru ieșirea Regatului Unit din UE), confirmând revenirea la nivelurile de emisii anterioare pandemiei de COVID-19</w:t>
      </w:r>
      <w:r w:rsidR="00187D4D" w:rsidRPr="002A150B">
        <w:rPr>
          <w:rStyle w:val="FootnoteReference"/>
          <w:rFonts w:cs="Times New Roman"/>
          <w:noProof/>
        </w:rPr>
        <w:footnoteReference w:id="87"/>
      </w:r>
      <w:r w:rsidRPr="002A150B">
        <w:rPr>
          <w:noProof/>
        </w:rPr>
        <w:t>.</w:t>
      </w:r>
      <w:bookmarkStart w:id="70" w:name="bookmark56"/>
      <w:r w:rsidRPr="002A150B">
        <w:rPr>
          <w:noProof/>
        </w:rPr>
        <w:t xml:space="preserve"> </w:t>
      </w:r>
      <w:r w:rsidR="000D5576" w:rsidRPr="002A150B">
        <w:rPr>
          <w:rFonts w:cs="Times New Roman"/>
          <w:noProof/>
        </w:rPr>
        <w:fldChar w:fldCharType="begin"/>
      </w:r>
      <w:r w:rsidR="000D5576" w:rsidRPr="002A150B">
        <w:rPr>
          <w:rFonts w:cs="Times New Roman"/>
          <w:noProof/>
        </w:rPr>
        <w:instrText xml:space="preserve"> REF _Ref176959178 \h </w:instrText>
      </w:r>
      <w:r w:rsidR="00B574FD" w:rsidRPr="002A150B">
        <w:rPr>
          <w:rFonts w:cs="Times New Roman"/>
          <w:noProof/>
        </w:rPr>
        <w:instrText xml:space="preserve"> \* MERGEFORMAT </w:instrText>
      </w:r>
      <w:r w:rsidR="000D5576" w:rsidRPr="002A150B">
        <w:rPr>
          <w:rFonts w:cs="Times New Roman"/>
          <w:noProof/>
        </w:rPr>
      </w:r>
      <w:r w:rsidR="000D5576" w:rsidRPr="002A150B">
        <w:rPr>
          <w:rFonts w:cs="Times New Roman"/>
          <w:noProof/>
        </w:rPr>
        <w:fldChar w:fldCharType="separate"/>
      </w:r>
      <w:r w:rsidR="00411CDC" w:rsidRPr="002A150B">
        <w:rPr>
          <w:rFonts w:cs="Times New Roman"/>
          <w:noProof/>
        </w:rPr>
        <w:t>Tab</w:t>
      </w:r>
      <w:r w:rsidR="00422180" w:rsidRPr="002A150B">
        <w:rPr>
          <w:rFonts w:cs="Times New Roman"/>
          <w:noProof/>
        </w:rPr>
        <w:t>elul</w:t>
      </w:r>
      <w:r w:rsidR="00411CDC" w:rsidRPr="002A150B">
        <w:rPr>
          <w:rFonts w:cs="Times New Roman"/>
          <w:noProof/>
        </w:rPr>
        <w:t xml:space="preserve"> 8</w:t>
      </w:r>
      <w:r w:rsidR="000D5576" w:rsidRPr="002A150B">
        <w:rPr>
          <w:rFonts w:cs="Times New Roman"/>
          <w:noProof/>
        </w:rPr>
        <w:fldChar w:fldCharType="end"/>
      </w:r>
      <w:r w:rsidRPr="002A150B">
        <w:rPr>
          <w:noProof/>
        </w:rPr>
        <w:t xml:space="preserve"> </w:t>
      </w:r>
      <w:r w:rsidRPr="002A150B">
        <w:rPr>
          <w:rStyle w:val="Bodytext1"/>
          <w:noProof/>
        </w:rPr>
        <w:t>prezintă emisiile verificate provenite de la operatorii de aeronave, împreună cu volumele certificatelor alocate cu titlu gratuit și scoase la licitație în sectorul aviației începând din 2019.</w:t>
      </w:r>
      <w:bookmarkEnd w:id="70"/>
      <w:r w:rsidRPr="002A150B">
        <w:rPr>
          <w:rStyle w:val="Bodytext1"/>
          <w:noProof/>
        </w:rPr>
        <w:t xml:space="preserve"> Începând din 2021, EU ETS nu mai acoperă zborurile care sosesc din Regatul Unit. </w:t>
      </w:r>
    </w:p>
    <w:p w14:paraId="1E2EC45E" w14:textId="74556D11" w:rsidR="00B7738B" w:rsidRPr="002A150B" w:rsidRDefault="00B7738B" w:rsidP="00B7738B">
      <w:pPr>
        <w:pStyle w:val="CMR-text"/>
        <w:rPr>
          <w:rStyle w:val="Bodytext1"/>
          <w:noProof/>
        </w:rPr>
      </w:pPr>
      <w:r w:rsidRPr="002A150B">
        <w:rPr>
          <w:rStyle w:val="Bodytext1"/>
          <w:noProof/>
        </w:rPr>
        <w:t>În cadrul pachetului „Pregătiți pentru 55”, în 2023 au fost adoptate două reforme privind EU ETS pentru aviație – pentru a promova reducerea emisiilor în acest sector</w:t>
      </w:r>
      <w:r w:rsidRPr="002A150B">
        <w:rPr>
          <w:rStyle w:val="FootnoteReference"/>
          <w:noProof/>
        </w:rPr>
        <w:footnoteReference w:id="88"/>
      </w:r>
      <w:r w:rsidRPr="002A150B">
        <w:rPr>
          <w:rStyle w:val="Bodytext1"/>
          <w:noProof/>
        </w:rPr>
        <w:t xml:space="preserve"> și pentru a introduce CORSIA în legislația UE pentru zborurile extraeuropene ale companiilor aeriene cu sediul în UE</w:t>
      </w:r>
      <w:r w:rsidRPr="002A150B">
        <w:rPr>
          <w:rStyle w:val="FootnoteReference"/>
          <w:noProof/>
        </w:rPr>
        <w:footnoteReference w:id="89"/>
      </w:r>
      <w:r w:rsidRPr="002A150B">
        <w:rPr>
          <w:rStyle w:val="Bodytext1"/>
          <w:noProof/>
        </w:rPr>
        <w:t xml:space="preserve">. Reformele sunt în curs de implementare. </w:t>
      </w:r>
    </w:p>
    <w:p w14:paraId="2D670AED" w14:textId="705BE378" w:rsidR="00254618" w:rsidRPr="002A150B" w:rsidRDefault="00B7738B" w:rsidP="00510DED">
      <w:pPr>
        <w:pStyle w:val="CMR-text"/>
        <w:rPr>
          <w:rStyle w:val="Bodytext1"/>
          <w:noProof/>
        </w:rPr>
      </w:pPr>
      <w:r w:rsidRPr="002A150B">
        <w:rPr>
          <w:rStyle w:val="Bodytext1"/>
          <w:noProof/>
        </w:rPr>
        <w:t>Pentru a pune în aplicare CORSIA în legislația UE, în februarie 2024 Comisia a adoptat lista statelor despre care se consideră că aplică CORSIA pentru emisiile din 2023</w:t>
      </w:r>
      <w:r w:rsidRPr="002A150B">
        <w:rPr>
          <w:rStyle w:val="FootnoteReference"/>
          <w:noProof/>
        </w:rPr>
        <w:footnoteReference w:id="90"/>
      </w:r>
      <w:r w:rsidRPr="002A150B">
        <w:rPr>
          <w:rStyle w:val="Bodytext1"/>
          <w:noProof/>
        </w:rPr>
        <w:t>. Această listă este actualizată anual. În iulie 2024, Comisia a publicat normele de calculare a cerințelor de compensare în cadrul CORSIA</w:t>
      </w:r>
      <w:r w:rsidRPr="002A150B">
        <w:rPr>
          <w:rStyle w:val="FootnoteReference"/>
          <w:noProof/>
        </w:rPr>
        <w:footnoteReference w:id="91"/>
      </w:r>
      <w:r w:rsidRPr="002A150B">
        <w:rPr>
          <w:rStyle w:val="Bodytext1"/>
          <w:noProof/>
        </w:rPr>
        <w:t xml:space="preserve">. Autoritățile competente din statele membre vor utiliza aceste norme pentru emisii până la sfârșitul anului 2026. </w:t>
      </w:r>
    </w:p>
    <w:p w14:paraId="58EACB20" w14:textId="312090A2" w:rsidR="00510DED" w:rsidRPr="002A150B" w:rsidRDefault="00510DED" w:rsidP="00510DED">
      <w:pPr>
        <w:pStyle w:val="CMR-text"/>
        <w:rPr>
          <w:rStyle w:val="Bodytext1"/>
          <w:rFonts w:cs="Times New Roman"/>
          <w:noProof/>
          <w:szCs w:val="24"/>
        </w:rPr>
      </w:pPr>
      <w:r w:rsidRPr="002A150B">
        <w:rPr>
          <w:rStyle w:val="Bodytext1"/>
          <w:noProof/>
        </w:rPr>
        <w:t>Făcând un pas semnificativ în direcția îmbunătățirii transparenței, Comisia a publicat în martie 2024 date anuale agregate privind emisiile generate de activitățile de aviație în 2022</w:t>
      </w:r>
      <w:r w:rsidRPr="002A150B">
        <w:rPr>
          <w:rStyle w:val="FootnoteReference"/>
          <w:rFonts w:cs="Times New Roman"/>
          <w:noProof/>
        </w:rPr>
        <w:footnoteReference w:id="92"/>
      </w:r>
      <w:r w:rsidRPr="002A150B">
        <w:rPr>
          <w:rStyle w:val="Bodytext1"/>
          <w:noProof/>
        </w:rPr>
        <w:t>. Această publicare a urmat unei declarații a Comisiei</w:t>
      </w:r>
      <w:r w:rsidRPr="002A150B">
        <w:rPr>
          <w:rStyle w:val="FootnoteReference"/>
          <w:rFonts w:cs="Times New Roman"/>
          <w:noProof/>
        </w:rPr>
        <w:footnoteReference w:id="93"/>
      </w:r>
      <w:r w:rsidRPr="002A150B">
        <w:rPr>
          <w:rStyle w:val="Bodytext1"/>
          <w:noProof/>
        </w:rPr>
        <w:t xml:space="preserve"> emise în cursul procesului legislativ pentru revizuirea din 2023 a Directivei EU ETS. Comisia s-a angajat să publice mai multe date privind emisiile generate de aviația internațională, protejând în același timp datele sensibile din punct de vedere comercial. </w:t>
      </w:r>
    </w:p>
    <w:p w14:paraId="032FFBC1" w14:textId="427F6BF5" w:rsidR="00B7738B" w:rsidRPr="002A150B" w:rsidRDefault="00B7738B" w:rsidP="00B7738B">
      <w:pPr>
        <w:pStyle w:val="CMR-text"/>
        <w:rPr>
          <w:rStyle w:val="Bodytext1"/>
          <w:noProof/>
        </w:rPr>
      </w:pPr>
    </w:p>
    <w:p w14:paraId="69A815BA" w14:textId="1C2251D5" w:rsidR="00C00C56" w:rsidRPr="002A150B" w:rsidRDefault="00C00C56" w:rsidP="002A00BB">
      <w:pPr>
        <w:pStyle w:val="Caption"/>
        <w:keepNext/>
        <w:rPr>
          <w:noProof/>
        </w:rPr>
      </w:pPr>
      <w:bookmarkStart w:id="71" w:name="_Ref176959178"/>
      <w:r w:rsidRPr="002A150B">
        <w:rPr>
          <w:noProof/>
        </w:rPr>
        <w:t>Tabelul 8</w:t>
      </w:r>
      <w:bookmarkEnd w:id="71"/>
      <w:r w:rsidRPr="002A150B">
        <w:rPr>
          <w:noProof/>
        </w:rPr>
        <w:t>. Aviația în cadrul EU ETS (2019-2023) – emisii verificate [milioane de tone de echivalent CO</w:t>
      </w:r>
      <w:r w:rsidRPr="002A150B">
        <w:rPr>
          <w:noProof/>
          <w:vertAlign w:val="subscript"/>
        </w:rPr>
        <w:t>2</w:t>
      </w:r>
      <w:r w:rsidRPr="002A150B">
        <w:rPr>
          <w:noProof/>
        </w:rPr>
        <w:t xml:space="preserve">], alocări cu titlu gratuit și certificate licitate [milioane de certificate] </w:t>
      </w:r>
    </w:p>
    <w:tbl>
      <w:tblPr>
        <w:tblStyle w:val="TableGridLight"/>
        <w:tblW w:w="5000" w:type="pct"/>
        <w:tblLook w:val="04A0" w:firstRow="1" w:lastRow="0" w:firstColumn="1" w:lastColumn="0" w:noHBand="0" w:noVBand="1"/>
      </w:tblPr>
      <w:tblGrid>
        <w:gridCol w:w="2545"/>
        <w:gridCol w:w="1293"/>
        <w:gridCol w:w="1295"/>
        <w:gridCol w:w="1295"/>
        <w:gridCol w:w="1295"/>
        <w:gridCol w:w="1293"/>
      </w:tblGrid>
      <w:tr w:rsidR="007E501C" w:rsidRPr="002A150B" w14:paraId="1B76AD8D" w14:textId="7552D26D" w:rsidTr="001F1040">
        <w:trPr>
          <w:cantSplit/>
        </w:trPr>
        <w:tc>
          <w:tcPr>
            <w:tcW w:w="1412" w:type="pct"/>
            <w:vAlign w:val="center"/>
          </w:tcPr>
          <w:p w14:paraId="74548974" w14:textId="77777777" w:rsidR="007E501C" w:rsidRPr="002A150B" w:rsidRDefault="007E501C" w:rsidP="002A00BB">
            <w:pPr>
              <w:pStyle w:val="CMR-tables"/>
              <w:keepNext/>
              <w:rPr>
                <w:b/>
                <w:noProof/>
              </w:rPr>
            </w:pPr>
            <w:r w:rsidRPr="002A150B">
              <w:rPr>
                <w:rStyle w:val="Other1"/>
                <w:b/>
                <w:noProof/>
              </w:rPr>
              <w:t>Anul</w:t>
            </w:r>
          </w:p>
        </w:tc>
        <w:tc>
          <w:tcPr>
            <w:tcW w:w="717" w:type="pct"/>
            <w:vAlign w:val="center"/>
          </w:tcPr>
          <w:p w14:paraId="6A2A0EB0" w14:textId="77777777" w:rsidR="007E501C" w:rsidRPr="002A150B" w:rsidRDefault="007E501C" w:rsidP="002A00BB">
            <w:pPr>
              <w:pStyle w:val="CMR-tables"/>
              <w:keepNext/>
              <w:jc w:val="center"/>
              <w:rPr>
                <w:noProof/>
              </w:rPr>
            </w:pPr>
            <w:r w:rsidRPr="002A150B">
              <w:rPr>
                <w:rStyle w:val="Other1"/>
                <w:noProof/>
              </w:rPr>
              <w:t>2019</w:t>
            </w:r>
          </w:p>
        </w:tc>
        <w:tc>
          <w:tcPr>
            <w:tcW w:w="718" w:type="pct"/>
            <w:vAlign w:val="center"/>
          </w:tcPr>
          <w:p w14:paraId="6A827756" w14:textId="77777777" w:rsidR="007E501C" w:rsidRPr="002A150B" w:rsidRDefault="007E501C" w:rsidP="002A00BB">
            <w:pPr>
              <w:pStyle w:val="CMR-tables"/>
              <w:keepNext/>
              <w:jc w:val="center"/>
              <w:rPr>
                <w:noProof/>
              </w:rPr>
            </w:pPr>
            <w:r w:rsidRPr="002A150B">
              <w:rPr>
                <w:rStyle w:val="Other1"/>
                <w:noProof/>
              </w:rPr>
              <w:t>2020</w:t>
            </w:r>
          </w:p>
        </w:tc>
        <w:tc>
          <w:tcPr>
            <w:tcW w:w="718" w:type="pct"/>
            <w:vAlign w:val="center"/>
          </w:tcPr>
          <w:p w14:paraId="2A2912AF" w14:textId="7C962D08" w:rsidR="007E501C" w:rsidRPr="002A150B" w:rsidRDefault="007E501C" w:rsidP="002A00BB">
            <w:pPr>
              <w:pStyle w:val="CMR-tables"/>
              <w:keepNext/>
              <w:jc w:val="center"/>
              <w:rPr>
                <w:noProof/>
              </w:rPr>
            </w:pPr>
            <w:r w:rsidRPr="002A150B">
              <w:rPr>
                <w:rStyle w:val="Other1"/>
                <w:noProof/>
              </w:rPr>
              <w:t>2021</w:t>
            </w:r>
            <w:r w:rsidRPr="002A150B">
              <w:rPr>
                <w:noProof/>
                <w:color w:val="000000" w:themeColor="text1"/>
                <w:sz w:val="19"/>
                <w:vertAlign w:val="superscript"/>
              </w:rPr>
              <w:t>59</w:t>
            </w:r>
          </w:p>
        </w:tc>
        <w:tc>
          <w:tcPr>
            <w:tcW w:w="718" w:type="pct"/>
            <w:vAlign w:val="center"/>
          </w:tcPr>
          <w:p w14:paraId="04BE8165" w14:textId="77777777" w:rsidR="007E501C" w:rsidRPr="002A150B" w:rsidRDefault="007E501C" w:rsidP="002A00BB">
            <w:pPr>
              <w:pStyle w:val="CMR-tables"/>
              <w:keepNext/>
              <w:jc w:val="center"/>
              <w:rPr>
                <w:noProof/>
              </w:rPr>
            </w:pPr>
            <w:r w:rsidRPr="002A150B">
              <w:rPr>
                <w:rStyle w:val="Other1"/>
                <w:noProof/>
              </w:rPr>
              <w:t>2022</w:t>
            </w:r>
          </w:p>
        </w:tc>
        <w:tc>
          <w:tcPr>
            <w:tcW w:w="718" w:type="pct"/>
            <w:vAlign w:val="center"/>
          </w:tcPr>
          <w:p w14:paraId="055F91B8" w14:textId="61CC0C18" w:rsidR="007E501C" w:rsidRPr="002A150B" w:rsidRDefault="007E501C" w:rsidP="002A00BB">
            <w:pPr>
              <w:pStyle w:val="CMR-tables"/>
              <w:keepNext/>
              <w:jc w:val="center"/>
              <w:rPr>
                <w:rStyle w:val="Other1"/>
                <w:noProof/>
              </w:rPr>
            </w:pPr>
            <w:r w:rsidRPr="002A150B">
              <w:rPr>
                <w:noProof/>
              </w:rPr>
              <w:t>2023</w:t>
            </w:r>
          </w:p>
        </w:tc>
      </w:tr>
      <w:tr w:rsidR="007E501C" w:rsidRPr="002A150B" w14:paraId="16402BDD" w14:textId="7A16065F" w:rsidTr="00A0384F">
        <w:trPr>
          <w:cantSplit/>
          <w:trHeight w:val="700"/>
        </w:trPr>
        <w:tc>
          <w:tcPr>
            <w:tcW w:w="1412" w:type="pct"/>
            <w:shd w:val="clear" w:color="auto" w:fill="F2F2F2" w:themeFill="background1" w:themeFillShade="F2"/>
            <w:vAlign w:val="center"/>
          </w:tcPr>
          <w:p w14:paraId="32ECB3FE" w14:textId="0522B7DB" w:rsidR="007E501C" w:rsidRPr="002A150B" w:rsidRDefault="007E501C" w:rsidP="002A00BB">
            <w:pPr>
              <w:pStyle w:val="CMR-tables"/>
              <w:keepNext/>
              <w:rPr>
                <w:b/>
                <w:noProof/>
              </w:rPr>
            </w:pPr>
            <w:r w:rsidRPr="002A150B">
              <w:rPr>
                <w:rStyle w:val="Other1"/>
                <w:b/>
                <w:noProof/>
              </w:rPr>
              <w:t>Emisii verificate – aviație</w:t>
            </w:r>
          </w:p>
        </w:tc>
        <w:tc>
          <w:tcPr>
            <w:tcW w:w="717" w:type="pct"/>
            <w:shd w:val="clear" w:color="auto" w:fill="F2F2F2" w:themeFill="background1" w:themeFillShade="F2"/>
            <w:vAlign w:val="center"/>
          </w:tcPr>
          <w:p w14:paraId="3DC1F2D6" w14:textId="77777777" w:rsidR="007E501C" w:rsidRPr="002A150B" w:rsidRDefault="007E501C" w:rsidP="002A00BB">
            <w:pPr>
              <w:pStyle w:val="CMR-tables"/>
              <w:keepNext/>
              <w:jc w:val="center"/>
              <w:rPr>
                <w:noProof/>
              </w:rPr>
            </w:pPr>
            <w:r w:rsidRPr="002A150B">
              <w:rPr>
                <w:rStyle w:val="Other1"/>
                <w:noProof/>
              </w:rPr>
              <w:t>68,2</w:t>
            </w:r>
          </w:p>
        </w:tc>
        <w:tc>
          <w:tcPr>
            <w:tcW w:w="718" w:type="pct"/>
            <w:shd w:val="clear" w:color="auto" w:fill="F2F2F2" w:themeFill="background1" w:themeFillShade="F2"/>
            <w:vAlign w:val="center"/>
          </w:tcPr>
          <w:p w14:paraId="548DD43B" w14:textId="77777777" w:rsidR="007E501C" w:rsidRPr="002A150B" w:rsidRDefault="007E501C" w:rsidP="002A00BB">
            <w:pPr>
              <w:pStyle w:val="CMR-tables"/>
              <w:keepNext/>
              <w:jc w:val="center"/>
              <w:rPr>
                <w:noProof/>
              </w:rPr>
            </w:pPr>
            <w:r w:rsidRPr="002A150B">
              <w:rPr>
                <w:rStyle w:val="Other1"/>
                <w:noProof/>
              </w:rPr>
              <w:t>25,2</w:t>
            </w:r>
          </w:p>
        </w:tc>
        <w:tc>
          <w:tcPr>
            <w:tcW w:w="718" w:type="pct"/>
            <w:shd w:val="clear" w:color="auto" w:fill="F2F2F2" w:themeFill="background1" w:themeFillShade="F2"/>
            <w:vAlign w:val="center"/>
          </w:tcPr>
          <w:p w14:paraId="6013C921" w14:textId="77777777" w:rsidR="007E501C" w:rsidRPr="002A150B" w:rsidRDefault="007E501C" w:rsidP="002A00BB">
            <w:pPr>
              <w:pStyle w:val="CMR-tables"/>
              <w:keepNext/>
              <w:jc w:val="center"/>
              <w:rPr>
                <w:noProof/>
              </w:rPr>
            </w:pPr>
            <w:r w:rsidRPr="002A150B">
              <w:rPr>
                <w:rStyle w:val="Other1"/>
                <w:noProof/>
              </w:rPr>
              <w:t>27,9</w:t>
            </w:r>
          </w:p>
        </w:tc>
        <w:tc>
          <w:tcPr>
            <w:tcW w:w="718" w:type="pct"/>
            <w:shd w:val="clear" w:color="auto" w:fill="F2F2F2" w:themeFill="background1" w:themeFillShade="F2"/>
            <w:vAlign w:val="center"/>
          </w:tcPr>
          <w:p w14:paraId="7217CDD4" w14:textId="1F03BD35" w:rsidR="007E501C" w:rsidRPr="002A150B" w:rsidRDefault="007E501C" w:rsidP="002A00BB">
            <w:pPr>
              <w:pStyle w:val="CMR-tables"/>
              <w:keepNext/>
              <w:jc w:val="center"/>
              <w:rPr>
                <w:noProof/>
              </w:rPr>
            </w:pPr>
            <w:r w:rsidRPr="002A150B">
              <w:rPr>
                <w:rStyle w:val="Other1"/>
                <w:noProof/>
              </w:rPr>
              <w:t>49,5</w:t>
            </w:r>
          </w:p>
        </w:tc>
        <w:tc>
          <w:tcPr>
            <w:tcW w:w="718" w:type="pct"/>
            <w:shd w:val="clear" w:color="auto" w:fill="F2F2F2" w:themeFill="background1" w:themeFillShade="F2"/>
            <w:vAlign w:val="center"/>
          </w:tcPr>
          <w:p w14:paraId="39FF66E5" w14:textId="39CFD661" w:rsidR="007E501C" w:rsidRPr="002A150B" w:rsidRDefault="00315885" w:rsidP="002A00BB">
            <w:pPr>
              <w:pStyle w:val="CMR-tables"/>
              <w:keepNext/>
              <w:jc w:val="center"/>
              <w:rPr>
                <w:rStyle w:val="Other1"/>
                <w:noProof/>
              </w:rPr>
            </w:pPr>
            <w:r w:rsidRPr="002A150B">
              <w:rPr>
                <w:rStyle w:val="Other1"/>
                <w:noProof/>
              </w:rPr>
              <w:t>54,1</w:t>
            </w:r>
          </w:p>
        </w:tc>
      </w:tr>
      <w:tr w:rsidR="007E501C" w:rsidRPr="002A150B" w14:paraId="43AF3BC3" w14:textId="642A4ED5" w:rsidTr="001F1040">
        <w:trPr>
          <w:cantSplit/>
          <w:trHeight w:val="700"/>
        </w:trPr>
        <w:tc>
          <w:tcPr>
            <w:tcW w:w="1412" w:type="pct"/>
            <w:vAlign w:val="center"/>
          </w:tcPr>
          <w:p w14:paraId="36DF7BDA" w14:textId="501E18DF" w:rsidR="007E501C" w:rsidRPr="002A150B" w:rsidRDefault="4F71372D" w:rsidP="002A00BB">
            <w:pPr>
              <w:pStyle w:val="CMR-tables"/>
              <w:keepNext/>
              <w:rPr>
                <w:b/>
                <w:noProof/>
              </w:rPr>
            </w:pPr>
            <w:r w:rsidRPr="002A150B">
              <w:rPr>
                <w:rStyle w:val="Other1"/>
                <w:b/>
                <w:noProof/>
              </w:rPr>
              <w:t>Variație de la an la an</w:t>
            </w:r>
            <w:r w:rsidR="007E501C" w:rsidRPr="002A150B">
              <w:rPr>
                <w:rStyle w:val="Other1"/>
                <w:b/>
                <w:noProof/>
                <w:vertAlign w:val="superscript"/>
              </w:rPr>
              <w:footnoteReference w:id="94"/>
            </w:r>
          </w:p>
        </w:tc>
        <w:tc>
          <w:tcPr>
            <w:tcW w:w="717" w:type="pct"/>
            <w:vAlign w:val="center"/>
          </w:tcPr>
          <w:p w14:paraId="369F275F" w14:textId="0C78C193" w:rsidR="007E501C" w:rsidRPr="002A150B" w:rsidRDefault="00DD1E7A" w:rsidP="002A00BB">
            <w:pPr>
              <w:pStyle w:val="CMR-tables"/>
              <w:keepNext/>
              <w:jc w:val="center"/>
              <w:rPr>
                <w:noProof/>
              </w:rPr>
            </w:pPr>
            <w:r w:rsidRPr="002A150B">
              <w:rPr>
                <w:rStyle w:val="Other1"/>
                <w:noProof/>
              </w:rPr>
              <w:t>+1 %</w:t>
            </w:r>
          </w:p>
        </w:tc>
        <w:tc>
          <w:tcPr>
            <w:tcW w:w="718" w:type="pct"/>
            <w:vAlign w:val="center"/>
          </w:tcPr>
          <w:p w14:paraId="12B644CD" w14:textId="77777777" w:rsidR="007E501C" w:rsidRPr="002A150B" w:rsidRDefault="007E501C" w:rsidP="002A00BB">
            <w:pPr>
              <w:pStyle w:val="CMR-tables"/>
              <w:keepNext/>
              <w:jc w:val="center"/>
              <w:rPr>
                <w:noProof/>
              </w:rPr>
            </w:pPr>
            <w:r w:rsidRPr="002A150B">
              <w:rPr>
                <w:rStyle w:val="Other1"/>
                <w:noProof/>
              </w:rPr>
              <w:t>-63 %</w:t>
            </w:r>
          </w:p>
        </w:tc>
        <w:tc>
          <w:tcPr>
            <w:tcW w:w="718" w:type="pct"/>
            <w:vAlign w:val="center"/>
          </w:tcPr>
          <w:p w14:paraId="757A256A" w14:textId="5CD06BF4" w:rsidR="007E501C" w:rsidRPr="002A150B" w:rsidRDefault="00DD1E7A" w:rsidP="002A00BB">
            <w:pPr>
              <w:pStyle w:val="CMR-tables"/>
              <w:keepNext/>
              <w:jc w:val="center"/>
              <w:rPr>
                <w:noProof/>
              </w:rPr>
            </w:pPr>
            <w:r w:rsidRPr="002A150B">
              <w:rPr>
                <w:rStyle w:val="Other1"/>
                <w:noProof/>
              </w:rPr>
              <w:t>+30 %</w:t>
            </w:r>
          </w:p>
        </w:tc>
        <w:tc>
          <w:tcPr>
            <w:tcW w:w="718" w:type="pct"/>
            <w:vAlign w:val="center"/>
          </w:tcPr>
          <w:p w14:paraId="69FA5582" w14:textId="06815A0E" w:rsidR="007E501C" w:rsidRPr="002A150B" w:rsidRDefault="00DD1E7A" w:rsidP="002A00BB">
            <w:pPr>
              <w:pStyle w:val="CMR-tables"/>
              <w:keepNext/>
              <w:jc w:val="center"/>
              <w:rPr>
                <w:noProof/>
              </w:rPr>
            </w:pPr>
            <w:r w:rsidRPr="002A150B">
              <w:rPr>
                <w:rStyle w:val="Other1"/>
                <w:noProof/>
              </w:rPr>
              <w:t>+77 %</w:t>
            </w:r>
          </w:p>
        </w:tc>
        <w:tc>
          <w:tcPr>
            <w:tcW w:w="718" w:type="pct"/>
            <w:vAlign w:val="center"/>
          </w:tcPr>
          <w:p w14:paraId="461F2748" w14:textId="579AA158" w:rsidR="007E501C" w:rsidRPr="002A150B" w:rsidRDefault="00DD1E7A" w:rsidP="002A00BB">
            <w:pPr>
              <w:pStyle w:val="CMR-tables"/>
              <w:keepNext/>
              <w:jc w:val="center"/>
              <w:rPr>
                <w:rStyle w:val="Other1"/>
                <w:noProof/>
              </w:rPr>
            </w:pPr>
            <w:r w:rsidRPr="002A150B">
              <w:rPr>
                <w:rStyle w:val="Other1"/>
                <w:noProof/>
              </w:rPr>
              <w:t>+9,5 %</w:t>
            </w:r>
          </w:p>
        </w:tc>
      </w:tr>
      <w:tr w:rsidR="007E501C" w:rsidRPr="002A150B" w14:paraId="50DB2BA5" w14:textId="2432F457" w:rsidTr="00A0384F">
        <w:trPr>
          <w:cantSplit/>
          <w:trHeight w:val="1160"/>
        </w:trPr>
        <w:tc>
          <w:tcPr>
            <w:tcW w:w="1412" w:type="pct"/>
            <w:shd w:val="clear" w:color="auto" w:fill="F2F2F2" w:themeFill="background1" w:themeFillShade="F2"/>
            <w:vAlign w:val="center"/>
          </w:tcPr>
          <w:p w14:paraId="34947205" w14:textId="6F4077F7" w:rsidR="007E501C" w:rsidRPr="002A150B" w:rsidRDefault="4F71372D" w:rsidP="002A00BB">
            <w:pPr>
              <w:pStyle w:val="CMR-tables"/>
              <w:keepNext/>
              <w:rPr>
                <w:b/>
                <w:noProof/>
              </w:rPr>
            </w:pPr>
            <w:r w:rsidRPr="002A150B">
              <w:rPr>
                <w:rStyle w:val="Other1"/>
                <w:b/>
                <w:noProof/>
              </w:rPr>
              <w:t xml:space="preserve">Alocare cu titlu gratuit (UE-27 + Islanda, Liechtenstein și Norvegia </w:t>
            </w:r>
            <w:r w:rsidRPr="002A150B">
              <w:rPr>
                <w:rStyle w:val="Other1"/>
                <w:b/>
                <w:noProof/>
              </w:rPr>
              <w:br/>
              <w:t>+ Regatul Unit + Elveția)</w:t>
            </w:r>
            <w:r w:rsidR="007E501C" w:rsidRPr="002A150B">
              <w:rPr>
                <w:rStyle w:val="Other1"/>
                <w:b/>
                <w:noProof/>
                <w:vertAlign w:val="superscript"/>
              </w:rPr>
              <w:footnoteReference w:id="95"/>
            </w:r>
          </w:p>
        </w:tc>
        <w:tc>
          <w:tcPr>
            <w:tcW w:w="717" w:type="pct"/>
            <w:shd w:val="clear" w:color="auto" w:fill="F2F2F2" w:themeFill="background1" w:themeFillShade="F2"/>
            <w:vAlign w:val="center"/>
          </w:tcPr>
          <w:p w14:paraId="3DE6FCEA" w14:textId="77777777" w:rsidR="007E501C" w:rsidRPr="002A150B" w:rsidRDefault="4F71372D" w:rsidP="002A00BB">
            <w:pPr>
              <w:pStyle w:val="CMR-tables"/>
              <w:keepNext/>
              <w:jc w:val="center"/>
              <w:rPr>
                <w:noProof/>
              </w:rPr>
            </w:pPr>
            <w:r w:rsidRPr="002A150B">
              <w:rPr>
                <w:rStyle w:val="Other1"/>
                <w:noProof/>
              </w:rPr>
              <w:t>31,3</w:t>
            </w:r>
            <w:r w:rsidR="007E501C" w:rsidRPr="002A150B">
              <w:rPr>
                <w:rStyle w:val="Other1"/>
                <w:noProof/>
                <w:vertAlign w:val="superscript"/>
              </w:rPr>
              <w:footnoteReference w:id="96"/>
            </w:r>
          </w:p>
        </w:tc>
        <w:tc>
          <w:tcPr>
            <w:tcW w:w="718" w:type="pct"/>
            <w:shd w:val="clear" w:color="auto" w:fill="F2F2F2" w:themeFill="background1" w:themeFillShade="F2"/>
            <w:vAlign w:val="center"/>
          </w:tcPr>
          <w:p w14:paraId="61816157" w14:textId="77777777" w:rsidR="007E501C" w:rsidRPr="002A150B" w:rsidRDefault="007E501C" w:rsidP="002A00BB">
            <w:pPr>
              <w:pStyle w:val="CMR-tables"/>
              <w:keepNext/>
              <w:jc w:val="center"/>
              <w:rPr>
                <w:noProof/>
              </w:rPr>
            </w:pPr>
            <w:r w:rsidRPr="002A150B">
              <w:rPr>
                <w:rStyle w:val="Other1"/>
                <w:noProof/>
              </w:rPr>
              <w:t>32,5</w:t>
            </w:r>
          </w:p>
        </w:tc>
        <w:tc>
          <w:tcPr>
            <w:tcW w:w="718" w:type="pct"/>
            <w:shd w:val="clear" w:color="auto" w:fill="F2F2F2" w:themeFill="background1" w:themeFillShade="F2"/>
            <w:vAlign w:val="center"/>
          </w:tcPr>
          <w:p w14:paraId="3B80399F" w14:textId="77777777" w:rsidR="007E501C" w:rsidRPr="002A150B" w:rsidRDefault="007E501C" w:rsidP="002A00BB">
            <w:pPr>
              <w:pStyle w:val="CMR-tables"/>
              <w:keepNext/>
              <w:jc w:val="center"/>
              <w:rPr>
                <w:noProof/>
              </w:rPr>
            </w:pPr>
            <w:r w:rsidRPr="002A150B">
              <w:rPr>
                <w:rStyle w:val="Other1"/>
                <w:noProof/>
              </w:rPr>
              <w:t>24,0</w:t>
            </w:r>
          </w:p>
        </w:tc>
        <w:tc>
          <w:tcPr>
            <w:tcW w:w="718" w:type="pct"/>
            <w:shd w:val="clear" w:color="auto" w:fill="F2F2F2" w:themeFill="background1" w:themeFillShade="F2"/>
            <w:vAlign w:val="center"/>
          </w:tcPr>
          <w:p w14:paraId="412F5BA2" w14:textId="77777777" w:rsidR="007E501C" w:rsidRPr="002A150B" w:rsidRDefault="007E501C" w:rsidP="002A00BB">
            <w:pPr>
              <w:pStyle w:val="CMR-tables"/>
              <w:keepNext/>
              <w:jc w:val="center"/>
              <w:rPr>
                <w:noProof/>
              </w:rPr>
            </w:pPr>
            <w:r w:rsidRPr="002A150B">
              <w:rPr>
                <w:rStyle w:val="Other1"/>
                <w:noProof/>
              </w:rPr>
              <w:t>23,1</w:t>
            </w:r>
          </w:p>
        </w:tc>
        <w:tc>
          <w:tcPr>
            <w:tcW w:w="718" w:type="pct"/>
            <w:shd w:val="clear" w:color="auto" w:fill="F2F2F2" w:themeFill="background1" w:themeFillShade="F2"/>
            <w:vAlign w:val="center"/>
          </w:tcPr>
          <w:p w14:paraId="51D481D3" w14:textId="56E7A621" w:rsidR="007E501C" w:rsidRPr="002A150B" w:rsidRDefault="00DF080A" w:rsidP="002A00BB">
            <w:pPr>
              <w:pStyle w:val="CMR-tables"/>
              <w:keepNext/>
              <w:jc w:val="center"/>
              <w:rPr>
                <w:rStyle w:val="Other1"/>
                <w:noProof/>
              </w:rPr>
            </w:pPr>
            <w:r w:rsidRPr="002A150B">
              <w:rPr>
                <w:rStyle w:val="Other1"/>
                <w:noProof/>
              </w:rPr>
              <w:t>22,5</w:t>
            </w:r>
          </w:p>
        </w:tc>
      </w:tr>
      <w:tr w:rsidR="007E501C" w:rsidRPr="002A150B" w14:paraId="31465E84" w14:textId="7CBF719E" w:rsidTr="001F1040">
        <w:trPr>
          <w:cantSplit/>
          <w:trHeight w:val="1160"/>
        </w:trPr>
        <w:tc>
          <w:tcPr>
            <w:tcW w:w="1412" w:type="pct"/>
            <w:vAlign w:val="center"/>
          </w:tcPr>
          <w:p w14:paraId="032631F6" w14:textId="77777777" w:rsidR="007E501C" w:rsidRPr="002A150B" w:rsidRDefault="007E501C" w:rsidP="002A00BB">
            <w:pPr>
              <w:pStyle w:val="CMR-tables"/>
              <w:keepNext/>
              <w:rPr>
                <w:b/>
                <w:noProof/>
              </w:rPr>
            </w:pPr>
            <w:r w:rsidRPr="002A150B">
              <w:rPr>
                <w:rStyle w:val="Other1"/>
                <w:b/>
                <w:noProof/>
              </w:rPr>
              <w:t>Alocare cu titlu gratuit din rezerva specială pentru instalațiile nou-intrate și operatorii cu creștere rapidă</w:t>
            </w:r>
          </w:p>
        </w:tc>
        <w:tc>
          <w:tcPr>
            <w:tcW w:w="717" w:type="pct"/>
            <w:vAlign w:val="center"/>
          </w:tcPr>
          <w:p w14:paraId="6B5755C0" w14:textId="77777777" w:rsidR="007E501C" w:rsidRPr="002A150B" w:rsidRDefault="007E501C" w:rsidP="002A00BB">
            <w:pPr>
              <w:pStyle w:val="CMR-tables"/>
              <w:keepNext/>
              <w:jc w:val="center"/>
              <w:rPr>
                <w:noProof/>
              </w:rPr>
            </w:pPr>
            <w:r w:rsidRPr="002A150B">
              <w:rPr>
                <w:rStyle w:val="Other1"/>
                <w:noProof/>
              </w:rPr>
              <w:t>1,0</w:t>
            </w:r>
          </w:p>
        </w:tc>
        <w:tc>
          <w:tcPr>
            <w:tcW w:w="718" w:type="pct"/>
            <w:vAlign w:val="center"/>
          </w:tcPr>
          <w:p w14:paraId="1081871D" w14:textId="77777777" w:rsidR="007E501C" w:rsidRPr="002A150B" w:rsidRDefault="007E501C" w:rsidP="002A00BB">
            <w:pPr>
              <w:pStyle w:val="CMR-tables"/>
              <w:keepNext/>
              <w:jc w:val="center"/>
              <w:rPr>
                <w:noProof/>
              </w:rPr>
            </w:pPr>
            <w:r w:rsidRPr="002A150B">
              <w:rPr>
                <w:rStyle w:val="Other1"/>
                <w:noProof/>
              </w:rPr>
              <w:t>0,8</w:t>
            </w:r>
          </w:p>
        </w:tc>
        <w:tc>
          <w:tcPr>
            <w:tcW w:w="718" w:type="pct"/>
            <w:vAlign w:val="center"/>
          </w:tcPr>
          <w:p w14:paraId="54291E5A" w14:textId="77777777" w:rsidR="007E501C" w:rsidRPr="002A150B" w:rsidRDefault="007E501C" w:rsidP="002A00BB">
            <w:pPr>
              <w:pStyle w:val="CMR-tables"/>
              <w:keepNext/>
              <w:jc w:val="center"/>
              <w:rPr>
                <w:noProof/>
              </w:rPr>
            </w:pPr>
            <w:r w:rsidRPr="002A150B">
              <w:rPr>
                <w:rStyle w:val="Other1"/>
                <w:noProof/>
              </w:rPr>
              <w:t>0,3</w:t>
            </w:r>
          </w:p>
        </w:tc>
        <w:tc>
          <w:tcPr>
            <w:tcW w:w="718" w:type="pct"/>
            <w:vAlign w:val="center"/>
          </w:tcPr>
          <w:p w14:paraId="487E5316" w14:textId="77777777" w:rsidR="007E501C" w:rsidRPr="002A150B" w:rsidRDefault="007E501C" w:rsidP="002A00BB">
            <w:pPr>
              <w:pStyle w:val="CMR-tables"/>
              <w:keepNext/>
              <w:jc w:val="center"/>
              <w:rPr>
                <w:noProof/>
              </w:rPr>
            </w:pPr>
            <w:r w:rsidRPr="002A150B">
              <w:rPr>
                <w:rStyle w:val="Other1"/>
                <w:noProof/>
              </w:rPr>
              <w:t>0,25</w:t>
            </w:r>
          </w:p>
        </w:tc>
        <w:tc>
          <w:tcPr>
            <w:tcW w:w="718" w:type="pct"/>
            <w:vAlign w:val="center"/>
          </w:tcPr>
          <w:p w14:paraId="5776A82B" w14:textId="078702F0" w:rsidR="007E501C" w:rsidRPr="002A150B" w:rsidRDefault="00F44906" w:rsidP="002A00BB">
            <w:pPr>
              <w:pStyle w:val="CMR-tables"/>
              <w:keepNext/>
              <w:jc w:val="center"/>
              <w:rPr>
                <w:rStyle w:val="Other1"/>
                <w:noProof/>
              </w:rPr>
            </w:pPr>
            <w:r w:rsidRPr="002A150B">
              <w:rPr>
                <w:rStyle w:val="Other1"/>
                <w:noProof/>
              </w:rPr>
              <w:t>0,23</w:t>
            </w:r>
          </w:p>
        </w:tc>
      </w:tr>
      <w:tr w:rsidR="007E501C" w:rsidRPr="002A150B" w14:paraId="3B340DB4" w14:textId="1526889F" w:rsidTr="00A0384F">
        <w:trPr>
          <w:cantSplit/>
          <w:trHeight w:val="703"/>
        </w:trPr>
        <w:tc>
          <w:tcPr>
            <w:tcW w:w="1412" w:type="pct"/>
            <w:shd w:val="clear" w:color="auto" w:fill="F2F2F2" w:themeFill="background1" w:themeFillShade="F2"/>
            <w:vAlign w:val="center"/>
          </w:tcPr>
          <w:p w14:paraId="73A4BA87" w14:textId="304CA439" w:rsidR="007E501C" w:rsidRPr="002A150B" w:rsidRDefault="007E501C" w:rsidP="002A00BB">
            <w:pPr>
              <w:pStyle w:val="CMR-tables"/>
              <w:keepNext/>
              <w:rPr>
                <w:b/>
                <w:noProof/>
              </w:rPr>
            </w:pPr>
            <w:r w:rsidRPr="002A150B">
              <w:rPr>
                <w:rStyle w:val="Other1"/>
                <w:b/>
                <w:noProof/>
              </w:rPr>
              <w:t xml:space="preserve">Volume de certificate scoase la licitație </w:t>
            </w:r>
          </w:p>
        </w:tc>
        <w:tc>
          <w:tcPr>
            <w:tcW w:w="717" w:type="pct"/>
            <w:shd w:val="clear" w:color="auto" w:fill="F2F2F2" w:themeFill="background1" w:themeFillShade="F2"/>
            <w:vAlign w:val="center"/>
          </w:tcPr>
          <w:p w14:paraId="1194BF50" w14:textId="77777777" w:rsidR="007E501C" w:rsidRPr="002A150B" w:rsidRDefault="007E501C" w:rsidP="002A00BB">
            <w:pPr>
              <w:pStyle w:val="CMR-tables"/>
              <w:keepNext/>
              <w:jc w:val="center"/>
              <w:rPr>
                <w:noProof/>
              </w:rPr>
            </w:pPr>
            <w:r w:rsidRPr="002A150B">
              <w:rPr>
                <w:rStyle w:val="Other1"/>
                <w:noProof/>
              </w:rPr>
              <w:t>5,5</w:t>
            </w:r>
          </w:p>
        </w:tc>
        <w:tc>
          <w:tcPr>
            <w:tcW w:w="718" w:type="pct"/>
            <w:shd w:val="clear" w:color="auto" w:fill="F2F2F2" w:themeFill="background1" w:themeFillShade="F2"/>
            <w:vAlign w:val="center"/>
          </w:tcPr>
          <w:p w14:paraId="127C13B1" w14:textId="77777777" w:rsidR="007E501C" w:rsidRPr="002A150B" w:rsidRDefault="007E501C" w:rsidP="002A00BB">
            <w:pPr>
              <w:pStyle w:val="CMR-tables"/>
              <w:keepNext/>
              <w:jc w:val="center"/>
              <w:rPr>
                <w:noProof/>
              </w:rPr>
            </w:pPr>
            <w:r w:rsidRPr="002A150B">
              <w:rPr>
                <w:rStyle w:val="Other1"/>
                <w:noProof/>
              </w:rPr>
              <w:t>9,2</w:t>
            </w:r>
          </w:p>
        </w:tc>
        <w:tc>
          <w:tcPr>
            <w:tcW w:w="718" w:type="pct"/>
            <w:shd w:val="clear" w:color="auto" w:fill="F2F2F2" w:themeFill="background1" w:themeFillShade="F2"/>
            <w:vAlign w:val="center"/>
          </w:tcPr>
          <w:p w14:paraId="3D0C268C" w14:textId="77777777" w:rsidR="007E501C" w:rsidRPr="002A150B" w:rsidRDefault="007E501C" w:rsidP="002A00BB">
            <w:pPr>
              <w:pStyle w:val="CMR-tables"/>
              <w:keepNext/>
              <w:jc w:val="center"/>
              <w:rPr>
                <w:noProof/>
              </w:rPr>
            </w:pPr>
            <w:r w:rsidRPr="002A150B">
              <w:rPr>
                <w:rStyle w:val="Other1"/>
                <w:noProof/>
              </w:rPr>
              <w:t>3,8</w:t>
            </w:r>
          </w:p>
        </w:tc>
        <w:tc>
          <w:tcPr>
            <w:tcW w:w="718" w:type="pct"/>
            <w:shd w:val="clear" w:color="auto" w:fill="F2F2F2" w:themeFill="background1" w:themeFillShade="F2"/>
            <w:vAlign w:val="center"/>
          </w:tcPr>
          <w:p w14:paraId="162F9A02" w14:textId="77777777" w:rsidR="007E501C" w:rsidRPr="002A150B" w:rsidRDefault="007E501C" w:rsidP="002A00BB">
            <w:pPr>
              <w:pStyle w:val="CMR-tables"/>
              <w:keepNext/>
              <w:jc w:val="center"/>
              <w:rPr>
                <w:noProof/>
              </w:rPr>
            </w:pPr>
            <w:r w:rsidRPr="002A150B">
              <w:rPr>
                <w:rStyle w:val="Other1"/>
                <w:noProof/>
              </w:rPr>
              <w:t>3,7</w:t>
            </w:r>
          </w:p>
        </w:tc>
        <w:tc>
          <w:tcPr>
            <w:tcW w:w="718" w:type="pct"/>
            <w:shd w:val="clear" w:color="auto" w:fill="F2F2F2" w:themeFill="background1" w:themeFillShade="F2"/>
            <w:vAlign w:val="center"/>
          </w:tcPr>
          <w:p w14:paraId="0253F7EF" w14:textId="33A8D388" w:rsidR="007E501C" w:rsidRPr="002A150B" w:rsidRDefault="0020596C" w:rsidP="002A00BB">
            <w:pPr>
              <w:pStyle w:val="CMR-tables"/>
              <w:keepNext/>
              <w:jc w:val="center"/>
              <w:rPr>
                <w:rStyle w:val="Other1"/>
                <w:noProof/>
              </w:rPr>
            </w:pPr>
            <w:r w:rsidRPr="002A150B">
              <w:rPr>
                <w:rStyle w:val="Other1"/>
                <w:noProof/>
              </w:rPr>
              <w:t>5,7</w:t>
            </w:r>
          </w:p>
        </w:tc>
      </w:tr>
    </w:tbl>
    <w:p w14:paraId="0F0942C9" w14:textId="77777777" w:rsidR="00254618" w:rsidRPr="002A150B" w:rsidRDefault="00187D4D" w:rsidP="00187D4D">
      <w:pPr>
        <w:pStyle w:val="CMR-text"/>
        <w:rPr>
          <w:rStyle w:val="Bodytext1"/>
          <w:rFonts w:cs="Times New Roman"/>
          <w:noProof/>
          <w:szCs w:val="24"/>
        </w:rPr>
      </w:pPr>
      <w:r w:rsidRPr="002A150B">
        <w:rPr>
          <w:rStyle w:val="Bodytext1"/>
          <w:noProof/>
        </w:rPr>
        <w:t xml:space="preserve">Revizuirea din 2023 a Directivei EU ETS promovează aplicarea principiului „poluatorul plătește” în sectorul aviației. Certificatele cu titlu gratuit pentru operatorii de aeronave vor fi eliminate treptat până la sfârșitul anului 2025. În 2024, operatorilor de aeronave le sunt alocate cu 25 % mai puține certificate cu titlu gratuit. </w:t>
      </w:r>
    </w:p>
    <w:p w14:paraId="7B2BE992" w14:textId="38907A2E" w:rsidR="00187D4D" w:rsidRPr="002A150B" w:rsidRDefault="00187D4D" w:rsidP="00187D4D">
      <w:pPr>
        <w:pStyle w:val="CMR-text"/>
        <w:rPr>
          <w:rStyle w:val="Bodytext1"/>
          <w:rFonts w:cs="Times New Roman"/>
          <w:noProof/>
          <w:szCs w:val="24"/>
        </w:rPr>
      </w:pPr>
      <w:r w:rsidRPr="002A150B">
        <w:rPr>
          <w:rStyle w:val="Bodytext1"/>
          <w:noProof/>
        </w:rPr>
        <w:t>În același timp, 20 de milioane de certificate (cu o valoare de piață actuală estimată la aproximativ 1,5 miliarde EUR, la un preț al carbonului de 75 EUR/tCO</w:t>
      </w:r>
      <w:r w:rsidRPr="002A150B">
        <w:rPr>
          <w:rStyle w:val="Bodytext1"/>
          <w:noProof/>
          <w:vertAlign w:val="subscript"/>
        </w:rPr>
        <w:t>2</w:t>
      </w:r>
      <w:r w:rsidRPr="002A150B">
        <w:rPr>
          <w:rStyle w:val="Bodytext1"/>
          <w:noProof/>
        </w:rPr>
        <w:t>) sunt alocate pentru a sprijini în continuare utilizarea combustibililor alternativi eligibili. Acest sprijin majorează stimulentele financiare oferite de EU ETS pentru combustibilii alternativi la combustibilii fosili, în acest sens factorul de emisie zero asigurând un stimulent financiar de peste 200 EUR pe tonă de combustibil. Acest stimulent este disponibil pentru combustibilii eligibili alimentați pe rutele ETS începând din 1 ianuarie 2024. Se preconizează că revizuirea în curs a Directivei privind impozitarea energiei va majora și mai mult acest stimulent.</w:t>
      </w:r>
    </w:p>
    <w:p w14:paraId="5EAC9108" w14:textId="5705D964" w:rsidR="00187D4D" w:rsidRPr="002A150B" w:rsidRDefault="322F2439" w:rsidP="00187D4D">
      <w:pPr>
        <w:pStyle w:val="CMR-text"/>
        <w:rPr>
          <w:rStyle w:val="Bodytext1"/>
          <w:rFonts w:cs="Times New Roman"/>
          <w:noProof/>
          <w:szCs w:val="24"/>
        </w:rPr>
      </w:pPr>
      <w:r w:rsidRPr="002A150B">
        <w:rPr>
          <w:rStyle w:val="Bodytext1"/>
          <w:noProof/>
        </w:rPr>
        <w:t>Recunoscând că efectele aviației diferite de emisiile de CO</w:t>
      </w:r>
      <w:r w:rsidRPr="002A150B">
        <w:rPr>
          <w:rStyle w:val="Bodytext1"/>
          <w:noProof/>
          <w:vertAlign w:val="subscript"/>
        </w:rPr>
        <w:t>2</w:t>
      </w:r>
      <w:r w:rsidRPr="002A150B">
        <w:rPr>
          <w:rStyle w:val="Bodytext1"/>
          <w:noProof/>
        </w:rPr>
        <w:t xml:space="preserve"> nu mai pot fi ignorate</w:t>
      </w:r>
      <w:r w:rsidR="00187D4D" w:rsidRPr="002A150B">
        <w:rPr>
          <w:rStyle w:val="FootnoteReference"/>
          <w:rFonts w:cs="Times New Roman"/>
          <w:noProof/>
        </w:rPr>
        <w:footnoteReference w:id="97"/>
      </w:r>
      <w:r w:rsidRPr="002A150B">
        <w:rPr>
          <w:rStyle w:val="Bodytext1"/>
          <w:noProof/>
        </w:rPr>
        <w:t>, a fost introdus un cadru de monitorizare, raportare și verificare specific care va începe să se aplice de la 1 ianuarie 2025. Normele de punere în aplicare au fost stabilite în cea de a doua revizuire a Regulamentului privind monitorizarea și raportarea, adoptată la 29 august 2024</w:t>
      </w:r>
      <w:r w:rsidR="00915C4B" w:rsidRPr="002A150B">
        <w:rPr>
          <w:rStyle w:val="FootnoteReference"/>
          <w:rFonts w:cs="Times New Roman"/>
          <w:noProof/>
        </w:rPr>
        <w:footnoteReference w:id="98"/>
      </w:r>
      <w:r w:rsidRPr="002A150B">
        <w:rPr>
          <w:rStyle w:val="Bodytext1"/>
          <w:noProof/>
        </w:rPr>
        <w:t xml:space="preserve">. </w:t>
      </w:r>
    </w:p>
    <w:p w14:paraId="5A292A24" w14:textId="0C4E36A7" w:rsidR="00613B80" w:rsidRPr="002A150B" w:rsidRDefault="00F230A3" w:rsidP="00FE57C0">
      <w:pPr>
        <w:pStyle w:val="CMR-Heading"/>
        <w:rPr>
          <w:noProof/>
        </w:rPr>
      </w:pPr>
      <w:r w:rsidRPr="002A150B">
        <w:rPr>
          <w:noProof/>
        </w:rPr>
        <w:t xml:space="preserve"> </w:t>
      </w:r>
      <w:bookmarkStart w:id="72" w:name="_Toc180513409"/>
      <w:bookmarkStart w:id="73" w:name="_Toc189482444"/>
      <w:r w:rsidRPr="002A150B">
        <w:rPr>
          <w:noProof/>
        </w:rPr>
        <w:t>Transportul maritim</w:t>
      </w:r>
      <w:bookmarkEnd w:id="72"/>
      <w:bookmarkEnd w:id="73"/>
    </w:p>
    <w:p w14:paraId="195A96D8" w14:textId="68A51148" w:rsidR="00EB21F7" w:rsidRPr="002A150B" w:rsidRDefault="6AE408E1" w:rsidP="00F34157">
      <w:pPr>
        <w:pStyle w:val="CMR-text"/>
        <w:rPr>
          <w:noProof/>
        </w:rPr>
      </w:pPr>
      <w:r w:rsidRPr="002A150B">
        <w:rPr>
          <w:noProof/>
        </w:rPr>
        <w:t>Transportul maritim emite o cantitate importantă de CO</w:t>
      </w:r>
      <w:r w:rsidRPr="002A150B">
        <w:rPr>
          <w:noProof/>
          <w:vertAlign w:val="subscript"/>
        </w:rPr>
        <w:t>2</w:t>
      </w:r>
      <w:r w:rsidRPr="002A150B">
        <w:rPr>
          <w:noProof/>
        </w:rPr>
        <w:t>, generând aproximativ 3-4 % din totalul emisiilor de CO</w:t>
      </w:r>
      <w:r w:rsidRPr="002A150B">
        <w:rPr>
          <w:noProof/>
          <w:vertAlign w:val="subscript"/>
        </w:rPr>
        <w:t>2</w:t>
      </w:r>
      <w:r w:rsidRPr="002A150B">
        <w:rPr>
          <w:noProof/>
        </w:rPr>
        <w:t xml:space="preserve"> ale UE, adică peste 126 Mt în 2023, dacă se iau în considerare toate emisiile generate de călătoriile înspre și dinspre porturile din SEE. Revizuirea din 2023 a Directivei EU ETS a extins EU ETS la emisiile generate de activitățile de transport maritim începând cu 1 ianuarie 2024. Emisiile generate de transportul maritim sunt incluse în domeniul de aplicare al EU ETS în proporție de 50 % din emisiile generate de călătoriile care încep sau se încheie în afara SEE și de 100 % din emisiile generate între două porturi din SEE și atunci când navele se află într-un port din SEE. Luând în considerare acest domeniu de aplicare, EU ETS a acoperit 85 Mt CO</w:t>
      </w:r>
      <w:r w:rsidRPr="002A150B">
        <w:rPr>
          <w:noProof/>
          <w:vertAlign w:val="subscript"/>
        </w:rPr>
        <w:t>2</w:t>
      </w:r>
      <w:r w:rsidRPr="002A150B">
        <w:rPr>
          <w:noProof/>
        </w:rPr>
        <w:t xml:space="preserve"> din transportul maritim în 2023. </w:t>
      </w:r>
    </w:p>
    <w:p w14:paraId="1D27EEA2" w14:textId="263CEFEF" w:rsidR="00637D79" w:rsidRPr="002A150B" w:rsidRDefault="3355AE0D" w:rsidP="00D83CD3">
      <w:pPr>
        <w:pStyle w:val="CMR-text"/>
        <w:rPr>
          <w:noProof/>
        </w:rPr>
      </w:pPr>
      <w:r w:rsidRPr="002A150B">
        <w:rPr>
          <w:noProof/>
        </w:rPr>
        <w:t>Această extindere a EU ETS valorifică dispozițiile în vigoare pentru alte sectoare vizate de schemă, precum și Regulamentul MRV în domeniul maritim [Regulamentul (UE) 2015/757 privind monitorizarea, raportarea și verificarea emisiilor de GES generate de transportul maritim]</w:t>
      </w:r>
      <w:r w:rsidR="00546D67" w:rsidRPr="002A150B">
        <w:rPr>
          <w:noProof/>
          <w:vertAlign w:val="superscript"/>
        </w:rPr>
        <w:footnoteReference w:id="99"/>
      </w:r>
      <w:r w:rsidRPr="002A150B">
        <w:rPr>
          <w:noProof/>
        </w:rPr>
        <w:t>. În 2024 și 2025 (primii doi ani de punere în aplicare), EU ETS va acoperi emisiile de CO</w:t>
      </w:r>
      <w:r w:rsidRPr="002A150B">
        <w:rPr>
          <w:noProof/>
          <w:vertAlign w:val="subscript"/>
        </w:rPr>
        <w:t>2</w:t>
      </w:r>
      <w:r w:rsidRPr="002A150B">
        <w:rPr>
          <w:noProof/>
        </w:rPr>
        <w:t xml:space="preserve"> generate de navele mari care fac escală în porturile SEE, indiferent de pavilionul pe care îl arborează. Începând din 2026, domeniul va fi extins la emisiile de CH</w:t>
      </w:r>
      <w:r w:rsidRPr="002A150B">
        <w:rPr>
          <w:noProof/>
          <w:vertAlign w:val="subscript"/>
        </w:rPr>
        <w:t>4</w:t>
      </w:r>
      <w:r w:rsidRPr="002A150B">
        <w:rPr>
          <w:noProof/>
        </w:rPr>
        <w:t xml:space="preserve"> (metan) și N</w:t>
      </w:r>
      <w:r w:rsidRPr="002A150B">
        <w:rPr>
          <w:noProof/>
          <w:vertAlign w:val="subscript"/>
        </w:rPr>
        <w:t>2</w:t>
      </w:r>
      <w:r w:rsidRPr="002A150B">
        <w:rPr>
          <w:noProof/>
        </w:rPr>
        <w:t xml:space="preserve">O (protoxid de azot). </w:t>
      </w:r>
    </w:p>
    <w:p w14:paraId="463255E3" w14:textId="7954C693" w:rsidR="00D83CD3" w:rsidRPr="002A150B" w:rsidRDefault="00D83CD3" w:rsidP="00D83CD3">
      <w:pPr>
        <w:pStyle w:val="CMR-text"/>
        <w:rPr>
          <w:noProof/>
        </w:rPr>
      </w:pPr>
      <w:r w:rsidRPr="002A150B">
        <w:rPr>
          <w:noProof/>
        </w:rPr>
        <w:t>Obligația sectorului maritim de a restitui certificate pentru emisiile pe care le generează și care face obiectul EU ETS va fi introdusă treptat. În cursul unei perioade inițiale de introducere treptată, companiile de transport maritim vor fi obligate să restituie certificate numai pentru o parte din emisiile proprii, în conformitate cu următorul calendar:</w:t>
      </w:r>
    </w:p>
    <w:p w14:paraId="1415B677" w14:textId="77777777" w:rsidR="00D83CD3" w:rsidRPr="002A150B" w:rsidRDefault="00D83CD3" w:rsidP="00D83CD3">
      <w:pPr>
        <w:pStyle w:val="CMR-text"/>
        <w:numPr>
          <w:ilvl w:val="0"/>
          <w:numId w:val="11"/>
        </w:numPr>
        <w:rPr>
          <w:noProof/>
        </w:rPr>
      </w:pPr>
      <w:r w:rsidRPr="002A150B">
        <w:rPr>
          <w:noProof/>
        </w:rPr>
        <w:t>2025: pentru 40 % din emisiile proprii raportate în 2024;</w:t>
      </w:r>
    </w:p>
    <w:p w14:paraId="2005B445" w14:textId="77777777" w:rsidR="00D83CD3" w:rsidRPr="002A150B" w:rsidRDefault="00D83CD3" w:rsidP="00D83CD3">
      <w:pPr>
        <w:pStyle w:val="CMR-text"/>
        <w:numPr>
          <w:ilvl w:val="0"/>
          <w:numId w:val="11"/>
        </w:numPr>
        <w:rPr>
          <w:noProof/>
        </w:rPr>
      </w:pPr>
      <w:r w:rsidRPr="002A150B">
        <w:rPr>
          <w:noProof/>
        </w:rPr>
        <w:t xml:space="preserve">2026: pentru 70 % din emisiile proprii raportate în 2025; </w:t>
      </w:r>
    </w:p>
    <w:p w14:paraId="15E18805" w14:textId="77777777" w:rsidR="00D83CD3" w:rsidRPr="002A150B" w:rsidRDefault="00D83CD3" w:rsidP="00D83CD3">
      <w:pPr>
        <w:pStyle w:val="CMR-text"/>
        <w:numPr>
          <w:ilvl w:val="0"/>
          <w:numId w:val="11"/>
        </w:numPr>
        <w:rPr>
          <w:noProof/>
        </w:rPr>
      </w:pPr>
      <w:r w:rsidRPr="002A150B">
        <w:rPr>
          <w:noProof/>
        </w:rPr>
        <w:t xml:space="preserve">din 2027: pentru 100 % din emisiile proprii raportate în 2026 și în anii următori. </w:t>
      </w:r>
    </w:p>
    <w:p w14:paraId="082BF033" w14:textId="77777777" w:rsidR="00D83CD3" w:rsidRPr="002A150B" w:rsidRDefault="00D83CD3" w:rsidP="00D83CD3">
      <w:pPr>
        <w:pStyle w:val="CMR-text"/>
        <w:rPr>
          <w:noProof/>
        </w:rPr>
      </w:pPr>
      <w:r w:rsidRPr="002A150B">
        <w:rPr>
          <w:noProof/>
        </w:rPr>
        <w:t xml:space="preserve">Pentru a asigura integritatea de mediu a EU ETS, atunci când se restituie mai puține certificate în comparație cu emisiile verificate generate de transportul maritim în 2024 și 2025, statele membre vor anula un număr de certificate corespunzător diferenței respective. </w:t>
      </w:r>
    </w:p>
    <w:p w14:paraId="2AAB0498" w14:textId="3AA86F75" w:rsidR="003335C1" w:rsidRPr="002A150B" w:rsidRDefault="00C85DCF" w:rsidP="0041661C">
      <w:pPr>
        <w:pStyle w:val="CMR-text"/>
        <w:rPr>
          <w:noProof/>
        </w:rPr>
      </w:pPr>
      <w:r w:rsidRPr="002A150B">
        <w:rPr>
          <w:noProof/>
        </w:rPr>
        <w:t>Revizuirea Regulamentului MRV în domeniul maritim și a legislației secundare relevante a fost finalizată în 2023. În total, au fost adoptate opt acte de punere în aplicare și acte delegate</w:t>
      </w:r>
      <w:r w:rsidR="00AC373F" w:rsidRPr="002A150B">
        <w:rPr>
          <w:rStyle w:val="FootnoteReference"/>
          <w:noProof/>
        </w:rPr>
        <w:footnoteReference w:id="100"/>
      </w:r>
      <w:r w:rsidRPr="002A150B">
        <w:rPr>
          <w:noProof/>
        </w:rPr>
        <w:t>, astfel încât EU ETS pentru transportul maritim să devină operațională începând cu 2024. Cu sprijinul Agenției Europene pentru Siguranță Maritimă, Comisia a ajutat părțile interesate în procesul de punere în aplicare prin inițiative de comunicare și sensibilizare, inclusiv prin documente de orientare</w:t>
      </w:r>
      <w:r w:rsidR="00E674D9" w:rsidRPr="002A150B">
        <w:rPr>
          <w:rStyle w:val="FootnoteReference"/>
          <w:noProof/>
        </w:rPr>
        <w:footnoteReference w:id="101"/>
      </w:r>
      <w:r w:rsidRPr="002A150B">
        <w:rPr>
          <w:noProof/>
        </w:rPr>
        <w:t xml:space="preserve">. </w:t>
      </w:r>
    </w:p>
    <w:p w14:paraId="63B6294C" w14:textId="3547B0C2" w:rsidR="000E09AA" w:rsidRPr="002A150B" w:rsidRDefault="6AE408E1" w:rsidP="0041661C">
      <w:pPr>
        <w:pStyle w:val="CMR-text"/>
        <w:rPr>
          <w:noProof/>
        </w:rPr>
      </w:pPr>
      <w:r w:rsidRPr="002A150B">
        <w:rPr>
          <w:noProof/>
        </w:rPr>
        <w:t>Includerea emisiilor generate de transportul maritim în EU ETS face parte din strategia globală a UE privind decarbonizarea sectorului. La fel ca în cazul întregii legislații legate de sectorul maritim din pachetul „Pregătiți pentru 55”</w:t>
      </w:r>
      <w:r w:rsidR="00AF2B9A" w:rsidRPr="002A150B">
        <w:rPr>
          <w:rStyle w:val="FootnoteReference"/>
          <w:noProof/>
        </w:rPr>
        <w:footnoteReference w:id="102"/>
      </w:r>
      <w:r w:rsidRPr="002A150B">
        <w:rPr>
          <w:noProof/>
        </w:rPr>
        <w:t xml:space="preserve">, aceasta va stimula eficiența energetică și soluțiile cu emisii scăzute de dioxid de carbon și va contribui la diminuarea diferenței de preț dintre combustibilii alternativi cu emisii scăzute de dioxid de carbon și combustibilii maritimi fosili tradiționali. Navele care intră în domeniul de aplicare al EU ETS vor transmite date privind emisiile pentru prima perioadă de raportare (2024) până la 31 martie 2025 și vor restitui numărul corespunzător de certificate de emisii până la 30 septembrie 2025. La fel ca în cazul celorlalte sectoare ale EU ETS, principalii responsabili de punerea în aplicare a schemei vor fi autoritățile competente din statele membre. Aceasta presupune activități de inspecție și de asigurare a respectării legii, precum și aprobarea planurilor de monitorizare prezentate de nave, după ce au fost evaluate de verificatori acreditați. </w:t>
      </w:r>
    </w:p>
    <w:p w14:paraId="591624F4" w14:textId="2F693395" w:rsidR="00C001DF" w:rsidRPr="002A150B" w:rsidRDefault="003B278D" w:rsidP="006A01A7">
      <w:pPr>
        <w:pStyle w:val="CMR-text"/>
        <w:rPr>
          <w:noProof/>
        </w:rPr>
      </w:pPr>
      <w:r w:rsidRPr="002A150B">
        <w:rPr>
          <w:noProof/>
        </w:rPr>
        <w:t>Directiva EU ETS conține o clauză de raportare și revizuire pentru a monitoriza punerea în aplicare a EU ETS în sectorul transportul maritim, în special pentru a depista și a contracara orice practică de eludare într-un stadiu timpuriu, precum și pentru a evalua evoluțiile relevante din cadrul Organizației Maritime Internaționale, unde UE sprijină dezvoltarea unui mecanism global de stabilire a prețului emisiilor de gaze cu efect de seră din transportul maritim, împreună cu un standard privind combustibilii care să reglementeze reducerea treptată a intensității GES a combustibililor marini. În plus, în 2026 Comisia va revizui EU ETS pentru transportul maritim și va explora o posibilă extindere a domeniului său de aplicare la navele cu un tonaj brut mai mic de 5 000 de tone, dar nu mai mic de 400 de tone.</w:t>
      </w:r>
    </w:p>
    <w:p w14:paraId="7842803D" w14:textId="242A835D" w:rsidR="00613B80" w:rsidRPr="002A150B" w:rsidRDefault="001164FE" w:rsidP="00FE57C0">
      <w:pPr>
        <w:pStyle w:val="CMR-Heading"/>
        <w:rPr>
          <w:noProof/>
        </w:rPr>
      </w:pPr>
      <w:r w:rsidRPr="002A150B">
        <w:rPr>
          <w:noProof/>
        </w:rPr>
        <w:t xml:space="preserve"> </w:t>
      </w:r>
      <w:bookmarkStart w:id="74" w:name="MRR"/>
      <w:bookmarkStart w:id="75" w:name="_Toc180513410"/>
      <w:bookmarkStart w:id="76" w:name="_Toc189482445"/>
      <w:bookmarkEnd w:id="74"/>
      <w:r w:rsidRPr="002A150B">
        <w:rPr>
          <w:noProof/>
        </w:rPr>
        <w:t>Cadrul de punere în aplicare a EU ETS</w:t>
      </w:r>
      <w:bookmarkEnd w:id="75"/>
      <w:bookmarkEnd w:id="76"/>
      <w:r w:rsidRPr="002A150B">
        <w:rPr>
          <w:noProof/>
        </w:rPr>
        <w:t xml:space="preserve"> </w:t>
      </w:r>
    </w:p>
    <w:p w14:paraId="0582F955" w14:textId="262A0927" w:rsidR="002B2A04" w:rsidRPr="002A150B" w:rsidRDefault="7C03A115" w:rsidP="00C9410E">
      <w:pPr>
        <w:pStyle w:val="CMR-text"/>
        <w:rPr>
          <w:noProof/>
        </w:rPr>
      </w:pPr>
      <w:r w:rsidRPr="002A150B">
        <w:rPr>
          <w:noProof/>
        </w:rPr>
        <w:t>O schemă EU ETS funcțională și credibilă din punctul de vedere al mediului se bazează pe un cadru solid de cerințe de monitorizare, raportare, verificare și acreditare. Aceste cerințe sunt armonizate în Regulamentul privind monitorizarea și raportarea și în Regulamentul privind acreditarea și verificarea [Regulamentul (UE) 2018/2067]</w:t>
      </w:r>
      <w:r w:rsidR="00C9410E" w:rsidRPr="002A150B">
        <w:rPr>
          <w:noProof/>
          <w:vertAlign w:val="superscript"/>
        </w:rPr>
        <w:footnoteReference w:id="103"/>
      </w:r>
      <w:r w:rsidRPr="002A150B">
        <w:rPr>
          <w:noProof/>
        </w:rPr>
        <w:t xml:space="preserve">. Țările au obligația de a raporta anual cu privire la punerea în aplicare a acestor regulamente și a Directivei EU ETS. </w:t>
      </w:r>
    </w:p>
    <w:p w14:paraId="4418CC24" w14:textId="20D1B5F3" w:rsidR="00C9410E" w:rsidRPr="002A150B" w:rsidRDefault="002B2A04" w:rsidP="00C9410E">
      <w:pPr>
        <w:pStyle w:val="CMR-text"/>
        <w:rPr>
          <w:noProof/>
        </w:rPr>
      </w:pPr>
      <w:r w:rsidRPr="002A150B">
        <w:rPr>
          <w:noProof/>
        </w:rPr>
        <w:t>Prezentul capitol se bazează pe datele privind punerea în aplicare a EU ETS pe care țările le raportează în fiecare an în temeiul articolului 21 din Directiva EU ETS (termen limită 30 iunie). Până la 25 octombrie 2024, data finalizării prezentului raport, Italia nu își prezentase încă raportul pe 2023. În lipsa celor mai recente date pentru Italia, în acest capitol se utilizează ca substituent datele raportate de Italia pentru 2022, pentru a face posibilă comparația de la an la an. Pentru toate celelalte țări se utilizează datele referitoare la anul 2023.</w:t>
      </w:r>
    </w:p>
    <w:p w14:paraId="2A3EAA35" w14:textId="17730D94" w:rsidR="000E3032" w:rsidRPr="002A150B" w:rsidRDefault="000E3032" w:rsidP="00BE0C86">
      <w:pPr>
        <w:pStyle w:val="CMR-Subheading"/>
        <w:rPr>
          <w:noProof/>
          <w:szCs w:val="24"/>
        </w:rPr>
      </w:pPr>
      <w:bookmarkStart w:id="77" w:name="_Toc180513411"/>
      <w:bookmarkStart w:id="78" w:name="_Toc189482446"/>
      <w:r w:rsidRPr="002A150B">
        <w:rPr>
          <w:noProof/>
        </w:rPr>
        <w:t>Monitorizarea și raportarea emisiilor</w:t>
      </w:r>
      <w:bookmarkEnd w:id="77"/>
      <w:bookmarkEnd w:id="78"/>
      <w:r w:rsidRPr="002A150B">
        <w:rPr>
          <w:noProof/>
        </w:rPr>
        <w:t xml:space="preserve"> </w:t>
      </w:r>
    </w:p>
    <w:p w14:paraId="207EFD94" w14:textId="357C0F5D" w:rsidR="005033E7" w:rsidRPr="002A150B" w:rsidRDefault="151A787A" w:rsidP="00680B54">
      <w:pPr>
        <w:pStyle w:val="CMR-text"/>
        <w:rPr>
          <w:noProof/>
        </w:rPr>
      </w:pPr>
      <w:r w:rsidRPr="002A150B">
        <w:rPr>
          <w:noProof/>
        </w:rPr>
        <w:t xml:space="preserve">Sistemul de monitorizare a emisiilor din cadrul EU ETS se bazează pe o abordare modulară. Acesta oferă operatorilor un grad ridicat de flexibilitate, asigurând astfel atât eficiența din punctul de vedere al costurilor, cât și fiabilitatea datelor privind emisiile. Operatorii pot folosi mai multe abordări pentru monitorizare (bazate pe calcul sau pe măsurători, precum și, în mod excepțional, bazate pe abordări alternative), inclusiv o combinație de metode pentru părțile individuale ale unei instalații. Pentru operatorii de aeronave sunt permise numai abordările bazate pe calcul, parametrul central al zborului fiind consumul de combustibil. </w:t>
      </w:r>
    </w:p>
    <w:p w14:paraId="456913C3" w14:textId="16C0AF44" w:rsidR="00680B54" w:rsidRPr="002A150B" w:rsidRDefault="02E01945" w:rsidP="00680B54">
      <w:pPr>
        <w:pStyle w:val="CMR-text"/>
        <w:rPr>
          <w:noProof/>
          <w:highlight w:val="yellow"/>
        </w:rPr>
      </w:pPr>
      <w:r w:rsidRPr="002A150B">
        <w:rPr>
          <w:noProof/>
        </w:rPr>
        <w:t>Regulamentul privind monitorizarea și raportarea impune atât instalațiilor, cât și operatorilor de aeronave să dețină un plan de monitorizare aprobat de autoritatea națională competentă. Acest lucru îi împiedică să selecteze arbitrar metodologiile de monitorizare și previne variațiile de-a lungul timpului. În 2023, 5 țări</w:t>
      </w:r>
      <w:r w:rsidR="00680B54" w:rsidRPr="002A150B">
        <w:rPr>
          <w:noProof/>
          <w:vertAlign w:val="superscript"/>
        </w:rPr>
        <w:footnoteReference w:id="104"/>
      </w:r>
      <w:r w:rsidRPr="002A150B">
        <w:rPr>
          <w:noProof/>
        </w:rPr>
        <w:t xml:space="preserve"> (aceleași ca în 2022) au continuat să permită instalațiilor să utilizeze planuri de monitorizare simplificate în cazurile cu risc scăzut</w:t>
      </w:r>
      <w:r w:rsidR="00680B54" w:rsidRPr="002A150B">
        <w:rPr>
          <w:noProof/>
          <w:vertAlign w:val="superscript"/>
        </w:rPr>
        <w:footnoteReference w:id="105"/>
      </w:r>
      <w:r w:rsidRPr="002A150B">
        <w:rPr>
          <w:noProof/>
        </w:rPr>
        <w:t xml:space="preserve">. În cazul aviației, această dispoziție nu mai este în vigoare pentru operatorii cu emisii scăzute din nicio țară. </w:t>
      </w:r>
    </w:p>
    <w:p w14:paraId="1CB2CACE" w14:textId="21435BA1" w:rsidR="00797ADF" w:rsidRPr="002A150B" w:rsidRDefault="00F31EE6" w:rsidP="00797ADF">
      <w:pPr>
        <w:pStyle w:val="CMR-text"/>
        <w:rPr>
          <w:noProof/>
        </w:rPr>
      </w:pPr>
      <w:r w:rsidRPr="002A150B">
        <w:rPr>
          <w:noProof/>
        </w:rPr>
        <w:t>Majoritatea instalațiilor au respectat pe deplin cerințele legale privind monitorizarea emisiilor. Majoritatea au folosit metodologia bazată pe calcul</w:t>
      </w:r>
      <w:r w:rsidR="00797ADF" w:rsidRPr="002A150B">
        <w:rPr>
          <w:noProof/>
          <w:vertAlign w:val="superscript"/>
        </w:rPr>
        <w:footnoteReference w:id="106"/>
      </w:r>
      <w:r w:rsidRPr="002A150B">
        <w:rPr>
          <w:noProof/>
        </w:rPr>
        <w:t xml:space="preserve"> pentru a-și calcula emisiile. Doar 151 de instalații (1,8 %), aflate în 22 de țări, au raportat că utilizează sisteme de măsurare continuă a emisiilor (SMCE), cu șapte mai multe decât în 2022. Dintre acestea, 94 de instalații au utilizat SMCE pentru a măsura emisiile de CO</w:t>
      </w:r>
      <w:r w:rsidRPr="002A150B">
        <w:rPr>
          <w:noProof/>
          <w:vertAlign w:val="subscript"/>
        </w:rPr>
        <w:t>2</w:t>
      </w:r>
      <w:r w:rsidRPr="002A150B">
        <w:rPr>
          <w:noProof/>
        </w:rPr>
        <w:t>, 43 pentru a măsura N</w:t>
      </w:r>
      <w:r w:rsidRPr="002A150B">
        <w:rPr>
          <w:noProof/>
          <w:vertAlign w:val="subscript"/>
        </w:rPr>
        <w:t>2</w:t>
      </w:r>
      <w:r w:rsidRPr="002A150B">
        <w:rPr>
          <w:noProof/>
        </w:rPr>
        <w:t>O și 14 pentru a măsura ambele gaze. SMCE sunt folosite cel mai frecvent în Germania și Cehia. În 39 de instalații, emisiile măsurate conțineau și CO</w:t>
      </w:r>
      <w:r w:rsidRPr="002A150B">
        <w:rPr>
          <w:noProof/>
          <w:vertAlign w:val="subscript"/>
        </w:rPr>
        <w:t>2</w:t>
      </w:r>
      <w:r w:rsidRPr="002A150B">
        <w:rPr>
          <w:noProof/>
        </w:rPr>
        <w:t xml:space="preserve"> biogenic. Dintre instalațiile care au folosit SMCE, 72 au utilizat metodologia pentru mai mult de 95 % din emisiile proprii, iar celelalte 79 au utilizat o combinație între SMCE și o metodologie bazată pe calcul.</w:t>
      </w:r>
    </w:p>
    <w:p w14:paraId="121B021A" w14:textId="2466DAD5" w:rsidR="00797ADF" w:rsidRPr="002A150B" w:rsidRDefault="00797ADF" w:rsidP="00797ADF">
      <w:pPr>
        <w:pStyle w:val="CMR-text"/>
        <w:rPr>
          <w:noProof/>
        </w:rPr>
      </w:pPr>
      <w:r w:rsidRPr="002A150B">
        <w:rPr>
          <w:noProof/>
        </w:rPr>
        <w:t>Doar 10 țări au raportat utilizarea unei abordări alternative. Această abordare a fost folosită pentru 23 de instalații, care au generat în total aproximativ 2,6 Mt echivalent CO</w:t>
      </w:r>
      <w:r w:rsidRPr="002A150B">
        <w:rPr>
          <w:noProof/>
          <w:vertAlign w:val="subscript"/>
        </w:rPr>
        <w:t>2</w:t>
      </w:r>
      <w:r w:rsidRPr="002A150B">
        <w:rPr>
          <w:noProof/>
        </w:rPr>
        <w:t xml:space="preserve"> (cu patru instalații mai puțin decât în 2022, dar cu un nivel similar de emisii). O instalație din Țările de Jos generează 56 % din emisiile totale raportate utilizând metodologia alternativă, ca urmare a structurii sale complexe. </w:t>
      </w:r>
    </w:p>
    <w:p w14:paraId="312C5AF1" w14:textId="10B6EAF0" w:rsidR="00797ADF" w:rsidRPr="002A150B" w:rsidRDefault="19E20B6C" w:rsidP="00797ADF">
      <w:pPr>
        <w:pStyle w:val="CMR-text"/>
        <w:rPr>
          <w:noProof/>
        </w:rPr>
      </w:pPr>
      <w:r w:rsidRPr="002A150B">
        <w:rPr>
          <w:noProof/>
        </w:rPr>
        <w:t>În 2023, majoritatea instalațiilor au respectat cerințele privind nivelurile minime</w:t>
      </w:r>
      <w:r w:rsidR="00797ADF" w:rsidRPr="002A150B">
        <w:rPr>
          <w:noProof/>
          <w:vertAlign w:val="superscript"/>
        </w:rPr>
        <w:footnoteReference w:id="107"/>
      </w:r>
      <w:r w:rsidRPr="002A150B">
        <w:rPr>
          <w:noProof/>
        </w:rPr>
        <w:t xml:space="preserve"> prevăzute în Regulamentul privind monitorizarea și raportarea. Potrivit raportărilor, doar 98 de instalații din categoria C (în creștere de la 96 în 2022) s-au abătut la nivelul a cel puțin un parametru de la cerința de a aplica cele mai înalte niveluri pentru fluxurile-sursă majore. Acestea sunt situate în 17 țări diferite (la fel ca în 2022) și reprezintă 15,9 % din instalațiile din categoria C. Aceste abateri sunt permise numai în cazul în care operatorul demonstrează că respectarea celui mai strict nivel nu este fezabilă din punct de vedere tehnic sau presupune costuri nerezonabile. De îndată ce aceste condiții nu mai sunt prezente, operatorul trebuie să își îmbunătățească în mod corespunzător sistemul de monitorizare.</w:t>
      </w:r>
    </w:p>
    <w:p w14:paraId="7D77E41E" w14:textId="44A9A64C" w:rsidR="00886798" w:rsidRPr="002A150B" w:rsidRDefault="19E20B6C" w:rsidP="00797ADF">
      <w:pPr>
        <w:pStyle w:val="CMR-text"/>
        <w:rPr>
          <w:noProof/>
        </w:rPr>
      </w:pPr>
      <w:r w:rsidRPr="002A150B">
        <w:rPr>
          <w:noProof/>
        </w:rPr>
        <w:t>Regulamentul privind monitorizarea și raportarea a fost modificat pentru prima dată în octombrie 2023 pentru a introduce revizuirea din 2023 a Directivei EU ETS</w:t>
      </w:r>
      <w:r w:rsidR="00797ADF" w:rsidRPr="002A150B">
        <w:rPr>
          <w:noProof/>
          <w:vertAlign w:val="superscript"/>
        </w:rPr>
        <w:footnoteReference w:id="108"/>
      </w:r>
      <w:r w:rsidRPr="002A150B">
        <w:rPr>
          <w:noProof/>
        </w:rPr>
        <w:t>. Principalele modificări au vizat normele de monitorizare și raportare pentru noua ETS2 (a se vedea capitolul 2). În plus, normele actualizate reflectă obligația instalațiilor de incinerare a deșeurilor municipale de a-și monitoriza și raporta emisiile în cadrul EU ETS începând din 2024. Modificările privind instalațiile și aviația se aplică de la 1 ianuarie 2024, iar normele pentru ETS2 au intrat în vigoare în iulie 2024.</w:t>
      </w:r>
    </w:p>
    <w:p w14:paraId="3D2E7B8E" w14:textId="1025BC28" w:rsidR="00C91ABF" w:rsidRPr="002A150B" w:rsidRDefault="19E20B6C" w:rsidP="006E00E4">
      <w:pPr>
        <w:pStyle w:val="CMR-text"/>
        <w:rPr>
          <w:noProof/>
          <w:color w:val="000000"/>
          <w:shd w:val="clear" w:color="auto" w:fill="FFFFFF"/>
        </w:rPr>
      </w:pPr>
      <w:r w:rsidRPr="002A150B">
        <w:rPr>
          <w:noProof/>
        </w:rPr>
        <w:t>A doua revizuire a Regulamentului privind monitorizarea și raportarea a fost adoptată la 29 august 2024</w:t>
      </w:r>
      <w:r w:rsidR="00F0691F" w:rsidRPr="002A150B">
        <w:rPr>
          <w:rStyle w:val="FootnoteReference"/>
          <w:noProof/>
        </w:rPr>
        <w:footnoteReference w:id="109"/>
      </w:r>
      <w:r w:rsidRPr="002A150B">
        <w:rPr>
          <w:noProof/>
        </w:rPr>
        <w:t>. Aceasta introduce cerințe de monitorizare și raportare pentru efecte ale aviației diferite de CO</w:t>
      </w:r>
      <w:r w:rsidRPr="002A150B">
        <w:rPr>
          <w:noProof/>
          <w:vertAlign w:val="subscript"/>
        </w:rPr>
        <w:t>2</w:t>
      </w:r>
      <w:r w:rsidRPr="002A150B">
        <w:rPr>
          <w:noProof/>
        </w:rPr>
        <w:t xml:space="preserve"> pentru fiecare zbor și modalități de </w:t>
      </w:r>
      <w:r w:rsidRPr="002A150B">
        <w:rPr>
          <w:noProof/>
          <w:color w:val="000000"/>
          <w:shd w:val="clear" w:color="auto" w:fill="FFFFFF"/>
        </w:rPr>
        <w:t>a obține un factor de emisie zero prin arderea combustibililor din surse regenerabile de origine nebiologică (RFNBO), a combustibililor pe bază de carbon reciclat (RFC) și a combustibililor sintetici cu emisii scăzute de carbon în cadrul ETS. Demonstrarea conformității cu criteriile de durabilitate și de reducere a emisiilor este o condiție esențială pentru ca factorul de emisie să fie zero. Regulamentul revizuit îmbunătățește</w:t>
      </w:r>
      <w:r w:rsidRPr="002A150B">
        <w:rPr>
          <w:noProof/>
        </w:rPr>
        <w:t xml:space="preserve"> și normele existente, inclusiv pe cele privind monitorizarea și raportarea cu privire la </w:t>
      </w:r>
      <w:r w:rsidRPr="002A150B">
        <w:rPr>
          <w:noProof/>
          <w:color w:val="000000"/>
          <w:shd w:val="clear" w:color="auto" w:fill="FFFFFF"/>
        </w:rPr>
        <w:t>transferul de CO</w:t>
      </w:r>
      <w:r w:rsidRPr="002A150B">
        <w:rPr>
          <w:noProof/>
          <w:color w:val="000000"/>
          <w:shd w:val="clear" w:color="auto" w:fill="FFFFFF"/>
          <w:vertAlign w:val="subscript"/>
        </w:rPr>
        <w:t>2</w:t>
      </w:r>
      <w:r w:rsidRPr="002A150B">
        <w:rPr>
          <w:noProof/>
          <w:color w:val="000000"/>
          <w:shd w:val="clear" w:color="auto" w:fill="FFFFFF"/>
        </w:rPr>
        <w:t xml:space="preserve"> prin alte mijloace decât conductele și cu privire la CO</w:t>
      </w:r>
      <w:r w:rsidRPr="002A150B">
        <w:rPr>
          <w:noProof/>
          <w:color w:val="000000"/>
          <w:shd w:val="clear" w:color="auto" w:fill="FFFFFF"/>
          <w:vertAlign w:val="subscript"/>
        </w:rPr>
        <w:t>2</w:t>
      </w:r>
      <w:r w:rsidRPr="002A150B">
        <w:rPr>
          <w:noProof/>
          <w:color w:val="000000"/>
          <w:shd w:val="clear" w:color="auto" w:fill="FFFFFF"/>
        </w:rPr>
        <w:t xml:space="preserve"> considerat a fi legat chimic în mod permanent într-un produs. </w:t>
      </w:r>
    </w:p>
    <w:p w14:paraId="6AA7B344" w14:textId="074B4666" w:rsidR="00554E19" w:rsidRPr="002A150B" w:rsidRDefault="007B2207" w:rsidP="00797ADF">
      <w:pPr>
        <w:pStyle w:val="CMR-text"/>
        <w:rPr>
          <w:noProof/>
          <w:highlight w:val="yellow"/>
        </w:rPr>
      </w:pPr>
      <w:r w:rsidRPr="002A150B">
        <w:rPr>
          <w:noProof/>
          <w:color w:val="000000"/>
          <w:shd w:val="clear" w:color="auto" w:fill="FFFFFF"/>
        </w:rPr>
        <w:t>De asemenea, au fost aduse modificări pentru a reglementa modul în care utilizarea unei baze de date recent create la nivelul UE pentru biocombustibili</w:t>
      </w:r>
      <w:r w:rsidR="0074302E" w:rsidRPr="002A150B">
        <w:rPr>
          <w:rStyle w:val="FootnoteReference"/>
          <w:noProof/>
          <w:color w:val="000000"/>
          <w:shd w:val="clear" w:color="auto" w:fill="FFFFFF"/>
        </w:rPr>
        <w:footnoteReference w:id="110"/>
      </w:r>
      <w:r w:rsidRPr="002A150B">
        <w:rPr>
          <w:noProof/>
          <w:color w:val="000000"/>
          <w:shd w:val="clear" w:color="auto" w:fill="FFFFFF"/>
        </w:rPr>
        <w:t xml:space="preserve"> poate fi o modalitate de a demonstra respectarea criteriilor de durabilitate și de reducere a emisiilor. Au fost introduse cerințe suplimentare detaliate de monitorizare și raportare pentru a acoperi utilizarea combustibililor de aviație alternativi, armonizarea pragurilor pentru emițătorii mici și tratarea biomasei/RFNBO/FCR în aviație. </w:t>
      </w:r>
      <w:r w:rsidRPr="002A150B">
        <w:rPr>
          <w:noProof/>
          <w:shd w:val="clear" w:color="auto" w:fill="FFFFFF"/>
        </w:rPr>
        <w:t>Cea de a doua revizuire a Regulamentului privind monitorizarea și raportarea avansează totodată punerea în aplicare a ETS2, abordând modificările rămase de efectuat după prima revizuire,</w:t>
      </w:r>
      <w:r w:rsidRPr="002A150B">
        <w:rPr>
          <w:noProof/>
        </w:rPr>
        <w:t xml:space="preserve"> pentru a promova o mai bună armonizare, a reduce sarcina administrativă pentru operatori și autoritățile naționale și a îmbunătăți eficiența globală a schemei.</w:t>
      </w:r>
    </w:p>
    <w:p w14:paraId="0DA98B92" w14:textId="028C4946" w:rsidR="00797ADF" w:rsidRPr="002A150B" w:rsidRDefault="0A6FAF72" w:rsidP="7E711E54">
      <w:pPr>
        <w:pStyle w:val="CMR-text"/>
        <w:rPr>
          <w:noProof/>
        </w:rPr>
      </w:pPr>
      <w:r w:rsidRPr="002A150B">
        <w:rPr>
          <w:noProof/>
        </w:rPr>
        <w:t>Regulamentul MRV în domeniul maritim a fost revizuit în 2023</w:t>
      </w:r>
      <w:r w:rsidR="00092DB8" w:rsidRPr="002A150B">
        <w:rPr>
          <w:rStyle w:val="FootnoteReference"/>
          <w:noProof/>
        </w:rPr>
        <w:footnoteReference w:id="111"/>
      </w:r>
      <w:r w:rsidRPr="002A150B">
        <w:rPr>
          <w:noProof/>
        </w:rPr>
        <w:t xml:space="preserve"> pentru a pregăti extinderea EU ETS la transportul maritim, în special cu scopul de a include alte emisii decât cele de CO</w:t>
      </w:r>
      <w:r w:rsidRPr="002A150B">
        <w:rPr>
          <w:noProof/>
          <w:vertAlign w:val="subscript"/>
        </w:rPr>
        <w:t>2</w:t>
      </w:r>
      <w:r w:rsidRPr="002A150B">
        <w:rPr>
          <w:noProof/>
        </w:rPr>
        <w:t xml:space="preserve"> și a prevedea norme detaliate pentru determinarea emisiilor companiilor care intră în domeniul de aplicare al EU ETS.</w:t>
      </w:r>
    </w:p>
    <w:p w14:paraId="35D3471C" w14:textId="1A97952F" w:rsidR="00DA1F61" w:rsidRPr="002A150B" w:rsidRDefault="008E6FA0" w:rsidP="008E6FA0">
      <w:pPr>
        <w:pStyle w:val="CMR-Subheading"/>
        <w:rPr>
          <w:noProof/>
          <w:sz w:val="28"/>
          <w:szCs w:val="24"/>
        </w:rPr>
      </w:pPr>
      <w:bookmarkStart w:id="79" w:name="_Toc180513412"/>
      <w:bookmarkStart w:id="80" w:name="_Toc189482447"/>
      <w:r w:rsidRPr="002A150B">
        <w:rPr>
          <w:noProof/>
        </w:rPr>
        <w:t>Verificarea și acreditarea</w:t>
      </w:r>
      <w:bookmarkEnd w:id="79"/>
      <w:bookmarkEnd w:id="80"/>
    </w:p>
    <w:p w14:paraId="0DC6EEA8" w14:textId="22DD70AF" w:rsidR="00DA1F61" w:rsidRPr="002A150B" w:rsidRDefault="00DA1F61" w:rsidP="00A115B2">
      <w:pPr>
        <w:pStyle w:val="CMR-text"/>
        <w:rPr>
          <w:rFonts w:cs="Times New Roman"/>
          <w:noProof/>
          <w:szCs w:val="24"/>
        </w:rPr>
      </w:pPr>
      <w:r w:rsidRPr="002A150B">
        <w:rPr>
          <w:noProof/>
        </w:rPr>
        <w:t>Verificatorii emisiilor raportate în cadrul EU ETS trebuie să fie acreditați de un organism național de acreditare în conformitate cu Regulamentul privind acreditarea și verificarea și cu ISO 14065 (un standard internațional ISO). Verificatorii acreditați pot să își desfășoare activitatea pe baza principiului recunoașterii reciproce în toate țările EU ETS, bucurându-se pe deplin de avantajele pieței unice. Acest lucru asigură totodată o disponibilitate suficientă a serviciilor pe tot cuprinsul UE. În tabelul F din secțiunea IV a documentului de lucru însoțitor al serviciilor Comisiei este inclusă o prezentare detaliată a aspectelor legate de acreditare și verificare în 2023.</w:t>
      </w:r>
    </w:p>
    <w:p w14:paraId="23BE5F80" w14:textId="08695052" w:rsidR="00DA1F61" w:rsidRPr="002A150B" w:rsidRDefault="00DA1F61" w:rsidP="00A115B2">
      <w:pPr>
        <w:pStyle w:val="CMR-text"/>
        <w:rPr>
          <w:rFonts w:cs="Times New Roman"/>
          <w:noProof/>
          <w:szCs w:val="24"/>
        </w:rPr>
      </w:pPr>
      <w:r w:rsidRPr="002A150B">
        <w:rPr>
          <w:noProof/>
        </w:rPr>
        <w:t>În 2023 existau 105 verificatori acreditați pentru instalațiile staționare și 20 pentru operatorii de aeronave. În plus, 28 de țări au raportat că pe teritoriul lor a fost activ cel puțin un verificator străin în 2023, iar 6 țări au raportat că au doar verificatori străini. Acest lucru arată că recunoașterea reciprocă a verificatorilor între țări continuă să funcționeze cu succes.</w:t>
      </w:r>
    </w:p>
    <w:p w14:paraId="59627B61" w14:textId="0AF757BC" w:rsidR="00DA1F61" w:rsidRPr="002A150B" w:rsidRDefault="00DA1F61" w:rsidP="00A115B2">
      <w:pPr>
        <w:pStyle w:val="CMR-text"/>
        <w:rPr>
          <w:rFonts w:cs="Times New Roman"/>
          <w:noProof/>
          <w:szCs w:val="24"/>
        </w:rPr>
      </w:pPr>
      <w:r w:rsidRPr="002A150B">
        <w:rPr>
          <w:noProof/>
        </w:rPr>
        <w:t xml:space="preserve">Se constată că verificatorii prezintă un nivel înalt de conformitate cu Regulamentul privind acreditarea și raportarea. Pentru 2023 nu au fost raportate suspendări sau retrageri ale acreditării unui verificator. În două cazuri (Finlanda și Polonia), domeniul de aplicare al acreditării verificatorilor a fost restrâns. Prin comparație, pentru 2022 au fost raportate trei suspendări, o retragere a acreditării și o restrângere a domeniului de aplicare. </w:t>
      </w:r>
    </w:p>
    <w:p w14:paraId="0D9C3350" w14:textId="29A5D9F3" w:rsidR="0056145F" w:rsidRPr="002A150B" w:rsidRDefault="00DA1F61" w:rsidP="00BB4442">
      <w:pPr>
        <w:pStyle w:val="CMR-text"/>
        <w:rPr>
          <w:noProof/>
          <w:shd w:val="clear" w:color="auto" w:fill="FFFFFF"/>
        </w:rPr>
      </w:pPr>
      <w:r w:rsidRPr="002A150B">
        <w:rPr>
          <w:noProof/>
        </w:rPr>
        <w:t xml:space="preserve">În paralel cu revizuirea Regulamentului privind monitorizarea și raportarea, a fost revizuit Regulamentul privind acreditarea și verificarea. Revizuirea a fost adoptată la 13 mai 2024, înainte de termenul de prezentare a rapoartelor verificate cu date de referință este 30 mai 2024. </w:t>
      </w:r>
      <w:r w:rsidRPr="002A150B">
        <w:rPr>
          <w:noProof/>
          <w:shd w:val="clear" w:color="auto" w:fill="FFFFFF"/>
        </w:rPr>
        <w:t>Obiectivul acestui amendament a fost:</w:t>
      </w:r>
    </w:p>
    <w:p w14:paraId="50151114" w14:textId="5514413F" w:rsidR="0056145F" w:rsidRPr="002A150B" w:rsidRDefault="00A13FCB" w:rsidP="0056145F">
      <w:pPr>
        <w:pStyle w:val="CMR-text"/>
        <w:numPr>
          <w:ilvl w:val="0"/>
          <w:numId w:val="23"/>
        </w:numPr>
        <w:rPr>
          <w:noProof/>
          <w:shd w:val="clear" w:color="auto" w:fill="FFFFFF"/>
        </w:rPr>
      </w:pPr>
      <w:r w:rsidRPr="002A150B">
        <w:rPr>
          <w:noProof/>
          <w:shd w:val="clear" w:color="auto" w:fill="FFFFFF"/>
        </w:rPr>
        <w:t xml:space="preserve">pentru alocarea cu titlu gratuit către instalațiile industriale: de a preciza rolul verificatorului în verificarea punerii în aplicare a recomandărilor privind eficiența energetică drept una dintre condițiile pentru alocarea cu titlu gratuit a certificatelor și în verificarea aplicării unor eventuale derogări de la această condiționalitate în temeiul articolului 22a din Regulamentul privind alocarea cu titlu gratuit; </w:t>
      </w:r>
    </w:p>
    <w:p w14:paraId="1C2141C8" w14:textId="4359FE31" w:rsidR="0098268D" w:rsidRPr="002A150B" w:rsidRDefault="006846F0" w:rsidP="0056145F">
      <w:pPr>
        <w:pStyle w:val="CMR-text"/>
        <w:numPr>
          <w:ilvl w:val="0"/>
          <w:numId w:val="23"/>
        </w:numPr>
        <w:rPr>
          <w:noProof/>
          <w:shd w:val="clear" w:color="auto" w:fill="FFFFFF"/>
        </w:rPr>
      </w:pPr>
      <w:r w:rsidRPr="002A150B">
        <w:rPr>
          <w:noProof/>
          <w:shd w:val="clear" w:color="auto" w:fill="FFFFFF"/>
        </w:rPr>
        <w:t>pentru ETS2: de a extinde aplicarea regulamentului la verificarea ETS2 (de exemplu, introducerea unui nou domeniu de aplicare a acreditării pentru ETS2, norme specifice privind situațiile în care se poate renunța la efectuarea de vizite ale sitului, rolul verificatorului în verificarea dublei contabilizări între cele două scheme);</w:t>
      </w:r>
    </w:p>
    <w:p w14:paraId="027E3434" w14:textId="4349B882" w:rsidR="00062572" w:rsidRPr="002A150B" w:rsidRDefault="0098268D" w:rsidP="0098268D">
      <w:pPr>
        <w:pStyle w:val="CMR-text"/>
        <w:numPr>
          <w:ilvl w:val="0"/>
          <w:numId w:val="23"/>
        </w:numPr>
        <w:rPr>
          <w:noProof/>
          <w:shd w:val="clear" w:color="auto" w:fill="FFFFFF"/>
        </w:rPr>
      </w:pPr>
      <w:r w:rsidRPr="002A150B">
        <w:rPr>
          <w:noProof/>
        </w:rPr>
        <w:t xml:space="preserve">de a corela Regulamentul privind acreditarea și verificarea cu Regulamentul revizuit privind monitorizarea și raportarea </w:t>
      </w:r>
      <w:r w:rsidRPr="002A150B">
        <w:rPr>
          <w:noProof/>
          <w:shd w:val="clear" w:color="auto" w:fill="FFFFFF"/>
        </w:rPr>
        <w:t>pentru sectorul aviației</w:t>
      </w:r>
      <w:r w:rsidRPr="002A150B">
        <w:rPr>
          <w:noProof/>
        </w:rPr>
        <w:t>:</w:t>
      </w:r>
      <w:r w:rsidRPr="002A150B">
        <w:rPr>
          <w:noProof/>
          <w:shd w:val="clear" w:color="auto" w:fill="FFFFFF"/>
        </w:rPr>
        <w:t xml:space="preserve"> clarificarea rolului verificatorului în evaluarea conformității cu articolele 54 și 54a din Regulamentul privind monitorizarea și raportarea, care cuprind cerințe specifice privind modul de atribuire a combustibililor de aviație durabili și a emisiilor acestora zborurilor;</w:t>
      </w:r>
    </w:p>
    <w:p w14:paraId="78346D3E" w14:textId="00FF1DCC" w:rsidR="00456D79" w:rsidRPr="002A150B" w:rsidRDefault="00456D79" w:rsidP="0098268D">
      <w:pPr>
        <w:pStyle w:val="CMR-text"/>
        <w:numPr>
          <w:ilvl w:val="0"/>
          <w:numId w:val="23"/>
        </w:numPr>
        <w:rPr>
          <w:noProof/>
          <w:shd w:val="clear" w:color="auto" w:fill="FFFFFF"/>
        </w:rPr>
      </w:pPr>
      <w:r w:rsidRPr="002A150B">
        <w:rPr>
          <w:noProof/>
          <w:shd w:val="clear" w:color="auto" w:fill="FFFFFF"/>
        </w:rPr>
        <w:t xml:space="preserve">de a îmbunătăți cerințele existente cu privire la acreditare și verificare, de exemplu permițând verificatorilor să efectueze vizite virtuale ale sitului pentru sectorul aviației în afara circumstanțelor excepționale. </w:t>
      </w:r>
    </w:p>
    <w:p w14:paraId="322415D3" w14:textId="524FE4E4" w:rsidR="00DA1F61" w:rsidRPr="002A150B" w:rsidRDefault="00F912D2" w:rsidP="00BB4442">
      <w:pPr>
        <w:pStyle w:val="CMR-text"/>
        <w:rPr>
          <w:noProof/>
          <w:shd w:val="clear" w:color="auto" w:fill="FFFFFF"/>
        </w:rPr>
      </w:pPr>
      <w:r w:rsidRPr="002A150B">
        <w:rPr>
          <w:noProof/>
          <w:shd w:val="clear" w:color="auto" w:fill="FFFFFF"/>
        </w:rPr>
        <w:t>A doua revizuire a Regulamentului privind acreditarea și verificarea este în curs. Acesta va acoperi cerințele de acreditare și verificare pentru efecte ale aviației diferite de emisiile de CO</w:t>
      </w:r>
      <w:r w:rsidRPr="002A150B">
        <w:rPr>
          <w:noProof/>
          <w:shd w:val="clear" w:color="auto" w:fill="FFFFFF"/>
          <w:vertAlign w:val="subscript"/>
        </w:rPr>
        <w:t>2</w:t>
      </w:r>
      <w:r w:rsidRPr="002A150B">
        <w:rPr>
          <w:noProof/>
          <w:shd w:val="clear" w:color="auto" w:fill="FFFFFF"/>
        </w:rPr>
        <w:t>, rolul verificatorului în verificarea atingerii jaloanelor și a țintelor incluse în planurile de neutralitate climatică ale instalațiilor și alte modificări introduse în a doua revizuire a Regulamentului privind monitorizarea și raportarea.</w:t>
      </w:r>
    </w:p>
    <w:p w14:paraId="69D2F4F2" w14:textId="77777777" w:rsidR="00C1191F" w:rsidRPr="002A150B" w:rsidRDefault="00C1191F" w:rsidP="00BB4442">
      <w:pPr>
        <w:pStyle w:val="CMR-text"/>
        <w:rPr>
          <w:noProof/>
          <w:shd w:val="clear" w:color="auto" w:fill="FFFFFF"/>
        </w:rPr>
      </w:pPr>
    </w:p>
    <w:p w14:paraId="783BDE11" w14:textId="79FA1DB2" w:rsidR="00250740" w:rsidRPr="002A150B" w:rsidRDefault="00250740" w:rsidP="00E0294D">
      <w:pPr>
        <w:pStyle w:val="CMR-Subheading"/>
        <w:rPr>
          <w:noProof/>
          <w:szCs w:val="24"/>
          <w:shd w:val="clear" w:color="auto" w:fill="FFFFFF"/>
        </w:rPr>
      </w:pPr>
      <w:bookmarkStart w:id="81" w:name="_Toc180513413"/>
      <w:bookmarkStart w:id="82" w:name="_Toc189482448"/>
      <w:r w:rsidRPr="002A150B">
        <w:rPr>
          <w:noProof/>
          <w:shd w:val="clear" w:color="auto" w:fill="FFFFFF"/>
        </w:rPr>
        <w:t>Documente de orientare</w:t>
      </w:r>
      <w:bookmarkEnd w:id="81"/>
      <w:bookmarkEnd w:id="82"/>
    </w:p>
    <w:p w14:paraId="493C8438" w14:textId="7A02BD88" w:rsidR="00CF1586" w:rsidRPr="002A150B" w:rsidRDefault="50C37FF4" w:rsidP="006A36DC">
      <w:pPr>
        <w:pStyle w:val="CMR-text"/>
        <w:rPr>
          <w:noProof/>
          <w:highlight w:val="yellow"/>
        </w:rPr>
      </w:pPr>
      <w:r w:rsidRPr="002A150B">
        <w:rPr>
          <w:noProof/>
        </w:rPr>
        <w:t>Comisia a elaborat documente de orientare</w:t>
      </w:r>
      <w:r w:rsidR="003444DD" w:rsidRPr="002A150B">
        <w:rPr>
          <w:rStyle w:val="FootnoteReference"/>
          <w:rFonts w:cs="Times New Roman"/>
          <w:noProof/>
        </w:rPr>
        <w:footnoteReference w:id="112"/>
      </w:r>
      <w:r w:rsidRPr="002A150B">
        <w:rPr>
          <w:noProof/>
        </w:rPr>
        <w:t xml:space="preserve"> pentru monitorizare, raportare, verificare și acreditare cu scopul de a prezenta instrucțiuni detaliate, tehnici și bune practici autorităților competente, operatorilor, verificatorilor și altor părți interesate cu privire la punerea în aplicare a EU ETS. Aceste orientări au un rol vital în asigurarea integrității, a transparenței, a armonizării și a exactității datelor privind emisiile în cadrul EU ETS. Pe măsură ce metodologiile și tehnologiile evoluează, aplicarea celor mai bune practici și a noilor tehnici contribuie la reducerea erorilor și sprijină eficacitatea generală a schemei în reducerea emisiilor de GES. Aceste documente vor fi actualizate pentru a reflecta revizuirile Regulamentului privind monitorizarea și raportarea și ale Regulamentului privind acreditarea și verificarea. Se va acorda prioritate documentelor de orientare generale pentru instalații și pentru operatorii de aeronave, precum și orientărilor privind biomasa și combustibilii din surse regenerabile.</w:t>
      </w:r>
    </w:p>
    <w:p w14:paraId="0F4B1BBE" w14:textId="5BCF0190" w:rsidR="00797ADF" w:rsidRPr="002A150B" w:rsidRDefault="00DA1F61" w:rsidP="00B47294">
      <w:pPr>
        <w:pStyle w:val="CMR-Subheading"/>
        <w:rPr>
          <w:noProof/>
        </w:rPr>
      </w:pPr>
      <w:bookmarkStart w:id="83" w:name="_Toc180513414"/>
      <w:bookmarkStart w:id="84" w:name="_Toc189482449"/>
      <w:r w:rsidRPr="002A150B">
        <w:rPr>
          <w:noProof/>
        </w:rPr>
        <w:t>Autoritățile naționale competente</w:t>
      </w:r>
      <w:bookmarkEnd w:id="83"/>
      <w:bookmarkEnd w:id="84"/>
    </w:p>
    <w:p w14:paraId="5E38C188" w14:textId="0C2BE0B2" w:rsidR="006922C5" w:rsidRPr="002A150B" w:rsidRDefault="0062721E" w:rsidP="00B47294">
      <w:pPr>
        <w:pStyle w:val="CMR-text"/>
        <w:rPr>
          <w:rFonts w:cs="Times New Roman"/>
          <w:noProof/>
          <w:szCs w:val="24"/>
        </w:rPr>
      </w:pPr>
      <w:r w:rsidRPr="002A150B">
        <w:rPr>
          <w:noProof/>
        </w:rPr>
        <w:t>Modul în care autoritățile naționale competente se organizează pentru a pune în aplicare EU ETS diferă de la o țară la alta. În unele țări sunt implicate mai multe autorități locale, în timp ce în altele punerea în aplicare este mai centralizată. Țările aleg aceste abordări în funcție de eficacitatea din punctul de vedere al costurilor și al timpului. În tabelul G din secțiunea IV a documentului de lucru însoțitor al serviciilor Comisiei se găsește o prezentare generală a coordonării dintre autoritățile competente care pun în aplicare EU ETS.</w:t>
      </w:r>
    </w:p>
    <w:p w14:paraId="42656C07" w14:textId="404869C3" w:rsidR="006922C5" w:rsidRPr="002A150B" w:rsidRDefault="6FECF4A4" w:rsidP="00B47294">
      <w:pPr>
        <w:pStyle w:val="CMR-text"/>
        <w:rPr>
          <w:rFonts w:cs="Times New Roman"/>
          <w:noProof/>
          <w:szCs w:val="24"/>
        </w:rPr>
      </w:pPr>
      <w:r w:rsidRPr="002A150B">
        <w:rPr>
          <w:noProof/>
        </w:rPr>
        <w:t>Toate țările au raportat că, în 2023, cel puțin o autoritate competentă centrală a fost implicată în punerea în aplicare a EU ETS. În 14 țări, o singură autoritate competentă centrală a fost responsabilă pentru toate activitățile legate de EU ETS. În cazurile în care activitățile legate de EU ETS sunt gestionate de mai multe autorități competente, țările au raportat că utilizează una sau mai multe soluții și instrumente diferite pentru a coordona activitatea autorităților respective. Printre aceste soluții și instrumente se numără desemnarea unei autorități competente centrale care este responsabilă de activitatea de monitorizare, raportare, acreditare și verificare (12 țări) sau care joacă un rol de coordonare</w:t>
      </w:r>
      <w:r w:rsidR="006922C5" w:rsidRPr="002A150B">
        <w:rPr>
          <w:noProof/>
          <w:vertAlign w:val="superscript"/>
        </w:rPr>
        <w:footnoteReference w:id="113"/>
      </w:r>
      <w:r w:rsidRPr="002A150B">
        <w:rPr>
          <w:noProof/>
        </w:rPr>
        <w:t xml:space="preserve"> (10 țări), emiterea de către o autoritate competentă centrală a unor instrucțiuni și orientări obligatorii pentru autoritățile locale (5 țări), oferirea de formare comună autorităților competente (8 țări) și convocarea unor grupuri de lucru sau reuniuni periodice între autorități (13 țări). </w:t>
      </w:r>
    </w:p>
    <w:p w14:paraId="47EE186B" w14:textId="4E37B766" w:rsidR="006922C5" w:rsidRPr="002A150B" w:rsidRDefault="006922C5" w:rsidP="00B47294">
      <w:pPr>
        <w:pStyle w:val="CMR-text"/>
        <w:rPr>
          <w:rFonts w:cs="Times New Roman"/>
          <w:noProof/>
          <w:szCs w:val="24"/>
        </w:rPr>
      </w:pPr>
      <w:r w:rsidRPr="002A150B">
        <w:rPr>
          <w:noProof/>
        </w:rPr>
        <w:t>În 2023, 16 țări nu au perceput taxe administrative de la operatorii de instalații pentru autorizarea și aprobarea planurilor de monitorizare (la fel ca în 2022). De asemenea, operatorii de aeronave din 17 țări nu au trebuit să plătească nicio taxă (la fel ca în 2022). Tarifele au variat semnificativ de la o țară la alta și de la un tip de servicii la altul – de la aproximativ 19 EUR la 8 442 EUR pentru o autorizație și aprobarea unui plan de monitorizare pentru instalații și de la aproximativ 2 EUR la 4 100 EUR pentru operatorii de aeronave. Cu excepția Cehiei, țările au raportat că percep și taxe administrative în cuantumuri diferite pentru modificările semnificative ale planurilor de monitorizare. În tabelul H din secțiunea IV a documentului de lucru însoțitor al serviciilor Comisiei se găsește o prezentare generală a taxelor administrative din cadrul EU ETS.</w:t>
      </w:r>
    </w:p>
    <w:p w14:paraId="41148B72" w14:textId="03ABB656" w:rsidR="000E3032" w:rsidRPr="002A150B" w:rsidRDefault="000E3032" w:rsidP="002C03CF">
      <w:pPr>
        <w:pStyle w:val="CMR-Subheading"/>
        <w:rPr>
          <w:noProof/>
        </w:rPr>
      </w:pPr>
      <w:bookmarkStart w:id="85" w:name="_Toc180513415"/>
      <w:bookmarkStart w:id="86" w:name="_Toc189482450"/>
      <w:r w:rsidRPr="002A150B">
        <w:rPr>
          <w:noProof/>
        </w:rPr>
        <w:t>Conformitatea cu EU ETS</w:t>
      </w:r>
      <w:bookmarkEnd w:id="85"/>
      <w:bookmarkEnd w:id="86"/>
      <w:r w:rsidRPr="002A150B">
        <w:rPr>
          <w:noProof/>
        </w:rPr>
        <w:t xml:space="preserve"> </w:t>
      </w:r>
    </w:p>
    <w:p w14:paraId="09465D17" w14:textId="12E38A1C" w:rsidR="00911AB3" w:rsidRPr="002A150B" w:rsidRDefault="722AA48E" w:rsidP="0060292C">
      <w:pPr>
        <w:pStyle w:val="CMR-text"/>
        <w:rPr>
          <w:noProof/>
        </w:rPr>
      </w:pPr>
      <w:r w:rsidRPr="002A150B">
        <w:rPr>
          <w:noProof/>
        </w:rPr>
        <w:t>Conformitatea cu EU ETS este verificată în cicluri anuale. Pentru fiecare an de funcționare, operatorul trebuie să prezinte un raport anual privind emisiile până la data de 31 martie a anului următor. Odată ce un raport verificat este controlat de o autoritate competentă, operatorul trebuie să restituie numărul de certificate echivalent cu emisiile sale verificate până la data de 30 septembrie a aceluiași an</w:t>
      </w:r>
      <w:r w:rsidR="00C561AF" w:rsidRPr="002A150B">
        <w:rPr>
          <w:rStyle w:val="FootnoteReference"/>
          <w:noProof/>
        </w:rPr>
        <w:footnoteReference w:id="114"/>
      </w:r>
      <w:r w:rsidRPr="002A150B">
        <w:rPr>
          <w:noProof/>
        </w:rPr>
        <w:t xml:space="preserve">. </w:t>
      </w:r>
    </w:p>
    <w:p w14:paraId="2EBB31A4" w14:textId="1A24F921" w:rsidR="00493CD0" w:rsidRPr="002A150B" w:rsidRDefault="722AA48E" w:rsidP="0060292C">
      <w:pPr>
        <w:pStyle w:val="CMR-text"/>
        <w:rPr>
          <w:noProof/>
        </w:rPr>
      </w:pPr>
      <w:r w:rsidRPr="002A150B">
        <w:rPr>
          <w:noProof/>
        </w:rPr>
        <w:t>Pentru fiecare tonă de CO</w:t>
      </w:r>
      <w:r w:rsidRPr="002A150B">
        <w:rPr>
          <w:noProof/>
          <w:vertAlign w:val="subscript"/>
        </w:rPr>
        <w:t>2</w:t>
      </w:r>
      <w:r w:rsidRPr="002A150B">
        <w:rPr>
          <w:noProof/>
        </w:rPr>
        <w:t xml:space="preserve"> emisă pentru care nu s-a restituit niciun certificat în timp util, Directiva EU ETS prevede o sancțiune de 100 EUR</w:t>
      </w:r>
      <w:r w:rsidR="0060292C" w:rsidRPr="002A150B">
        <w:rPr>
          <w:noProof/>
          <w:vertAlign w:val="superscript"/>
        </w:rPr>
        <w:footnoteReference w:id="115"/>
      </w:r>
      <w:r w:rsidRPr="002A150B">
        <w:rPr>
          <w:noProof/>
        </w:rPr>
        <w:t xml:space="preserve">. Aceasta se adaugă la costul restituirii certificatelor datorate. Se pot aplica și alte sancțiuni în cazul încălcării legislației EU ETS. </w:t>
      </w:r>
    </w:p>
    <w:p w14:paraId="422EF2EF" w14:textId="5D1D37D7" w:rsidR="0060292C" w:rsidRPr="002A150B" w:rsidRDefault="0060292C" w:rsidP="0060292C">
      <w:pPr>
        <w:pStyle w:val="CMR-text"/>
        <w:rPr>
          <w:noProof/>
        </w:rPr>
      </w:pPr>
      <w:r w:rsidRPr="002A150B">
        <w:rPr>
          <w:noProof/>
        </w:rPr>
        <w:t xml:space="preserve">În tabelele I-K din secțiunea IV a documentului de lucru însoțitor al serviciilor Comisiei se găsește o prezentare detaliată a conformității cu EU ETS. </w:t>
      </w:r>
    </w:p>
    <w:p w14:paraId="1E2A957D" w14:textId="19CB0EF3" w:rsidR="0060292C" w:rsidRPr="002A150B" w:rsidRDefault="0060292C" w:rsidP="0060292C">
      <w:pPr>
        <w:pStyle w:val="CMR-text"/>
        <w:rPr>
          <w:noProof/>
        </w:rPr>
      </w:pPr>
      <w:r w:rsidRPr="002A150B">
        <w:rPr>
          <w:noProof/>
        </w:rPr>
        <w:t>În ciclul de conformitate 2023, nivelul de conformitate cu EU ETS a rămas foarte ridicat. În majoritatea anilor, operatorii responsabili pentru mai mult de 9 % din emisiile provenite de la instalații și din aviație și-au îndeplinit obligațiile juridice la timp. Eficiența schemei de conformitate s-a îmbunătățit prin adoptarea pe scară mai largă a raportării electronice. În 2023, 12 țări au utilizat sisteme informatice automatizate și modele electronice pentru planurile de monitorizare, rapoartele privind emisiile, rapoartele de verificare și/sau rapoartele de îmbunătățire. Nouă țări au utilizat sisteme informatice automatizate și pentru a gestiona fluxul de lucru asociat planurilor metodologice de monitorizare, rapoartele anuale privind nivelul de activitate și alte schimburi de informații privind datele de alocare.</w:t>
      </w:r>
    </w:p>
    <w:p w14:paraId="62B5AE01" w14:textId="25431595" w:rsidR="0060292C" w:rsidRPr="002A150B" w:rsidRDefault="00896884" w:rsidP="0060292C">
      <w:pPr>
        <w:pStyle w:val="CMR-text"/>
        <w:rPr>
          <w:noProof/>
        </w:rPr>
      </w:pPr>
      <w:r w:rsidRPr="002A150B">
        <w:rPr>
          <w:noProof/>
        </w:rPr>
        <w:t>Din cauza unor circumstanțe excepționale, nouă țări (șase în 2022) au permis verificatorilor să efectueze vizite virtuale ale sitului</w:t>
      </w:r>
      <w:r w:rsidR="0060292C" w:rsidRPr="002A150B">
        <w:rPr>
          <w:noProof/>
          <w:vertAlign w:val="superscript"/>
        </w:rPr>
        <w:footnoteReference w:id="116"/>
      </w:r>
      <w:r w:rsidRPr="002A150B">
        <w:rPr>
          <w:noProof/>
        </w:rPr>
        <w:t>. Autoritatea competentă aplicabilă a aprobat vizite virtuale ale sitului pentru șapte instalații și 11 operatori de aeronave.</w:t>
      </w:r>
    </w:p>
    <w:p w14:paraId="6EE15525" w14:textId="395D4226" w:rsidR="0060292C" w:rsidRPr="002A150B" w:rsidRDefault="001F059E" w:rsidP="0060292C">
      <w:pPr>
        <w:pStyle w:val="CMR-text"/>
        <w:rPr>
          <w:noProof/>
        </w:rPr>
      </w:pPr>
      <w:r w:rsidRPr="002A150B">
        <w:rPr>
          <w:noProof/>
        </w:rPr>
        <w:t>Controalele de conformitate privind rapoartele anuale de emisii ale instalațiilor variază de la o autoritate competentă la alta. În 2023, toate autoritățile competente au verificat dacă rapoartele transmise de instalații sunt complete, iar majoritatea au făcut același lucru și în cazul rapoartelor operatorilor de aeronave. Au făcut excepție autoritățile competente din Grecia și Letonia (cu zece și, respectiv, doi operatori de aeronave), precum și Liechtenstein și Irlanda de Nord, deoarece aceste două țări nu administrează niciun operator de aeronave.</w:t>
      </w:r>
    </w:p>
    <w:p w14:paraId="5E30E8C7" w14:textId="7EAE34CB" w:rsidR="005E7A9F" w:rsidRPr="002A150B" w:rsidRDefault="722AA48E" w:rsidP="0060292C">
      <w:pPr>
        <w:pStyle w:val="CMR-text"/>
        <w:rPr>
          <w:noProof/>
        </w:rPr>
      </w:pPr>
      <w:r w:rsidRPr="002A150B">
        <w:rPr>
          <w:noProof/>
        </w:rPr>
        <w:t>Autoritățile competente din zece țări au emis estimări prudente pentru 47 de instalații (aproximativ 0,6 % din totalul instalațiilor), în scădere față de 0,7 % în 2022. Din cele 4,2 Mt echivalent CO</w:t>
      </w:r>
      <w:r w:rsidRPr="002A150B">
        <w:rPr>
          <w:noProof/>
          <w:vertAlign w:val="subscript"/>
        </w:rPr>
        <w:t>2</w:t>
      </w:r>
      <w:r w:rsidRPr="002A150B">
        <w:rPr>
          <w:noProof/>
        </w:rPr>
        <w:t xml:space="preserve"> raportate de cele 47 de instalații, 2,1 Mt au fost estimate în mod prudent (comparativ cu 1,0 Mt din 2,4 Mt echivalent CO</w:t>
      </w:r>
      <w:r w:rsidRPr="002A150B">
        <w:rPr>
          <w:noProof/>
          <w:vertAlign w:val="subscript"/>
        </w:rPr>
        <w:t>2</w:t>
      </w:r>
      <w:r w:rsidRPr="002A150B">
        <w:rPr>
          <w:noProof/>
        </w:rPr>
        <w:t xml:space="preserve">, raportate în 2022 de 61 de instalații). </w:t>
      </w:r>
    </w:p>
    <w:p w14:paraId="558C6526" w14:textId="551A89BB" w:rsidR="0060292C" w:rsidRPr="002A150B" w:rsidRDefault="00AE04F6" w:rsidP="0060292C">
      <w:pPr>
        <w:pStyle w:val="CMR-text"/>
        <w:rPr>
          <w:noProof/>
        </w:rPr>
      </w:pPr>
      <w:r w:rsidRPr="002A150B">
        <w:rPr>
          <w:noProof/>
        </w:rPr>
        <w:t>Au fost făcute estimări prudente atunci când rapoartele anuale privind emisiile nu au fost prezentate la timp, când a fost emis un aviz de verificare negativ sau când un raport privind emisiile nu respecta Regulamentul privind monitorizarea și raportarea</w:t>
      </w:r>
      <w:r w:rsidR="0060292C" w:rsidRPr="002A150B">
        <w:rPr>
          <w:noProof/>
          <w:vertAlign w:val="superscript"/>
        </w:rPr>
        <w:footnoteReference w:id="117"/>
      </w:r>
      <w:r w:rsidRPr="002A150B">
        <w:rPr>
          <w:noProof/>
        </w:rPr>
        <w:t>. În cazul a 15 instalații, toate emisiile au fost estimate în mod prudent. În cazul a zece instalații, estimarea prudentă a acoperit doar o parte din emisii. S-a estimat că 17 instalații nu au generat emisii, iar pentru restul de cinci instalații, procesul de estimare prudentă era încă în desfășurare la momentul finalizării prezentului raport.</w:t>
      </w:r>
    </w:p>
    <w:p w14:paraId="061154A0" w14:textId="2BD87D6E" w:rsidR="0060292C" w:rsidRPr="002A150B" w:rsidRDefault="0060292C" w:rsidP="0060292C">
      <w:pPr>
        <w:pStyle w:val="CMR-text"/>
        <w:rPr>
          <w:noProof/>
        </w:rPr>
      </w:pPr>
      <w:r w:rsidRPr="002A150B">
        <w:rPr>
          <w:noProof/>
        </w:rPr>
        <w:t>Trei țări au raportat estimări prudente pentru aviație</w:t>
      </w:r>
      <w:r w:rsidR="00062739" w:rsidRPr="002A150B">
        <w:rPr>
          <w:rStyle w:val="FootnoteReference"/>
          <w:noProof/>
        </w:rPr>
        <w:footnoteReference w:id="118"/>
      </w:r>
      <w:r w:rsidRPr="002A150B">
        <w:rPr>
          <w:noProof/>
        </w:rPr>
        <w:t xml:space="preserve"> (5 în 2022) cu privire la 22 de operatori de aeronave (33 în 2022) și la 0,06 Mt echivalent CO</w:t>
      </w:r>
      <w:r w:rsidRPr="002A150B">
        <w:rPr>
          <w:noProof/>
          <w:vertAlign w:val="subscript"/>
        </w:rPr>
        <w:t>2</w:t>
      </w:r>
      <w:r w:rsidRPr="002A150B">
        <w:rPr>
          <w:noProof/>
        </w:rPr>
        <w:t xml:space="preserve"> (0,31 Mt echivalent CO</w:t>
      </w:r>
      <w:r w:rsidRPr="002A150B">
        <w:rPr>
          <w:noProof/>
          <w:vertAlign w:val="subscript"/>
        </w:rPr>
        <w:t>2</w:t>
      </w:r>
      <w:r w:rsidRPr="002A150B">
        <w:rPr>
          <w:noProof/>
        </w:rPr>
        <w:t xml:space="preserve"> în 2022). </w:t>
      </w:r>
    </w:p>
    <w:p w14:paraId="61E82E3A" w14:textId="1400F00D" w:rsidR="0060292C" w:rsidRPr="002A150B" w:rsidRDefault="722AA48E" w:rsidP="0060292C">
      <w:pPr>
        <w:pStyle w:val="CMR-text"/>
        <w:rPr>
          <w:noProof/>
        </w:rPr>
      </w:pPr>
      <w:r w:rsidRPr="002A150B">
        <w:rPr>
          <w:noProof/>
        </w:rPr>
        <w:t>Controalele efectuate de autoritățile competente continuă să fie importante deoarece completează activitățile verificatorilor. Pe lângă verificarea rapoartelor privind emisiile, 19 țări au raportat că au efectuat inspecții la fața locului la instalații (cu una mai mult decât în 2022). Trei țări</w:t>
      </w:r>
      <w:r w:rsidR="0060292C" w:rsidRPr="002A150B">
        <w:rPr>
          <w:noProof/>
          <w:vertAlign w:val="superscript"/>
        </w:rPr>
        <w:footnoteReference w:id="119"/>
      </w:r>
      <w:r w:rsidRPr="002A150B">
        <w:rPr>
          <w:noProof/>
        </w:rPr>
        <w:t xml:space="preserve"> au raportat inspecții la fața locului pentru aviație (la fel ca în 2022). </w:t>
      </w:r>
    </w:p>
    <w:p w14:paraId="23425870" w14:textId="4F4DC2D7" w:rsidR="0060292C" w:rsidRPr="002A150B" w:rsidRDefault="722AA48E" w:rsidP="0060292C">
      <w:pPr>
        <w:pStyle w:val="CMR-text"/>
        <w:rPr>
          <w:noProof/>
        </w:rPr>
      </w:pPr>
      <w:r w:rsidRPr="002A150B">
        <w:rPr>
          <w:noProof/>
        </w:rPr>
        <w:t>În 2023, 38 de instalații din 10 țări</w:t>
      </w:r>
      <w:r w:rsidR="00B04039" w:rsidRPr="002A150B">
        <w:rPr>
          <w:rStyle w:val="FootnoteReference"/>
          <w:noProof/>
        </w:rPr>
        <w:footnoteReference w:id="120"/>
      </w:r>
      <w:r w:rsidRPr="002A150B">
        <w:rPr>
          <w:noProof/>
        </w:rPr>
        <w:t xml:space="preserve"> au fost amendați pentru că nu au restituit suficiente certificate de emisii pentru a-și acoperi emisiile raportate (exces de emisii). În cazul aviației, patru țări au raportat sancțiuni pentru excesul de emisii al unui număr de nouă operatori de aeronave. 14 țări</w:t>
      </w:r>
      <w:r w:rsidR="0060292C" w:rsidRPr="002A150B">
        <w:rPr>
          <w:noProof/>
          <w:vertAlign w:val="superscript"/>
        </w:rPr>
        <w:footnoteReference w:id="121"/>
      </w:r>
      <w:r w:rsidRPr="002A150B">
        <w:rPr>
          <w:noProof/>
        </w:rPr>
        <w:t xml:space="preserve"> au raportat 75 de încălcări soldate cu sancțiuni, avertismente oficiale sau notificări oficiale, inclusiv pentru unele cazuri de exces de emisii, dar nu pentru toate. Au fost raportate în total 43 de amenzi (fie emise, fie care urmează să fie emise, de exemplu din cauza procedurilor judiciare în curs), în cuantum de 88,8 milioane EUR. Printre acestea se numără sectorul aviației, cu nouă încălcări săvârșite în patru țări și soldate cu șapte amenzi în cuantum total de 0,6 milioane EUR. Cea mai mare parte a amenzilor provin din penalitățile pentru exces de emisii.</w:t>
      </w:r>
    </w:p>
    <w:p w14:paraId="434793B5" w14:textId="600826E5" w:rsidR="00C1191F" w:rsidRPr="002A150B" w:rsidRDefault="0060292C" w:rsidP="0060292C">
      <w:pPr>
        <w:pStyle w:val="CMR-text"/>
        <w:rPr>
          <w:noProof/>
        </w:rPr>
      </w:pPr>
      <w:r w:rsidRPr="002A150B">
        <w:rPr>
          <w:noProof/>
        </w:rPr>
        <w:t xml:space="preserve">Cele mai frecvente încălcări raportate pentru 2023 au fost neprezentarea în timp util a unui raport privind emisiile (23 de cazuri) sau a unui raport privind nivelul de activitate (18 cazuri), neanunțarea modificărilor sau neactualizarea planului de monitorizare (șapte cazuri) și funcționarea fără autorizație de emisii (șapte cazuri). </w:t>
      </w:r>
    </w:p>
    <w:p w14:paraId="33C90E03" w14:textId="3F94BFF0" w:rsidR="00C1191F" w:rsidRPr="002A150B" w:rsidRDefault="00C1191F">
      <w:pPr>
        <w:rPr>
          <w:noProof/>
        </w:rPr>
      </w:pPr>
    </w:p>
    <w:p w14:paraId="7ADBA859" w14:textId="77777777" w:rsidR="00AA23F4" w:rsidRPr="002A150B" w:rsidRDefault="00AA23F4">
      <w:pPr>
        <w:rPr>
          <w:noProof/>
        </w:rPr>
      </w:pPr>
    </w:p>
    <w:p w14:paraId="531B605D" w14:textId="77777777" w:rsidR="00AA23F4" w:rsidRPr="002A150B" w:rsidRDefault="00AA23F4">
      <w:pPr>
        <w:rPr>
          <w:rFonts w:ascii="Times New Roman" w:hAnsi="Times New Roman"/>
          <w:noProof/>
          <w:kern w:val="0"/>
          <w:sz w:val="24"/>
          <w14:ligatures w14:val="none"/>
        </w:rPr>
      </w:pPr>
    </w:p>
    <w:p w14:paraId="1327CC32" w14:textId="7C391D92" w:rsidR="000E3032" w:rsidRPr="002A150B" w:rsidRDefault="00E75BFF" w:rsidP="00133FD8">
      <w:pPr>
        <w:pStyle w:val="CMR-Heading"/>
        <w:rPr>
          <w:noProof/>
        </w:rPr>
      </w:pPr>
      <w:bookmarkStart w:id="87" w:name="_Toc180513416"/>
      <w:r w:rsidRPr="002A150B">
        <w:rPr>
          <w:noProof/>
        </w:rPr>
        <w:t xml:space="preserve"> </w:t>
      </w:r>
      <w:bookmarkStart w:id="88" w:name="_Toc189482451"/>
      <w:r w:rsidRPr="002A150B">
        <w:rPr>
          <w:noProof/>
        </w:rPr>
        <w:t>EU ETS în contextul guvernanței UE în domeniul climei și al energiei</w:t>
      </w:r>
      <w:bookmarkEnd w:id="87"/>
      <w:bookmarkEnd w:id="88"/>
      <w:r w:rsidRPr="002A150B">
        <w:rPr>
          <w:noProof/>
        </w:rPr>
        <w:t xml:space="preserve"> </w:t>
      </w:r>
    </w:p>
    <w:p w14:paraId="621D74F7" w14:textId="30E5609C" w:rsidR="00983C03" w:rsidRPr="002A150B" w:rsidRDefault="1F242171" w:rsidP="00983C03">
      <w:pPr>
        <w:pStyle w:val="CMR-text"/>
        <w:rPr>
          <w:noProof/>
        </w:rPr>
      </w:pPr>
      <w:r w:rsidRPr="002A150B">
        <w:rPr>
          <w:noProof/>
        </w:rPr>
        <w:t>EU ETS funcționează în contextul mai larg al guvernanței UE în materie de climă și energie, inclusiv al Directivei privind eficiența energetică [Directiva (UE) 2023/1791]</w:t>
      </w:r>
      <w:r w:rsidR="00983C03" w:rsidRPr="002A150B">
        <w:rPr>
          <w:noProof/>
          <w:vertAlign w:val="superscript"/>
        </w:rPr>
        <w:footnoteReference w:id="122"/>
      </w:r>
      <w:r w:rsidRPr="002A150B">
        <w:rPr>
          <w:noProof/>
        </w:rPr>
        <w:t>, care a fost reformată în cadrul pachetului de reforme „Pregătiți pentru 55”. Scopul directivei este de a realiza economii de energie prin stabilirea unor obiective și obligații pentru statele membre și pentru întreprinderi. Semnalul dat de EU ETS în ceea ce privește prețul carbonului este un element care trebuie luat în considerare la alegerea măsurilor de politică și a acțiunilor cu acest scop. Articolul 35 alineatul (1) din Directiva privind eficiența energetică prevede că raportul anual al Comisiei privind funcționarea pieței europene a carbonului (prezentul raport) trebuie să țină seama de punerea în aplicare a directivei respective.</w:t>
      </w:r>
    </w:p>
    <w:p w14:paraId="1F1D0279" w14:textId="1D7A24AC" w:rsidR="00983C03" w:rsidRPr="002A150B" w:rsidRDefault="00983C03" w:rsidP="00983C03">
      <w:pPr>
        <w:pStyle w:val="CMR-text"/>
        <w:rPr>
          <w:noProof/>
        </w:rPr>
      </w:pPr>
      <w:r w:rsidRPr="002A150B">
        <w:rPr>
          <w:noProof/>
        </w:rPr>
        <w:t>Directiva revizuită privind eficiența energetică introduce norme noi cu scopul de a reduce consumul final de energie la nivelul UE cu 11,7 % până în 2030, comparativ cu previziunile scenariului de referință al UE pentru 2020. La atingerea acestui obiectiv trebuie să contribuie toate statele membre. În acest scop, ele stabilesc contribuții și traiectorii naționale orientative în planurile lor naționale integrate actualizate privind energia și clima (PNEC) în temeiul Regulamentului privind guvernanța. Statele membre și-au prezentat proiectele de PNEC actualizate în 2023, iar planurile finale trebuiau prezentate până la 30 iunie 2024.</w:t>
      </w:r>
    </w:p>
    <w:p w14:paraId="36F48E29" w14:textId="5AFAEF48" w:rsidR="00983C03" w:rsidRPr="002A150B" w:rsidRDefault="00983C03" w:rsidP="00983C03">
      <w:pPr>
        <w:pStyle w:val="CMR-text"/>
        <w:rPr>
          <w:noProof/>
        </w:rPr>
      </w:pPr>
      <w:r w:rsidRPr="002A150B">
        <w:rPr>
          <w:noProof/>
        </w:rPr>
        <w:t xml:space="preserve">Semnalul dat de EU ETS în ceea ce privește prețul carbonului contribuie la evaluarea investițiilor și a măsurilor legate de eficiența energetică derulate în sectoarele reglementate. Statele membre utilizează veniturile obținute în urma licitării certificatelor de emisii din EU ETS inclusiv pentru a finanța îmbunătățirea eficienței energetice. În 2023, 20 de state membre au raportat cheltuieli în cuantum de 2,3 miliarde EUR pentru finanțarea unor proiecte legate de eficiența energetică. Printre ele s-au numărat investiții în modernizarea termică a clădirilor publice și private, consiliere în materie de eficiență energetică, iluminat public eficient, sisteme eficiente de încălzire și răcire, inclusiv de termoficare, precum și cercetare și dezvoltare, toate cu obiectivul de a reduce consumul de energie. </w:t>
      </w:r>
    </w:p>
    <w:p w14:paraId="66C3D3F2" w14:textId="7CE9D5B0" w:rsidR="0071029D" w:rsidRPr="002A150B" w:rsidRDefault="009055DF" w:rsidP="00133FD8">
      <w:pPr>
        <w:pStyle w:val="CMR-Heading"/>
        <w:rPr>
          <w:noProof/>
        </w:rPr>
      </w:pPr>
      <w:r w:rsidRPr="002A150B">
        <w:rPr>
          <w:noProof/>
        </w:rPr>
        <w:t xml:space="preserve"> </w:t>
      </w:r>
      <w:bookmarkStart w:id="89" w:name="_Toc180513417"/>
      <w:bookmarkStart w:id="90" w:name="_Toc189482452"/>
      <w:r w:rsidRPr="002A150B">
        <w:rPr>
          <w:noProof/>
        </w:rPr>
        <w:t>Legătura dintre EU ETS și schema ETS a Elveției</w:t>
      </w:r>
      <w:bookmarkEnd w:id="89"/>
      <w:bookmarkEnd w:id="90"/>
    </w:p>
    <w:p w14:paraId="1FA6DAF0" w14:textId="15ED4E1F" w:rsidR="00C85430" w:rsidRPr="002A150B" w:rsidRDefault="2F970DB7" w:rsidP="00C85430">
      <w:pPr>
        <w:pStyle w:val="CMR-text"/>
        <w:rPr>
          <w:noProof/>
        </w:rPr>
      </w:pPr>
      <w:r w:rsidRPr="002A150B">
        <w:rPr>
          <w:noProof/>
        </w:rPr>
        <w:t>Începând din 2020, EU ETS și schema ETS a Elveției sunt conectate printr-un acord internațional între UE și Confederația Elvețiană. Aceasta înseamnă că certificatele emise într-una din scheme pot fi restituite pentru emisiile generate în oricare dintre cele două scheme. Având acces la o piață mai mare, operatorii pot obține creșteri ale eficienței din punctul de vedere al costurilor și pot avea mai multe opțiuni de reducere a emisiilor. Acordul de legătură</w:t>
      </w:r>
      <w:r w:rsidR="00C85430" w:rsidRPr="002A150B">
        <w:rPr>
          <w:noProof/>
          <w:vertAlign w:val="superscript"/>
        </w:rPr>
        <w:footnoteReference w:id="123"/>
      </w:r>
      <w:r w:rsidRPr="002A150B">
        <w:rPr>
          <w:noProof/>
        </w:rPr>
        <w:t xml:space="preserve"> stabilește condițiile și cerințele în temeiul cărora sunt conectate cele două scheme. De asemenea, instituie un mecanism care să asigure respectarea condițiilor de legătură prevăzute la articolul 25 din Directiva EU ETS. </w:t>
      </w:r>
    </w:p>
    <w:p w14:paraId="02BA900F" w14:textId="1B88B6B2" w:rsidR="00E57CBF" w:rsidRPr="002A150B" w:rsidRDefault="00692815" w:rsidP="004E370C">
      <w:pPr>
        <w:pStyle w:val="CMR-text"/>
        <w:rPr>
          <w:noProof/>
        </w:rPr>
      </w:pPr>
      <w:r w:rsidRPr="002A150B">
        <w:rPr>
          <w:noProof/>
        </w:rPr>
        <w:t xml:space="preserve">Includerea sectorului aviației în acordul de legătură a reprezentat o cerință esențială pentru UE. În temeiul articolului 6 din acord, Elveția aplică aceeași abordare ca EU ETS în ceea ce privește normele de acoperire, de plafonare și de alocare. În conformitate cu articolul 7 din Acordul de legătură, acest lucru va continua în temeiul Directivei EU ETS revizuite. </w:t>
      </w:r>
    </w:p>
    <w:p w14:paraId="08E0BC03" w14:textId="0773DB8E" w:rsidR="00692815" w:rsidRPr="002A150B" w:rsidRDefault="00692815" w:rsidP="004E370C">
      <w:pPr>
        <w:pStyle w:val="CMR-text"/>
        <w:rPr>
          <w:noProof/>
        </w:rPr>
      </w:pPr>
      <w:r w:rsidRPr="002A150B">
        <w:rPr>
          <w:noProof/>
        </w:rPr>
        <w:t>Zborurile interne din Elveția și zborurile spre aeroporturi din SEE intră în domeniul de aplicare al schemei ETS a Elveției, în timp ce zborurile spre Elveția cu plecare din SEE intră sub incidența EU ETS. Acest mecanism potențează integritatea de mediu a ambelor scheme. Atât EU ETS, cât și schema ETS a Elveției au aplicat aceeași abordare pentru zborurile de sosire și de plecare din și către Regatul Unit după Brexit. În urma revizuirii Directivei EU ETS în 2023, domeniul de aplicare al ambelor scheme a fost extins pentru a acoperi zborurile înspre/dinspre regiunile ultraperiferice ale UE.</w:t>
      </w:r>
    </w:p>
    <w:p w14:paraId="1C52AC22" w14:textId="696D885C" w:rsidR="004E370C" w:rsidRPr="002A150B" w:rsidRDefault="00C85430" w:rsidP="004E370C">
      <w:pPr>
        <w:pStyle w:val="CMR-text"/>
        <w:rPr>
          <w:noProof/>
          <w:highlight w:val="yellow"/>
        </w:rPr>
      </w:pPr>
      <w:r w:rsidRPr="002A150B">
        <w:rPr>
          <w:noProof/>
        </w:rPr>
        <w:t xml:space="preserve">Tabelele L-M din secțiunea V a documentului de lucru însoțitor al serviciilor Comisiei prezintă principalele cifre din 2023 pentru ambele scheme – certificatele scoase la licitație, alocările cu titlu gratuit și emisiile verificate, atât pentru instalații, cât și pentru operatorii de aeronave. Compararea lor demonstrează că compatibilitatea celor două scheme nu ține de dimensiune, ci de cerințele de calitate, de condițiile de concurență echitabile și de măsurile de protejare a integrității pieței. </w:t>
      </w:r>
    </w:p>
    <w:p w14:paraId="2147BF6A" w14:textId="77777777" w:rsidR="003C671C" w:rsidRPr="002A150B" w:rsidRDefault="00524E1A" w:rsidP="003C671C">
      <w:pPr>
        <w:pStyle w:val="CMR-text"/>
        <w:rPr>
          <w:noProof/>
        </w:rPr>
      </w:pPr>
      <w:r w:rsidRPr="002A150B">
        <w:rPr>
          <w:noProof/>
        </w:rPr>
        <w:t>În conformitate cu Acordul de creare a legăturii, a fost creată o legătură directă între registrele celor două scheme pentru a permite transferurile de certificate dintr-o schemă în alta. În acest mod, participanții la piață pot să efectueze tranzacțiile dintre cele două scheme ca și cum ar fi pe o singură piață, îmbunătățind astfel lichiditatea pe piața legată. Transferurile între scheme (registre) se efectuează zilnic, de luni până vineri, cu excepția datelor specifice legate de zilele bancare nelucrătoare.</w:t>
      </w:r>
    </w:p>
    <w:p w14:paraId="7169F29F" w14:textId="0CF9AB7F" w:rsidR="006C05A9" w:rsidRPr="002A150B" w:rsidRDefault="003C671C" w:rsidP="003C671C">
      <w:pPr>
        <w:pStyle w:val="CMR-text"/>
        <w:rPr>
          <w:noProof/>
        </w:rPr>
      </w:pPr>
      <w:r w:rsidRPr="002A150B">
        <w:rPr>
          <w:noProof/>
        </w:rPr>
        <w:t>Tabelul 9 și tabelul 10 prezintă efectele legăturii dintre EU ETS și schema ETS a Elveției în 2023, arătând măsura în care entitățile reglementate din fiecare schemă au utilizat certificate emise în cealaltă schemă pentru asigurarea conformității.</w:t>
      </w:r>
    </w:p>
    <w:p w14:paraId="088DBDF8" w14:textId="22FAB178" w:rsidR="006C05A9" w:rsidRPr="002A150B" w:rsidRDefault="006C05A9" w:rsidP="006C05A9">
      <w:pPr>
        <w:pStyle w:val="CMR-text"/>
        <w:rPr>
          <w:noProof/>
        </w:rPr>
      </w:pPr>
      <w:r w:rsidRPr="002A150B">
        <w:rPr>
          <w:noProof/>
        </w:rPr>
        <w:t>În total, entitățile reglementate din cadrul EU ETS (atât instalațiile, cât și operatorii de aeronave) au utilizat 1 140 848 de certificate emise în cadrul schemei ETS a Elveției pentru asigurarea conformității în 2023. Aceasta înseamnă cu aproape 170 000 de certificate mai mult decât în 2022 și cu aproape 550 000 de certificate mai mult decât în 2021, demonstrând utilizarea sporită a flexibilității oferite de legătura dintre EU ETS și schema ETS a Elveției, precum și conștientizarea și acceptarea legăturii pe scară tot mai largă.</w:t>
      </w:r>
    </w:p>
    <w:p w14:paraId="40BD7E7A" w14:textId="7102729E" w:rsidR="006C05A9" w:rsidRPr="002A150B" w:rsidRDefault="005177D8" w:rsidP="006C05A9">
      <w:pPr>
        <w:pStyle w:val="CMR-text"/>
        <w:rPr>
          <w:noProof/>
        </w:rPr>
      </w:pPr>
      <w:r w:rsidRPr="002A150B">
        <w:rPr>
          <w:noProof/>
        </w:rPr>
        <w:t>Deși instalațiile din EU ETS au utilizat mai puține certificate pentru aviație emise în cadrul schemei ETS a Elveției decât în anul precedent (aproximativ 100 000 în 2023 față de 180 000 în 2022), acest lucru a fost parțial compensat de o creștere a utilizării certificatelor generale din cadrul schemei ETS a Elveției (aproximativ 425 000 în 2023 față de 395 000 în 2022).</w:t>
      </w:r>
    </w:p>
    <w:p w14:paraId="40A9EEAE" w14:textId="73473591" w:rsidR="006C05A9" w:rsidRPr="002A150B" w:rsidRDefault="006C05A9" w:rsidP="006C05A9">
      <w:pPr>
        <w:pStyle w:val="CMR-text"/>
        <w:rPr>
          <w:noProof/>
        </w:rPr>
      </w:pPr>
      <w:r w:rsidRPr="002A150B">
        <w:rPr>
          <w:noProof/>
        </w:rPr>
        <w:t>Numărul certificatelor generale din cadrul schemei ETS a Elveției utilizate pentru asigurarea conformității de către operatorii de aeronave din UE a crescut ușor în 2023, ajungând la aproximativ 50 000 (față de 40 000 în 2022). Un aspect și mai impresionant este că a crescut semnificativ numărul certificatelor pentru aviație din cadrul schemei ETS a Elveției utilizate pentru asigurarea conformității de către operatorii de aeronave care fac obiectul EU ETS, de la aproximativ 355 000 în 2022 la 560 000 în 2023. În termeni relativi, certificatele generale emise în cadrul schemei ETS a Elveției au reprezentat mai puțin de 0,10 % din totalul certificatelor restituite în EU ETS în 2023. Ele au reprezentat însă o cotă de peste 21,64 % din totalul certificatelor din cadrul schemei ETS a Elveției alocate cu titlu gratuit și scoase la licitație în anul respectiv.</w:t>
      </w:r>
    </w:p>
    <w:p w14:paraId="52365350" w14:textId="517EC16B" w:rsidR="006C05A9" w:rsidRPr="002A150B" w:rsidRDefault="006C05A9" w:rsidP="006C05A9">
      <w:pPr>
        <w:pStyle w:val="CMR-text"/>
        <w:rPr>
          <w:noProof/>
        </w:rPr>
      </w:pPr>
      <w:r w:rsidRPr="002A150B">
        <w:rPr>
          <w:noProof/>
        </w:rPr>
        <w:t>În cadrul schemei ETS a Elveției, instalațiile au utilizat o cotă mai mare de certificate generale EU ETS pentru asigurarea conformității în 2023 (11,6 %) decât în 2022 (6,2 %). În cei doi ani, instalațiile din cadrul schemei ETS a Elveției nu au utilizat certificatele EU ETS pentru aviație pentru asigurarea conformității.</w:t>
      </w:r>
    </w:p>
    <w:bookmarkStart w:id="91" w:name="_Ref179899508"/>
    <w:bookmarkStart w:id="92" w:name="_Ref179899493"/>
    <w:p w14:paraId="1F3D5855" w14:textId="3636857A" w:rsidR="001F1040" w:rsidRPr="002A150B" w:rsidRDefault="001F1040" w:rsidP="001F1040">
      <w:pPr>
        <w:pStyle w:val="CMR-text"/>
        <w:rPr>
          <w:noProof/>
        </w:rPr>
      </w:pPr>
      <w:r w:rsidRPr="002A150B">
        <w:rPr>
          <w:rFonts w:cs="Times New Roman"/>
          <w:noProof/>
        </w:rPr>
        <w:fldChar w:fldCharType="begin"/>
      </w:r>
      <w:r w:rsidRPr="002A150B">
        <w:rPr>
          <w:rFonts w:cs="Times New Roman"/>
          <w:noProof/>
        </w:rPr>
        <w:instrText xml:space="preserve"> REF _Ref176770365 \h </w:instrText>
      </w:r>
      <w:r w:rsidR="00B574FD" w:rsidRPr="002A150B">
        <w:rPr>
          <w:rFonts w:cs="Times New Roman"/>
          <w:noProof/>
        </w:rPr>
        <w:instrText xml:space="preserve"> \* MERGEFORMAT </w:instrText>
      </w:r>
      <w:r w:rsidRPr="002A150B">
        <w:rPr>
          <w:rFonts w:cs="Times New Roman"/>
          <w:noProof/>
        </w:rPr>
      </w:r>
      <w:r w:rsidRPr="002A150B">
        <w:rPr>
          <w:rFonts w:cs="Times New Roman"/>
          <w:noProof/>
        </w:rPr>
        <w:fldChar w:fldCharType="separate"/>
      </w:r>
      <w:r w:rsidR="00411CDC" w:rsidRPr="002A150B">
        <w:rPr>
          <w:rFonts w:cs="Times New Roman"/>
          <w:noProof/>
        </w:rPr>
        <w:t>Tab</w:t>
      </w:r>
      <w:r w:rsidR="00F456E9" w:rsidRPr="002A150B">
        <w:rPr>
          <w:rFonts w:cs="Times New Roman"/>
          <w:noProof/>
        </w:rPr>
        <w:t>elul</w:t>
      </w:r>
      <w:r w:rsidR="00411CDC" w:rsidRPr="002A150B">
        <w:rPr>
          <w:rFonts w:cs="Times New Roman"/>
          <w:noProof/>
        </w:rPr>
        <w:t xml:space="preserve"> 11</w:t>
      </w:r>
      <w:r w:rsidRPr="002A150B">
        <w:rPr>
          <w:rFonts w:cs="Times New Roman"/>
          <w:noProof/>
        </w:rPr>
        <w:fldChar w:fldCharType="end"/>
      </w:r>
      <w:r w:rsidRPr="002A150B">
        <w:rPr>
          <w:noProof/>
        </w:rPr>
        <w:t xml:space="preserve"> prezintă în mod agregat volumul certificatelor (atât generale, cât și pentru aviație) transferate în numele participanților la piață între EU ETS și schema ETS a Elveției începând din 2020. Până în prezent, în 2023 s-a înregistrat cel mai mare număr de transferuri totale agregate. Soldul istoric actual indică un transfer de 1 268 426 de certificate din EU ETS către schema ETS a Elveției. Totuși, ar trebui precizat că cifrele pot include retransferuri ale acelorași certificate.</w:t>
      </w:r>
    </w:p>
    <w:p w14:paraId="53A299E3" w14:textId="77777777" w:rsidR="00B2767E" w:rsidRPr="002A150B" w:rsidRDefault="00B2767E" w:rsidP="00422712">
      <w:pPr>
        <w:pStyle w:val="Caption"/>
        <w:keepNext/>
        <w:rPr>
          <w:noProof/>
        </w:rPr>
        <w:sectPr w:rsidR="00B2767E" w:rsidRPr="002A150B">
          <w:headerReference w:type="even" r:id="rId38"/>
          <w:headerReference w:type="default" r:id="rId39"/>
          <w:footerReference w:type="even" r:id="rId40"/>
          <w:footerReference w:type="default" r:id="rId41"/>
          <w:headerReference w:type="first" r:id="rId42"/>
          <w:footerReference w:type="first" r:id="rId43"/>
          <w:pgSz w:w="11906" w:h="16838"/>
          <w:pgMar w:top="1440" w:right="1440" w:bottom="1440" w:left="1440" w:header="708" w:footer="708" w:gutter="0"/>
          <w:cols w:space="708"/>
          <w:docGrid w:linePitch="360"/>
        </w:sectPr>
      </w:pPr>
    </w:p>
    <w:p w14:paraId="6EF6EB3F" w14:textId="7A4FF2CD" w:rsidR="00422712" w:rsidRPr="002A150B" w:rsidRDefault="00422712" w:rsidP="00422712">
      <w:pPr>
        <w:pStyle w:val="Caption"/>
        <w:keepNext/>
        <w:rPr>
          <w:noProof/>
        </w:rPr>
      </w:pPr>
      <w:r w:rsidRPr="002A150B">
        <w:rPr>
          <w:noProof/>
        </w:rPr>
        <w:t xml:space="preserve">Tabelul </w:t>
      </w:r>
      <w:r w:rsidR="003B51C5" w:rsidRPr="002A150B">
        <w:rPr>
          <w:noProof/>
        </w:rPr>
        <w:fldChar w:fldCharType="begin"/>
      </w:r>
      <w:r w:rsidR="003B51C5" w:rsidRPr="002A150B">
        <w:rPr>
          <w:noProof/>
        </w:rPr>
        <w:instrText xml:space="preserve"> SEQ Table \* ARABIC </w:instrText>
      </w:r>
      <w:r w:rsidR="003B51C5" w:rsidRPr="002A150B">
        <w:rPr>
          <w:noProof/>
        </w:rPr>
        <w:fldChar w:fldCharType="separate"/>
      </w:r>
      <w:r w:rsidR="00411CDC" w:rsidRPr="002A150B">
        <w:rPr>
          <w:noProof/>
        </w:rPr>
        <w:t>6</w:t>
      </w:r>
      <w:r w:rsidR="003B51C5" w:rsidRPr="002A150B">
        <w:rPr>
          <w:noProof/>
        </w:rPr>
        <w:fldChar w:fldCharType="end"/>
      </w:r>
      <w:bookmarkEnd w:id="91"/>
      <w:r w:rsidRPr="002A150B">
        <w:rPr>
          <w:noProof/>
        </w:rPr>
        <w:t>. Unități utilizate pentru conformitate în registrul UE în 2023.</w:t>
      </w:r>
      <w:bookmarkEnd w:id="92"/>
      <w:r w:rsidRPr="002A150B">
        <w:rPr>
          <w:noProof/>
        </w:rPr>
        <w:t xml:space="preserve"> Date extrase din registrul UE la 1 octombrie 2024.</w:t>
      </w:r>
    </w:p>
    <w:tbl>
      <w:tblPr>
        <w:tblStyle w:val="TableGridLight"/>
        <w:tblW w:w="5000" w:type="pct"/>
        <w:tblLook w:val="04A0" w:firstRow="1" w:lastRow="0" w:firstColumn="1" w:lastColumn="0" w:noHBand="0" w:noVBand="1"/>
      </w:tblPr>
      <w:tblGrid>
        <w:gridCol w:w="1129"/>
        <w:gridCol w:w="2452"/>
        <w:gridCol w:w="2427"/>
        <w:gridCol w:w="2335"/>
        <w:gridCol w:w="1515"/>
        <w:gridCol w:w="1384"/>
        <w:gridCol w:w="1336"/>
        <w:gridCol w:w="1370"/>
      </w:tblGrid>
      <w:tr w:rsidR="002B72B3" w:rsidRPr="002A150B" w14:paraId="7122759E" w14:textId="77777777" w:rsidTr="00094B10">
        <w:trPr>
          <w:cantSplit/>
          <w:trHeight w:val="454"/>
        </w:trPr>
        <w:tc>
          <w:tcPr>
            <w:tcW w:w="405" w:type="pct"/>
            <w:vMerge w:val="restart"/>
            <w:textDirection w:val="btLr"/>
            <w:vAlign w:val="center"/>
          </w:tcPr>
          <w:p w14:paraId="202E2678" w14:textId="17ABCAD3" w:rsidR="0089087F" w:rsidRPr="002A150B" w:rsidRDefault="00000905" w:rsidP="00BE5E78">
            <w:pPr>
              <w:pStyle w:val="CMR-tables"/>
              <w:keepNext/>
              <w:jc w:val="center"/>
              <w:rPr>
                <w:b/>
                <w:noProof/>
              </w:rPr>
            </w:pPr>
            <w:r w:rsidRPr="002A150B">
              <w:rPr>
                <w:b/>
                <w:noProof/>
              </w:rPr>
              <w:t>Instalații</w:t>
            </w:r>
          </w:p>
        </w:tc>
        <w:tc>
          <w:tcPr>
            <w:tcW w:w="879" w:type="pct"/>
            <w:vMerge w:val="restart"/>
            <w:vAlign w:val="center"/>
          </w:tcPr>
          <w:p w14:paraId="25869ABE" w14:textId="1DF04D5E" w:rsidR="0089087F" w:rsidRPr="002A150B" w:rsidRDefault="0089087F" w:rsidP="00F03925">
            <w:pPr>
              <w:pStyle w:val="CMR-tables"/>
              <w:keepNext/>
              <w:jc w:val="center"/>
              <w:rPr>
                <w:b/>
                <w:noProof/>
              </w:rPr>
            </w:pPr>
            <w:r w:rsidRPr="002A150B">
              <w:rPr>
                <w:b/>
                <w:noProof/>
              </w:rPr>
              <w:t>Alocare cu titlu gratuit și vânzare prin licitație</w:t>
            </w:r>
          </w:p>
        </w:tc>
        <w:tc>
          <w:tcPr>
            <w:tcW w:w="870" w:type="pct"/>
            <w:vMerge w:val="restart"/>
            <w:vAlign w:val="center"/>
          </w:tcPr>
          <w:p w14:paraId="37EB3A00" w14:textId="77777777" w:rsidR="0089087F" w:rsidRPr="002A150B" w:rsidRDefault="0089087F" w:rsidP="00F03925">
            <w:pPr>
              <w:pStyle w:val="CMR-tables"/>
              <w:keepNext/>
              <w:jc w:val="center"/>
              <w:rPr>
                <w:b/>
                <w:noProof/>
              </w:rPr>
            </w:pPr>
            <w:r w:rsidRPr="002A150B">
              <w:rPr>
                <w:b/>
                <w:noProof/>
              </w:rPr>
              <w:t>Emisii verificate</w:t>
            </w:r>
          </w:p>
        </w:tc>
        <w:tc>
          <w:tcPr>
            <w:tcW w:w="837" w:type="pct"/>
            <w:vMerge w:val="restart"/>
            <w:vAlign w:val="center"/>
          </w:tcPr>
          <w:p w14:paraId="561CD6B5" w14:textId="77777777" w:rsidR="0089087F" w:rsidRPr="002A150B" w:rsidRDefault="0089087F" w:rsidP="00F03925">
            <w:pPr>
              <w:pStyle w:val="CMR-tables"/>
              <w:keepNext/>
              <w:jc w:val="center"/>
              <w:rPr>
                <w:b/>
                <w:noProof/>
              </w:rPr>
            </w:pPr>
            <w:r w:rsidRPr="002A150B">
              <w:rPr>
                <w:b/>
                <w:noProof/>
              </w:rPr>
              <w:t>Unități restituite</w:t>
            </w:r>
          </w:p>
        </w:tc>
        <w:tc>
          <w:tcPr>
            <w:tcW w:w="1039" w:type="pct"/>
            <w:gridSpan w:val="2"/>
            <w:vAlign w:val="center"/>
          </w:tcPr>
          <w:p w14:paraId="2B65CD40" w14:textId="60913532" w:rsidR="0089087F" w:rsidRPr="002A150B" w:rsidRDefault="0089087F" w:rsidP="00F03925">
            <w:pPr>
              <w:pStyle w:val="CMR-tables"/>
              <w:keepNext/>
              <w:jc w:val="center"/>
              <w:rPr>
                <w:b/>
                <w:noProof/>
              </w:rPr>
            </w:pPr>
            <w:r w:rsidRPr="002A150B">
              <w:rPr>
                <w:b/>
                <w:noProof/>
              </w:rPr>
              <w:t>Certificate EU ETS</w:t>
            </w:r>
          </w:p>
        </w:tc>
        <w:tc>
          <w:tcPr>
            <w:tcW w:w="971" w:type="pct"/>
            <w:gridSpan w:val="2"/>
            <w:vAlign w:val="center"/>
          </w:tcPr>
          <w:p w14:paraId="7B7FCE83" w14:textId="77777777" w:rsidR="0089087F" w:rsidRPr="002A150B" w:rsidRDefault="0089087F" w:rsidP="00F03925">
            <w:pPr>
              <w:pStyle w:val="CMR-tables"/>
              <w:keepNext/>
              <w:jc w:val="center"/>
              <w:rPr>
                <w:b/>
                <w:noProof/>
              </w:rPr>
            </w:pPr>
            <w:r w:rsidRPr="002A150B">
              <w:rPr>
                <w:b/>
                <w:noProof/>
              </w:rPr>
              <w:t>Certificate emise în cadrul schemei ETS a Elveției</w:t>
            </w:r>
          </w:p>
        </w:tc>
      </w:tr>
      <w:tr w:rsidR="00094B10" w:rsidRPr="002A150B" w14:paraId="1754CFD3" w14:textId="77777777" w:rsidTr="00094B10">
        <w:trPr>
          <w:cantSplit/>
          <w:trHeight w:val="454"/>
        </w:trPr>
        <w:tc>
          <w:tcPr>
            <w:tcW w:w="405" w:type="pct"/>
            <w:vMerge/>
            <w:vAlign w:val="center"/>
          </w:tcPr>
          <w:p w14:paraId="52071C51" w14:textId="77777777" w:rsidR="0089087F" w:rsidRPr="002A150B" w:rsidRDefault="0089087F" w:rsidP="00BE5E78">
            <w:pPr>
              <w:pStyle w:val="CMR-tables"/>
              <w:keepNext/>
              <w:jc w:val="center"/>
              <w:rPr>
                <w:b/>
                <w:noProof/>
              </w:rPr>
            </w:pPr>
          </w:p>
        </w:tc>
        <w:tc>
          <w:tcPr>
            <w:tcW w:w="879" w:type="pct"/>
            <w:vMerge/>
            <w:vAlign w:val="center"/>
          </w:tcPr>
          <w:p w14:paraId="75D63B3F" w14:textId="77777777" w:rsidR="0089087F" w:rsidRPr="002A150B" w:rsidRDefault="0089087F" w:rsidP="00164DD9">
            <w:pPr>
              <w:pStyle w:val="CMR-tables"/>
              <w:keepNext/>
              <w:jc w:val="center"/>
              <w:rPr>
                <w:noProof/>
              </w:rPr>
            </w:pPr>
          </w:p>
        </w:tc>
        <w:tc>
          <w:tcPr>
            <w:tcW w:w="870" w:type="pct"/>
            <w:vMerge/>
            <w:vAlign w:val="center"/>
          </w:tcPr>
          <w:p w14:paraId="36ABC856" w14:textId="77777777" w:rsidR="0089087F" w:rsidRPr="002A150B" w:rsidRDefault="0089087F" w:rsidP="00164DD9">
            <w:pPr>
              <w:pStyle w:val="CMR-tables"/>
              <w:keepNext/>
              <w:jc w:val="center"/>
              <w:rPr>
                <w:noProof/>
              </w:rPr>
            </w:pPr>
          </w:p>
        </w:tc>
        <w:tc>
          <w:tcPr>
            <w:tcW w:w="837" w:type="pct"/>
            <w:vMerge/>
            <w:vAlign w:val="center"/>
          </w:tcPr>
          <w:p w14:paraId="77316D2C" w14:textId="77777777" w:rsidR="0089087F" w:rsidRPr="002A150B" w:rsidRDefault="0089087F" w:rsidP="00164DD9">
            <w:pPr>
              <w:pStyle w:val="CMR-tables"/>
              <w:keepNext/>
              <w:jc w:val="center"/>
              <w:rPr>
                <w:noProof/>
              </w:rPr>
            </w:pPr>
          </w:p>
        </w:tc>
        <w:tc>
          <w:tcPr>
            <w:tcW w:w="543" w:type="pct"/>
            <w:vAlign w:val="center"/>
          </w:tcPr>
          <w:p w14:paraId="3E361A56" w14:textId="77777777" w:rsidR="0089087F" w:rsidRPr="002A150B" w:rsidRDefault="0089087F" w:rsidP="00164DD9">
            <w:pPr>
              <w:pStyle w:val="CMR-tables"/>
              <w:keepNext/>
              <w:jc w:val="center"/>
              <w:rPr>
                <w:i/>
                <w:noProof/>
              </w:rPr>
            </w:pPr>
            <w:r w:rsidRPr="002A150B">
              <w:rPr>
                <w:i/>
                <w:noProof/>
              </w:rPr>
              <w:t>Generale</w:t>
            </w:r>
          </w:p>
        </w:tc>
        <w:tc>
          <w:tcPr>
            <w:tcW w:w="495" w:type="pct"/>
            <w:vAlign w:val="center"/>
          </w:tcPr>
          <w:p w14:paraId="3C9D17B4" w14:textId="77777777" w:rsidR="0089087F" w:rsidRPr="002A150B" w:rsidRDefault="0089087F" w:rsidP="00164DD9">
            <w:pPr>
              <w:pStyle w:val="CMR-tables"/>
              <w:keepNext/>
              <w:jc w:val="center"/>
              <w:rPr>
                <w:i/>
                <w:noProof/>
              </w:rPr>
            </w:pPr>
            <w:r w:rsidRPr="002A150B">
              <w:rPr>
                <w:i/>
                <w:noProof/>
              </w:rPr>
              <w:t>Aviație</w:t>
            </w:r>
          </w:p>
        </w:tc>
        <w:tc>
          <w:tcPr>
            <w:tcW w:w="479" w:type="pct"/>
            <w:vAlign w:val="center"/>
          </w:tcPr>
          <w:p w14:paraId="71A332A6" w14:textId="77777777" w:rsidR="0089087F" w:rsidRPr="002A150B" w:rsidRDefault="0089087F" w:rsidP="00164DD9">
            <w:pPr>
              <w:pStyle w:val="CMR-tables"/>
              <w:keepNext/>
              <w:jc w:val="center"/>
              <w:rPr>
                <w:i/>
                <w:noProof/>
              </w:rPr>
            </w:pPr>
            <w:r w:rsidRPr="002A150B">
              <w:rPr>
                <w:i/>
                <w:noProof/>
              </w:rPr>
              <w:t>Generale</w:t>
            </w:r>
          </w:p>
        </w:tc>
        <w:tc>
          <w:tcPr>
            <w:tcW w:w="492" w:type="pct"/>
            <w:vAlign w:val="center"/>
          </w:tcPr>
          <w:p w14:paraId="1CDAF77A" w14:textId="77777777" w:rsidR="0089087F" w:rsidRPr="002A150B" w:rsidRDefault="0089087F" w:rsidP="00164DD9">
            <w:pPr>
              <w:pStyle w:val="CMR-tables"/>
              <w:keepNext/>
              <w:jc w:val="center"/>
              <w:rPr>
                <w:i/>
                <w:noProof/>
              </w:rPr>
            </w:pPr>
            <w:r w:rsidRPr="002A150B">
              <w:rPr>
                <w:i/>
                <w:noProof/>
              </w:rPr>
              <w:t>Aviație</w:t>
            </w:r>
          </w:p>
        </w:tc>
      </w:tr>
      <w:tr w:rsidR="00BE5E78" w:rsidRPr="002A150B" w14:paraId="10F5F1E9" w14:textId="77777777" w:rsidTr="00A0384F">
        <w:trPr>
          <w:trHeight w:val="454"/>
        </w:trPr>
        <w:tc>
          <w:tcPr>
            <w:tcW w:w="405" w:type="pct"/>
            <w:vMerge/>
            <w:vAlign w:val="center"/>
          </w:tcPr>
          <w:p w14:paraId="2BB59697" w14:textId="77777777" w:rsidR="0089087F" w:rsidRPr="002A150B" w:rsidRDefault="0089087F" w:rsidP="001F1040">
            <w:pPr>
              <w:pStyle w:val="CMR-tables"/>
              <w:keepNext/>
              <w:jc w:val="center"/>
              <w:rPr>
                <w:b/>
                <w:noProof/>
              </w:rPr>
            </w:pPr>
          </w:p>
        </w:tc>
        <w:tc>
          <w:tcPr>
            <w:tcW w:w="879" w:type="pct"/>
            <w:shd w:val="clear" w:color="auto" w:fill="F2F2F2" w:themeFill="background1" w:themeFillShade="F2"/>
            <w:vAlign w:val="center"/>
          </w:tcPr>
          <w:p w14:paraId="705ED686" w14:textId="78C0057A" w:rsidR="0089087F" w:rsidRPr="002A150B" w:rsidRDefault="00C906E2" w:rsidP="001F1040">
            <w:pPr>
              <w:pStyle w:val="CMR-tables"/>
              <w:keepNext/>
              <w:jc w:val="right"/>
              <w:rPr>
                <w:noProof/>
                <w:highlight w:val="yellow"/>
              </w:rPr>
            </w:pPr>
            <w:r w:rsidRPr="002A150B">
              <w:rPr>
                <w:noProof/>
              </w:rPr>
              <w:t>1 055 030 682</w:t>
            </w:r>
          </w:p>
        </w:tc>
        <w:tc>
          <w:tcPr>
            <w:tcW w:w="870" w:type="pct"/>
            <w:shd w:val="clear" w:color="auto" w:fill="F2F2F2" w:themeFill="background1" w:themeFillShade="F2"/>
            <w:vAlign w:val="center"/>
          </w:tcPr>
          <w:p w14:paraId="0158D150" w14:textId="54488220" w:rsidR="0089087F" w:rsidRPr="002A150B" w:rsidRDefault="004836ED" w:rsidP="001F1040">
            <w:pPr>
              <w:pStyle w:val="CMR-tables"/>
              <w:keepNext/>
              <w:jc w:val="right"/>
              <w:rPr>
                <w:noProof/>
                <w:highlight w:val="yellow"/>
              </w:rPr>
            </w:pPr>
            <w:r w:rsidRPr="002A150B">
              <w:rPr>
                <w:noProof/>
                <w:color w:val="000000"/>
              </w:rPr>
              <w:t>1 096 788 327</w:t>
            </w:r>
          </w:p>
        </w:tc>
        <w:tc>
          <w:tcPr>
            <w:tcW w:w="837" w:type="pct"/>
            <w:shd w:val="clear" w:color="auto" w:fill="F2F2F2" w:themeFill="background1" w:themeFillShade="F2"/>
            <w:vAlign w:val="center"/>
          </w:tcPr>
          <w:p w14:paraId="47629CA4" w14:textId="632A52F7" w:rsidR="0089087F" w:rsidRPr="002A150B" w:rsidRDefault="00B913E1" w:rsidP="001F1040">
            <w:pPr>
              <w:pStyle w:val="CMR-tables"/>
              <w:keepNext/>
              <w:jc w:val="right"/>
              <w:rPr>
                <w:noProof/>
                <w:highlight w:val="yellow"/>
              </w:rPr>
            </w:pPr>
            <w:r w:rsidRPr="002A150B">
              <w:rPr>
                <w:noProof/>
                <w:color w:val="000000"/>
              </w:rPr>
              <w:t>1 099 802 112</w:t>
            </w:r>
          </w:p>
        </w:tc>
        <w:tc>
          <w:tcPr>
            <w:tcW w:w="543" w:type="pct"/>
            <w:shd w:val="clear" w:color="auto" w:fill="F2F2F2" w:themeFill="background1" w:themeFillShade="F2"/>
            <w:vAlign w:val="center"/>
          </w:tcPr>
          <w:p w14:paraId="2D200A5C" w14:textId="3F881CC2" w:rsidR="0089087F" w:rsidRPr="002A150B" w:rsidRDefault="009F756F" w:rsidP="001F1040">
            <w:pPr>
              <w:pStyle w:val="CMR-tables"/>
              <w:keepNext/>
              <w:jc w:val="right"/>
              <w:rPr>
                <w:noProof/>
                <w:highlight w:val="yellow"/>
              </w:rPr>
            </w:pPr>
            <w:r w:rsidRPr="002A150B">
              <w:rPr>
                <w:noProof/>
                <w:color w:val="000000"/>
              </w:rPr>
              <w:t>1 095 206 929</w:t>
            </w:r>
          </w:p>
        </w:tc>
        <w:tc>
          <w:tcPr>
            <w:tcW w:w="495" w:type="pct"/>
            <w:shd w:val="clear" w:color="auto" w:fill="F2F2F2" w:themeFill="background1" w:themeFillShade="F2"/>
            <w:vAlign w:val="center"/>
          </w:tcPr>
          <w:p w14:paraId="413A3500" w14:textId="3225D97F" w:rsidR="0089087F" w:rsidRPr="002A150B" w:rsidRDefault="00F4433A" w:rsidP="001F1040">
            <w:pPr>
              <w:pStyle w:val="CMR-tables"/>
              <w:keepNext/>
              <w:jc w:val="right"/>
              <w:rPr>
                <w:noProof/>
                <w:highlight w:val="yellow"/>
              </w:rPr>
            </w:pPr>
            <w:r w:rsidRPr="002A150B">
              <w:rPr>
                <w:noProof/>
                <w:color w:val="000000"/>
              </w:rPr>
              <w:t>4 068 223</w:t>
            </w:r>
          </w:p>
        </w:tc>
        <w:tc>
          <w:tcPr>
            <w:tcW w:w="479" w:type="pct"/>
            <w:shd w:val="clear" w:color="auto" w:fill="F2F2F2" w:themeFill="background1" w:themeFillShade="F2"/>
            <w:vAlign w:val="center"/>
          </w:tcPr>
          <w:p w14:paraId="71102913" w14:textId="7115BDB7" w:rsidR="0089087F" w:rsidRPr="002A150B" w:rsidRDefault="00937385" w:rsidP="001F1040">
            <w:pPr>
              <w:pStyle w:val="CMR-tables"/>
              <w:keepNext/>
              <w:jc w:val="right"/>
              <w:rPr>
                <w:noProof/>
                <w:highlight w:val="yellow"/>
              </w:rPr>
            </w:pPr>
            <w:r w:rsidRPr="002A150B">
              <w:rPr>
                <w:noProof/>
                <w:color w:val="000000"/>
              </w:rPr>
              <w:t>425 611</w:t>
            </w:r>
          </w:p>
        </w:tc>
        <w:tc>
          <w:tcPr>
            <w:tcW w:w="492" w:type="pct"/>
            <w:shd w:val="clear" w:color="auto" w:fill="F2F2F2" w:themeFill="background1" w:themeFillShade="F2"/>
            <w:vAlign w:val="center"/>
          </w:tcPr>
          <w:p w14:paraId="1404A335" w14:textId="6A1C1ADA" w:rsidR="0089087F" w:rsidRPr="002A150B" w:rsidRDefault="00663483" w:rsidP="001F1040">
            <w:pPr>
              <w:pStyle w:val="CMR-tables"/>
              <w:keepNext/>
              <w:jc w:val="right"/>
              <w:rPr>
                <w:noProof/>
                <w:highlight w:val="yellow"/>
              </w:rPr>
            </w:pPr>
            <w:r w:rsidRPr="002A150B">
              <w:rPr>
                <w:noProof/>
              </w:rPr>
              <w:t>101 349</w:t>
            </w:r>
          </w:p>
        </w:tc>
      </w:tr>
      <w:tr w:rsidR="00FB0646" w:rsidRPr="002A150B" w14:paraId="25D323BF" w14:textId="77777777" w:rsidTr="001F1040">
        <w:trPr>
          <w:trHeight w:val="454"/>
        </w:trPr>
        <w:tc>
          <w:tcPr>
            <w:tcW w:w="405" w:type="pct"/>
            <w:vMerge/>
            <w:vAlign w:val="center"/>
          </w:tcPr>
          <w:p w14:paraId="464E4053" w14:textId="77777777" w:rsidR="00FB5954" w:rsidRPr="002A150B" w:rsidRDefault="00FB5954" w:rsidP="001F1040">
            <w:pPr>
              <w:pStyle w:val="CMR-tables"/>
              <w:keepNext/>
              <w:jc w:val="center"/>
              <w:rPr>
                <w:b/>
                <w:noProof/>
              </w:rPr>
            </w:pPr>
          </w:p>
        </w:tc>
        <w:tc>
          <w:tcPr>
            <w:tcW w:w="2586" w:type="pct"/>
            <w:gridSpan w:val="3"/>
            <w:vAlign w:val="center"/>
          </w:tcPr>
          <w:p w14:paraId="43069156" w14:textId="77777777" w:rsidR="00FB5954" w:rsidRPr="002A150B" w:rsidRDefault="00FB5954" w:rsidP="00FB5954">
            <w:pPr>
              <w:pStyle w:val="CMR-tables"/>
              <w:keepNext/>
              <w:jc w:val="center"/>
              <w:rPr>
                <w:i/>
                <w:noProof/>
              </w:rPr>
            </w:pPr>
            <w:r w:rsidRPr="002A150B">
              <w:rPr>
                <w:i/>
                <w:noProof/>
              </w:rPr>
              <w:t>% din total</w:t>
            </w:r>
          </w:p>
        </w:tc>
        <w:tc>
          <w:tcPr>
            <w:tcW w:w="543" w:type="pct"/>
            <w:vAlign w:val="center"/>
          </w:tcPr>
          <w:p w14:paraId="6E025A45" w14:textId="6569EDE3" w:rsidR="00FB5954" w:rsidRPr="002A150B" w:rsidRDefault="00FB5954" w:rsidP="001F1040">
            <w:pPr>
              <w:pStyle w:val="CMR-tables"/>
              <w:keepNext/>
              <w:jc w:val="right"/>
              <w:rPr>
                <w:noProof/>
                <w:highlight w:val="yellow"/>
              </w:rPr>
            </w:pPr>
            <w:r w:rsidRPr="002A150B">
              <w:rPr>
                <w:noProof/>
                <w:color w:val="000000"/>
              </w:rPr>
              <w:t>99,58</w:t>
            </w:r>
          </w:p>
        </w:tc>
        <w:tc>
          <w:tcPr>
            <w:tcW w:w="495" w:type="pct"/>
            <w:vAlign w:val="center"/>
          </w:tcPr>
          <w:p w14:paraId="6B4DF496" w14:textId="1967C3CB" w:rsidR="00FB5954" w:rsidRPr="002A150B" w:rsidRDefault="00FB5954" w:rsidP="001F1040">
            <w:pPr>
              <w:pStyle w:val="CMR-tables"/>
              <w:keepNext/>
              <w:jc w:val="right"/>
              <w:rPr>
                <w:noProof/>
                <w:highlight w:val="yellow"/>
              </w:rPr>
            </w:pPr>
            <w:r w:rsidRPr="002A150B">
              <w:rPr>
                <w:noProof/>
                <w:color w:val="000000"/>
              </w:rPr>
              <w:t>0,37</w:t>
            </w:r>
          </w:p>
        </w:tc>
        <w:tc>
          <w:tcPr>
            <w:tcW w:w="479" w:type="pct"/>
            <w:vAlign w:val="center"/>
          </w:tcPr>
          <w:p w14:paraId="28AD1182" w14:textId="6B0517A9" w:rsidR="00FB5954" w:rsidRPr="002A150B" w:rsidRDefault="00FB5954" w:rsidP="001F1040">
            <w:pPr>
              <w:pStyle w:val="CMR-tables"/>
              <w:keepNext/>
              <w:jc w:val="right"/>
              <w:rPr>
                <w:noProof/>
                <w:highlight w:val="yellow"/>
              </w:rPr>
            </w:pPr>
            <w:r w:rsidRPr="002A150B">
              <w:rPr>
                <w:noProof/>
                <w:color w:val="000000"/>
              </w:rPr>
              <w:t>0,04</w:t>
            </w:r>
          </w:p>
        </w:tc>
        <w:tc>
          <w:tcPr>
            <w:tcW w:w="492" w:type="pct"/>
            <w:vAlign w:val="center"/>
          </w:tcPr>
          <w:p w14:paraId="12857B2D" w14:textId="18D22720" w:rsidR="00FB5954" w:rsidRPr="002A150B" w:rsidRDefault="00FB5954" w:rsidP="001F1040">
            <w:pPr>
              <w:pStyle w:val="CMR-tables"/>
              <w:keepNext/>
              <w:jc w:val="right"/>
              <w:rPr>
                <w:noProof/>
                <w:highlight w:val="yellow"/>
              </w:rPr>
            </w:pPr>
            <w:r w:rsidRPr="002A150B">
              <w:rPr>
                <w:noProof/>
                <w:color w:val="000000"/>
              </w:rPr>
              <w:t>0,01</w:t>
            </w:r>
          </w:p>
        </w:tc>
      </w:tr>
      <w:tr w:rsidR="00094B10" w:rsidRPr="002A150B" w14:paraId="1BD32780" w14:textId="77777777" w:rsidTr="00094B10">
        <w:trPr>
          <w:cantSplit/>
          <w:trHeight w:val="454"/>
        </w:trPr>
        <w:tc>
          <w:tcPr>
            <w:tcW w:w="405" w:type="pct"/>
            <w:vMerge w:val="restart"/>
            <w:textDirection w:val="btLr"/>
            <w:vAlign w:val="center"/>
          </w:tcPr>
          <w:p w14:paraId="300F2B48" w14:textId="2CEE23E5" w:rsidR="0089087F" w:rsidRPr="002A150B" w:rsidRDefault="0089087F" w:rsidP="00BE5E78">
            <w:pPr>
              <w:pStyle w:val="CMR-tables"/>
              <w:keepNext/>
              <w:jc w:val="center"/>
              <w:rPr>
                <w:b/>
                <w:noProof/>
              </w:rPr>
            </w:pPr>
            <w:r w:rsidRPr="002A150B">
              <w:rPr>
                <w:b/>
                <w:noProof/>
              </w:rPr>
              <w:t>Operatori de aeronave</w:t>
            </w:r>
          </w:p>
        </w:tc>
        <w:tc>
          <w:tcPr>
            <w:tcW w:w="879" w:type="pct"/>
            <w:vMerge w:val="restart"/>
            <w:vAlign w:val="center"/>
          </w:tcPr>
          <w:p w14:paraId="50FC3B47" w14:textId="4ED31C69" w:rsidR="0089087F" w:rsidRPr="002A150B" w:rsidRDefault="0089087F" w:rsidP="001F1040">
            <w:pPr>
              <w:pStyle w:val="CMR-tables"/>
              <w:keepNext/>
              <w:jc w:val="center"/>
              <w:rPr>
                <w:b/>
                <w:noProof/>
              </w:rPr>
            </w:pPr>
            <w:bookmarkStart w:id="93" w:name="_Ref115772878"/>
            <w:r w:rsidRPr="002A150B">
              <w:rPr>
                <w:b/>
                <w:noProof/>
              </w:rPr>
              <w:t>Alocare cu titlu gratuit (inclusiv schema ETS a Elveției) și vânzare prin licitație</w:t>
            </w:r>
          </w:p>
        </w:tc>
        <w:tc>
          <w:tcPr>
            <w:tcW w:w="870" w:type="pct"/>
            <w:vMerge w:val="restart"/>
            <w:vAlign w:val="center"/>
          </w:tcPr>
          <w:p w14:paraId="777AEFA0" w14:textId="13F5D984" w:rsidR="0089087F" w:rsidRPr="002A150B" w:rsidRDefault="0089087F" w:rsidP="001F1040">
            <w:pPr>
              <w:pStyle w:val="CMR-tables"/>
              <w:keepNext/>
              <w:jc w:val="center"/>
              <w:rPr>
                <w:b/>
                <w:noProof/>
              </w:rPr>
            </w:pPr>
            <w:r w:rsidRPr="002A150B">
              <w:rPr>
                <w:b/>
                <w:noProof/>
              </w:rPr>
              <w:t>Emisii verificate (inclusiv în cadrul schemei ETS a Elveției)</w:t>
            </w:r>
          </w:p>
        </w:tc>
        <w:tc>
          <w:tcPr>
            <w:tcW w:w="837" w:type="pct"/>
            <w:vMerge w:val="restart"/>
            <w:vAlign w:val="center"/>
          </w:tcPr>
          <w:p w14:paraId="4247CF5A" w14:textId="77777777" w:rsidR="0089087F" w:rsidRPr="002A150B" w:rsidRDefault="0089087F" w:rsidP="001F1040">
            <w:pPr>
              <w:pStyle w:val="CMR-tables"/>
              <w:keepNext/>
              <w:jc w:val="center"/>
              <w:rPr>
                <w:b/>
                <w:noProof/>
              </w:rPr>
            </w:pPr>
            <w:r w:rsidRPr="002A150B">
              <w:rPr>
                <w:b/>
                <w:noProof/>
              </w:rPr>
              <w:t>Unități restituite</w:t>
            </w:r>
          </w:p>
        </w:tc>
        <w:tc>
          <w:tcPr>
            <w:tcW w:w="1039" w:type="pct"/>
            <w:gridSpan w:val="2"/>
            <w:vAlign w:val="center"/>
          </w:tcPr>
          <w:p w14:paraId="57EA7DD8" w14:textId="77777777" w:rsidR="0089087F" w:rsidRPr="002A150B" w:rsidRDefault="0089087F" w:rsidP="001F1040">
            <w:pPr>
              <w:pStyle w:val="CMR-tables"/>
              <w:keepNext/>
              <w:jc w:val="center"/>
              <w:rPr>
                <w:b/>
                <w:noProof/>
              </w:rPr>
            </w:pPr>
            <w:r w:rsidRPr="002A150B">
              <w:rPr>
                <w:b/>
                <w:noProof/>
              </w:rPr>
              <w:t>Certificate EU ETS</w:t>
            </w:r>
          </w:p>
        </w:tc>
        <w:tc>
          <w:tcPr>
            <w:tcW w:w="971" w:type="pct"/>
            <w:gridSpan w:val="2"/>
            <w:vAlign w:val="center"/>
          </w:tcPr>
          <w:p w14:paraId="59EAB29D" w14:textId="77777777" w:rsidR="0089087F" w:rsidRPr="002A150B" w:rsidRDefault="0089087F" w:rsidP="001F1040">
            <w:pPr>
              <w:pStyle w:val="CMR-tables"/>
              <w:keepNext/>
              <w:jc w:val="center"/>
              <w:rPr>
                <w:b/>
                <w:noProof/>
              </w:rPr>
            </w:pPr>
            <w:r w:rsidRPr="002A150B">
              <w:rPr>
                <w:b/>
                <w:noProof/>
              </w:rPr>
              <w:t>Certificate emise în cadrul schemei ETS a Elveției</w:t>
            </w:r>
          </w:p>
        </w:tc>
      </w:tr>
      <w:tr w:rsidR="00094B10" w:rsidRPr="002A150B" w14:paraId="143AC1A9" w14:textId="77777777" w:rsidTr="00094B10">
        <w:trPr>
          <w:cantSplit/>
          <w:trHeight w:val="454"/>
        </w:trPr>
        <w:tc>
          <w:tcPr>
            <w:tcW w:w="405" w:type="pct"/>
            <w:vMerge/>
          </w:tcPr>
          <w:p w14:paraId="0E9F13A6" w14:textId="77777777" w:rsidR="0089087F" w:rsidRPr="002A150B" w:rsidRDefault="0089087F" w:rsidP="00164DD9">
            <w:pPr>
              <w:pStyle w:val="CMR-tables"/>
              <w:keepNext/>
              <w:rPr>
                <w:noProof/>
              </w:rPr>
            </w:pPr>
          </w:p>
        </w:tc>
        <w:tc>
          <w:tcPr>
            <w:tcW w:w="879" w:type="pct"/>
            <w:vMerge/>
          </w:tcPr>
          <w:p w14:paraId="07C178FC" w14:textId="77777777" w:rsidR="0089087F" w:rsidRPr="002A150B" w:rsidRDefault="0089087F" w:rsidP="00164DD9">
            <w:pPr>
              <w:pStyle w:val="CMR-tables"/>
              <w:keepNext/>
              <w:rPr>
                <w:noProof/>
              </w:rPr>
            </w:pPr>
          </w:p>
        </w:tc>
        <w:tc>
          <w:tcPr>
            <w:tcW w:w="870" w:type="pct"/>
            <w:vMerge/>
          </w:tcPr>
          <w:p w14:paraId="244B1F6F" w14:textId="77777777" w:rsidR="0089087F" w:rsidRPr="002A150B" w:rsidRDefault="0089087F" w:rsidP="00164DD9">
            <w:pPr>
              <w:pStyle w:val="CMR-tables"/>
              <w:keepNext/>
              <w:rPr>
                <w:noProof/>
              </w:rPr>
            </w:pPr>
          </w:p>
        </w:tc>
        <w:tc>
          <w:tcPr>
            <w:tcW w:w="837" w:type="pct"/>
            <w:vMerge/>
          </w:tcPr>
          <w:p w14:paraId="7101AE87" w14:textId="77777777" w:rsidR="0089087F" w:rsidRPr="002A150B" w:rsidRDefault="0089087F" w:rsidP="00164DD9">
            <w:pPr>
              <w:pStyle w:val="CMR-tables"/>
              <w:keepNext/>
              <w:rPr>
                <w:noProof/>
              </w:rPr>
            </w:pPr>
          </w:p>
        </w:tc>
        <w:tc>
          <w:tcPr>
            <w:tcW w:w="543" w:type="pct"/>
            <w:vAlign w:val="center"/>
          </w:tcPr>
          <w:p w14:paraId="68915CA3" w14:textId="77777777" w:rsidR="0089087F" w:rsidRPr="002A150B" w:rsidRDefault="0089087F" w:rsidP="001F1040">
            <w:pPr>
              <w:pStyle w:val="CMR-tables"/>
              <w:keepNext/>
              <w:jc w:val="center"/>
              <w:rPr>
                <w:i/>
                <w:noProof/>
              </w:rPr>
            </w:pPr>
            <w:r w:rsidRPr="002A150B">
              <w:rPr>
                <w:i/>
                <w:noProof/>
              </w:rPr>
              <w:t>Generale</w:t>
            </w:r>
          </w:p>
        </w:tc>
        <w:tc>
          <w:tcPr>
            <w:tcW w:w="495" w:type="pct"/>
            <w:vAlign w:val="center"/>
          </w:tcPr>
          <w:p w14:paraId="2B9BD320" w14:textId="77777777" w:rsidR="0089087F" w:rsidRPr="002A150B" w:rsidRDefault="0089087F" w:rsidP="001F1040">
            <w:pPr>
              <w:pStyle w:val="CMR-tables"/>
              <w:keepNext/>
              <w:jc w:val="center"/>
              <w:rPr>
                <w:i/>
                <w:noProof/>
              </w:rPr>
            </w:pPr>
            <w:r w:rsidRPr="002A150B">
              <w:rPr>
                <w:i/>
                <w:noProof/>
              </w:rPr>
              <w:t>Aviație</w:t>
            </w:r>
          </w:p>
        </w:tc>
        <w:tc>
          <w:tcPr>
            <w:tcW w:w="479" w:type="pct"/>
            <w:vAlign w:val="center"/>
          </w:tcPr>
          <w:p w14:paraId="13FF3A69" w14:textId="77777777" w:rsidR="0089087F" w:rsidRPr="002A150B" w:rsidRDefault="0089087F" w:rsidP="001F1040">
            <w:pPr>
              <w:pStyle w:val="CMR-tables"/>
              <w:keepNext/>
              <w:jc w:val="center"/>
              <w:rPr>
                <w:i/>
                <w:noProof/>
              </w:rPr>
            </w:pPr>
            <w:r w:rsidRPr="002A150B">
              <w:rPr>
                <w:i/>
                <w:noProof/>
              </w:rPr>
              <w:t>Generale</w:t>
            </w:r>
          </w:p>
        </w:tc>
        <w:tc>
          <w:tcPr>
            <w:tcW w:w="492" w:type="pct"/>
            <w:vAlign w:val="center"/>
          </w:tcPr>
          <w:p w14:paraId="41708212" w14:textId="77777777" w:rsidR="0089087F" w:rsidRPr="002A150B" w:rsidRDefault="0089087F" w:rsidP="001F1040">
            <w:pPr>
              <w:pStyle w:val="CMR-tables"/>
              <w:keepNext/>
              <w:jc w:val="center"/>
              <w:rPr>
                <w:i/>
                <w:noProof/>
              </w:rPr>
            </w:pPr>
            <w:r w:rsidRPr="002A150B">
              <w:rPr>
                <w:i/>
                <w:noProof/>
              </w:rPr>
              <w:t>Aviație</w:t>
            </w:r>
          </w:p>
        </w:tc>
      </w:tr>
      <w:tr w:rsidR="00094B10" w:rsidRPr="002A150B" w14:paraId="097157F6" w14:textId="77777777" w:rsidTr="00A0384F">
        <w:trPr>
          <w:trHeight w:val="454"/>
        </w:trPr>
        <w:tc>
          <w:tcPr>
            <w:tcW w:w="405" w:type="pct"/>
            <w:vMerge/>
          </w:tcPr>
          <w:p w14:paraId="2D24310F" w14:textId="77777777" w:rsidR="006F164D" w:rsidRPr="002A150B" w:rsidRDefault="006F164D" w:rsidP="006F164D">
            <w:pPr>
              <w:pStyle w:val="CMR-tables"/>
              <w:keepNext/>
              <w:rPr>
                <w:noProof/>
              </w:rPr>
            </w:pPr>
          </w:p>
        </w:tc>
        <w:tc>
          <w:tcPr>
            <w:tcW w:w="879" w:type="pct"/>
            <w:shd w:val="clear" w:color="auto" w:fill="F2F2F2" w:themeFill="background1" w:themeFillShade="F2"/>
            <w:vAlign w:val="center"/>
          </w:tcPr>
          <w:p w14:paraId="607ADCEC" w14:textId="336F50BC" w:rsidR="006F164D" w:rsidRPr="002A150B" w:rsidRDefault="006F164D" w:rsidP="001F1040">
            <w:pPr>
              <w:pStyle w:val="CMR-tables"/>
              <w:keepNext/>
              <w:jc w:val="right"/>
              <w:rPr>
                <w:noProof/>
                <w:highlight w:val="yellow"/>
              </w:rPr>
            </w:pPr>
            <w:r w:rsidRPr="002A150B">
              <w:rPr>
                <w:noProof/>
                <w:color w:val="000000"/>
              </w:rPr>
              <w:t>28 261 053</w:t>
            </w:r>
          </w:p>
        </w:tc>
        <w:tc>
          <w:tcPr>
            <w:tcW w:w="870" w:type="pct"/>
            <w:shd w:val="clear" w:color="auto" w:fill="F2F2F2" w:themeFill="background1" w:themeFillShade="F2"/>
            <w:vAlign w:val="center"/>
          </w:tcPr>
          <w:p w14:paraId="647A26B8" w14:textId="4CB57807" w:rsidR="006F164D" w:rsidRPr="002A150B" w:rsidRDefault="006F164D" w:rsidP="001F1040">
            <w:pPr>
              <w:pStyle w:val="CMR-tables"/>
              <w:keepNext/>
              <w:jc w:val="right"/>
              <w:rPr>
                <w:noProof/>
                <w:highlight w:val="yellow"/>
              </w:rPr>
            </w:pPr>
            <w:r w:rsidRPr="002A150B">
              <w:rPr>
                <w:noProof/>
                <w:color w:val="000000"/>
              </w:rPr>
              <w:t>54 128 536</w:t>
            </w:r>
          </w:p>
        </w:tc>
        <w:tc>
          <w:tcPr>
            <w:tcW w:w="837" w:type="pct"/>
            <w:shd w:val="clear" w:color="auto" w:fill="F2F2F2" w:themeFill="background1" w:themeFillShade="F2"/>
            <w:vAlign w:val="center"/>
          </w:tcPr>
          <w:p w14:paraId="3D2C4AA5" w14:textId="3EB220FE" w:rsidR="006F164D" w:rsidRPr="002A150B" w:rsidRDefault="006F164D" w:rsidP="001F1040">
            <w:pPr>
              <w:pStyle w:val="CMR-tables"/>
              <w:keepNext/>
              <w:jc w:val="right"/>
              <w:rPr>
                <w:noProof/>
                <w:highlight w:val="yellow"/>
              </w:rPr>
            </w:pPr>
            <w:r w:rsidRPr="002A150B">
              <w:rPr>
                <w:noProof/>
                <w:color w:val="000000"/>
              </w:rPr>
              <w:t>54 186 768</w:t>
            </w:r>
          </w:p>
        </w:tc>
        <w:tc>
          <w:tcPr>
            <w:tcW w:w="543" w:type="pct"/>
            <w:shd w:val="clear" w:color="auto" w:fill="F2F2F2" w:themeFill="background1" w:themeFillShade="F2"/>
            <w:vAlign w:val="center"/>
          </w:tcPr>
          <w:p w14:paraId="673861B3" w14:textId="27E0FF89" w:rsidR="006F164D" w:rsidRPr="002A150B" w:rsidRDefault="006F164D" w:rsidP="001F1040">
            <w:pPr>
              <w:pStyle w:val="CMR-tables"/>
              <w:keepNext/>
              <w:jc w:val="right"/>
              <w:rPr>
                <w:noProof/>
                <w:highlight w:val="yellow"/>
              </w:rPr>
            </w:pPr>
            <w:r w:rsidRPr="002A150B">
              <w:rPr>
                <w:noProof/>
                <w:color w:val="000000"/>
              </w:rPr>
              <w:t>34 756 873</w:t>
            </w:r>
          </w:p>
        </w:tc>
        <w:tc>
          <w:tcPr>
            <w:tcW w:w="495" w:type="pct"/>
            <w:shd w:val="clear" w:color="auto" w:fill="F2F2F2" w:themeFill="background1" w:themeFillShade="F2"/>
            <w:vAlign w:val="center"/>
          </w:tcPr>
          <w:p w14:paraId="7908EDFC" w14:textId="147C4A0A" w:rsidR="006F164D" w:rsidRPr="002A150B" w:rsidRDefault="006F164D" w:rsidP="001F1040">
            <w:pPr>
              <w:pStyle w:val="CMR-tables"/>
              <w:keepNext/>
              <w:jc w:val="right"/>
              <w:rPr>
                <w:noProof/>
                <w:highlight w:val="yellow"/>
              </w:rPr>
            </w:pPr>
            <w:r w:rsidRPr="002A150B">
              <w:rPr>
                <w:noProof/>
                <w:color w:val="000000"/>
              </w:rPr>
              <w:t>18 816 007</w:t>
            </w:r>
          </w:p>
        </w:tc>
        <w:tc>
          <w:tcPr>
            <w:tcW w:w="479" w:type="pct"/>
            <w:shd w:val="clear" w:color="auto" w:fill="F2F2F2" w:themeFill="background1" w:themeFillShade="F2"/>
            <w:vAlign w:val="center"/>
          </w:tcPr>
          <w:p w14:paraId="669ED435" w14:textId="7EF25A3D" w:rsidR="006F164D" w:rsidRPr="002A150B" w:rsidRDefault="006F164D" w:rsidP="001F1040">
            <w:pPr>
              <w:pStyle w:val="CMR-tables"/>
              <w:keepNext/>
              <w:jc w:val="right"/>
              <w:rPr>
                <w:noProof/>
                <w:highlight w:val="yellow"/>
              </w:rPr>
            </w:pPr>
            <w:r w:rsidRPr="002A150B">
              <w:rPr>
                <w:noProof/>
                <w:color w:val="000000"/>
              </w:rPr>
              <w:t>51 865</w:t>
            </w:r>
          </w:p>
        </w:tc>
        <w:tc>
          <w:tcPr>
            <w:tcW w:w="492" w:type="pct"/>
            <w:shd w:val="clear" w:color="auto" w:fill="F2F2F2" w:themeFill="background1" w:themeFillShade="F2"/>
            <w:vAlign w:val="center"/>
          </w:tcPr>
          <w:p w14:paraId="763FD23D" w14:textId="19EF337E" w:rsidR="006F164D" w:rsidRPr="002A150B" w:rsidRDefault="006F164D" w:rsidP="001F1040">
            <w:pPr>
              <w:pStyle w:val="CMR-tables"/>
              <w:keepNext/>
              <w:jc w:val="right"/>
              <w:rPr>
                <w:noProof/>
                <w:highlight w:val="yellow"/>
              </w:rPr>
            </w:pPr>
            <w:r w:rsidRPr="002A150B">
              <w:rPr>
                <w:noProof/>
                <w:color w:val="000000"/>
              </w:rPr>
              <w:t>562 023</w:t>
            </w:r>
          </w:p>
        </w:tc>
      </w:tr>
      <w:tr w:rsidR="00FB0646" w:rsidRPr="002A150B" w14:paraId="0980D5FA" w14:textId="77777777" w:rsidTr="001F1040">
        <w:trPr>
          <w:trHeight w:val="454"/>
        </w:trPr>
        <w:tc>
          <w:tcPr>
            <w:tcW w:w="405" w:type="pct"/>
            <w:vMerge/>
          </w:tcPr>
          <w:p w14:paraId="5C483E20" w14:textId="77777777" w:rsidR="008B4FC3" w:rsidRPr="002A150B" w:rsidRDefault="008B4FC3" w:rsidP="008B4FC3">
            <w:pPr>
              <w:pStyle w:val="CMR-tables"/>
              <w:keepNext/>
              <w:rPr>
                <w:noProof/>
              </w:rPr>
            </w:pPr>
          </w:p>
        </w:tc>
        <w:tc>
          <w:tcPr>
            <w:tcW w:w="2586" w:type="pct"/>
            <w:gridSpan w:val="3"/>
            <w:vAlign w:val="center"/>
          </w:tcPr>
          <w:p w14:paraId="5A842F95" w14:textId="77777777" w:rsidR="008B4FC3" w:rsidRPr="002A150B" w:rsidRDefault="008B4FC3" w:rsidP="001F1040">
            <w:pPr>
              <w:pStyle w:val="CMR-tables"/>
              <w:keepNext/>
              <w:jc w:val="center"/>
              <w:rPr>
                <w:b/>
                <w:i/>
                <w:noProof/>
              </w:rPr>
            </w:pPr>
            <w:r w:rsidRPr="002A150B">
              <w:rPr>
                <w:b/>
                <w:i/>
                <w:noProof/>
              </w:rPr>
              <w:t>% din total</w:t>
            </w:r>
          </w:p>
        </w:tc>
        <w:tc>
          <w:tcPr>
            <w:tcW w:w="543" w:type="pct"/>
            <w:vAlign w:val="center"/>
          </w:tcPr>
          <w:p w14:paraId="1C225ECB" w14:textId="467B9595" w:rsidR="008B4FC3" w:rsidRPr="002A150B" w:rsidRDefault="008B4FC3" w:rsidP="001F1040">
            <w:pPr>
              <w:pStyle w:val="CMR-tables"/>
              <w:keepNext/>
              <w:jc w:val="right"/>
              <w:rPr>
                <w:noProof/>
              </w:rPr>
            </w:pPr>
            <w:r w:rsidRPr="002A150B">
              <w:rPr>
                <w:noProof/>
                <w:color w:val="000000"/>
              </w:rPr>
              <w:t>64,14</w:t>
            </w:r>
          </w:p>
        </w:tc>
        <w:tc>
          <w:tcPr>
            <w:tcW w:w="495" w:type="pct"/>
            <w:vAlign w:val="center"/>
          </w:tcPr>
          <w:p w14:paraId="6D9B484B" w14:textId="70FD9740" w:rsidR="008B4FC3" w:rsidRPr="002A150B" w:rsidRDefault="008B4FC3" w:rsidP="001F1040">
            <w:pPr>
              <w:pStyle w:val="CMR-tables"/>
              <w:keepNext/>
              <w:jc w:val="right"/>
              <w:rPr>
                <w:noProof/>
              </w:rPr>
            </w:pPr>
            <w:r w:rsidRPr="002A150B">
              <w:rPr>
                <w:noProof/>
                <w:color w:val="000000"/>
              </w:rPr>
              <w:t>34,72</w:t>
            </w:r>
          </w:p>
        </w:tc>
        <w:tc>
          <w:tcPr>
            <w:tcW w:w="479" w:type="pct"/>
            <w:vAlign w:val="center"/>
          </w:tcPr>
          <w:p w14:paraId="79314813" w14:textId="6522C029" w:rsidR="008B4FC3" w:rsidRPr="002A150B" w:rsidRDefault="008B4FC3" w:rsidP="001F1040">
            <w:pPr>
              <w:pStyle w:val="CMR-tables"/>
              <w:keepNext/>
              <w:jc w:val="right"/>
              <w:rPr>
                <w:noProof/>
              </w:rPr>
            </w:pPr>
            <w:r w:rsidRPr="002A150B">
              <w:rPr>
                <w:noProof/>
                <w:color w:val="000000"/>
              </w:rPr>
              <w:t>0,10</w:t>
            </w:r>
          </w:p>
        </w:tc>
        <w:tc>
          <w:tcPr>
            <w:tcW w:w="492" w:type="pct"/>
            <w:vAlign w:val="center"/>
          </w:tcPr>
          <w:p w14:paraId="72A6F138" w14:textId="13D19834" w:rsidR="008B4FC3" w:rsidRPr="002A150B" w:rsidRDefault="008B4FC3" w:rsidP="001F1040">
            <w:pPr>
              <w:pStyle w:val="CMR-tables"/>
              <w:keepNext/>
              <w:jc w:val="right"/>
              <w:rPr>
                <w:noProof/>
              </w:rPr>
            </w:pPr>
            <w:r w:rsidRPr="002A150B">
              <w:rPr>
                <w:noProof/>
                <w:color w:val="000000"/>
              </w:rPr>
              <w:t>1,04</w:t>
            </w:r>
          </w:p>
        </w:tc>
      </w:tr>
    </w:tbl>
    <w:p w14:paraId="50D8A571" w14:textId="496A86B1" w:rsidR="00422712" w:rsidRPr="002A150B" w:rsidRDefault="00422712" w:rsidP="00422712">
      <w:pPr>
        <w:pStyle w:val="Caption"/>
        <w:keepNext/>
        <w:rPr>
          <w:noProof/>
        </w:rPr>
      </w:pPr>
      <w:bookmarkStart w:id="94" w:name="_Ref179899545"/>
      <w:bookmarkEnd w:id="93"/>
      <w:r w:rsidRPr="002A150B">
        <w:rPr>
          <w:noProof/>
        </w:rPr>
        <w:t>Tabelul 10</w:t>
      </w:r>
      <w:bookmarkEnd w:id="94"/>
      <w:r w:rsidRPr="002A150B">
        <w:rPr>
          <w:noProof/>
        </w:rPr>
        <w:t xml:space="preserve">. Unități utilizate pentru conformitate în registrul Elveției în 2023. Operatorii de aeronave sunt cei administrați de Elveția. </w:t>
      </w:r>
    </w:p>
    <w:tbl>
      <w:tblPr>
        <w:tblStyle w:val="TableGridLight"/>
        <w:tblW w:w="5000" w:type="pct"/>
        <w:tblLook w:val="04A0" w:firstRow="1" w:lastRow="0" w:firstColumn="1" w:lastColumn="0" w:noHBand="0" w:noVBand="1"/>
      </w:tblPr>
      <w:tblGrid>
        <w:gridCol w:w="1057"/>
        <w:gridCol w:w="2625"/>
        <w:gridCol w:w="2516"/>
        <w:gridCol w:w="2162"/>
        <w:gridCol w:w="1331"/>
        <w:gridCol w:w="1504"/>
        <w:gridCol w:w="1400"/>
        <w:gridCol w:w="1353"/>
      </w:tblGrid>
      <w:tr w:rsidR="006036F8" w:rsidRPr="002A150B" w14:paraId="5AD843AC" w14:textId="77777777" w:rsidTr="001F1040">
        <w:trPr>
          <w:cantSplit/>
          <w:trHeight w:val="454"/>
        </w:trPr>
        <w:tc>
          <w:tcPr>
            <w:tcW w:w="379" w:type="pct"/>
            <w:vMerge w:val="restart"/>
            <w:textDirection w:val="btLr"/>
            <w:vAlign w:val="center"/>
          </w:tcPr>
          <w:p w14:paraId="61B9642A" w14:textId="70D095DE" w:rsidR="0095203A" w:rsidRPr="002A150B" w:rsidRDefault="00000905" w:rsidP="00F03925">
            <w:pPr>
              <w:pStyle w:val="CMR-tables"/>
              <w:keepNext/>
              <w:ind w:left="113" w:right="113"/>
              <w:jc w:val="center"/>
              <w:rPr>
                <w:b/>
                <w:noProof/>
              </w:rPr>
            </w:pPr>
            <w:r w:rsidRPr="002A150B">
              <w:rPr>
                <w:b/>
                <w:noProof/>
              </w:rPr>
              <w:t>Instalații</w:t>
            </w:r>
          </w:p>
        </w:tc>
        <w:tc>
          <w:tcPr>
            <w:tcW w:w="941" w:type="pct"/>
            <w:vMerge w:val="restart"/>
            <w:vAlign w:val="center"/>
          </w:tcPr>
          <w:p w14:paraId="20448730" w14:textId="59A6499C" w:rsidR="0095203A" w:rsidRPr="002A150B" w:rsidRDefault="0095203A" w:rsidP="001F1040">
            <w:pPr>
              <w:pStyle w:val="CMR-tables"/>
              <w:keepNext/>
              <w:jc w:val="center"/>
              <w:rPr>
                <w:b/>
                <w:noProof/>
              </w:rPr>
            </w:pPr>
            <w:r w:rsidRPr="002A150B">
              <w:rPr>
                <w:b/>
                <w:noProof/>
              </w:rPr>
              <w:t>Alocare cu titlu gratuit și vânzare prin licitație</w:t>
            </w:r>
          </w:p>
        </w:tc>
        <w:tc>
          <w:tcPr>
            <w:tcW w:w="902" w:type="pct"/>
            <w:vMerge w:val="restart"/>
            <w:vAlign w:val="center"/>
          </w:tcPr>
          <w:p w14:paraId="0002ED72" w14:textId="77777777" w:rsidR="0095203A" w:rsidRPr="002A150B" w:rsidRDefault="0095203A" w:rsidP="001F1040">
            <w:pPr>
              <w:pStyle w:val="CMR-tables"/>
              <w:keepNext/>
              <w:jc w:val="center"/>
              <w:rPr>
                <w:b/>
                <w:noProof/>
              </w:rPr>
            </w:pPr>
            <w:r w:rsidRPr="002A150B">
              <w:rPr>
                <w:b/>
                <w:noProof/>
              </w:rPr>
              <w:t>Emisii verificate</w:t>
            </w:r>
          </w:p>
        </w:tc>
        <w:tc>
          <w:tcPr>
            <w:tcW w:w="775" w:type="pct"/>
            <w:vMerge w:val="restart"/>
            <w:vAlign w:val="center"/>
          </w:tcPr>
          <w:p w14:paraId="0B5BD9F3" w14:textId="77777777" w:rsidR="0095203A" w:rsidRPr="002A150B" w:rsidRDefault="0095203A" w:rsidP="001F1040">
            <w:pPr>
              <w:pStyle w:val="CMR-tables"/>
              <w:keepNext/>
              <w:jc w:val="center"/>
              <w:rPr>
                <w:b/>
                <w:noProof/>
              </w:rPr>
            </w:pPr>
            <w:r w:rsidRPr="002A150B">
              <w:rPr>
                <w:b/>
                <w:noProof/>
              </w:rPr>
              <w:t>Unități restituite</w:t>
            </w:r>
          </w:p>
        </w:tc>
        <w:tc>
          <w:tcPr>
            <w:tcW w:w="1016" w:type="pct"/>
            <w:gridSpan w:val="2"/>
            <w:vAlign w:val="center"/>
          </w:tcPr>
          <w:p w14:paraId="5DC50735" w14:textId="77777777" w:rsidR="0095203A" w:rsidRPr="002A150B" w:rsidRDefault="0095203A" w:rsidP="001F1040">
            <w:pPr>
              <w:pStyle w:val="CMR-tables"/>
              <w:keepNext/>
              <w:jc w:val="center"/>
              <w:rPr>
                <w:b/>
                <w:noProof/>
              </w:rPr>
            </w:pPr>
            <w:r w:rsidRPr="002A150B">
              <w:rPr>
                <w:b/>
                <w:noProof/>
              </w:rPr>
              <w:t>Certificate EU ETS</w:t>
            </w:r>
          </w:p>
        </w:tc>
        <w:tc>
          <w:tcPr>
            <w:tcW w:w="987" w:type="pct"/>
            <w:gridSpan w:val="2"/>
            <w:vAlign w:val="center"/>
          </w:tcPr>
          <w:p w14:paraId="6AB2724F" w14:textId="77777777" w:rsidR="0095203A" w:rsidRPr="002A150B" w:rsidRDefault="0095203A" w:rsidP="001F1040">
            <w:pPr>
              <w:pStyle w:val="CMR-tables"/>
              <w:keepNext/>
              <w:jc w:val="center"/>
              <w:rPr>
                <w:b/>
                <w:noProof/>
              </w:rPr>
            </w:pPr>
            <w:r w:rsidRPr="002A150B">
              <w:rPr>
                <w:b/>
                <w:noProof/>
              </w:rPr>
              <w:t>Certificate emise în cadrul schemei ETS a Elveției</w:t>
            </w:r>
          </w:p>
        </w:tc>
      </w:tr>
      <w:tr w:rsidR="006036F8" w:rsidRPr="002A150B" w14:paraId="65F66B15" w14:textId="77777777" w:rsidTr="006036F8">
        <w:trPr>
          <w:trHeight w:val="454"/>
        </w:trPr>
        <w:tc>
          <w:tcPr>
            <w:tcW w:w="379" w:type="pct"/>
            <w:vMerge/>
            <w:textDirection w:val="btLr"/>
            <w:vAlign w:val="center"/>
          </w:tcPr>
          <w:p w14:paraId="35A90ACE" w14:textId="77777777" w:rsidR="0095203A" w:rsidRPr="002A150B" w:rsidRDefault="0095203A" w:rsidP="00F03925">
            <w:pPr>
              <w:pStyle w:val="CMR-tables"/>
              <w:keepNext/>
              <w:ind w:left="113" w:right="113"/>
              <w:jc w:val="center"/>
              <w:rPr>
                <w:b/>
                <w:noProof/>
              </w:rPr>
            </w:pPr>
          </w:p>
        </w:tc>
        <w:tc>
          <w:tcPr>
            <w:tcW w:w="941" w:type="pct"/>
            <w:vMerge/>
          </w:tcPr>
          <w:p w14:paraId="31105B33" w14:textId="77777777" w:rsidR="0095203A" w:rsidRPr="002A150B" w:rsidRDefault="0095203A" w:rsidP="00F03925">
            <w:pPr>
              <w:pStyle w:val="CMR-tables"/>
              <w:keepNext/>
              <w:rPr>
                <w:noProof/>
              </w:rPr>
            </w:pPr>
          </w:p>
        </w:tc>
        <w:tc>
          <w:tcPr>
            <w:tcW w:w="902" w:type="pct"/>
            <w:vMerge/>
          </w:tcPr>
          <w:p w14:paraId="5B878F9D" w14:textId="77777777" w:rsidR="0095203A" w:rsidRPr="002A150B" w:rsidRDefault="0095203A" w:rsidP="00F03925">
            <w:pPr>
              <w:pStyle w:val="CMR-tables"/>
              <w:keepNext/>
              <w:rPr>
                <w:noProof/>
              </w:rPr>
            </w:pPr>
          </w:p>
        </w:tc>
        <w:tc>
          <w:tcPr>
            <w:tcW w:w="775" w:type="pct"/>
            <w:vMerge/>
          </w:tcPr>
          <w:p w14:paraId="7A9D5CF0" w14:textId="77777777" w:rsidR="0095203A" w:rsidRPr="002A150B" w:rsidRDefault="0095203A" w:rsidP="00F03925">
            <w:pPr>
              <w:pStyle w:val="CMR-tables"/>
              <w:keepNext/>
              <w:rPr>
                <w:noProof/>
              </w:rPr>
            </w:pPr>
          </w:p>
        </w:tc>
        <w:tc>
          <w:tcPr>
            <w:tcW w:w="477" w:type="pct"/>
            <w:vAlign w:val="center"/>
          </w:tcPr>
          <w:p w14:paraId="02035A67" w14:textId="77777777" w:rsidR="0095203A" w:rsidRPr="002A150B" w:rsidRDefault="0095203A" w:rsidP="001F1040">
            <w:pPr>
              <w:pStyle w:val="CMR-tables"/>
              <w:keepNext/>
              <w:jc w:val="center"/>
              <w:rPr>
                <w:i/>
                <w:noProof/>
              </w:rPr>
            </w:pPr>
            <w:r w:rsidRPr="002A150B">
              <w:rPr>
                <w:i/>
                <w:noProof/>
              </w:rPr>
              <w:t>Generale</w:t>
            </w:r>
          </w:p>
        </w:tc>
        <w:tc>
          <w:tcPr>
            <w:tcW w:w="539" w:type="pct"/>
            <w:vAlign w:val="center"/>
          </w:tcPr>
          <w:p w14:paraId="55AFD498" w14:textId="77777777" w:rsidR="0095203A" w:rsidRPr="002A150B" w:rsidRDefault="0095203A" w:rsidP="001F1040">
            <w:pPr>
              <w:pStyle w:val="CMR-tables"/>
              <w:keepNext/>
              <w:jc w:val="center"/>
              <w:rPr>
                <w:i/>
                <w:noProof/>
              </w:rPr>
            </w:pPr>
            <w:r w:rsidRPr="002A150B">
              <w:rPr>
                <w:i/>
                <w:noProof/>
              </w:rPr>
              <w:t>Aviație</w:t>
            </w:r>
          </w:p>
        </w:tc>
        <w:tc>
          <w:tcPr>
            <w:tcW w:w="502" w:type="pct"/>
            <w:vAlign w:val="center"/>
          </w:tcPr>
          <w:p w14:paraId="557BA762" w14:textId="77777777" w:rsidR="0095203A" w:rsidRPr="002A150B" w:rsidRDefault="0095203A" w:rsidP="001F1040">
            <w:pPr>
              <w:pStyle w:val="CMR-tables"/>
              <w:keepNext/>
              <w:jc w:val="center"/>
              <w:rPr>
                <w:i/>
                <w:noProof/>
              </w:rPr>
            </w:pPr>
            <w:r w:rsidRPr="002A150B">
              <w:rPr>
                <w:i/>
                <w:noProof/>
              </w:rPr>
              <w:t>Generale</w:t>
            </w:r>
          </w:p>
        </w:tc>
        <w:tc>
          <w:tcPr>
            <w:tcW w:w="485" w:type="pct"/>
            <w:vAlign w:val="center"/>
          </w:tcPr>
          <w:p w14:paraId="03D1351E" w14:textId="77777777" w:rsidR="0095203A" w:rsidRPr="002A150B" w:rsidRDefault="0095203A" w:rsidP="001F1040">
            <w:pPr>
              <w:pStyle w:val="CMR-tables"/>
              <w:keepNext/>
              <w:jc w:val="center"/>
              <w:rPr>
                <w:i/>
                <w:noProof/>
              </w:rPr>
            </w:pPr>
            <w:r w:rsidRPr="002A150B">
              <w:rPr>
                <w:i/>
                <w:noProof/>
              </w:rPr>
              <w:t>Aviație</w:t>
            </w:r>
          </w:p>
        </w:tc>
      </w:tr>
      <w:tr w:rsidR="006036F8" w:rsidRPr="002A150B" w14:paraId="599C904F" w14:textId="77777777" w:rsidTr="00A0384F">
        <w:trPr>
          <w:cantSplit/>
          <w:trHeight w:val="454"/>
        </w:trPr>
        <w:tc>
          <w:tcPr>
            <w:tcW w:w="379" w:type="pct"/>
            <w:vMerge/>
            <w:textDirection w:val="btLr"/>
            <w:vAlign w:val="center"/>
          </w:tcPr>
          <w:p w14:paraId="7E96DF9C" w14:textId="77777777" w:rsidR="00C6376E" w:rsidRPr="002A150B" w:rsidRDefault="00C6376E" w:rsidP="00C6376E">
            <w:pPr>
              <w:pStyle w:val="CMR-tables"/>
              <w:keepNext/>
              <w:ind w:left="113" w:right="113"/>
              <w:jc w:val="center"/>
              <w:rPr>
                <w:b/>
                <w:noProof/>
              </w:rPr>
            </w:pPr>
          </w:p>
        </w:tc>
        <w:tc>
          <w:tcPr>
            <w:tcW w:w="941" w:type="pct"/>
            <w:shd w:val="clear" w:color="auto" w:fill="F2F2F2" w:themeFill="background1" w:themeFillShade="F2"/>
            <w:vAlign w:val="center"/>
          </w:tcPr>
          <w:p w14:paraId="7D0D5BA1" w14:textId="28AA80EB" w:rsidR="00C6376E" w:rsidRPr="002A150B" w:rsidRDefault="00C6376E" w:rsidP="001F1040">
            <w:pPr>
              <w:pStyle w:val="CMR-tables"/>
              <w:keepNext/>
              <w:jc w:val="right"/>
              <w:rPr>
                <w:noProof/>
                <w:highlight w:val="yellow"/>
              </w:rPr>
            </w:pPr>
            <w:r w:rsidRPr="002A150B">
              <w:rPr>
                <w:noProof/>
                <w:color w:val="000000"/>
              </w:rPr>
              <w:t>4 177 117</w:t>
            </w:r>
          </w:p>
        </w:tc>
        <w:tc>
          <w:tcPr>
            <w:tcW w:w="902" w:type="pct"/>
            <w:shd w:val="clear" w:color="auto" w:fill="F2F2F2" w:themeFill="background1" w:themeFillShade="F2"/>
            <w:vAlign w:val="center"/>
          </w:tcPr>
          <w:p w14:paraId="0481285A" w14:textId="620CB74A" w:rsidR="00C6376E" w:rsidRPr="002A150B" w:rsidRDefault="00C6376E" w:rsidP="001F1040">
            <w:pPr>
              <w:pStyle w:val="CMR-tables"/>
              <w:keepNext/>
              <w:jc w:val="right"/>
              <w:rPr>
                <w:noProof/>
                <w:highlight w:val="yellow"/>
              </w:rPr>
            </w:pPr>
            <w:r w:rsidRPr="002A150B">
              <w:rPr>
                <w:noProof/>
                <w:color w:val="000000"/>
              </w:rPr>
              <w:t>3 912 485</w:t>
            </w:r>
          </w:p>
        </w:tc>
        <w:tc>
          <w:tcPr>
            <w:tcW w:w="775" w:type="pct"/>
            <w:shd w:val="clear" w:color="auto" w:fill="F2F2F2" w:themeFill="background1" w:themeFillShade="F2"/>
            <w:vAlign w:val="center"/>
          </w:tcPr>
          <w:p w14:paraId="69F5B7B8" w14:textId="68D386E7" w:rsidR="00C6376E" w:rsidRPr="002A150B" w:rsidRDefault="00C6376E" w:rsidP="001F1040">
            <w:pPr>
              <w:pStyle w:val="CMR-tables"/>
              <w:keepNext/>
              <w:jc w:val="right"/>
              <w:rPr>
                <w:noProof/>
                <w:highlight w:val="yellow"/>
              </w:rPr>
            </w:pPr>
            <w:r w:rsidRPr="002A150B">
              <w:rPr>
                <w:noProof/>
                <w:color w:val="000000"/>
              </w:rPr>
              <w:t>3 904 451</w:t>
            </w:r>
          </w:p>
        </w:tc>
        <w:tc>
          <w:tcPr>
            <w:tcW w:w="477" w:type="pct"/>
            <w:shd w:val="clear" w:color="auto" w:fill="F2F2F2" w:themeFill="background1" w:themeFillShade="F2"/>
            <w:vAlign w:val="center"/>
          </w:tcPr>
          <w:p w14:paraId="1296026F" w14:textId="15EB399E" w:rsidR="00C6376E" w:rsidRPr="002A150B" w:rsidRDefault="00C6376E" w:rsidP="001F1040">
            <w:pPr>
              <w:pStyle w:val="CMR-tables"/>
              <w:keepNext/>
              <w:jc w:val="right"/>
              <w:rPr>
                <w:noProof/>
                <w:highlight w:val="yellow"/>
              </w:rPr>
            </w:pPr>
            <w:r w:rsidRPr="002A150B">
              <w:rPr>
                <w:noProof/>
                <w:color w:val="000000"/>
              </w:rPr>
              <w:t>452 906</w:t>
            </w:r>
          </w:p>
        </w:tc>
        <w:tc>
          <w:tcPr>
            <w:tcW w:w="539" w:type="pct"/>
            <w:shd w:val="clear" w:color="auto" w:fill="F2F2F2" w:themeFill="background1" w:themeFillShade="F2"/>
            <w:vAlign w:val="center"/>
          </w:tcPr>
          <w:p w14:paraId="1FE82814" w14:textId="5182CCE9" w:rsidR="00C6376E" w:rsidRPr="002A150B" w:rsidRDefault="00C6376E" w:rsidP="001F1040">
            <w:pPr>
              <w:pStyle w:val="CMR-tables"/>
              <w:keepNext/>
              <w:jc w:val="right"/>
              <w:rPr>
                <w:noProof/>
                <w:highlight w:val="yellow"/>
              </w:rPr>
            </w:pPr>
            <w:r w:rsidRPr="002A150B">
              <w:rPr>
                <w:noProof/>
                <w:color w:val="000000"/>
              </w:rPr>
              <w:t>0</w:t>
            </w:r>
          </w:p>
        </w:tc>
        <w:tc>
          <w:tcPr>
            <w:tcW w:w="502" w:type="pct"/>
            <w:shd w:val="clear" w:color="auto" w:fill="F2F2F2" w:themeFill="background1" w:themeFillShade="F2"/>
            <w:vAlign w:val="center"/>
          </w:tcPr>
          <w:p w14:paraId="2856533F" w14:textId="4621D448" w:rsidR="00C6376E" w:rsidRPr="002A150B" w:rsidRDefault="00C6376E" w:rsidP="001F1040">
            <w:pPr>
              <w:pStyle w:val="CMR-tables"/>
              <w:keepNext/>
              <w:jc w:val="right"/>
              <w:rPr>
                <w:noProof/>
                <w:highlight w:val="yellow"/>
              </w:rPr>
            </w:pPr>
            <w:r w:rsidRPr="002A150B">
              <w:rPr>
                <w:noProof/>
                <w:color w:val="000000"/>
              </w:rPr>
              <w:t>3 419 042</w:t>
            </w:r>
          </w:p>
        </w:tc>
        <w:tc>
          <w:tcPr>
            <w:tcW w:w="485" w:type="pct"/>
            <w:shd w:val="clear" w:color="auto" w:fill="F2F2F2" w:themeFill="background1" w:themeFillShade="F2"/>
            <w:vAlign w:val="center"/>
          </w:tcPr>
          <w:p w14:paraId="12C45269" w14:textId="085F18EB" w:rsidR="00C6376E" w:rsidRPr="002A150B" w:rsidRDefault="00C6376E" w:rsidP="001F1040">
            <w:pPr>
              <w:pStyle w:val="CMR-tables"/>
              <w:keepNext/>
              <w:jc w:val="right"/>
              <w:rPr>
                <w:noProof/>
                <w:highlight w:val="yellow"/>
              </w:rPr>
            </w:pPr>
            <w:r w:rsidRPr="002A150B">
              <w:rPr>
                <w:noProof/>
                <w:color w:val="000000"/>
              </w:rPr>
              <w:t>32 503</w:t>
            </w:r>
          </w:p>
        </w:tc>
      </w:tr>
      <w:tr w:rsidR="00B42513" w:rsidRPr="002A150B" w14:paraId="4386030F" w14:textId="77777777" w:rsidTr="000A7E90">
        <w:trPr>
          <w:cantSplit/>
          <w:trHeight w:val="454"/>
        </w:trPr>
        <w:tc>
          <w:tcPr>
            <w:tcW w:w="379" w:type="pct"/>
            <w:vMerge/>
            <w:textDirection w:val="btLr"/>
            <w:vAlign w:val="center"/>
          </w:tcPr>
          <w:p w14:paraId="06D5439F" w14:textId="77777777" w:rsidR="00B42513" w:rsidRPr="002A150B" w:rsidRDefault="00B42513" w:rsidP="00B42513">
            <w:pPr>
              <w:pStyle w:val="CMR-tables"/>
              <w:keepNext/>
              <w:ind w:left="113" w:right="113"/>
              <w:jc w:val="center"/>
              <w:rPr>
                <w:b/>
                <w:noProof/>
              </w:rPr>
            </w:pPr>
          </w:p>
        </w:tc>
        <w:tc>
          <w:tcPr>
            <w:tcW w:w="2618" w:type="pct"/>
            <w:gridSpan w:val="3"/>
            <w:vAlign w:val="center"/>
          </w:tcPr>
          <w:p w14:paraId="3E8FCF7A" w14:textId="77777777" w:rsidR="00B42513" w:rsidRPr="002A150B" w:rsidRDefault="00B42513" w:rsidP="00B42513">
            <w:pPr>
              <w:pStyle w:val="CMR-tables"/>
              <w:keepNext/>
              <w:jc w:val="center"/>
              <w:rPr>
                <w:i/>
                <w:noProof/>
              </w:rPr>
            </w:pPr>
            <w:r w:rsidRPr="002A150B">
              <w:rPr>
                <w:i/>
                <w:noProof/>
              </w:rPr>
              <w:t>% din total</w:t>
            </w:r>
          </w:p>
        </w:tc>
        <w:tc>
          <w:tcPr>
            <w:tcW w:w="477" w:type="pct"/>
            <w:vAlign w:val="center"/>
          </w:tcPr>
          <w:p w14:paraId="2E175550" w14:textId="1F8C2B6C" w:rsidR="00B42513" w:rsidRPr="002A150B" w:rsidRDefault="00B42513" w:rsidP="001F1040">
            <w:pPr>
              <w:pStyle w:val="CMR-tables"/>
              <w:keepNext/>
              <w:jc w:val="right"/>
              <w:rPr>
                <w:noProof/>
                <w:highlight w:val="yellow"/>
              </w:rPr>
            </w:pPr>
            <w:r w:rsidRPr="002A150B">
              <w:rPr>
                <w:noProof/>
                <w:color w:val="000000"/>
              </w:rPr>
              <w:t>11,60</w:t>
            </w:r>
          </w:p>
        </w:tc>
        <w:tc>
          <w:tcPr>
            <w:tcW w:w="539" w:type="pct"/>
            <w:vAlign w:val="center"/>
          </w:tcPr>
          <w:p w14:paraId="5030974F" w14:textId="319AE1FD" w:rsidR="00B42513" w:rsidRPr="002A150B" w:rsidRDefault="00B42513" w:rsidP="001F1040">
            <w:pPr>
              <w:pStyle w:val="CMR-tables"/>
              <w:keepNext/>
              <w:jc w:val="right"/>
              <w:rPr>
                <w:noProof/>
              </w:rPr>
            </w:pPr>
            <w:r w:rsidRPr="002A150B">
              <w:rPr>
                <w:noProof/>
              </w:rPr>
              <w:t>-</w:t>
            </w:r>
          </w:p>
        </w:tc>
        <w:tc>
          <w:tcPr>
            <w:tcW w:w="502" w:type="pct"/>
            <w:vAlign w:val="center"/>
          </w:tcPr>
          <w:p w14:paraId="732982D8" w14:textId="151E34E7" w:rsidR="00B42513" w:rsidRPr="002A150B" w:rsidRDefault="00B42513" w:rsidP="001F1040">
            <w:pPr>
              <w:pStyle w:val="CMR-tables"/>
              <w:keepNext/>
              <w:jc w:val="right"/>
              <w:rPr>
                <w:noProof/>
                <w:highlight w:val="yellow"/>
              </w:rPr>
            </w:pPr>
            <w:r w:rsidRPr="002A150B">
              <w:rPr>
                <w:noProof/>
              </w:rPr>
              <w:t>87,57</w:t>
            </w:r>
          </w:p>
        </w:tc>
        <w:tc>
          <w:tcPr>
            <w:tcW w:w="485" w:type="pct"/>
            <w:vAlign w:val="center"/>
          </w:tcPr>
          <w:p w14:paraId="1A8D8DCF" w14:textId="301F41D6" w:rsidR="00B42513" w:rsidRPr="002A150B" w:rsidRDefault="00B42513" w:rsidP="001F1040">
            <w:pPr>
              <w:pStyle w:val="CMR-tables"/>
              <w:keepNext/>
              <w:jc w:val="right"/>
              <w:rPr>
                <w:noProof/>
                <w:highlight w:val="yellow"/>
              </w:rPr>
            </w:pPr>
            <w:r w:rsidRPr="002A150B">
              <w:rPr>
                <w:noProof/>
              </w:rPr>
              <w:t>0,83</w:t>
            </w:r>
          </w:p>
        </w:tc>
      </w:tr>
      <w:tr w:rsidR="002B72B3" w:rsidRPr="002A150B" w14:paraId="5213CF1A" w14:textId="77777777" w:rsidTr="006036F8">
        <w:trPr>
          <w:cantSplit/>
          <w:trHeight w:val="454"/>
        </w:trPr>
        <w:tc>
          <w:tcPr>
            <w:tcW w:w="379" w:type="pct"/>
            <w:vMerge w:val="restart"/>
            <w:textDirection w:val="btLr"/>
            <w:vAlign w:val="center"/>
          </w:tcPr>
          <w:p w14:paraId="5E4EFD57" w14:textId="670CAC72" w:rsidR="0095203A" w:rsidRPr="002A150B" w:rsidRDefault="0095203A" w:rsidP="007818FB">
            <w:pPr>
              <w:pStyle w:val="CMR-tables"/>
              <w:keepNext/>
              <w:ind w:left="113" w:right="113"/>
              <w:jc w:val="center"/>
              <w:rPr>
                <w:b/>
                <w:noProof/>
              </w:rPr>
            </w:pPr>
            <w:r w:rsidRPr="002A150B">
              <w:rPr>
                <w:b/>
                <w:noProof/>
              </w:rPr>
              <w:t>Operatori de aeronave</w:t>
            </w:r>
          </w:p>
        </w:tc>
        <w:tc>
          <w:tcPr>
            <w:tcW w:w="941" w:type="pct"/>
            <w:vMerge w:val="restart"/>
            <w:vAlign w:val="center"/>
          </w:tcPr>
          <w:p w14:paraId="1759CB06" w14:textId="77777777" w:rsidR="0095203A" w:rsidRPr="002A150B" w:rsidRDefault="0095203A" w:rsidP="001F1040">
            <w:pPr>
              <w:pStyle w:val="CMR-tables"/>
              <w:keepNext/>
              <w:jc w:val="center"/>
              <w:rPr>
                <w:b/>
                <w:noProof/>
              </w:rPr>
            </w:pPr>
            <w:bookmarkStart w:id="95" w:name="_Ref115774290"/>
            <w:r w:rsidRPr="002A150B">
              <w:rPr>
                <w:b/>
                <w:noProof/>
              </w:rPr>
              <w:t>Alocare cu titlu gratuit (inclusiv EU ETS) și vânzare prin licitație a certificatelor de emisii</w:t>
            </w:r>
          </w:p>
        </w:tc>
        <w:tc>
          <w:tcPr>
            <w:tcW w:w="902" w:type="pct"/>
            <w:vMerge w:val="restart"/>
            <w:vAlign w:val="center"/>
          </w:tcPr>
          <w:p w14:paraId="6ACE658A" w14:textId="5B62C966" w:rsidR="0095203A" w:rsidRPr="002A150B" w:rsidRDefault="0095203A" w:rsidP="001F1040">
            <w:pPr>
              <w:pStyle w:val="CMR-tables"/>
              <w:keepNext/>
              <w:jc w:val="center"/>
              <w:rPr>
                <w:b/>
                <w:noProof/>
              </w:rPr>
            </w:pPr>
            <w:r w:rsidRPr="002A150B">
              <w:rPr>
                <w:b/>
                <w:noProof/>
              </w:rPr>
              <w:t>Emisii verificate (inclusiv în cadrul EU ETS)</w:t>
            </w:r>
          </w:p>
        </w:tc>
        <w:tc>
          <w:tcPr>
            <w:tcW w:w="775" w:type="pct"/>
            <w:vMerge w:val="restart"/>
            <w:vAlign w:val="center"/>
          </w:tcPr>
          <w:p w14:paraId="0B1A6076" w14:textId="77777777" w:rsidR="0095203A" w:rsidRPr="002A150B" w:rsidRDefault="0095203A" w:rsidP="001F1040">
            <w:pPr>
              <w:pStyle w:val="CMR-tables"/>
              <w:keepNext/>
              <w:jc w:val="center"/>
              <w:rPr>
                <w:b/>
                <w:noProof/>
              </w:rPr>
            </w:pPr>
            <w:r w:rsidRPr="002A150B">
              <w:rPr>
                <w:b/>
                <w:noProof/>
              </w:rPr>
              <w:t>Unități restituite</w:t>
            </w:r>
          </w:p>
        </w:tc>
        <w:tc>
          <w:tcPr>
            <w:tcW w:w="1016" w:type="pct"/>
            <w:gridSpan w:val="2"/>
            <w:vAlign w:val="center"/>
          </w:tcPr>
          <w:p w14:paraId="0DF35621" w14:textId="77777777" w:rsidR="0095203A" w:rsidRPr="002A150B" w:rsidRDefault="0095203A" w:rsidP="001F1040">
            <w:pPr>
              <w:pStyle w:val="CMR-tables"/>
              <w:keepNext/>
              <w:jc w:val="center"/>
              <w:rPr>
                <w:b/>
                <w:noProof/>
              </w:rPr>
            </w:pPr>
            <w:r w:rsidRPr="002A150B">
              <w:rPr>
                <w:b/>
                <w:noProof/>
              </w:rPr>
              <w:t>Certificate EU ETS</w:t>
            </w:r>
          </w:p>
        </w:tc>
        <w:tc>
          <w:tcPr>
            <w:tcW w:w="987" w:type="pct"/>
            <w:gridSpan w:val="2"/>
            <w:vAlign w:val="center"/>
          </w:tcPr>
          <w:p w14:paraId="4B3BD980" w14:textId="77777777" w:rsidR="0095203A" w:rsidRPr="002A150B" w:rsidRDefault="0095203A" w:rsidP="001F1040">
            <w:pPr>
              <w:pStyle w:val="CMR-tables"/>
              <w:keepNext/>
              <w:jc w:val="center"/>
              <w:rPr>
                <w:b/>
                <w:noProof/>
              </w:rPr>
            </w:pPr>
            <w:r w:rsidRPr="002A150B">
              <w:rPr>
                <w:b/>
                <w:noProof/>
              </w:rPr>
              <w:t>Certificate emise în cadrul schemei ETS a Elveției</w:t>
            </w:r>
          </w:p>
        </w:tc>
      </w:tr>
      <w:tr w:rsidR="006036F8" w:rsidRPr="002A150B" w14:paraId="1CA67337" w14:textId="77777777" w:rsidTr="006036F8">
        <w:trPr>
          <w:trHeight w:val="454"/>
        </w:trPr>
        <w:tc>
          <w:tcPr>
            <w:tcW w:w="379" w:type="pct"/>
            <w:vMerge/>
          </w:tcPr>
          <w:p w14:paraId="5CFCFCD9" w14:textId="77777777" w:rsidR="0095203A" w:rsidRPr="002A150B" w:rsidRDefault="0095203A" w:rsidP="00F03925">
            <w:pPr>
              <w:pStyle w:val="CMR-tables"/>
              <w:keepNext/>
              <w:rPr>
                <w:noProof/>
              </w:rPr>
            </w:pPr>
          </w:p>
        </w:tc>
        <w:tc>
          <w:tcPr>
            <w:tcW w:w="941" w:type="pct"/>
            <w:vMerge/>
            <w:vAlign w:val="center"/>
          </w:tcPr>
          <w:p w14:paraId="707CF9F4" w14:textId="77777777" w:rsidR="0095203A" w:rsidRPr="002A150B" w:rsidRDefault="0095203A" w:rsidP="00F03925">
            <w:pPr>
              <w:pStyle w:val="CMR-tables"/>
              <w:keepNext/>
              <w:rPr>
                <w:noProof/>
              </w:rPr>
            </w:pPr>
          </w:p>
        </w:tc>
        <w:tc>
          <w:tcPr>
            <w:tcW w:w="902" w:type="pct"/>
            <w:vMerge/>
            <w:vAlign w:val="center"/>
          </w:tcPr>
          <w:p w14:paraId="058DFFC7" w14:textId="77777777" w:rsidR="0095203A" w:rsidRPr="002A150B" w:rsidRDefault="0095203A" w:rsidP="00F03925">
            <w:pPr>
              <w:pStyle w:val="CMR-tables"/>
              <w:keepNext/>
              <w:rPr>
                <w:noProof/>
              </w:rPr>
            </w:pPr>
          </w:p>
        </w:tc>
        <w:tc>
          <w:tcPr>
            <w:tcW w:w="775" w:type="pct"/>
            <w:vMerge/>
            <w:vAlign w:val="center"/>
          </w:tcPr>
          <w:p w14:paraId="339A2BC4" w14:textId="77777777" w:rsidR="0095203A" w:rsidRPr="002A150B" w:rsidRDefault="0095203A" w:rsidP="00F03925">
            <w:pPr>
              <w:pStyle w:val="CMR-tables"/>
              <w:keepNext/>
              <w:rPr>
                <w:noProof/>
              </w:rPr>
            </w:pPr>
          </w:p>
        </w:tc>
        <w:tc>
          <w:tcPr>
            <w:tcW w:w="477" w:type="pct"/>
            <w:vAlign w:val="center"/>
          </w:tcPr>
          <w:p w14:paraId="3C8DDA11" w14:textId="77777777" w:rsidR="0095203A" w:rsidRPr="002A150B" w:rsidRDefault="0095203A" w:rsidP="001F1040">
            <w:pPr>
              <w:pStyle w:val="CMR-tables"/>
              <w:keepNext/>
              <w:jc w:val="center"/>
              <w:rPr>
                <w:i/>
                <w:noProof/>
              </w:rPr>
            </w:pPr>
            <w:r w:rsidRPr="002A150B">
              <w:rPr>
                <w:i/>
                <w:noProof/>
              </w:rPr>
              <w:t>Generale</w:t>
            </w:r>
          </w:p>
        </w:tc>
        <w:tc>
          <w:tcPr>
            <w:tcW w:w="539" w:type="pct"/>
            <w:vAlign w:val="center"/>
          </w:tcPr>
          <w:p w14:paraId="28F38C2E" w14:textId="77777777" w:rsidR="0095203A" w:rsidRPr="002A150B" w:rsidRDefault="0095203A" w:rsidP="001F1040">
            <w:pPr>
              <w:pStyle w:val="CMR-tables"/>
              <w:keepNext/>
              <w:jc w:val="center"/>
              <w:rPr>
                <w:i/>
                <w:noProof/>
              </w:rPr>
            </w:pPr>
            <w:r w:rsidRPr="002A150B">
              <w:rPr>
                <w:i/>
                <w:noProof/>
              </w:rPr>
              <w:t>Aviație</w:t>
            </w:r>
          </w:p>
        </w:tc>
        <w:tc>
          <w:tcPr>
            <w:tcW w:w="502" w:type="pct"/>
            <w:vAlign w:val="center"/>
          </w:tcPr>
          <w:p w14:paraId="22557790" w14:textId="77777777" w:rsidR="0095203A" w:rsidRPr="002A150B" w:rsidRDefault="0095203A" w:rsidP="001F1040">
            <w:pPr>
              <w:pStyle w:val="CMR-tables"/>
              <w:keepNext/>
              <w:jc w:val="center"/>
              <w:rPr>
                <w:i/>
                <w:noProof/>
              </w:rPr>
            </w:pPr>
            <w:r w:rsidRPr="002A150B">
              <w:rPr>
                <w:i/>
                <w:noProof/>
              </w:rPr>
              <w:t>Generale</w:t>
            </w:r>
          </w:p>
        </w:tc>
        <w:tc>
          <w:tcPr>
            <w:tcW w:w="485" w:type="pct"/>
            <w:vAlign w:val="center"/>
          </w:tcPr>
          <w:p w14:paraId="43D8814A" w14:textId="77777777" w:rsidR="0095203A" w:rsidRPr="002A150B" w:rsidRDefault="0095203A" w:rsidP="001F1040">
            <w:pPr>
              <w:pStyle w:val="CMR-tables"/>
              <w:keepNext/>
              <w:jc w:val="center"/>
              <w:rPr>
                <w:i/>
                <w:noProof/>
              </w:rPr>
            </w:pPr>
            <w:r w:rsidRPr="002A150B">
              <w:rPr>
                <w:i/>
                <w:noProof/>
              </w:rPr>
              <w:t>Aviație</w:t>
            </w:r>
          </w:p>
        </w:tc>
      </w:tr>
      <w:tr w:rsidR="006036F8" w:rsidRPr="002A150B" w14:paraId="601A0D0F" w14:textId="77777777" w:rsidTr="00A0384F">
        <w:trPr>
          <w:trHeight w:val="454"/>
        </w:trPr>
        <w:tc>
          <w:tcPr>
            <w:tcW w:w="379" w:type="pct"/>
            <w:vMerge/>
          </w:tcPr>
          <w:p w14:paraId="5C9819A9" w14:textId="77777777" w:rsidR="000B4852" w:rsidRPr="002A150B" w:rsidRDefault="000B4852" w:rsidP="000B4852">
            <w:pPr>
              <w:pStyle w:val="CMR-tables"/>
              <w:keepNext/>
              <w:rPr>
                <w:noProof/>
              </w:rPr>
            </w:pPr>
          </w:p>
        </w:tc>
        <w:tc>
          <w:tcPr>
            <w:tcW w:w="941" w:type="pct"/>
            <w:shd w:val="clear" w:color="auto" w:fill="F2F2F2" w:themeFill="background1" w:themeFillShade="F2"/>
            <w:vAlign w:val="center"/>
          </w:tcPr>
          <w:p w14:paraId="521D557D" w14:textId="2B8A0AD1" w:rsidR="000B4852" w:rsidRPr="002A150B" w:rsidRDefault="000B4852" w:rsidP="001F1040">
            <w:pPr>
              <w:pStyle w:val="CMR-tables"/>
              <w:keepNext/>
              <w:jc w:val="right"/>
              <w:rPr>
                <w:noProof/>
                <w:highlight w:val="yellow"/>
              </w:rPr>
            </w:pPr>
            <w:r w:rsidRPr="002A150B">
              <w:rPr>
                <w:noProof/>
                <w:color w:val="000000"/>
              </w:rPr>
              <w:t>1 095 995</w:t>
            </w:r>
          </w:p>
        </w:tc>
        <w:tc>
          <w:tcPr>
            <w:tcW w:w="902" w:type="pct"/>
            <w:shd w:val="clear" w:color="auto" w:fill="F2F2F2" w:themeFill="background1" w:themeFillShade="F2"/>
            <w:vAlign w:val="center"/>
          </w:tcPr>
          <w:p w14:paraId="4A65883B" w14:textId="6A9AEEEC" w:rsidR="000B4852" w:rsidRPr="002A150B" w:rsidRDefault="000B4852" w:rsidP="001F1040">
            <w:pPr>
              <w:pStyle w:val="CMR-tables"/>
              <w:keepNext/>
              <w:jc w:val="right"/>
              <w:rPr>
                <w:noProof/>
                <w:highlight w:val="yellow"/>
              </w:rPr>
            </w:pPr>
            <w:r w:rsidRPr="002A150B">
              <w:rPr>
                <w:noProof/>
                <w:color w:val="000000"/>
              </w:rPr>
              <w:t>1 632 015</w:t>
            </w:r>
          </w:p>
        </w:tc>
        <w:tc>
          <w:tcPr>
            <w:tcW w:w="775" w:type="pct"/>
            <w:shd w:val="clear" w:color="auto" w:fill="F2F2F2" w:themeFill="background1" w:themeFillShade="F2"/>
            <w:vAlign w:val="center"/>
          </w:tcPr>
          <w:p w14:paraId="342827E2" w14:textId="1B83C344" w:rsidR="000B4852" w:rsidRPr="002A150B" w:rsidRDefault="000B4852" w:rsidP="001F1040">
            <w:pPr>
              <w:pStyle w:val="CMR-tables"/>
              <w:keepNext/>
              <w:jc w:val="right"/>
              <w:rPr>
                <w:noProof/>
                <w:highlight w:val="yellow"/>
              </w:rPr>
            </w:pPr>
            <w:r w:rsidRPr="002A150B">
              <w:rPr>
                <w:noProof/>
                <w:color w:val="000000"/>
              </w:rPr>
              <w:t>1 630 901</w:t>
            </w:r>
          </w:p>
        </w:tc>
        <w:tc>
          <w:tcPr>
            <w:tcW w:w="477" w:type="pct"/>
            <w:shd w:val="clear" w:color="auto" w:fill="F2F2F2" w:themeFill="background1" w:themeFillShade="F2"/>
            <w:vAlign w:val="center"/>
          </w:tcPr>
          <w:p w14:paraId="038EEAE3" w14:textId="0F6F4BF1" w:rsidR="000B4852" w:rsidRPr="002A150B" w:rsidRDefault="000B4852" w:rsidP="001F1040">
            <w:pPr>
              <w:pStyle w:val="CMR-tables"/>
              <w:keepNext/>
              <w:jc w:val="right"/>
              <w:rPr>
                <w:noProof/>
                <w:highlight w:val="yellow"/>
              </w:rPr>
            </w:pPr>
            <w:r w:rsidRPr="002A150B">
              <w:rPr>
                <w:noProof/>
                <w:color w:val="000000"/>
              </w:rPr>
              <w:t>118 408</w:t>
            </w:r>
          </w:p>
        </w:tc>
        <w:tc>
          <w:tcPr>
            <w:tcW w:w="539" w:type="pct"/>
            <w:shd w:val="clear" w:color="auto" w:fill="F2F2F2" w:themeFill="background1" w:themeFillShade="F2"/>
            <w:vAlign w:val="center"/>
          </w:tcPr>
          <w:p w14:paraId="1CD5BB84" w14:textId="0A60010D" w:rsidR="000B4852" w:rsidRPr="002A150B" w:rsidRDefault="000B4852" w:rsidP="001F1040">
            <w:pPr>
              <w:pStyle w:val="CMR-tables"/>
              <w:keepNext/>
              <w:jc w:val="right"/>
              <w:rPr>
                <w:noProof/>
                <w:highlight w:val="yellow"/>
              </w:rPr>
            </w:pPr>
            <w:r w:rsidRPr="002A150B">
              <w:rPr>
                <w:noProof/>
                <w:color w:val="000000"/>
              </w:rPr>
              <w:t>714 629</w:t>
            </w:r>
          </w:p>
        </w:tc>
        <w:tc>
          <w:tcPr>
            <w:tcW w:w="502" w:type="pct"/>
            <w:shd w:val="clear" w:color="auto" w:fill="F2F2F2" w:themeFill="background1" w:themeFillShade="F2"/>
            <w:vAlign w:val="center"/>
          </w:tcPr>
          <w:p w14:paraId="4E878182" w14:textId="4244BAA8" w:rsidR="000B4852" w:rsidRPr="002A150B" w:rsidRDefault="000B4852" w:rsidP="001F1040">
            <w:pPr>
              <w:pStyle w:val="CMR-tables"/>
              <w:keepNext/>
              <w:jc w:val="right"/>
              <w:rPr>
                <w:noProof/>
                <w:highlight w:val="yellow"/>
              </w:rPr>
            </w:pPr>
            <w:r w:rsidRPr="002A150B">
              <w:rPr>
                <w:noProof/>
                <w:color w:val="000000"/>
              </w:rPr>
              <w:t>17 747</w:t>
            </w:r>
          </w:p>
        </w:tc>
        <w:tc>
          <w:tcPr>
            <w:tcW w:w="485" w:type="pct"/>
            <w:shd w:val="clear" w:color="auto" w:fill="F2F2F2" w:themeFill="background1" w:themeFillShade="F2"/>
            <w:vAlign w:val="center"/>
          </w:tcPr>
          <w:p w14:paraId="3F8027CD" w14:textId="7E65B7D3" w:rsidR="000B4852" w:rsidRPr="002A150B" w:rsidRDefault="000B4852" w:rsidP="001F1040">
            <w:pPr>
              <w:pStyle w:val="CMR-tables"/>
              <w:keepNext/>
              <w:jc w:val="right"/>
              <w:rPr>
                <w:noProof/>
                <w:highlight w:val="yellow"/>
              </w:rPr>
            </w:pPr>
            <w:r w:rsidRPr="002A150B">
              <w:rPr>
                <w:noProof/>
                <w:color w:val="000000"/>
              </w:rPr>
              <w:t>780 117</w:t>
            </w:r>
          </w:p>
        </w:tc>
      </w:tr>
      <w:tr w:rsidR="00B72CCE" w:rsidRPr="002A150B" w14:paraId="6FDADB53" w14:textId="77777777" w:rsidTr="001F1040">
        <w:trPr>
          <w:trHeight w:val="454"/>
        </w:trPr>
        <w:tc>
          <w:tcPr>
            <w:tcW w:w="379" w:type="pct"/>
            <w:vMerge/>
          </w:tcPr>
          <w:p w14:paraId="0272BE34" w14:textId="77777777" w:rsidR="00B72CCE" w:rsidRPr="002A150B" w:rsidRDefault="00B72CCE" w:rsidP="00B72CCE">
            <w:pPr>
              <w:pStyle w:val="CMR-tables"/>
              <w:keepNext/>
              <w:rPr>
                <w:noProof/>
              </w:rPr>
            </w:pPr>
          </w:p>
        </w:tc>
        <w:tc>
          <w:tcPr>
            <w:tcW w:w="2618" w:type="pct"/>
            <w:gridSpan w:val="3"/>
            <w:vAlign w:val="center"/>
          </w:tcPr>
          <w:p w14:paraId="06F79228" w14:textId="77777777" w:rsidR="00B72CCE" w:rsidRPr="002A150B" w:rsidRDefault="00B72CCE" w:rsidP="00B72CCE">
            <w:pPr>
              <w:pStyle w:val="CMR-tables"/>
              <w:keepNext/>
              <w:jc w:val="center"/>
              <w:rPr>
                <w:b/>
                <w:i/>
                <w:noProof/>
              </w:rPr>
            </w:pPr>
            <w:r w:rsidRPr="002A150B">
              <w:rPr>
                <w:b/>
                <w:i/>
                <w:noProof/>
              </w:rPr>
              <w:t>% din total</w:t>
            </w:r>
          </w:p>
        </w:tc>
        <w:tc>
          <w:tcPr>
            <w:tcW w:w="477" w:type="pct"/>
            <w:vAlign w:val="center"/>
          </w:tcPr>
          <w:p w14:paraId="62AEC406" w14:textId="71EF9912" w:rsidR="00B72CCE" w:rsidRPr="002A150B" w:rsidRDefault="00B72CCE" w:rsidP="001F1040">
            <w:pPr>
              <w:pStyle w:val="CMR-tables"/>
              <w:keepNext/>
              <w:jc w:val="right"/>
              <w:rPr>
                <w:noProof/>
                <w:highlight w:val="yellow"/>
              </w:rPr>
            </w:pPr>
            <w:r w:rsidRPr="002A150B">
              <w:rPr>
                <w:noProof/>
                <w:color w:val="000000"/>
              </w:rPr>
              <w:t>7,26</w:t>
            </w:r>
          </w:p>
        </w:tc>
        <w:tc>
          <w:tcPr>
            <w:tcW w:w="539" w:type="pct"/>
            <w:vAlign w:val="center"/>
          </w:tcPr>
          <w:p w14:paraId="65A3138D" w14:textId="41ED51E9" w:rsidR="00B72CCE" w:rsidRPr="002A150B" w:rsidRDefault="00B72CCE" w:rsidP="001F1040">
            <w:pPr>
              <w:pStyle w:val="CMR-tables"/>
              <w:keepNext/>
              <w:jc w:val="right"/>
              <w:rPr>
                <w:noProof/>
                <w:highlight w:val="yellow"/>
              </w:rPr>
            </w:pPr>
            <w:r w:rsidRPr="002A150B">
              <w:rPr>
                <w:noProof/>
                <w:color w:val="000000"/>
              </w:rPr>
              <w:t>43,82</w:t>
            </w:r>
          </w:p>
        </w:tc>
        <w:tc>
          <w:tcPr>
            <w:tcW w:w="502" w:type="pct"/>
            <w:vAlign w:val="center"/>
          </w:tcPr>
          <w:p w14:paraId="3C320308" w14:textId="77C1EA17" w:rsidR="00B72CCE" w:rsidRPr="002A150B" w:rsidRDefault="00B72CCE" w:rsidP="001F1040">
            <w:pPr>
              <w:pStyle w:val="CMR-tables"/>
              <w:keepNext/>
              <w:jc w:val="right"/>
              <w:rPr>
                <w:noProof/>
                <w:highlight w:val="yellow"/>
              </w:rPr>
            </w:pPr>
            <w:r w:rsidRPr="002A150B">
              <w:rPr>
                <w:noProof/>
                <w:color w:val="000000"/>
              </w:rPr>
              <w:t>1,09</w:t>
            </w:r>
          </w:p>
        </w:tc>
        <w:tc>
          <w:tcPr>
            <w:tcW w:w="485" w:type="pct"/>
            <w:vAlign w:val="center"/>
          </w:tcPr>
          <w:p w14:paraId="65AB1894" w14:textId="2594DFF2" w:rsidR="00B72CCE" w:rsidRPr="002A150B" w:rsidRDefault="00B72CCE" w:rsidP="001F1040">
            <w:pPr>
              <w:pStyle w:val="CMR-tables"/>
              <w:keepNext/>
              <w:jc w:val="right"/>
              <w:rPr>
                <w:noProof/>
                <w:highlight w:val="yellow"/>
              </w:rPr>
            </w:pPr>
            <w:r w:rsidRPr="002A150B">
              <w:rPr>
                <w:noProof/>
                <w:color w:val="000000"/>
              </w:rPr>
              <w:t>47,83</w:t>
            </w:r>
          </w:p>
        </w:tc>
      </w:tr>
      <w:bookmarkEnd w:id="95"/>
    </w:tbl>
    <w:p w14:paraId="30EB7862" w14:textId="77777777" w:rsidR="00EB3A56" w:rsidRPr="002A150B" w:rsidRDefault="00EB3A56" w:rsidP="00A63877">
      <w:pPr>
        <w:pStyle w:val="CMR-text"/>
        <w:rPr>
          <w:noProof/>
        </w:rPr>
        <w:sectPr w:rsidR="00EB3A56" w:rsidRPr="002A150B" w:rsidSect="00B2767E">
          <w:headerReference w:type="even" r:id="rId44"/>
          <w:headerReference w:type="default" r:id="rId45"/>
          <w:footerReference w:type="even" r:id="rId46"/>
          <w:footerReference w:type="default" r:id="rId47"/>
          <w:headerReference w:type="first" r:id="rId48"/>
          <w:footerReference w:type="first" r:id="rId49"/>
          <w:pgSz w:w="16838" w:h="11906" w:orient="landscape"/>
          <w:pgMar w:top="1440" w:right="1440" w:bottom="1440" w:left="1440" w:header="709" w:footer="709" w:gutter="0"/>
          <w:cols w:space="708"/>
          <w:docGrid w:linePitch="360"/>
        </w:sectPr>
      </w:pPr>
    </w:p>
    <w:p w14:paraId="76CECA03" w14:textId="16BE1F3A" w:rsidR="001B6B22" w:rsidRPr="002A150B" w:rsidRDefault="001B6B22" w:rsidP="00BB63DC">
      <w:pPr>
        <w:pStyle w:val="Caption"/>
        <w:keepNext/>
        <w:rPr>
          <w:noProof/>
        </w:rPr>
      </w:pPr>
      <w:bookmarkStart w:id="96" w:name="_Ref176770365"/>
      <w:bookmarkStart w:id="97" w:name="_Ref176770359"/>
      <w:r w:rsidRPr="002A150B">
        <w:rPr>
          <w:noProof/>
        </w:rPr>
        <w:t>Tabelul 11</w:t>
      </w:r>
      <w:bookmarkEnd w:id="96"/>
      <w:r w:rsidRPr="002A150B">
        <w:rPr>
          <w:noProof/>
        </w:rPr>
        <w:t>. Transferuri de certificate între EU ETS și schema ETS a Elveției (2020-2023)</w:t>
      </w:r>
      <w:bookmarkEnd w:id="97"/>
    </w:p>
    <w:tbl>
      <w:tblPr>
        <w:tblStyle w:val="TableGridLight"/>
        <w:tblW w:w="5000" w:type="pct"/>
        <w:tblLook w:val="04A0" w:firstRow="1" w:lastRow="0" w:firstColumn="1" w:lastColumn="0" w:noHBand="0" w:noVBand="1"/>
      </w:tblPr>
      <w:tblGrid>
        <w:gridCol w:w="2545"/>
        <w:gridCol w:w="1293"/>
        <w:gridCol w:w="1295"/>
        <w:gridCol w:w="1295"/>
        <w:gridCol w:w="1295"/>
        <w:gridCol w:w="1293"/>
      </w:tblGrid>
      <w:tr w:rsidR="00BF5A32" w:rsidRPr="002A150B" w14:paraId="7F42DEAF" w14:textId="77777777" w:rsidTr="00BF5A32">
        <w:trPr>
          <w:cantSplit/>
          <w:trHeight w:val="720"/>
        </w:trPr>
        <w:tc>
          <w:tcPr>
            <w:tcW w:w="1412" w:type="pct"/>
            <w:vAlign w:val="center"/>
          </w:tcPr>
          <w:p w14:paraId="71018D53" w14:textId="47484442" w:rsidR="001B6B22" w:rsidRPr="002A150B" w:rsidRDefault="001B6B22" w:rsidP="00353D57">
            <w:pPr>
              <w:pStyle w:val="CMR-tables"/>
              <w:tabs>
                <w:tab w:val="left" w:pos="2455"/>
              </w:tabs>
              <w:jc w:val="center"/>
              <w:rPr>
                <w:noProof/>
              </w:rPr>
            </w:pPr>
            <w:r w:rsidRPr="002A150B">
              <w:rPr>
                <w:b/>
                <w:noProof/>
              </w:rPr>
              <w:t>Anul</w:t>
            </w:r>
          </w:p>
        </w:tc>
        <w:tc>
          <w:tcPr>
            <w:tcW w:w="717" w:type="pct"/>
            <w:vAlign w:val="center"/>
          </w:tcPr>
          <w:p w14:paraId="6397957F" w14:textId="77777777" w:rsidR="001B6B22" w:rsidRPr="002A150B" w:rsidRDefault="001B6B22" w:rsidP="00353D57">
            <w:pPr>
              <w:pStyle w:val="CMR-tables"/>
              <w:jc w:val="center"/>
              <w:rPr>
                <w:noProof/>
              </w:rPr>
            </w:pPr>
            <w:r w:rsidRPr="002A150B">
              <w:rPr>
                <w:noProof/>
              </w:rPr>
              <w:t>2020</w:t>
            </w:r>
          </w:p>
        </w:tc>
        <w:tc>
          <w:tcPr>
            <w:tcW w:w="718" w:type="pct"/>
            <w:vAlign w:val="center"/>
          </w:tcPr>
          <w:p w14:paraId="494F1C27" w14:textId="77777777" w:rsidR="001B6B22" w:rsidRPr="002A150B" w:rsidRDefault="001B6B22" w:rsidP="00353D57">
            <w:pPr>
              <w:pStyle w:val="CMR-tables"/>
              <w:jc w:val="center"/>
              <w:rPr>
                <w:noProof/>
              </w:rPr>
            </w:pPr>
            <w:r w:rsidRPr="002A150B">
              <w:rPr>
                <w:noProof/>
              </w:rPr>
              <w:t>2021</w:t>
            </w:r>
          </w:p>
        </w:tc>
        <w:tc>
          <w:tcPr>
            <w:tcW w:w="718" w:type="pct"/>
            <w:vAlign w:val="center"/>
          </w:tcPr>
          <w:p w14:paraId="7AF7D709" w14:textId="77777777" w:rsidR="001B6B22" w:rsidRPr="002A150B" w:rsidRDefault="001B6B22" w:rsidP="00353D57">
            <w:pPr>
              <w:pStyle w:val="CMR-tables"/>
              <w:jc w:val="center"/>
              <w:rPr>
                <w:noProof/>
              </w:rPr>
            </w:pPr>
            <w:r w:rsidRPr="002A150B">
              <w:rPr>
                <w:noProof/>
              </w:rPr>
              <w:t>2022</w:t>
            </w:r>
          </w:p>
        </w:tc>
        <w:tc>
          <w:tcPr>
            <w:tcW w:w="718" w:type="pct"/>
            <w:vAlign w:val="center"/>
          </w:tcPr>
          <w:p w14:paraId="0B0FE6C5" w14:textId="42869404" w:rsidR="001B6B22" w:rsidRPr="002A150B" w:rsidRDefault="001B6B22" w:rsidP="00353D57">
            <w:pPr>
              <w:pStyle w:val="CMR-tables"/>
              <w:jc w:val="center"/>
              <w:rPr>
                <w:noProof/>
              </w:rPr>
            </w:pPr>
            <w:r w:rsidRPr="002A150B">
              <w:rPr>
                <w:noProof/>
              </w:rPr>
              <w:t>2023</w:t>
            </w:r>
          </w:p>
        </w:tc>
        <w:tc>
          <w:tcPr>
            <w:tcW w:w="718" w:type="pct"/>
            <w:vAlign w:val="center"/>
          </w:tcPr>
          <w:p w14:paraId="1101706E" w14:textId="77777777" w:rsidR="001B6B22" w:rsidRPr="002A150B" w:rsidRDefault="001B6B22" w:rsidP="00353D57">
            <w:pPr>
              <w:pStyle w:val="CMR-tables"/>
              <w:jc w:val="center"/>
              <w:rPr>
                <w:noProof/>
              </w:rPr>
            </w:pPr>
            <w:r w:rsidRPr="002A150B">
              <w:rPr>
                <w:noProof/>
              </w:rPr>
              <w:t>Total</w:t>
            </w:r>
          </w:p>
        </w:tc>
      </w:tr>
      <w:tr w:rsidR="00BF5A32" w:rsidRPr="002A150B" w14:paraId="26C3505D" w14:textId="77777777" w:rsidTr="00A0384F">
        <w:trPr>
          <w:cantSplit/>
          <w:trHeight w:val="925"/>
        </w:trPr>
        <w:tc>
          <w:tcPr>
            <w:tcW w:w="1412" w:type="pct"/>
            <w:shd w:val="clear" w:color="auto" w:fill="F2F2F2" w:themeFill="background1" w:themeFillShade="F2"/>
            <w:vAlign w:val="center"/>
          </w:tcPr>
          <w:p w14:paraId="361B88E8" w14:textId="03AC8415" w:rsidR="00353D57" w:rsidRPr="002A150B" w:rsidRDefault="00353D57" w:rsidP="00BB63DC">
            <w:pPr>
              <w:pStyle w:val="CMR-tables"/>
              <w:rPr>
                <w:b/>
                <w:i/>
                <w:noProof/>
              </w:rPr>
            </w:pPr>
            <w:r w:rsidRPr="002A150B">
              <w:rPr>
                <w:b/>
                <w:i/>
                <w:noProof/>
              </w:rPr>
              <w:t>Transfer de la EU ETS la schema ETS a Elveției</w:t>
            </w:r>
          </w:p>
        </w:tc>
        <w:tc>
          <w:tcPr>
            <w:tcW w:w="717" w:type="pct"/>
            <w:shd w:val="clear" w:color="auto" w:fill="F2F2F2" w:themeFill="background1" w:themeFillShade="F2"/>
            <w:vAlign w:val="center"/>
          </w:tcPr>
          <w:p w14:paraId="595FF6C2" w14:textId="0C53D99F" w:rsidR="00353D57" w:rsidRPr="002A150B" w:rsidRDefault="00353D57" w:rsidP="00353D57">
            <w:pPr>
              <w:pStyle w:val="CMR-tables"/>
              <w:jc w:val="right"/>
              <w:rPr>
                <w:noProof/>
              </w:rPr>
            </w:pPr>
            <w:r w:rsidRPr="002A150B">
              <w:rPr>
                <w:noProof/>
              </w:rPr>
              <w:t>475 679</w:t>
            </w:r>
          </w:p>
        </w:tc>
        <w:tc>
          <w:tcPr>
            <w:tcW w:w="718" w:type="pct"/>
            <w:shd w:val="clear" w:color="auto" w:fill="F2F2F2" w:themeFill="background1" w:themeFillShade="F2"/>
            <w:vAlign w:val="center"/>
          </w:tcPr>
          <w:p w14:paraId="518A5F72" w14:textId="602199D0" w:rsidR="00353D57" w:rsidRPr="002A150B" w:rsidRDefault="00353D57" w:rsidP="00353D57">
            <w:pPr>
              <w:pStyle w:val="CMR-tables"/>
              <w:jc w:val="right"/>
              <w:rPr>
                <w:noProof/>
              </w:rPr>
            </w:pPr>
            <w:r w:rsidRPr="002A150B">
              <w:rPr>
                <w:noProof/>
              </w:rPr>
              <w:t>1 051 360</w:t>
            </w:r>
          </w:p>
        </w:tc>
        <w:tc>
          <w:tcPr>
            <w:tcW w:w="718" w:type="pct"/>
            <w:shd w:val="clear" w:color="auto" w:fill="F2F2F2" w:themeFill="background1" w:themeFillShade="F2"/>
            <w:vAlign w:val="center"/>
          </w:tcPr>
          <w:p w14:paraId="447C72A1" w14:textId="74111D5C" w:rsidR="00353D57" w:rsidRPr="002A150B" w:rsidRDefault="00353D57" w:rsidP="00353D57">
            <w:pPr>
              <w:pStyle w:val="CMR-tables"/>
              <w:jc w:val="right"/>
              <w:rPr>
                <w:noProof/>
              </w:rPr>
            </w:pPr>
            <w:r w:rsidRPr="002A150B">
              <w:rPr>
                <w:noProof/>
              </w:rPr>
              <w:t>1 714 499</w:t>
            </w:r>
          </w:p>
        </w:tc>
        <w:tc>
          <w:tcPr>
            <w:tcW w:w="718" w:type="pct"/>
            <w:shd w:val="clear" w:color="auto" w:fill="F2F2F2" w:themeFill="background1" w:themeFillShade="F2"/>
            <w:vAlign w:val="center"/>
          </w:tcPr>
          <w:p w14:paraId="134AAE3A" w14:textId="543859C0" w:rsidR="00353D57" w:rsidRPr="002A150B" w:rsidRDefault="00353D57" w:rsidP="00353D57">
            <w:pPr>
              <w:pStyle w:val="CMR-tables"/>
              <w:jc w:val="right"/>
              <w:rPr>
                <w:noProof/>
              </w:rPr>
            </w:pPr>
            <w:r w:rsidRPr="002A150B">
              <w:rPr>
                <w:noProof/>
              </w:rPr>
              <w:t>2 603 612</w:t>
            </w:r>
          </w:p>
        </w:tc>
        <w:tc>
          <w:tcPr>
            <w:tcW w:w="718" w:type="pct"/>
            <w:shd w:val="clear" w:color="auto" w:fill="F2F2F2" w:themeFill="background1" w:themeFillShade="F2"/>
            <w:vAlign w:val="center"/>
          </w:tcPr>
          <w:p w14:paraId="754658A3" w14:textId="4A10DC88" w:rsidR="00353D57" w:rsidRPr="002A150B" w:rsidRDefault="00353D57" w:rsidP="00353D57">
            <w:pPr>
              <w:pStyle w:val="CMR-tables"/>
              <w:jc w:val="right"/>
              <w:rPr>
                <w:noProof/>
              </w:rPr>
            </w:pPr>
            <w:r w:rsidRPr="002A150B">
              <w:rPr>
                <w:noProof/>
              </w:rPr>
              <w:t>5 845 150</w:t>
            </w:r>
          </w:p>
        </w:tc>
      </w:tr>
      <w:tr w:rsidR="00BF5A32" w:rsidRPr="002A150B" w14:paraId="3EB83540" w14:textId="77777777" w:rsidTr="001F1040">
        <w:trPr>
          <w:cantSplit/>
          <w:trHeight w:val="925"/>
        </w:trPr>
        <w:tc>
          <w:tcPr>
            <w:tcW w:w="1412" w:type="pct"/>
            <w:vAlign w:val="center"/>
          </w:tcPr>
          <w:p w14:paraId="3DAFB15A" w14:textId="03E93676" w:rsidR="00353D57" w:rsidRPr="002A150B" w:rsidRDefault="00353D57" w:rsidP="00E56EDC">
            <w:pPr>
              <w:pStyle w:val="CMR-tables"/>
              <w:rPr>
                <w:b/>
                <w:i/>
                <w:noProof/>
              </w:rPr>
            </w:pPr>
            <w:r w:rsidRPr="002A150B">
              <w:rPr>
                <w:b/>
                <w:i/>
                <w:noProof/>
              </w:rPr>
              <w:t>Transfer de la schema ETS a Elveției la EU ETS</w:t>
            </w:r>
          </w:p>
        </w:tc>
        <w:tc>
          <w:tcPr>
            <w:tcW w:w="717" w:type="pct"/>
            <w:vAlign w:val="center"/>
          </w:tcPr>
          <w:p w14:paraId="1833997F" w14:textId="77777777" w:rsidR="00353D57" w:rsidRPr="002A150B" w:rsidRDefault="00353D57" w:rsidP="00353D57">
            <w:pPr>
              <w:pStyle w:val="CMR-tables"/>
              <w:jc w:val="right"/>
              <w:rPr>
                <w:noProof/>
              </w:rPr>
            </w:pPr>
            <w:r w:rsidRPr="002A150B">
              <w:rPr>
                <w:noProof/>
              </w:rPr>
              <w:t>0</w:t>
            </w:r>
          </w:p>
        </w:tc>
        <w:tc>
          <w:tcPr>
            <w:tcW w:w="718" w:type="pct"/>
            <w:vAlign w:val="center"/>
          </w:tcPr>
          <w:p w14:paraId="0E9461C6" w14:textId="7EB4D824" w:rsidR="00353D57" w:rsidRPr="002A150B" w:rsidRDefault="00353D57" w:rsidP="00353D57">
            <w:pPr>
              <w:pStyle w:val="CMR-tables"/>
              <w:jc w:val="right"/>
              <w:rPr>
                <w:noProof/>
              </w:rPr>
            </w:pPr>
            <w:r w:rsidRPr="002A150B">
              <w:rPr>
                <w:noProof/>
              </w:rPr>
              <w:t>1 523 770</w:t>
            </w:r>
          </w:p>
        </w:tc>
        <w:tc>
          <w:tcPr>
            <w:tcW w:w="718" w:type="pct"/>
            <w:vAlign w:val="center"/>
          </w:tcPr>
          <w:p w14:paraId="6D77AB17" w14:textId="7AD4D0FD" w:rsidR="00353D57" w:rsidRPr="002A150B" w:rsidRDefault="00353D57" w:rsidP="00353D57">
            <w:pPr>
              <w:pStyle w:val="CMR-tables"/>
              <w:jc w:val="right"/>
              <w:rPr>
                <w:noProof/>
              </w:rPr>
            </w:pPr>
            <w:r w:rsidRPr="002A150B">
              <w:rPr>
                <w:noProof/>
              </w:rPr>
              <w:t>1 215 662</w:t>
            </w:r>
          </w:p>
        </w:tc>
        <w:tc>
          <w:tcPr>
            <w:tcW w:w="718" w:type="pct"/>
            <w:vAlign w:val="center"/>
          </w:tcPr>
          <w:p w14:paraId="2EE7E139" w14:textId="49F37C48" w:rsidR="00353D57" w:rsidRPr="002A150B" w:rsidRDefault="00353D57" w:rsidP="00353D57">
            <w:pPr>
              <w:pStyle w:val="CMR-tables"/>
              <w:jc w:val="right"/>
              <w:rPr>
                <w:noProof/>
              </w:rPr>
            </w:pPr>
            <w:r w:rsidRPr="002A150B">
              <w:rPr>
                <w:noProof/>
              </w:rPr>
              <w:t>1 837 292</w:t>
            </w:r>
          </w:p>
        </w:tc>
        <w:tc>
          <w:tcPr>
            <w:tcW w:w="718" w:type="pct"/>
            <w:vAlign w:val="center"/>
          </w:tcPr>
          <w:p w14:paraId="22EB7A1B" w14:textId="4CADB00F" w:rsidR="00353D57" w:rsidRPr="002A150B" w:rsidRDefault="00353D57" w:rsidP="00353D57">
            <w:pPr>
              <w:pStyle w:val="CMR-tables"/>
              <w:jc w:val="right"/>
              <w:rPr>
                <w:noProof/>
              </w:rPr>
            </w:pPr>
            <w:r w:rsidRPr="002A150B">
              <w:rPr>
                <w:noProof/>
              </w:rPr>
              <w:t>4 576 724</w:t>
            </w:r>
          </w:p>
        </w:tc>
      </w:tr>
      <w:tr w:rsidR="00BF5A32" w:rsidRPr="002A150B" w14:paraId="3787FB5B" w14:textId="77777777" w:rsidTr="001F1040">
        <w:trPr>
          <w:cantSplit/>
          <w:trHeight w:val="720"/>
        </w:trPr>
        <w:tc>
          <w:tcPr>
            <w:tcW w:w="1412" w:type="pct"/>
            <w:vAlign w:val="center"/>
          </w:tcPr>
          <w:p w14:paraId="5518365B" w14:textId="5EE81CC3" w:rsidR="00353D57" w:rsidRPr="002A150B" w:rsidRDefault="00353D57" w:rsidP="001B6B22">
            <w:pPr>
              <w:pStyle w:val="CMR-tables"/>
              <w:jc w:val="center"/>
              <w:rPr>
                <w:noProof/>
              </w:rPr>
            </w:pPr>
            <w:r w:rsidRPr="002A150B">
              <w:rPr>
                <w:b/>
                <w:noProof/>
              </w:rPr>
              <w:t>Sold</w:t>
            </w:r>
          </w:p>
        </w:tc>
        <w:tc>
          <w:tcPr>
            <w:tcW w:w="3588" w:type="pct"/>
            <w:gridSpan w:val="5"/>
            <w:vAlign w:val="center"/>
          </w:tcPr>
          <w:p w14:paraId="0F9A8FB6" w14:textId="1D6B0BCE" w:rsidR="00353D57" w:rsidRPr="002A150B" w:rsidRDefault="00353D57" w:rsidP="00BB63DC">
            <w:pPr>
              <w:pStyle w:val="CMR-tables"/>
              <w:jc w:val="center"/>
              <w:rPr>
                <w:b/>
                <w:noProof/>
              </w:rPr>
            </w:pPr>
            <w:r w:rsidRPr="002A150B">
              <w:rPr>
                <w:b/>
                <w:noProof/>
              </w:rPr>
              <w:t>1 268 426</w:t>
            </w:r>
          </w:p>
        </w:tc>
      </w:tr>
    </w:tbl>
    <w:p w14:paraId="6CC4EA26" w14:textId="71EEBF66" w:rsidR="009538E7" w:rsidRPr="002A150B" w:rsidRDefault="002B069D" w:rsidP="002B069D">
      <w:pPr>
        <w:pStyle w:val="CMR-Heading"/>
        <w:rPr>
          <w:noProof/>
        </w:rPr>
      </w:pPr>
      <w:r w:rsidRPr="002A150B">
        <w:rPr>
          <w:noProof/>
        </w:rPr>
        <w:t xml:space="preserve"> </w:t>
      </w:r>
      <w:bookmarkStart w:id="98" w:name="_Toc189482453"/>
      <w:r w:rsidRPr="002A150B">
        <w:rPr>
          <w:noProof/>
        </w:rPr>
        <w:t>Rezumat</w:t>
      </w:r>
      <w:bookmarkEnd w:id="98"/>
      <w:r w:rsidRPr="002A150B">
        <w:rPr>
          <w:noProof/>
        </w:rPr>
        <w:t xml:space="preserve"> </w:t>
      </w:r>
    </w:p>
    <w:p w14:paraId="5B009E32" w14:textId="77777777" w:rsidR="004E379B" w:rsidRPr="002A150B" w:rsidRDefault="001A737E" w:rsidP="00DB0E27">
      <w:pPr>
        <w:pStyle w:val="CMR-text"/>
        <w:rPr>
          <w:rStyle w:val="CMR-textChar"/>
          <w:rFonts w:cs="Times New Roman"/>
          <w:noProof/>
          <w:szCs w:val="24"/>
        </w:rPr>
      </w:pPr>
      <w:r w:rsidRPr="002A150B">
        <w:rPr>
          <w:rStyle w:val="CMR-textChar"/>
          <w:noProof/>
        </w:rPr>
        <w:t>În 2023, schema EU ETS a fost marcată de o reducere istorică a emisiilor provenite de la instalații, determinată de</w:t>
      </w:r>
      <w:r w:rsidRPr="002A150B">
        <w:rPr>
          <w:noProof/>
        </w:rPr>
        <w:t xml:space="preserve"> sectorul energetic, în care a crescut substanțial producția de energie electrică din surse regenerabile (în principal eoliană și solară) și s-a reluat tendința de înlocuire a cărbunelui în producția de energie. </w:t>
      </w:r>
      <w:r w:rsidRPr="002A150B">
        <w:rPr>
          <w:rStyle w:val="CMR-textChar"/>
          <w:noProof/>
        </w:rPr>
        <w:t xml:space="preserve">Odată cu această evoluție, emisiile ETS provenite de la instalații se situează cu aproximativ 47,6 % sub nivelurile din 2005 și sunt pe cale să atingă obiectivul de -62 % stabilit pentru 2030. </w:t>
      </w:r>
    </w:p>
    <w:p w14:paraId="2B65041F" w14:textId="4BCC3B4C" w:rsidR="008C7AC7" w:rsidRPr="002A150B" w:rsidRDefault="004D6FF7" w:rsidP="008C7AC7">
      <w:pPr>
        <w:pStyle w:val="CMR-text"/>
        <w:rPr>
          <w:rFonts w:cs="Times New Roman"/>
          <w:noProof/>
          <w:szCs w:val="24"/>
        </w:rPr>
      </w:pPr>
      <w:r w:rsidRPr="002A150B">
        <w:rPr>
          <w:noProof/>
        </w:rPr>
        <w:t xml:space="preserve">Reducerile și mai mari ale emisiilor obținute în 2023 în cadrul EU ETS au fost facilitate de un semnal solid și susținut privind prețul carbonului. În evaluarea ESMA, piața carbonului din UE a rămas stabilă în 2023 și a continuat să funcționeze în conformitate cu principiile fundamentale ale pieței. De asemenea, majoritatea recomandărilor emise de ESMA în 2022 pentru a spori transparența pieței carbonului sunt considerate în prezent puse în aplicare. </w:t>
      </w:r>
    </w:p>
    <w:p w14:paraId="762DCCFC" w14:textId="5BD24A39" w:rsidR="00AE0A4E" w:rsidRPr="002A150B" w:rsidRDefault="00371D8A" w:rsidP="007B1057">
      <w:pPr>
        <w:pStyle w:val="CMR-text"/>
        <w:rPr>
          <w:noProof/>
        </w:rPr>
      </w:pPr>
      <w:r w:rsidRPr="002A150B">
        <w:rPr>
          <w:rStyle w:val="CMR-textChar"/>
          <w:noProof/>
        </w:rPr>
        <w:t xml:space="preserve">Evoluțiile emisiilor confirmă eficacitatea și eficiența EU ETS ca unul dintre principalele stimulente strategice pentru decarbonizarea economiei europene. De asemenea, veniturile EU ETS rămân o sursă importantă de finanțare a acestei transformări, cu </w:t>
      </w:r>
      <w:r w:rsidRPr="002A150B">
        <w:rPr>
          <w:noProof/>
        </w:rPr>
        <w:t xml:space="preserve">43,6 miliarde EUR mobilizate în 2023 și distribuite în principal bugetelor naționale, dar și Fondului ETS pentru inovare și Fondului ETS pentru modernizare, precum și Mecanismului de redresare și reziliență în vederea realizării planului REPowerEU. Veniturile totale obținute de EU ETS până în prezent depășesc 200 de miliarde EUR. </w:t>
      </w:r>
    </w:p>
    <w:p w14:paraId="5BC95B27" w14:textId="4A626B27" w:rsidR="00DB0E27" w:rsidRPr="002A150B" w:rsidRDefault="005637E4" w:rsidP="000A7E90">
      <w:pPr>
        <w:pStyle w:val="CMR-text"/>
        <w:rPr>
          <w:rFonts w:cs="Times New Roman"/>
          <w:noProof/>
        </w:rPr>
      </w:pPr>
      <w:r w:rsidRPr="002A150B">
        <w:rPr>
          <w:noProof/>
        </w:rPr>
        <w:t>Sunt necesare eforturi suplimentare atât pentru a reduce emisiile, cât și pentru a transforma economia UE în conformitate cu țintele stabilite în Regulamentul de instituire a cadrului pentru realizarea neutralității climatice și cu obiectivele Pactului verde european. EU ETS a fost revizuită în 2023 cu scopul de a sprijini acest efort. Plafonul pentru emisii a coborât, iar domeniul de aplicare al schemei a fost extins la cota echitabilă a UE de emisii de CO</w:t>
      </w:r>
      <w:r w:rsidRPr="002A150B">
        <w:rPr>
          <w:noProof/>
          <w:vertAlign w:val="subscript"/>
        </w:rPr>
        <w:t>2</w:t>
      </w:r>
      <w:r w:rsidRPr="002A150B">
        <w:rPr>
          <w:noProof/>
        </w:rPr>
        <w:t xml:space="preserve"> generate de transportul maritim. În plus, schema a fost consolidată în sectorul aviației. A fost creată o nouă schemă, ETS2, pentru a contribui la reducerea emisiilor generate de clădiri, transportul rutier și alte sectoare. Revizuirea este pe deplin în vigoare, iar Comisia și statele membre continuă să lucreze la punerea sa în aplicare.</w:t>
      </w:r>
    </w:p>
    <w:sectPr w:rsidR="00DB0E27" w:rsidRPr="002A150B" w:rsidSect="00653662">
      <w:headerReference w:type="even" r:id="rId50"/>
      <w:headerReference w:type="default" r:id="rId51"/>
      <w:footerReference w:type="even" r:id="rId52"/>
      <w:footerReference w:type="default" r:id="rId53"/>
      <w:headerReference w:type="first" r:id="rId54"/>
      <w:footerReference w:type="first" r:id="rId55"/>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74A03DC" w14:textId="77777777" w:rsidR="00E667EF" w:rsidRDefault="00E667EF" w:rsidP="00187D4D">
      <w:pPr>
        <w:spacing w:after="0" w:line="240" w:lineRule="auto"/>
      </w:pPr>
      <w:r>
        <w:separator/>
      </w:r>
    </w:p>
  </w:endnote>
  <w:endnote w:type="continuationSeparator" w:id="0">
    <w:p w14:paraId="1067E6B1" w14:textId="77777777" w:rsidR="00E667EF" w:rsidRDefault="00E667EF" w:rsidP="00187D4D">
      <w:pPr>
        <w:spacing w:after="0" w:line="240" w:lineRule="auto"/>
      </w:pPr>
      <w:r>
        <w:continuationSeparator/>
      </w:r>
    </w:p>
  </w:endnote>
  <w:endnote w:type="continuationNotice" w:id="1">
    <w:p w14:paraId="79CC3FC6" w14:textId="77777777" w:rsidR="00E667EF" w:rsidRDefault="00E667E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14531E1" w14:textId="047EBAC4" w:rsidR="0030444F" w:rsidRPr="0030444F" w:rsidRDefault="0030444F" w:rsidP="0030444F">
    <w:pPr>
      <w:pStyle w:val="FooterCoverPage"/>
      <w:rPr>
        <w:rFonts w:ascii="Arial" w:hAnsi="Arial" w:cs="Arial"/>
        <w:b/>
        <w:sz w:val="48"/>
      </w:rPr>
    </w:pPr>
    <w:r w:rsidRPr="0030444F">
      <w:rPr>
        <w:rFonts w:ascii="Arial" w:hAnsi="Arial" w:cs="Arial"/>
        <w:b/>
        <w:sz w:val="48"/>
      </w:rPr>
      <w:t>RO</w:t>
    </w:r>
    <w:r w:rsidRPr="0030444F">
      <w:rPr>
        <w:rFonts w:ascii="Arial" w:hAnsi="Arial" w:cs="Arial"/>
        <w:b/>
        <w:sz w:val="48"/>
      </w:rPr>
      <w:tab/>
    </w:r>
    <w:r w:rsidRPr="0030444F">
      <w:rPr>
        <w:rFonts w:ascii="Arial" w:hAnsi="Arial" w:cs="Arial"/>
        <w:b/>
        <w:sz w:val="48"/>
      </w:rPr>
      <w:tab/>
    </w:r>
    <w:r w:rsidRPr="0030444F">
      <w:tab/>
    </w:r>
    <w:r w:rsidRPr="0030444F">
      <w:rPr>
        <w:rFonts w:ascii="Arial" w:hAnsi="Arial" w:cs="Arial"/>
        <w:b/>
        <w:sz w:val="48"/>
      </w:rPr>
      <w:t>RO</w:t>
    </w:r>
  </w:p>
</w:ftr>
</file>

<file path=word/footer10.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E6B73BB" w14:textId="77777777" w:rsidR="00126559" w:rsidRDefault="00126559">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08134334"/>
      <w:docPartObj>
        <w:docPartGallery w:val="Page Numbers (Bottom of Page)"/>
        <w:docPartUnique/>
      </w:docPartObj>
    </w:sdtPr>
    <w:sdtEndPr>
      <w:rPr>
        <w:noProof/>
      </w:rPr>
    </w:sdtEndPr>
    <w:sdtContent>
      <w:p w14:paraId="3DC64A4D" w14:textId="7774D9A3" w:rsidR="007A3649" w:rsidRDefault="007A3649">
        <w:pPr>
          <w:pStyle w:val="Footer"/>
          <w:jc w:val="right"/>
        </w:pPr>
        <w:r>
          <w:fldChar w:fldCharType="begin"/>
        </w:r>
        <w:r>
          <w:instrText xml:space="preserve"> PAGE   \* MERGEFORMAT </w:instrText>
        </w:r>
        <w:r>
          <w:fldChar w:fldCharType="separate"/>
        </w:r>
        <w:r w:rsidR="003623B4">
          <w:rPr>
            <w:noProof/>
          </w:rPr>
          <w:t>12</w:t>
        </w:r>
        <w:r>
          <w:fldChar w:fldCharType="end"/>
        </w:r>
      </w:p>
    </w:sdtContent>
  </w:sdt>
  <w:p w14:paraId="7B1D3CE4" w14:textId="77777777" w:rsidR="007A3649" w:rsidRDefault="007A3649">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B014CFA" w14:textId="77777777" w:rsidR="00126559" w:rsidRDefault="00126559">
    <w:pPr>
      <w:pStyle w:val="Footer"/>
    </w:pPr>
  </w:p>
</w:ftr>
</file>

<file path=word/footer1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4159B3D" w14:textId="77777777" w:rsidR="00890E07" w:rsidRDefault="00890E07">
    <w:pPr>
      <w:pStyle w:val="Footer"/>
    </w:pPr>
  </w:p>
</w:ftr>
</file>

<file path=word/footer1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78318651"/>
      <w:docPartObj>
        <w:docPartGallery w:val="Page Numbers (Bottom of Page)"/>
        <w:docPartUnique/>
      </w:docPartObj>
    </w:sdtPr>
    <w:sdtEndPr>
      <w:rPr>
        <w:noProof/>
      </w:rPr>
    </w:sdtEndPr>
    <w:sdtContent>
      <w:p w14:paraId="2C003254" w14:textId="77777777" w:rsidR="007A3649" w:rsidRDefault="007A3649">
        <w:pPr>
          <w:pStyle w:val="Footer"/>
          <w:jc w:val="right"/>
        </w:pPr>
        <w:r>
          <w:fldChar w:fldCharType="begin"/>
        </w:r>
        <w:r>
          <w:instrText xml:space="preserve"> PAGE   \* MERGEFORMAT </w:instrText>
        </w:r>
        <w:r>
          <w:fldChar w:fldCharType="separate"/>
        </w:r>
        <w:r>
          <w:t>2</w:t>
        </w:r>
        <w:r>
          <w:fldChar w:fldCharType="end"/>
        </w:r>
      </w:p>
    </w:sdtContent>
  </w:sdt>
  <w:p w14:paraId="1E979902" w14:textId="77777777" w:rsidR="007A3649" w:rsidRDefault="007A3649">
    <w:pPr>
      <w:pStyle w:val="Footer"/>
    </w:pPr>
  </w:p>
</w:ftr>
</file>

<file path=word/footer1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00C65BC" w14:textId="77777777" w:rsidR="00890E07" w:rsidRDefault="00890E07">
    <w:pPr>
      <w:pStyle w:val="Footer"/>
    </w:pPr>
  </w:p>
</w:ftr>
</file>

<file path=word/footer1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201638D" w14:textId="77777777" w:rsidR="00890E07" w:rsidRDefault="00890E07">
    <w:pPr>
      <w:pStyle w:val="Footer"/>
    </w:pPr>
  </w:p>
</w:ftr>
</file>

<file path=word/footer1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66665086"/>
      <w:docPartObj>
        <w:docPartGallery w:val="Page Numbers (Bottom of Page)"/>
        <w:docPartUnique/>
      </w:docPartObj>
    </w:sdtPr>
    <w:sdtEndPr>
      <w:rPr>
        <w:noProof/>
      </w:rPr>
    </w:sdtEndPr>
    <w:sdtContent>
      <w:p w14:paraId="40695C22" w14:textId="77777777" w:rsidR="007A3649" w:rsidRDefault="007A3649">
        <w:pPr>
          <w:pStyle w:val="Footer"/>
          <w:jc w:val="right"/>
        </w:pPr>
        <w:r>
          <w:fldChar w:fldCharType="begin"/>
        </w:r>
        <w:r>
          <w:instrText xml:space="preserve"> PAGE   \* MERGEFORMAT </w:instrText>
        </w:r>
        <w:r>
          <w:fldChar w:fldCharType="separate"/>
        </w:r>
        <w:r>
          <w:t>2</w:t>
        </w:r>
        <w:r>
          <w:fldChar w:fldCharType="end"/>
        </w:r>
      </w:p>
    </w:sdtContent>
  </w:sdt>
  <w:p w14:paraId="250063BD" w14:textId="77777777" w:rsidR="007A3649" w:rsidRDefault="007A3649">
    <w:pPr>
      <w:pStyle w:val="Footer"/>
    </w:pPr>
  </w:p>
</w:ftr>
</file>

<file path=word/footer18.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49EA0E9" w14:textId="77777777" w:rsidR="00890E07" w:rsidRDefault="00890E0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4095400" w14:textId="51632CBF" w:rsidR="0030444F" w:rsidRPr="0030444F" w:rsidRDefault="0030444F" w:rsidP="0030444F">
    <w:pPr>
      <w:pStyle w:val="FooterCoverPage"/>
      <w:rPr>
        <w:rFonts w:ascii="Arial" w:hAnsi="Arial" w:cs="Arial"/>
        <w:b/>
        <w:sz w:val="48"/>
      </w:rPr>
    </w:pPr>
    <w:r w:rsidRPr="0030444F">
      <w:rPr>
        <w:rFonts w:ascii="Arial" w:hAnsi="Arial" w:cs="Arial"/>
        <w:b/>
        <w:sz w:val="48"/>
      </w:rPr>
      <w:t>RO</w:t>
    </w:r>
    <w:r w:rsidRPr="0030444F">
      <w:rPr>
        <w:rFonts w:ascii="Arial" w:hAnsi="Arial" w:cs="Arial"/>
        <w:b/>
        <w:sz w:val="48"/>
      </w:rPr>
      <w:tab/>
    </w:r>
    <w:r w:rsidRPr="0030444F">
      <w:rPr>
        <w:rFonts w:ascii="Arial" w:hAnsi="Arial" w:cs="Arial"/>
        <w:b/>
        <w:sz w:val="48"/>
      </w:rPr>
      <w:tab/>
    </w:r>
    <w:r w:rsidRPr="0030444F">
      <w:tab/>
    </w:r>
    <w:r w:rsidRPr="0030444F">
      <w:rPr>
        <w:rFonts w:ascii="Arial" w:hAnsi="Arial" w:cs="Arial"/>
        <w:b/>
        <w:sz w:val="48"/>
      </w:rPr>
      <w:t>RO</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65BEC99" w14:textId="77777777" w:rsidR="0030444F" w:rsidRPr="0030444F" w:rsidRDefault="0030444F" w:rsidP="0030444F">
    <w:pPr>
      <w:pStyle w:val="FooterCoverPage"/>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8FE7B99" w14:textId="77777777" w:rsidR="007B07AD" w:rsidRDefault="007B07AD">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618976733"/>
      <w:docPartObj>
        <w:docPartGallery w:val="Page Numbers (Bottom of Page)"/>
        <w:docPartUnique/>
      </w:docPartObj>
    </w:sdtPr>
    <w:sdtEndPr>
      <w:rPr>
        <w:noProof/>
      </w:rPr>
    </w:sdtEndPr>
    <w:sdtContent>
      <w:p w14:paraId="71EF0CA6" w14:textId="62E9BC1E" w:rsidR="0091256B" w:rsidRDefault="0091256B">
        <w:pPr>
          <w:pStyle w:val="Footer"/>
          <w:jc w:val="right"/>
        </w:pPr>
        <w:r>
          <w:fldChar w:fldCharType="begin"/>
        </w:r>
        <w:r>
          <w:instrText xml:space="preserve"> PAGE   \* MERGEFORMAT </w:instrText>
        </w:r>
        <w:r>
          <w:fldChar w:fldCharType="separate"/>
        </w:r>
        <w:r w:rsidR="0030444F">
          <w:rPr>
            <w:noProof/>
          </w:rPr>
          <w:t>1</w:t>
        </w:r>
        <w:r>
          <w:fldChar w:fldCharType="end"/>
        </w:r>
      </w:p>
    </w:sdtContent>
  </w:sdt>
  <w:p w14:paraId="2B742DF3" w14:textId="55FCB7E6" w:rsidR="008E0063" w:rsidRPr="001D6607" w:rsidRDefault="008E0063" w:rsidP="001D6607">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C270DA3" w14:textId="77777777" w:rsidR="002B6CFB" w:rsidRDefault="002B6CFB">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05F18A6" w14:textId="77777777" w:rsidR="00126559" w:rsidRDefault="00126559">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3463189"/>
      <w:docPartObj>
        <w:docPartGallery w:val="Page Numbers (Bottom of Page)"/>
        <w:docPartUnique/>
      </w:docPartObj>
    </w:sdtPr>
    <w:sdtEndPr>
      <w:rPr>
        <w:noProof/>
      </w:rPr>
    </w:sdtEndPr>
    <w:sdtContent>
      <w:p w14:paraId="1B60B1BA" w14:textId="197DE016" w:rsidR="0091256B" w:rsidRDefault="0091256B">
        <w:pPr>
          <w:pStyle w:val="Footer"/>
          <w:jc w:val="right"/>
        </w:pPr>
        <w:r>
          <w:fldChar w:fldCharType="begin"/>
        </w:r>
        <w:r>
          <w:instrText xml:space="preserve"> PAGE   \* MERGEFORMAT </w:instrText>
        </w:r>
        <w:r>
          <w:fldChar w:fldCharType="separate"/>
        </w:r>
        <w:r w:rsidR="003623B4">
          <w:rPr>
            <w:noProof/>
          </w:rPr>
          <w:t>8</w:t>
        </w:r>
        <w:r>
          <w:fldChar w:fldCharType="end"/>
        </w:r>
      </w:p>
    </w:sdtContent>
  </w:sdt>
  <w:p w14:paraId="56299D3D" w14:textId="77777777" w:rsidR="00126559" w:rsidRDefault="00126559">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A2B4DDB" w14:textId="77777777" w:rsidR="00126559" w:rsidRDefault="0012655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2E57538" w14:textId="77777777" w:rsidR="00E667EF" w:rsidRDefault="00E667EF" w:rsidP="00187D4D">
      <w:pPr>
        <w:spacing w:after="0" w:line="240" w:lineRule="auto"/>
      </w:pPr>
      <w:r>
        <w:separator/>
      </w:r>
    </w:p>
  </w:footnote>
  <w:footnote w:type="continuationSeparator" w:id="0">
    <w:p w14:paraId="1DFFC87C" w14:textId="77777777" w:rsidR="00E667EF" w:rsidRDefault="00E667EF" w:rsidP="00187D4D">
      <w:pPr>
        <w:spacing w:after="0" w:line="240" w:lineRule="auto"/>
      </w:pPr>
      <w:r>
        <w:continuationSeparator/>
      </w:r>
    </w:p>
  </w:footnote>
  <w:footnote w:type="continuationNotice" w:id="1">
    <w:p w14:paraId="3B69FFA6" w14:textId="77777777" w:rsidR="00E667EF" w:rsidRDefault="00E667EF">
      <w:pPr>
        <w:spacing w:after="0" w:line="240" w:lineRule="auto"/>
      </w:pPr>
    </w:p>
  </w:footnote>
  <w:footnote w:id="2">
    <w:p w14:paraId="1E4C2BC3" w14:textId="231633F3" w:rsidR="00317318" w:rsidRPr="002A150B" w:rsidRDefault="00317318" w:rsidP="00317318">
      <w:pPr>
        <w:pStyle w:val="CMR-footnote"/>
        <w:jc w:val="both"/>
      </w:pPr>
      <w:r>
        <w:rPr>
          <w:rStyle w:val="FootnoteReference"/>
          <w:rFonts w:cs="Times New Roman"/>
        </w:rPr>
        <w:footnoteRef/>
      </w:r>
      <w:r>
        <w:t xml:space="preserve"> </w:t>
      </w:r>
      <w:r w:rsidRPr="002A150B">
        <w:t xml:space="preserve">Emisiile ETS ale instalațiilor din sectorul energetic și din cel industrial în 2023, fără Regatul Unit </w:t>
      </w:r>
      <w:bookmarkStart w:id="4" w:name="_Hlk148353475"/>
      <w:bookmarkStart w:id="5" w:name="_Hlk148353367"/>
      <w:r w:rsidRPr="002A150B">
        <w:t xml:space="preserve">(este inclus doar sectorul energetic </w:t>
      </w:r>
      <w:bookmarkEnd w:id="4"/>
      <w:r w:rsidRPr="002A150B">
        <w:t>din Irlanda de Nord)</w:t>
      </w:r>
      <w:bookmarkEnd w:id="5"/>
      <w:r w:rsidRPr="002A150B">
        <w:t xml:space="preserve">, comparativ cu o valoare ajustată a emisiilor ETS din 2005, cu același domeniu de aplicare. Pe baza datelor prezentate în </w:t>
      </w:r>
      <w:hyperlink r:id="rId1" w:history="1">
        <w:r w:rsidRPr="002A150B">
          <w:rPr>
            <w:rStyle w:val="Hyperlink"/>
          </w:rPr>
          <w:t>vizualizatorul de date ETS</w:t>
        </w:r>
      </w:hyperlink>
      <w:r w:rsidRPr="002A150B">
        <w:t xml:space="preserve"> al Agenției Europene de Mediu, extrase la 20 august 2024. </w:t>
      </w:r>
    </w:p>
  </w:footnote>
  <w:footnote w:id="3">
    <w:p w14:paraId="5C24AA6B" w14:textId="4D767385" w:rsidR="00C51F0B" w:rsidRPr="002A150B" w:rsidRDefault="00C51F0B" w:rsidP="001F1040">
      <w:pPr>
        <w:pStyle w:val="CMR-footnote"/>
      </w:pPr>
      <w:r w:rsidRPr="002A150B">
        <w:rPr>
          <w:rStyle w:val="FootnoteReference"/>
        </w:rPr>
        <w:footnoteRef/>
      </w:r>
      <w:r w:rsidRPr="002A150B">
        <w:t xml:space="preserve"> Pentru informații suplimentare, a se vedea paginile privind </w:t>
      </w:r>
      <w:hyperlink r:id="rId2" w:history="1">
        <w:r w:rsidRPr="002A150B">
          <w:rPr>
            <w:rStyle w:val="Hyperlink"/>
          </w:rPr>
          <w:t>Mecanismul de redresare și reziliență</w:t>
        </w:r>
      </w:hyperlink>
      <w:r w:rsidRPr="002A150B">
        <w:t xml:space="preserve"> și </w:t>
      </w:r>
      <w:hyperlink r:id="rId3" w:anchor="how-repowereu-is-funded" w:history="1">
        <w:r w:rsidRPr="002A150B">
          <w:rPr>
            <w:rStyle w:val="Hyperlink"/>
          </w:rPr>
          <w:t>REPowerEU – Energie accesibilă, sigură și durabilă pentru Europa</w:t>
        </w:r>
      </w:hyperlink>
      <w:r w:rsidRPr="002A150B">
        <w:t xml:space="preserve"> de pe site-ul Comisiei.</w:t>
      </w:r>
    </w:p>
  </w:footnote>
  <w:footnote w:id="4">
    <w:p w14:paraId="4FA103DD" w14:textId="3FF1F464" w:rsidR="00BE77FC" w:rsidRPr="002A150B" w:rsidRDefault="00BE77FC" w:rsidP="00BE77FC">
      <w:pPr>
        <w:pStyle w:val="CMR-footnote"/>
        <w:jc w:val="both"/>
      </w:pPr>
      <w:r w:rsidRPr="002A150B">
        <w:rPr>
          <w:rStyle w:val="FootnoteReference"/>
        </w:rPr>
        <w:footnoteRef/>
      </w:r>
      <w:r w:rsidRPr="002A150B">
        <w:t xml:space="preserve"> Regulamentul (UE) 2021/1119 al Parlamentului European și al Consiliului din 30 iunie 2021 de instituire a cadrului pentru realizarea neutralității climatice și de modificare a Regulamentelor (CE) nr. 401/2009 și (UE) 2018/1999 (</w:t>
      </w:r>
      <w:hyperlink r:id="rId4" w:history="1">
        <w:r w:rsidRPr="002A150B">
          <w:rPr>
            <w:rStyle w:val="Hyperlink"/>
          </w:rPr>
          <w:t>JO L 243</w:t>
        </w:r>
      </w:hyperlink>
      <w:r w:rsidRPr="002A150B">
        <w:t>, 9.7.2021).</w:t>
      </w:r>
    </w:p>
  </w:footnote>
  <w:footnote w:id="5">
    <w:p w14:paraId="7F6C3F02" w14:textId="601459F6" w:rsidR="00447C9A" w:rsidRPr="002A150B" w:rsidRDefault="00447C9A" w:rsidP="00447C9A">
      <w:pPr>
        <w:pStyle w:val="CMR-footnote"/>
        <w:jc w:val="both"/>
      </w:pPr>
      <w:r w:rsidRPr="002A150B">
        <w:rPr>
          <w:rStyle w:val="FootnoteReference"/>
        </w:rPr>
        <w:footnoteRef/>
      </w:r>
      <w:r w:rsidRPr="002A150B">
        <w:t xml:space="preserve"> Directiva 2003/87/CE a Parlamentului European și a Consiliului din 13 octombrie 2003 de stabilire a unei scheme de comercializare a certificatelor de emisii de gaze cu efect de seră în cadrul Uniunii și de modificare a Directivei 96/61/CE a Consiliului (</w:t>
      </w:r>
      <w:hyperlink r:id="rId5" w:history="1">
        <w:r w:rsidRPr="002A150B">
          <w:rPr>
            <w:rStyle w:val="Hyperlink"/>
          </w:rPr>
          <w:t>JO L 275</w:t>
        </w:r>
      </w:hyperlink>
      <w:r w:rsidRPr="002A150B">
        <w:t>, 25.10.2003).</w:t>
      </w:r>
    </w:p>
  </w:footnote>
  <w:footnote w:id="6">
    <w:p w14:paraId="1D4D5B59" w14:textId="77777777" w:rsidR="00F65AD8" w:rsidRPr="002A150B" w:rsidRDefault="00F65AD8" w:rsidP="00F65AD8">
      <w:pPr>
        <w:pStyle w:val="CMR-footnote"/>
        <w:jc w:val="both"/>
        <w:rPr>
          <w:rFonts w:cs="Times New Roman"/>
        </w:rPr>
      </w:pPr>
      <w:r w:rsidRPr="002A150B">
        <w:rPr>
          <w:rStyle w:val="FootnoteReference"/>
          <w:rFonts w:cs="Times New Roman"/>
        </w:rPr>
        <w:footnoteRef/>
      </w:r>
      <w:r w:rsidRPr="002A150B">
        <w:t xml:space="preserve"> În temeiul Protocolului privind Irlanda/Irlanda de Nord la Acordul privind retragerea Regatului Unit din UE.</w:t>
      </w:r>
    </w:p>
  </w:footnote>
  <w:footnote w:id="7">
    <w:p w14:paraId="0871BB92" w14:textId="192E5470" w:rsidR="00D00679" w:rsidRPr="002A150B" w:rsidRDefault="00D00679" w:rsidP="00D00679">
      <w:pPr>
        <w:pStyle w:val="CMR-footnote"/>
      </w:pPr>
      <w:r w:rsidRPr="002A150B">
        <w:rPr>
          <w:rStyle w:val="FootnoteReference"/>
        </w:rPr>
        <w:footnoteRef/>
      </w:r>
      <w:r w:rsidRPr="002A150B">
        <w:t xml:space="preserve"> Regulamentul (UE) 2018/842 al Parlamentului European și al Consiliului din 30 mai 2018 privind reducerea anuală obligatorie a emisiilor de gaze cu efect de seră de către statele membre în perioada 2021-2030 în vederea unei contribuții la acțiunile climatice de respectare a angajamentelor asumate în temeiul Acordului de la Paris și de modificare a Regulamentului (UE) nr. 525/2013 (</w:t>
      </w:r>
      <w:hyperlink r:id="rId6" w:history="1">
        <w:r w:rsidRPr="002A150B">
          <w:rPr>
            <w:rStyle w:val="Hyperlink"/>
          </w:rPr>
          <w:t>JO L 156</w:t>
        </w:r>
      </w:hyperlink>
      <w:r w:rsidRPr="002A150B">
        <w:t>, 19.6.2018).</w:t>
      </w:r>
    </w:p>
  </w:footnote>
  <w:footnote w:id="8">
    <w:p w14:paraId="7A2AC22B" w14:textId="18D48D2C" w:rsidR="00952958" w:rsidRPr="002A150B" w:rsidRDefault="00952958" w:rsidP="00D70EF5">
      <w:pPr>
        <w:pStyle w:val="CMR-footnote"/>
      </w:pPr>
      <w:r w:rsidRPr="002A150B">
        <w:rPr>
          <w:rStyle w:val="CMR-footnoteChar"/>
          <w:vertAlign w:val="superscript"/>
        </w:rPr>
        <w:footnoteRef/>
      </w:r>
      <w:r w:rsidRPr="002A150B">
        <w:rPr>
          <w:rStyle w:val="CMR-footnoteChar"/>
        </w:rPr>
        <w:t xml:space="preserve"> Regulamentul de punere în aplicare (UE) 2023/2122 al Comisiei din 17 octombrie 2023 de modificare a Regulamentului de punere în aplicare (UE) 2018/2066 privind monitorizarea și raportarea emisiilor de gaze cu efect de seră în temeiul Directivei</w:t>
      </w:r>
      <w:r w:rsidRPr="002A150B">
        <w:t> 2003/87/CE a Parlamentului European și a Consiliului (</w:t>
      </w:r>
      <w:hyperlink r:id="rId7" w:history="1">
        <w:r w:rsidRPr="002A150B">
          <w:rPr>
            <w:rStyle w:val="Hyperlink"/>
          </w:rPr>
          <w:t>JO L, 2023/2122</w:t>
        </w:r>
      </w:hyperlink>
      <w:r w:rsidRPr="002A150B">
        <w:t xml:space="preserve">, 18.10.2023). A se vedea </w:t>
      </w:r>
      <w:hyperlink r:id="rId8" w:history="1">
        <w:r w:rsidRPr="002A150B">
          <w:rPr>
            <w:rStyle w:val="Hyperlink"/>
          </w:rPr>
          <w:t>versiunea consolidată</w:t>
        </w:r>
      </w:hyperlink>
      <w:r w:rsidRPr="002A150B">
        <w:t>.</w:t>
      </w:r>
    </w:p>
  </w:footnote>
  <w:footnote w:id="9">
    <w:p w14:paraId="43F6B675" w14:textId="06C51719" w:rsidR="00981812" w:rsidRPr="002A150B" w:rsidRDefault="00981812" w:rsidP="00ED4D81">
      <w:pPr>
        <w:pStyle w:val="CMR-footnote"/>
      </w:pPr>
      <w:r w:rsidRPr="002A150B">
        <w:rPr>
          <w:rStyle w:val="FootnoteReference"/>
        </w:rPr>
        <w:footnoteRef/>
      </w:r>
      <w:r w:rsidRPr="002A150B">
        <w:t xml:space="preserve"> Pentru informații suplimentare, a se vedea pagina privind </w:t>
      </w:r>
      <w:hyperlink r:id="rId9" w:history="1">
        <w:r w:rsidRPr="002A150B">
          <w:rPr>
            <w:rStyle w:val="Hyperlink"/>
          </w:rPr>
          <w:t>ETS2:</w:t>
        </w:r>
      </w:hyperlink>
      <w:hyperlink r:id="rId10" w:history="1">
        <w:r w:rsidRPr="002A150B">
          <w:rPr>
            <w:rStyle w:val="Hyperlink"/>
          </w:rPr>
          <w:t xml:space="preserve"> clădiri, transport rutier și alte sectoare</w:t>
        </w:r>
      </w:hyperlink>
      <w:r w:rsidRPr="002A150B">
        <w:t xml:space="preserve"> de pe site-ul Comisiei.</w:t>
      </w:r>
    </w:p>
  </w:footnote>
  <w:footnote w:id="10">
    <w:p w14:paraId="7D7E4375" w14:textId="7D3C7470" w:rsidR="00A54976" w:rsidRPr="002A150B" w:rsidRDefault="00A54976" w:rsidP="00ED4D81">
      <w:pPr>
        <w:pStyle w:val="CMR-footnote"/>
      </w:pPr>
      <w:r w:rsidRPr="002A150B">
        <w:rPr>
          <w:rStyle w:val="FootnoteReference"/>
        </w:rPr>
        <w:footnoteRef/>
      </w:r>
      <w:r w:rsidRPr="002A150B">
        <w:t xml:space="preserve"> Regulamentul (UE) 2023/955 al Parlamentului European și al Consiliului din 10 mai 2023 de instituire a Fondului social pentru climă și de modificare a Regulamentului (UE) 2021/1060 (</w:t>
      </w:r>
      <w:hyperlink r:id="rId11" w:history="1">
        <w:r w:rsidRPr="002A150B">
          <w:rPr>
            <w:rStyle w:val="Hyperlink"/>
          </w:rPr>
          <w:t>JO L 130</w:t>
        </w:r>
      </w:hyperlink>
      <w:r w:rsidRPr="002A150B">
        <w:t>, 16.5.2023).</w:t>
      </w:r>
    </w:p>
  </w:footnote>
  <w:footnote w:id="11">
    <w:p w14:paraId="6AC2751A" w14:textId="1B4CBD3C" w:rsidR="00981812" w:rsidRPr="002A150B" w:rsidRDefault="00981812" w:rsidP="00ED4D81">
      <w:pPr>
        <w:pStyle w:val="CMR-footnote"/>
      </w:pPr>
      <w:r w:rsidRPr="002A150B">
        <w:rPr>
          <w:rStyle w:val="FootnoteReference"/>
        </w:rPr>
        <w:footnoteRef/>
      </w:r>
      <w:r w:rsidRPr="002A150B">
        <w:t xml:space="preserve"> Pentru informații suplimentare, a se vedea pagina privind </w:t>
      </w:r>
      <w:hyperlink r:id="rId12" w:history="1">
        <w:r w:rsidRPr="002A150B">
          <w:rPr>
            <w:rStyle w:val="Hyperlink"/>
          </w:rPr>
          <w:t>Fondul social pentru climă</w:t>
        </w:r>
      </w:hyperlink>
      <w:r w:rsidRPr="002A150B">
        <w:t xml:space="preserve"> de pe site-ul Comisiei. </w:t>
      </w:r>
    </w:p>
  </w:footnote>
  <w:footnote w:id="12">
    <w:p w14:paraId="40D08F50" w14:textId="3E14E592" w:rsidR="00CB0D80" w:rsidRPr="002A150B" w:rsidRDefault="00CB0D80" w:rsidP="00501057">
      <w:pPr>
        <w:pStyle w:val="CMR-footnote"/>
      </w:pPr>
      <w:r w:rsidRPr="002A150B">
        <w:rPr>
          <w:rStyle w:val="FootnoteReference"/>
        </w:rPr>
        <w:footnoteRef/>
      </w:r>
      <w:r w:rsidRPr="002A150B">
        <w:t xml:space="preserve"> Cele zece state membre sunt Belgia, Cehia, Danemarca, Grecia, Finlanda, Croația, Lituania, Letonia, România și Slovacia. </w:t>
      </w:r>
    </w:p>
  </w:footnote>
  <w:footnote w:id="13">
    <w:p w14:paraId="748A86B7" w14:textId="4958DC63" w:rsidR="004505E3" w:rsidRPr="002A150B" w:rsidRDefault="004505E3" w:rsidP="00501057">
      <w:pPr>
        <w:pStyle w:val="CMR-footnote"/>
      </w:pPr>
      <w:r w:rsidRPr="002A150B">
        <w:rPr>
          <w:rStyle w:val="FootnoteReference"/>
        </w:rPr>
        <w:footnoteRef/>
      </w:r>
      <w:r w:rsidRPr="002A150B">
        <w:t xml:space="preserve"> Regulamentul (UE) 2020/852 al Parlamentului European și al Consiliului din 18 iunie 2020 privind instituirea unui cadru care să faciliteze investițiile durabile și de modificare a Regulamentului (UE) 2019/2088 (</w:t>
      </w:r>
      <w:hyperlink r:id="rId13" w:history="1">
        <w:r w:rsidRPr="002A150B">
          <w:rPr>
            <w:rStyle w:val="Hyperlink"/>
          </w:rPr>
          <w:t>JO L 198</w:t>
        </w:r>
      </w:hyperlink>
      <w:r w:rsidRPr="002A150B">
        <w:t>, 22.6.2020).</w:t>
      </w:r>
    </w:p>
  </w:footnote>
  <w:footnote w:id="14">
    <w:p w14:paraId="31035355" w14:textId="6E013F09" w:rsidR="00C735D4" w:rsidRPr="002A150B" w:rsidRDefault="00C735D4" w:rsidP="00501057">
      <w:pPr>
        <w:pStyle w:val="CMR-footnote"/>
      </w:pPr>
      <w:r w:rsidRPr="002A150B">
        <w:rPr>
          <w:rStyle w:val="FootnoteReference"/>
        </w:rPr>
        <w:footnoteRef/>
      </w:r>
      <w:r w:rsidRPr="002A150B">
        <w:t xml:space="preserve"> Pentru informații suplimentare, a se vedea </w:t>
      </w:r>
      <w:hyperlink r:id="rId14" w:history="1">
        <w:r w:rsidRPr="002A150B">
          <w:rPr>
            <w:rStyle w:val="Hyperlink"/>
          </w:rPr>
          <w:t>consultarea privind aplicarea principiului de „a nu aduce prejudicii semnificative” în cadrul Fondului social pentru climă</w:t>
        </w:r>
      </w:hyperlink>
      <w:r w:rsidRPr="002A150B">
        <w:t xml:space="preserve"> de pe site-ul Comisiei. Consultarea s-a încheiat la 23 august 2024. </w:t>
      </w:r>
    </w:p>
  </w:footnote>
  <w:footnote w:id="15">
    <w:p w14:paraId="22BFE530" w14:textId="48309844" w:rsidR="00A6195A" w:rsidRPr="002A150B" w:rsidRDefault="00A6195A" w:rsidP="00B12D16">
      <w:pPr>
        <w:pStyle w:val="CMR-footnote"/>
        <w:jc w:val="both"/>
      </w:pPr>
      <w:r w:rsidRPr="002A150B">
        <w:rPr>
          <w:rStyle w:val="FootnoteReference"/>
        </w:rPr>
        <w:footnoteRef/>
      </w:r>
      <w:r w:rsidRPr="002A150B">
        <w:t xml:space="preserve"> Începând cu 1 ianuarie 2024, domeniul de aplicare al EU ETS pentru aviație se extinde pentru a cuprinde și emisiile generate de majoritatea zborurilor efectuate între SEE și cele nouă regiuni ultraperiferice ale UE, precum și de zborurile care pleacă din regiunile ultraperiferice către Elveția și Regatul Unit (a se vedea capitolul 9). Cantitatea totală de certificate pentru aviație reflectă domeniul de aplicare extins al EU ETS pentru aviație. </w:t>
      </w:r>
    </w:p>
  </w:footnote>
  <w:footnote w:id="16">
    <w:p w14:paraId="3701955F" w14:textId="042CC734" w:rsidR="008233DD" w:rsidRPr="002A150B" w:rsidRDefault="008233DD" w:rsidP="00B12D16">
      <w:pPr>
        <w:pStyle w:val="CMR-footnote"/>
        <w:jc w:val="both"/>
      </w:pPr>
      <w:r w:rsidRPr="002A150B">
        <w:rPr>
          <w:rStyle w:val="FootnoteReference"/>
        </w:rPr>
        <w:footnoteRef/>
      </w:r>
      <w:r w:rsidRPr="002A150B">
        <w:t xml:space="preserve"> Decizia (UE) 2023/1575 a Comisiei din 27 iulie 2023 privind cantitatea de certificate care trebuie emisă pentru întreaga Uniune, pentru anul 2024, în temeiul Schemei UE de comercializare a certificatelor de emisii (</w:t>
      </w:r>
      <w:hyperlink r:id="rId15" w:history="1">
        <w:r w:rsidRPr="002A150B">
          <w:rPr>
            <w:rStyle w:val="Hyperlink"/>
          </w:rPr>
          <w:t>JO L 192</w:t>
        </w:r>
      </w:hyperlink>
      <w:r w:rsidRPr="002A150B">
        <w:t>, 31.7.2023).</w:t>
      </w:r>
    </w:p>
  </w:footnote>
  <w:footnote w:id="17">
    <w:p w14:paraId="4DC409AD" w14:textId="77777777" w:rsidR="00C83D6D" w:rsidRPr="002A150B" w:rsidRDefault="00C83D6D" w:rsidP="00B12D16">
      <w:pPr>
        <w:pStyle w:val="CMR-footnote"/>
        <w:jc w:val="both"/>
      </w:pPr>
      <w:r w:rsidRPr="002A150B">
        <w:rPr>
          <w:rStyle w:val="FootnoteReference"/>
        </w:rPr>
        <w:footnoteRef/>
      </w:r>
      <w:r w:rsidRPr="002A150B">
        <w:t xml:space="preserve"> În practică, cota exactă variază, deoarece volumul certificatelor scoase la licitație a fost redus pentru a contribui la rezerva pentru stabilitatea pieței, în timp ce volumul certificatelor alocate cu titlu gratuit nu s-a modificat.</w:t>
      </w:r>
    </w:p>
  </w:footnote>
  <w:footnote w:id="18">
    <w:p w14:paraId="10687AAF" w14:textId="7FDDB33B" w:rsidR="00441A94" w:rsidRPr="002A150B" w:rsidRDefault="00441A94" w:rsidP="00B12D16">
      <w:pPr>
        <w:pStyle w:val="CMR-footnote"/>
        <w:jc w:val="both"/>
      </w:pPr>
      <w:r w:rsidRPr="002A150B">
        <w:rPr>
          <w:rStyle w:val="FootnoteReference"/>
          <w:rFonts w:cs="Times New Roman"/>
        </w:rPr>
        <w:footnoteRef/>
      </w:r>
      <w:r w:rsidRPr="002A150B">
        <w:t xml:space="preserve"> Regulamentul (UE) nr. 1031/2010 al Comisiei din 12 noiembrie 2010 privind calendarul, administrarea și alte aspecte ale licitării certificatelor de emisii de gaze cu efect de seră în temeiul Directivei 2003/87/CE a Parlamentului European și a Consiliului de stabilire a unui sistem de comercializare a cotelor de emisie de gaze cu efect de seră în cadrul Comunității (</w:t>
      </w:r>
      <w:hyperlink r:id="rId16" w:history="1">
        <w:r w:rsidRPr="002A150B">
          <w:rPr>
            <w:rStyle w:val="Hyperlink"/>
          </w:rPr>
          <w:t>JO L 302</w:t>
        </w:r>
      </w:hyperlink>
      <w:r w:rsidRPr="002A150B">
        <w:t>, 18.11.2010).</w:t>
      </w:r>
    </w:p>
  </w:footnote>
  <w:footnote w:id="19">
    <w:p w14:paraId="0658C3CE" w14:textId="4EFAF1D9" w:rsidR="008E2F22" w:rsidRPr="002A150B" w:rsidRDefault="008E2F22" w:rsidP="008E2F22">
      <w:pPr>
        <w:pStyle w:val="CMR-footnote"/>
      </w:pPr>
      <w:r w:rsidRPr="002A150B">
        <w:rPr>
          <w:rStyle w:val="FootnoteReference"/>
        </w:rPr>
        <w:footnoteRef/>
      </w:r>
      <w:r w:rsidRPr="002A150B">
        <w:t xml:space="preserve"> Regulamentul (UE) 2023/435 al Parlamentului European și al Consiliului din 27 februarie 2023 (</w:t>
      </w:r>
      <w:hyperlink r:id="rId17" w:history="1">
        <w:r w:rsidRPr="002A150B">
          <w:rPr>
            <w:rStyle w:val="Hyperlink"/>
          </w:rPr>
          <w:t>JO L 63</w:t>
        </w:r>
      </w:hyperlink>
      <w:r w:rsidRPr="002A150B">
        <w:t>, 28.2.2023).</w:t>
      </w:r>
    </w:p>
  </w:footnote>
  <w:footnote w:id="20">
    <w:p w14:paraId="3A34107B" w14:textId="5A8B6088" w:rsidR="00C83D6D" w:rsidRPr="002A150B" w:rsidRDefault="00C83D6D" w:rsidP="008E2F22">
      <w:pPr>
        <w:pStyle w:val="CMR-footnote"/>
      </w:pPr>
      <w:r w:rsidRPr="002A150B">
        <w:rPr>
          <w:rStyle w:val="FootnoteReference"/>
        </w:rPr>
        <w:footnoteRef/>
      </w:r>
      <w:r w:rsidRPr="002A150B">
        <w:t xml:space="preserve"> Revizuire normativă, </w:t>
      </w:r>
      <w:hyperlink r:id="rId18" w:history="1">
        <w:r w:rsidRPr="002A150B">
          <w:rPr>
            <w:rStyle w:val="Hyperlink"/>
          </w:rPr>
          <w:t>Publicarea calendarului revizuit al licitațiilor pentru 2023</w:t>
        </w:r>
      </w:hyperlink>
      <w:r w:rsidRPr="002A150B">
        <w:t>, DG Politici Climatice, 23.7.2023.</w:t>
      </w:r>
    </w:p>
  </w:footnote>
  <w:footnote w:id="21">
    <w:p w14:paraId="7A691406" w14:textId="48F25415" w:rsidR="00C83D6D" w:rsidRPr="002A150B" w:rsidRDefault="00C83D6D" w:rsidP="001556F8">
      <w:pPr>
        <w:pStyle w:val="CMR-footnote"/>
      </w:pPr>
      <w:r w:rsidRPr="002A150B">
        <w:rPr>
          <w:rStyle w:val="FootnoteReference"/>
        </w:rPr>
        <w:footnoteRef/>
      </w:r>
      <w:r w:rsidRPr="002A150B">
        <w:t xml:space="preserve"> EEX, </w:t>
      </w:r>
      <w:hyperlink r:id="rId19" w:history="1">
        <w:r w:rsidRPr="002A150B">
          <w:rPr>
            <w:rStyle w:val="Hyperlink"/>
          </w:rPr>
          <w:t>Licitațiile EU ETS</w:t>
        </w:r>
      </w:hyperlink>
      <w:r w:rsidRPr="002A150B">
        <w:t>.</w:t>
      </w:r>
    </w:p>
  </w:footnote>
  <w:footnote w:id="22">
    <w:p w14:paraId="5311F407" w14:textId="56C89188" w:rsidR="002F2FB8" w:rsidRPr="002A150B" w:rsidRDefault="002F2FB8" w:rsidP="002F2FB8">
      <w:pPr>
        <w:pStyle w:val="CMR-footnote"/>
      </w:pPr>
      <w:r w:rsidRPr="002A150B">
        <w:rPr>
          <w:rStyle w:val="FootnoteReference"/>
          <w:rFonts w:cs="Times New Roman"/>
        </w:rPr>
        <w:footnoteRef/>
      </w:r>
      <w:r w:rsidRPr="002A150B">
        <w:t xml:space="preserve"> </w:t>
      </w:r>
      <w:hyperlink r:id="rId20" w:anchor="documentation" w:history="1">
        <w:r w:rsidRPr="002A150B">
          <w:rPr>
            <w:rStyle w:val="Hyperlink"/>
          </w:rPr>
          <w:t>Rapoarte privind licitațiile</w:t>
        </w:r>
      </w:hyperlink>
      <w:r w:rsidRPr="002A150B">
        <w:t>, DG Politici Climatice, 30.6.2024.</w:t>
      </w:r>
    </w:p>
  </w:footnote>
  <w:footnote w:id="23">
    <w:p w14:paraId="386D41A0" w14:textId="1E6F4E1E" w:rsidR="00DE42A8" w:rsidRPr="002A150B" w:rsidRDefault="00DE42A8" w:rsidP="00B12D16">
      <w:pPr>
        <w:pStyle w:val="CMR-footnote"/>
        <w:jc w:val="both"/>
        <w:rPr>
          <w:rStyle w:val="CMR-footnoteChar"/>
        </w:rPr>
      </w:pPr>
      <w:r w:rsidRPr="002A150B">
        <w:rPr>
          <w:rStyle w:val="FootnoteReference"/>
        </w:rPr>
        <w:footnoteRef/>
      </w:r>
      <w:r w:rsidRPr="002A150B">
        <w:t xml:space="preserve"> </w:t>
      </w:r>
      <w:r w:rsidRPr="002A150B">
        <w:rPr>
          <w:rStyle w:val="CMR-footnoteChar"/>
        </w:rPr>
        <w:t>Ar putea avea loc o relocare a emisiilor de dioxid de carbon dacă activitățile reglementate de ETS ar fi transferate în țări din afara UE cu politici climatice mai puțin ambițioase, determinând astfel o creștere a emisiilor totale de gaze cu efect de seră.</w:t>
      </w:r>
    </w:p>
  </w:footnote>
  <w:footnote w:id="24">
    <w:p w14:paraId="7F6F0765" w14:textId="5D753D03" w:rsidR="00462E0F" w:rsidRPr="002A150B" w:rsidRDefault="00462E0F" w:rsidP="00B12D16">
      <w:pPr>
        <w:pStyle w:val="CMR-footnote"/>
        <w:jc w:val="both"/>
      </w:pPr>
      <w:r w:rsidRPr="002A150B">
        <w:rPr>
          <w:rStyle w:val="FootnoteReference"/>
        </w:rPr>
        <w:footnoteRef/>
      </w:r>
      <w:r w:rsidRPr="002A150B">
        <w:t xml:space="preserve"> </w:t>
      </w:r>
      <w:r w:rsidRPr="002A150B">
        <w:rPr>
          <w:rStyle w:val="CMR-footnoteChar"/>
        </w:rPr>
        <w:t>Decizia delegată (UE) 2019/708 a Comisiei din 15 februarie 2019 de completare a Directivei 2003/87/CE a Parlamentului European și a Consiliului în ceea ce privește stabilirea sectoarelor și subsectoarelor considerate ca fiind expuse riscului de relocare a emisiilor de dioxid de carbon pentru perioada 2021-2030 (</w:t>
      </w:r>
      <w:hyperlink r:id="rId21" w:history="1">
        <w:r w:rsidRPr="002A150B">
          <w:rPr>
            <w:rStyle w:val="Hyperlink"/>
          </w:rPr>
          <w:t>JO L 120</w:t>
        </w:r>
      </w:hyperlink>
      <w:r w:rsidRPr="002A150B">
        <w:rPr>
          <w:rStyle w:val="CMR-footnoteChar"/>
        </w:rPr>
        <w:t>, 8.5.2019).</w:t>
      </w:r>
    </w:p>
  </w:footnote>
  <w:footnote w:id="25">
    <w:p w14:paraId="2C18D473" w14:textId="6354E6DC" w:rsidR="00882D9C" w:rsidRPr="002A150B" w:rsidRDefault="00882D9C" w:rsidP="00B12D16">
      <w:pPr>
        <w:pStyle w:val="CMR-footnote"/>
        <w:jc w:val="both"/>
      </w:pPr>
      <w:r w:rsidRPr="002A150B">
        <w:rPr>
          <w:rStyle w:val="FootnoteReference"/>
        </w:rPr>
        <w:footnoteRef/>
      </w:r>
      <w:r w:rsidRPr="002A150B">
        <w:t xml:space="preserve"> </w:t>
      </w:r>
      <w:r w:rsidRPr="002A150B">
        <w:rPr>
          <w:rStyle w:val="CMR-footnoteChar"/>
        </w:rPr>
        <w:t>Regulamentul de punere în aplicare (UE) 2021/447 al Comisiei din 12 martie 2021 de stabilire a valorilor de referință revizuite pentru alocarea cu titlu gratuit a certificatelor de emisii pentru perioada 2021-2025, în temeiul articolului 10a alineatul (2) din Directiva 2003/87/CE a Parlamentului European și a Consiliului (</w:t>
      </w:r>
      <w:hyperlink r:id="rId22" w:history="1">
        <w:r w:rsidRPr="002A150B">
          <w:rPr>
            <w:rStyle w:val="Hyperlink"/>
          </w:rPr>
          <w:t>JO L 87</w:t>
        </w:r>
      </w:hyperlink>
      <w:r w:rsidRPr="002A150B">
        <w:rPr>
          <w:rStyle w:val="CMR-footnoteChar"/>
        </w:rPr>
        <w:t>, 15.3.2021)</w:t>
      </w:r>
      <w:r w:rsidRPr="002A150B">
        <w:t>.</w:t>
      </w:r>
    </w:p>
  </w:footnote>
  <w:footnote w:id="26">
    <w:p w14:paraId="58F13F43" w14:textId="62EA821D" w:rsidR="2FB941BE" w:rsidRPr="002A150B" w:rsidRDefault="2FB941BE" w:rsidP="00B12D16">
      <w:pPr>
        <w:pStyle w:val="CMR-footnote"/>
        <w:jc w:val="both"/>
      </w:pPr>
      <w:r w:rsidRPr="002A150B">
        <w:rPr>
          <w:vertAlign w:val="superscript"/>
        </w:rPr>
        <w:footnoteRef/>
      </w:r>
      <w:r w:rsidRPr="002A150B">
        <w:rPr>
          <w:vertAlign w:val="superscript"/>
        </w:rPr>
        <w:t xml:space="preserve"> </w:t>
      </w:r>
      <w:r w:rsidRPr="002A150B">
        <w:t>Regulamentul de punere în aplicare (UE) 2019/1842 al Comisiei din 31 octombrie 2019 de stabilire a normelor de aplicare a Directivei 2003/87/CE a Parlamentului European și a Consiliului în ceea ce privește noi modalități de ajustare a alocării cu titlu gratuit a cotelor de emisii din cauza modificării nivelului de activitate (</w:t>
      </w:r>
      <w:hyperlink r:id="rId23" w:history="1">
        <w:r w:rsidRPr="002A150B">
          <w:rPr>
            <w:rStyle w:val="Hyperlink"/>
          </w:rPr>
          <w:t>JO L 282</w:t>
        </w:r>
      </w:hyperlink>
      <w:r w:rsidRPr="002A150B">
        <w:t>, 4.11.2019).</w:t>
      </w:r>
    </w:p>
  </w:footnote>
  <w:footnote w:id="27">
    <w:p w14:paraId="310C312F" w14:textId="77777777" w:rsidR="00F43884" w:rsidRPr="002A150B" w:rsidRDefault="00F43884" w:rsidP="00B12D16">
      <w:pPr>
        <w:pStyle w:val="CMR-footnote"/>
        <w:jc w:val="both"/>
      </w:pPr>
      <w:r w:rsidRPr="002A150B">
        <w:rPr>
          <w:vertAlign w:val="superscript"/>
        </w:rPr>
        <w:footnoteRef/>
      </w:r>
      <w:r w:rsidRPr="002A150B">
        <w:t xml:space="preserve"> De asemenea, Autoritatea de supraveghere a Acordului european de liber schimb a adoptat decizii pentru Islanda, Liechtenstein și Norvegia.</w:t>
      </w:r>
    </w:p>
  </w:footnote>
  <w:footnote w:id="28">
    <w:p w14:paraId="4E449934" w14:textId="77777777" w:rsidR="00DE3719" w:rsidRPr="002A150B" w:rsidRDefault="00DE3719" w:rsidP="00B12D16">
      <w:pPr>
        <w:pStyle w:val="CMR-footnote"/>
        <w:jc w:val="both"/>
      </w:pPr>
      <w:r w:rsidRPr="002A150B">
        <w:rPr>
          <w:vertAlign w:val="superscript"/>
        </w:rPr>
        <w:footnoteRef/>
      </w:r>
      <w:r w:rsidRPr="002A150B">
        <w:rPr>
          <w:vertAlign w:val="superscript"/>
        </w:rPr>
        <w:t xml:space="preserve"> </w:t>
      </w:r>
      <w:r w:rsidRPr="002A150B">
        <w:t>De asemenea, Autoritatea de supraveghere a Acordului european de liber schimb a adoptat decizii pentru Islanda, Liechtenstein și Norvegia.</w:t>
      </w:r>
    </w:p>
  </w:footnote>
  <w:footnote w:id="29">
    <w:p w14:paraId="10B6E578" w14:textId="06FB0A96" w:rsidR="00756789" w:rsidRPr="002A150B" w:rsidRDefault="00756789" w:rsidP="00B12D16">
      <w:pPr>
        <w:pStyle w:val="CMR-footnote"/>
        <w:jc w:val="both"/>
      </w:pPr>
      <w:r w:rsidRPr="002A150B">
        <w:rPr>
          <w:rStyle w:val="FootnoteReference"/>
        </w:rPr>
        <w:footnoteRef/>
      </w:r>
      <w:r w:rsidRPr="002A150B">
        <w:t xml:space="preserve"> Regulamentul delegat (UE) 2024/873 al Comisiei din 30 ianuarie 2024 de modificare a Regulamentului delegat (UE) 2019/331 în ceea ce privește normele tranzitorii pentru întreaga Uniune privind alocarea armonizată și cu titlu gratuit a certificatelor de emisii (</w:t>
      </w:r>
      <w:hyperlink r:id="rId24" w:history="1">
        <w:r w:rsidRPr="002A150B">
          <w:rPr>
            <w:rStyle w:val="Hyperlink"/>
          </w:rPr>
          <w:t>JO L, 2024/873</w:t>
        </w:r>
      </w:hyperlink>
      <w:r w:rsidRPr="002A150B">
        <w:t xml:space="preserve">, 4.4.2024). A se vedea </w:t>
      </w:r>
      <w:hyperlink r:id="rId25" w:history="1">
        <w:r w:rsidRPr="002A150B">
          <w:rPr>
            <w:rStyle w:val="Hyperlink"/>
          </w:rPr>
          <w:t>textul consolidat</w:t>
        </w:r>
      </w:hyperlink>
      <w:r w:rsidRPr="002A150B">
        <w:t>.</w:t>
      </w:r>
    </w:p>
  </w:footnote>
  <w:footnote w:id="30">
    <w:p w14:paraId="31736388" w14:textId="474C3314" w:rsidR="002C446D" w:rsidRPr="002A150B" w:rsidRDefault="002C446D" w:rsidP="00B12D16">
      <w:pPr>
        <w:pStyle w:val="CMR-footnote"/>
        <w:jc w:val="both"/>
      </w:pPr>
      <w:r w:rsidRPr="002A150B">
        <w:rPr>
          <w:vertAlign w:val="superscript"/>
        </w:rPr>
        <w:footnoteRef/>
      </w:r>
      <w:r w:rsidRPr="002A150B">
        <w:t xml:space="preserve"> Regulamentul (UE) 2023/956 al Parlamentului European și al Consiliului din 10 mai 2023 privind instituirea unui mecanism de ajustare a carbonului la frontieră (</w:t>
      </w:r>
      <w:hyperlink r:id="rId26" w:history="1">
        <w:r w:rsidRPr="002A150B">
          <w:rPr>
            <w:rStyle w:val="Hyperlink"/>
          </w:rPr>
          <w:t>JO L 130</w:t>
        </w:r>
      </w:hyperlink>
      <w:r w:rsidRPr="002A150B">
        <w:t>, 16.5.2023).</w:t>
      </w:r>
    </w:p>
  </w:footnote>
  <w:footnote w:id="31">
    <w:p w14:paraId="2FC4C823" w14:textId="77777777" w:rsidR="0091504C" w:rsidRPr="002A150B" w:rsidRDefault="0091504C" w:rsidP="0091504C">
      <w:pPr>
        <w:pStyle w:val="CMR-footnote"/>
      </w:pPr>
      <w:r w:rsidRPr="002A150B">
        <w:rPr>
          <w:rStyle w:val="FootnoteReference"/>
        </w:rPr>
        <w:footnoteRef/>
      </w:r>
      <w:r w:rsidRPr="002A150B">
        <w:t xml:space="preserve"> Referința contractului: CLIMA/A4/FWC/2023/0002/RICARDO.</w:t>
      </w:r>
    </w:p>
  </w:footnote>
  <w:footnote w:id="32">
    <w:p w14:paraId="285F9E90" w14:textId="77777777" w:rsidR="001C671A" w:rsidRPr="002A150B" w:rsidRDefault="001C671A" w:rsidP="00B12D16">
      <w:pPr>
        <w:pStyle w:val="CMR-footnote"/>
        <w:jc w:val="both"/>
      </w:pPr>
      <w:r w:rsidRPr="002A150B">
        <w:rPr>
          <w:rStyle w:val="FootnoteReference"/>
        </w:rPr>
        <w:footnoteRef/>
      </w:r>
      <w:r w:rsidRPr="002A150B">
        <w:t xml:space="preserve"> Această evaluare nu va schimba rezultatul evaluării în urma căreia se stabilește lista privind riscul de relocare a emisiilor de dioxid de carbon pentru perioada 2021-2030 la nivel de cod NACE de 4 cifre.</w:t>
      </w:r>
    </w:p>
  </w:footnote>
  <w:footnote w:id="33">
    <w:p w14:paraId="44AE3217" w14:textId="703EC24D" w:rsidR="00853A37" w:rsidRPr="002A150B" w:rsidRDefault="00853A37" w:rsidP="00B12D16">
      <w:pPr>
        <w:pStyle w:val="CMR-footnote"/>
        <w:jc w:val="both"/>
      </w:pPr>
      <w:r w:rsidRPr="002A150B">
        <w:rPr>
          <w:rStyle w:val="FootnoteReference"/>
        </w:rPr>
        <w:footnoteRef/>
      </w:r>
      <w:r w:rsidRPr="002A150B">
        <w:t xml:space="preserve"> Valorile intensității emisiilor au fost preluate din publicațiile </w:t>
      </w:r>
      <w:hyperlink r:id="rId27" w:history="1">
        <w:r w:rsidRPr="002A150B">
          <w:rPr>
            <w:rStyle w:val="Hyperlink"/>
            <w:i/>
            <w:iCs/>
          </w:rPr>
          <w:t>Greenhouse gas emission intensities of the steel, fertilisers, aluminium and cement industries in the EU and its main trading partners</w:t>
        </w:r>
      </w:hyperlink>
      <w:r w:rsidRPr="002A150B">
        <w:t xml:space="preserve"> (Intensitățile emisiilor de gaze cu efect de seră în industriile oțelului, îngrășămintelor, aluminiului și cimentului din UE și din principalii săi parteneri comerciali) și </w:t>
      </w:r>
      <w:hyperlink r:id="rId28" w:history="1">
        <w:r w:rsidRPr="002A150B">
          <w:rPr>
            <w:rStyle w:val="Hyperlink"/>
            <w:i/>
            <w:iCs/>
          </w:rPr>
          <w:t>Estimation of the global average GHG emission intensity of hydrogen production</w:t>
        </w:r>
      </w:hyperlink>
      <w:r w:rsidRPr="002A150B">
        <w:t xml:space="preserve"> (Estimare a intensității medii globale a emisiilor de GES generate de producția de hidrogen) ale Centrului Comun de Cercetare (2023). Aceste valori ale emisiilor – atât directe, cât și indirecte – aferente mărfurilor CBAM au fost apoi înmulțite cu datele PRODCOM din 2019 privind volumul producției vândute și împărțite la datele PRODCOM din 2019 privind valoarea producției vândute. Valoarea intensității GES pentru hidrogen a fost calculată pe baza datelor din 2021. Autorul a confirmat că valoarea nu ar trebui să se modifice semnificativ, astfel încât în cadrul evaluării s-a presupus că aceeași valoare se va aplica și pentru 2019.</w:t>
      </w:r>
    </w:p>
  </w:footnote>
  <w:footnote w:id="34">
    <w:p w14:paraId="69C46901" w14:textId="3D90DD97" w:rsidR="00853A37" w:rsidRPr="002A150B" w:rsidRDefault="00853A37" w:rsidP="00B12D16">
      <w:pPr>
        <w:pStyle w:val="CMR-footnote"/>
        <w:jc w:val="both"/>
      </w:pPr>
      <w:r w:rsidRPr="002A150B">
        <w:rPr>
          <w:rStyle w:val="FootnoteReference"/>
        </w:rPr>
        <w:footnoteRef/>
      </w:r>
      <w:r w:rsidRPr="002A150B">
        <w:t xml:space="preserve"> Pentru valorile producției, importurilor și exporturilor au fost utilizate datele PRODCOM referitoare la anul 2022. </w:t>
      </w:r>
    </w:p>
  </w:footnote>
  <w:footnote w:id="35">
    <w:p w14:paraId="225061AB" w14:textId="49B55E38" w:rsidR="00B92A34" w:rsidRPr="002A150B" w:rsidRDefault="00B92A34" w:rsidP="00B12D16">
      <w:pPr>
        <w:pStyle w:val="CMR-footnote"/>
        <w:jc w:val="both"/>
      </w:pPr>
      <w:r w:rsidRPr="002A150B">
        <w:rPr>
          <w:rStyle w:val="FootnoteReference"/>
        </w:rPr>
        <w:footnoteRef/>
      </w:r>
      <w:r w:rsidRPr="002A150B">
        <w:rPr>
          <w:rStyle w:val="FootnoteReference"/>
          <w:vertAlign w:val="baseline"/>
        </w:rPr>
        <w:t xml:space="preserve"> </w:t>
      </w:r>
      <w:r w:rsidRPr="002A150B">
        <w:t>Vor fi necesare informații suplimentare, de exemplu cu privire la modelele comerciale cu țările terțe și la tarifarea CO</w:t>
      </w:r>
      <w:r w:rsidRPr="002A150B">
        <w:rPr>
          <w:vertAlign w:val="subscript"/>
        </w:rPr>
        <w:t>2</w:t>
      </w:r>
      <w:r w:rsidRPr="002A150B">
        <w:t xml:space="preserve"> aplicată în străinătate, înainte de a se putea ajunge la concluzii mai definitive cu privire la statutul de risc de relocare a emisiilor de dioxid de carbon al mărfurilor care fac obiectul CBAM. </w:t>
      </w:r>
    </w:p>
  </w:footnote>
  <w:footnote w:id="36">
    <w:p w14:paraId="0CD55EE0" w14:textId="262B8E06" w:rsidR="009235E6" w:rsidRPr="002A150B" w:rsidRDefault="009235E6" w:rsidP="00B12D16">
      <w:pPr>
        <w:pStyle w:val="CMR-footnote"/>
        <w:jc w:val="both"/>
      </w:pPr>
      <w:r w:rsidRPr="002A150B">
        <w:rPr>
          <w:rStyle w:val="FootnoteReference"/>
        </w:rPr>
        <w:footnoteRef/>
      </w:r>
      <w:r w:rsidRPr="002A150B">
        <w:t xml:space="preserve"> Valorile indicatorului combinat de la nivelul de 8 cifre sunt mai mici decât valorile CLI calculate la nivelul de 4 cifre, deoarece intensitatea comerțului se referă numai la exporturi, iar datele privind valoarea adăugată brută (VAB) sunt înlocuite de valoarea producției (care este mai mică în comparație) și, prin urmare, valoarea-prag de 0,2 aplicată în lista privind riscul de relocare a emisiilor de dioxid de carbon din perioada 2021-2030 pentru a determina sectoarele sau subsectoarele expuse acestui risc nu poate fi aplicată direct valorilor indicatorului combinat calculate pentru mărfurile CBAM la nivelul de 8 cifre. </w:t>
      </w:r>
    </w:p>
  </w:footnote>
  <w:footnote w:id="37">
    <w:p w14:paraId="77F6049B" w14:textId="000B996A" w:rsidR="00B14664" w:rsidRPr="002A150B" w:rsidRDefault="00B14664" w:rsidP="00B12D16">
      <w:pPr>
        <w:pStyle w:val="CMR-footnote"/>
        <w:jc w:val="both"/>
      </w:pPr>
      <w:r w:rsidRPr="002A150B">
        <w:rPr>
          <w:rStyle w:val="FootnoteReference"/>
        </w:rPr>
        <w:footnoteRef/>
      </w:r>
      <w:r w:rsidRPr="002A150B">
        <w:t xml:space="preserve"> Comunicare a Comisiei – Publicarea numărului total de certificate aflate în circulație în 2023 în scopul rezervei pentru stabilitatea pieței în temeiul schemei UE de comercializare a certificatelor de emisii instituită prin Directiva 2003/87/CE (</w:t>
      </w:r>
      <w:hyperlink r:id="rId29" w:history="1">
        <w:r w:rsidRPr="002A150B">
          <w:rPr>
            <w:rStyle w:val="Hyperlink"/>
          </w:rPr>
          <w:t>JO C, C/2024/3415</w:t>
        </w:r>
      </w:hyperlink>
      <w:r w:rsidRPr="002A150B">
        <w:t>, 3.6.2024).</w:t>
      </w:r>
    </w:p>
  </w:footnote>
  <w:footnote w:id="38">
    <w:p w14:paraId="4BD64959" w14:textId="19FEA982" w:rsidR="00A50B6E" w:rsidRPr="002A150B" w:rsidRDefault="00A50B6E" w:rsidP="00B12D16">
      <w:pPr>
        <w:pStyle w:val="CMR-footnote"/>
        <w:jc w:val="both"/>
      </w:pPr>
      <w:r w:rsidRPr="002A150B">
        <w:rPr>
          <w:rStyle w:val="FootnoteReference"/>
        </w:rPr>
        <w:footnoteRef/>
      </w:r>
      <w:r w:rsidRPr="002A150B">
        <w:t xml:space="preserve"> </w:t>
      </w:r>
      <w:hyperlink r:id="rId30" w:history="1">
        <w:r w:rsidRPr="002A150B">
          <w:rPr>
            <w:rStyle w:val="Hyperlink"/>
          </w:rPr>
          <w:t>Notificarea de către Germania a anulării voluntare pentru instalațiile închise în 2022</w:t>
        </w:r>
      </w:hyperlink>
      <w:r w:rsidRPr="002A150B">
        <w:t>, DG Politici Climatice, 2.5.2024.</w:t>
      </w:r>
    </w:p>
  </w:footnote>
  <w:footnote w:id="39">
    <w:p w14:paraId="5121BCE5" w14:textId="6304DD9A" w:rsidR="00EC2FDE" w:rsidRPr="002A150B" w:rsidRDefault="00EC2FDE" w:rsidP="00B12D16">
      <w:pPr>
        <w:pStyle w:val="CMR-footnote"/>
        <w:jc w:val="both"/>
      </w:pPr>
      <w:r w:rsidRPr="002A150B">
        <w:rPr>
          <w:rStyle w:val="FootnoteReference"/>
        </w:rPr>
        <w:footnoteRef/>
      </w:r>
      <w:r w:rsidRPr="002A150B">
        <w:t xml:space="preserve"> Directiva 2014/65/UE a Parlamentului European și a Consiliului din 15 mai 2014 privind piețele instrumentelor financiare (</w:t>
      </w:r>
      <w:hyperlink r:id="rId31" w:history="1">
        <w:r w:rsidRPr="002A150B">
          <w:rPr>
            <w:rStyle w:val="Hyperlink"/>
          </w:rPr>
          <w:t>JO L 173</w:t>
        </w:r>
      </w:hyperlink>
      <w:r w:rsidRPr="002A150B">
        <w:t xml:space="preserve">, 12.6.2014). A se vedea </w:t>
      </w:r>
      <w:hyperlink r:id="rId32" w:history="1">
        <w:r w:rsidRPr="002A150B">
          <w:rPr>
            <w:rStyle w:val="Hyperlink"/>
          </w:rPr>
          <w:t>versiunea consolidată</w:t>
        </w:r>
      </w:hyperlink>
      <w:r w:rsidRPr="002A150B">
        <w:t xml:space="preserve">. </w:t>
      </w:r>
    </w:p>
  </w:footnote>
  <w:footnote w:id="40">
    <w:p w14:paraId="23199287" w14:textId="77C39D1C" w:rsidR="00FB65F5" w:rsidRPr="002A150B" w:rsidRDefault="00FB65F5" w:rsidP="00B12D16">
      <w:pPr>
        <w:pStyle w:val="CMR-footnote"/>
        <w:jc w:val="both"/>
      </w:pPr>
      <w:r w:rsidRPr="002A150B">
        <w:rPr>
          <w:rStyle w:val="FootnoteReference"/>
        </w:rPr>
        <w:footnoteRef/>
      </w:r>
      <w:r w:rsidRPr="002A150B">
        <w:t xml:space="preserve"> A se vedea lista autorităților naționale competente responsabile în temeiul Regulamentului privind abuzul de piață pe </w:t>
      </w:r>
      <w:hyperlink r:id="rId33" w:history="1">
        <w:r w:rsidRPr="002A150B">
          <w:rPr>
            <w:rStyle w:val="Hyperlink"/>
          </w:rPr>
          <w:t>site-ul ESMA</w:t>
        </w:r>
      </w:hyperlink>
      <w:r w:rsidRPr="002A150B">
        <w:t>.</w:t>
      </w:r>
    </w:p>
  </w:footnote>
  <w:footnote w:id="41">
    <w:p w14:paraId="4E9D27D8" w14:textId="6AB4CC36" w:rsidR="00DE7C5D" w:rsidRPr="002A150B" w:rsidRDefault="00DE7C5D" w:rsidP="00B12D16">
      <w:pPr>
        <w:pStyle w:val="CMR-footnote"/>
        <w:jc w:val="both"/>
      </w:pPr>
      <w:r w:rsidRPr="002A150B">
        <w:rPr>
          <w:rStyle w:val="FootnoteReference"/>
        </w:rPr>
        <w:footnoteRef/>
      </w:r>
      <w:r w:rsidRPr="002A150B">
        <w:t xml:space="preserve"> Regulamentul (UE) nr. 596/2014 al Parlamentului European și al Consiliului din 16 aprilie 2014 privind abuzul de piață (</w:t>
      </w:r>
      <w:hyperlink r:id="rId34" w:history="1">
        <w:r w:rsidRPr="002A150B">
          <w:rPr>
            <w:rStyle w:val="Hyperlink"/>
          </w:rPr>
          <w:t>JO L 173</w:t>
        </w:r>
      </w:hyperlink>
      <w:r w:rsidRPr="002A150B">
        <w:t xml:space="preserve">, 12.6.2014). A se vedea </w:t>
      </w:r>
      <w:hyperlink r:id="rId35" w:history="1">
        <w:r w:rsidRPr="002A150B">
          <w:rPr>
            <w:rStyle w:val="Hyperlink"/>
          </w:rPr>
          <w:t>versiunea consolidată</w:t>
        </w:r>
      </w:hyperlink>
      <w:r w:rsidRPr="002A150B">
        <w:t xml:space="preserve">. </w:t>
      </w:r>
    </w:p>
  </w:footnote>
  <w:footnote w:id="42">
    <w:p w14:paraId="04A29390" w14:textId="6086B638" w:rsidR="00F1285D" w:rsidRPr="002A150B" w:rsidRDefault="00F1285D" w:rsidP="00B12D16">
      <w:pPr>
        <w:pStyle w:val="CMR-footnote"/>
        <w:jc w:val="both"/>
      </w:pPr>
      <w:r w:rsidRPr="002A150B">
        <w:rPr>
          <w:rStyle w:val="FootnoteReference"/>
        </w:rPr>
        <w:footnoteRef/>
      </w:r>
      <w:r w:rsidRPr="002A150B">
        <w:t xml:space="preserve"> Raportul de piață al ESMA privind </w:t>
      </w:r>
      <w:hyperlink r:id="rId36" w:history="1">
        <w:r w:rsidRPr="002A150B">
          <w:t>piețele carbonului din UE – 2024</w:t>
        </w:r>
      </w:hyperlink>
      <w:r w:rsidRPr="002A150B">
        <w:t xml:space="preserve"> (</w:t>
      </w:r>
      <w:hyperlink r:id="rId37" w:history="1">
        <w:r w:rsidRPr="002A150B">
          <w:rPr>
            <w:rStyle w:val="Hyperlink"/>
          </w:rPr>
          <w:t>ESMA50-43599798-10379</w:t>
        </w:r>
      </w:hyperlink>
      <w:r w:rsidRPr="002A150B">
        <w:t>, 7.10.2024).</w:t>
      </w:r>
    </w:p>
  </w:footnote>
  <w:footnote w:id="43">
    <w:p w14:paraId="3717E9EE" w14:textId="73D3EAEE" w:rsidR="000C4C3C" w:rsidRPr="002A150B" w:rsidRDefault="000C4C3C" w:rsidP="00B12D16">
      <w:pPr>
        <w:pStyle w:val="CMR-footnote"/>
        <w:jc w:val="both"/>
      </w:pPr>
      <w:r w:rsidRPr="002A150B">
        <w:rPr>
          <w:rStyle w:val="FootnoteReference"/>
        </w:rPr>
        <w:footnoteRef/>
      </w:r>
      <w:r w:rsidRPr="002A150B">
        <w:t xml:space="preserve"> Regulamentul delegat (UE) 2019/1122 al Comisiei din 12 martie 2019 de completare a Directivei 2003/87/CE a Parlamentului European și a Consiliului în ceea ce privește funcționarea registrului Uniunii (</w:t>
      </w:r>
      <w:hyperlink r:id="rId38" w:history="1">
        <w:r w:rsidRPr="002A150B">
          <w:rPr>
            <w:rStyle w:val="Hyperlink"/>
          </w:rPr>
          <w:t>JO L 177</w:t>
        </w:r>
      </w:hyperlink>
      <w:r w:rsidRPr="002A150B">
        <w:t xml:space="preserve">, 2.7.2019). A se vedea </w:t>
      </w:r>
      <w:hyperlink r:id="rId39" w:history="1">
        <w:r w:rsidRPr="002A150B">
          <w:rPr>
            <w:rStyle w:val="Hyperlink"/>
          </w:rPr>
          <w:t>versiunea consolidată</w:t>
        </w:r>
      </w:hyperlink>
      <w:r w:rsidRPr="002A150B">
        <w:t>.</w:t>
      </w:r>
    </w:p>
  </w:footnote>
  <w:footnote w:id="44">
    <w:p w14:paraId="6EA1F648" w14:textId="612DCA4D" w:rsidR="00350F38" w:rsidRPr="002A150B" w:rsidRDefault="0067277D" w:rsidP="00B12D16">
      <w:pPr>
        <w:pStyle w:val="CMR-footnote"/>
        <w:jc w:val="both"/>
      </w:pPr>
      <w:r w:rsidRPr="002A150B">
        <w:rPr>
          <w:rStyle w:val="FootnoteReference"/>
        </w:rPr>
        <w:footnoteRef/>
      </w:r>
      <w:r w:rsidRPr="002A150B">
        <w:t xml:space="preserve"> Directiva (UE) 2024/790 a Parlamentului European și a Consiliului din 28 februarie 2024 de modificare a Directivei 2014/65/UE privind piețele instrumentelor financiare (</w:t>
      </w:r>
      <w:hyperlink r:id="rId40" w:history="1">
        <w:r w:rsidRPr="002A150B">
          <w:rPr>
            <w:rStyle w:val="Hyperlink"/>
          </w:rPr>
          <w:t>JO L, 2024/790</w:t>
        </w:r>
      </w:hyperlink>
      <w:r w:rsidRPr="002A150B">
        <w:t xml:space="preserve">, 8.3.2024). A se vedea </w:t>
      </w:r>
      <w:hyperlink r:id="rId41" w:history="1">
        <w:r w:rsidRPr="002A150B">
          <w:rPr>
            <w:rStyle w:val="Hyperlink"/>
          </w:rPr>
          <w:t>versiunea consolidată</w:t>
        </w:r>
      </w:hyperlink>
      <w:r w:rsidRPr="002A150B">
        <w:t xml:space="preserve">. </w:t>
      </w:r>
    </w:p>
  </w:footnote>
  <w:footnote w:id="45">
    <w:p w14:paraId="48DAD65D" w14:textId="1282C119" w:rsidR="00B362EB" w:rsidRPr="002A150B" w:rsidRDefault="00B362EB" w:rsidP="00B12D16">
      <w:pPr>
        <w:pStyle w:val="CMR-footnote"/>
        <w:jc w:val="both"/>
      </w:pPr>
      <w:r w:rsidRPr="002A150B">
        <w:rPr>
          <w:rStyle w:val="FootnoteReference"/>
        </w:rPr>
        <w:footnoteRef/>
      </w:r>
      <w:r w:rsidRPr="002A150B">
        <w:t xml:space="preserve"> Regulamentul (UE) 2024/791 al Parlamentului European și al Consiliului din 28 februarie 2024 de modificare a Regulamentului (UE) nr. 600/2014 al Parlamentului European și al Consiliului din 15 mai 2014 privind piețele instrumentelor financiare (</w:t>
      </w:r>
      <w:hyperlink r:id="rId42" w:history="1">
        <w:r w:rsidRPr="002A150B">
          <w:rPr>
            <w:rStyle w:val="Hyperlink"/>
          </w:rPr>
          <w:t>JO L, 2024/791</w:t>
        </w:r>
      </w:hyperlink>
      <w:r w:rsidRPr="002A150B">
        <w:t xml:space="preserve">, 8.3.2024). A se vedea </w:t>
      </w:r>
      <w:hyperlink r:id="rId43" w:history="1">
        <w:r w:rsidRPr="002A150B">
          <w:rPr>
            <w:rStyle w:val="Hyperlink"/>
          </w:rPr>
          <w:t>versiunea consolidată</w:t>
        </w:r>
      </w:hyperlink>
      <w:r w:rsidRPr="002A150B">
        <w:t xml:space="preserve">. </w:t>
      </w:r>
    </w:p>
  </w:footnote>
  <w:footnote w:id="46">
    <w:p w14:paraId="04C1ADC5" w14:textId="10FE28B8" w:rsidR="005D5E97" w:rsidRPr="002A150B" w:rsidRDefault="005D5E97" w:rsidP="00CA0B88">
      <w:pPr>
        <w:pStyle w:val="CMR-footnote"/>
        <w:jc w:val="both"/>
      </w:pPr>
      <w:r w:rsidRPr="002A150B">
        <w:rPr>
          <w:rStyle w:val="FootnoteReference"/>
        </w:rPr>
        <w:footnoteRef/>
      </w:r>
      <w:r w:rsidRPr="002A150B">
        <w:t xml:space="preserve"> Obligația de a publica două rapoarte se referă numai la locurile de tranzacționare care oferă atât contracte futures, cât și contracte de opțiuni. Locurile de tranzacționare care oferă numai contracte futures vor continua să publice un singur raport.</w:t>
      </w:r>
    </w:p>
  </w:footnote>
  <w:footnote w:id="47">
    <w:p w14:paraId="3C1364D3" w14:textId="5EFE621A" w:rsidR="008D7DC1" w:rsidRPr="002A150B" w:rsidRDefault="008D7DC1" w:rsidP="00CA0B88">
      <w:pPr>
        <w:pStyle w:val="CMR-footnote"/>
        <w:jc w:val="both"/>
      </w:pPr>
      <w:r w:rsidRPr="002A150B">
        <w:rPr>
          <w:rStyle w:val="FootnoteReference"/>
        </w:rPr>
        <w:footnoteRef/>
      </w:r>
      <w:r w:rsidRPr="002A150B">
        <w:t xml:space="preserve"> Regulamentul (UE) nr. 648/2012 al Parlamentului European și al Consiliului din 4 iulie 2012 privind instrumentele financiare derivate extrabursiere, contrapărțile centrale și registrele centrale de tranzacții (</w:t>
      </w:r>
      <w:hyperlink r:id="rId44" w:history="1">
        <w:r w:rsidRPr="002A150B">
          <w:rPr>
            <w:rStyle w:val="Hyperlink"/>
          </w:rPr>
          <w:t>JO L 201</w:t>
        </w:r>
      </w:hyperlink>
      <w:r w:rsidRPr="002A150B">
        <w:t xml:space="preserve">, 27.7.2012). A se vedea </w:t>
      </w:r>
      <w:hyperlink r:id="rId45" w:history="1">
        <w:r w:rsidRPr="002A150B">
          <w:rPr>
            <w:rStyle w:val="Hyperlink"/>
          </w:rPr>
          <w:t>versiunea consolidată</w:t>
        </w:r>
      </w:hyperlink>
      <w:r w:rsidRPr="002A150B">
        <w:t xml:space="preserve">. </w:t>
      </w:r>
    </w:p>
  </w:footnote>
  <w:footnote w:id="48">
    <w:p w14:paraId="629C332C" w14:textId="267F657F" w:rsidR="00DD7293" w:rsidRPr="002A150B" w:rsidRDefault="00DD7293" w:rsidP="00CA0B88">
      <w:pPr>
        <w:pStyle w:val="CMR-footnote"/>
        <w:jc w:val="both"/>
      </w:pPr>
      <w:r w:rsidRPr="002A150B">
        <w:rPr>
          <w:rStyle w:val="FootnoteReference"/>
        </w:rPr>
        <w:footnoteRef/>
      </w:r>
      <w:r w:rsidRPr="002A150B">
        <w:t xml:space="preserve"> </w:t>
      </w:r>
      <w:hyperlink r:id="rId46" w:history="1">
        <w:r w:rsidRPr="002A150B">
          <w:rPr>
            <w:rStyle w:val="Hyperlink"/>
            <w:i/>
            <w:iCs/>
          </w:rPr>
          <w:t>Consultation Paper on the amendments to certain technical standards for commodity derivatives</w:t>
        </w:r>
      </w:hyperlink>
      <w:r w:rsidRPr="002A150B">
        <w:t xml:space="preserve"> (Document de consultare privind modificările aduse anumitor standarde tehnice referitoare la instrumentele financiare derivate pe mărfuri), ESMA, 24.5.2024.</w:t>
      </w:r>
    </w:p>
  </w:footnote>
  <w:footnote w:id="49">
    <w:p w14:paraId="5E7F1BC1" w14:textId="7D993637" w:rsidR="00926D12" w:rsidRPr="002A150B" w:rsidRDefault="00926D12" w:rsidP="007C0CA9">
      <w:pPr>
        <w:pStyle w:val="CMR-footnote"/>
      </w:pPr>
      <w:r w:rsidRPr="002A150B">
        <w:rPr>
          <w:rStyle w:val="FootnoteReference"/>
        </w:rPr>
        <w:footnoteRef/>
      </w:r>
      <w:r w:rsidRPr="002A150B">
        <w:t xml:space="preserve"> </w:t>
      </w:r>
      <w:hyperlink r:id="rId47" w:history="1">
        <w:r w:rsidRPr="002A150B">
          <w:rPr>
            <w:rStyle w:val="Hyperlink"/>
            <w:i/>
            <w:iCs/>
          </w:rPr>
          <w:t>Renewables take the lead in power generation in 2023</w:t>
        </w:r>
      </w:hyperlink>
      <w:r w:rsidRPr="002A150B">
        <w:t xml:space="preserve"> (Sursele regenerabile preiau conducerea în producția de energie electrică în 2023), DG Eurostat, 27.6.2024.</w:t>
      </w:r>
    </w:p>
  </w:footnote>
  <w:footnote w:id="50">
    <w:p w14:paraId="712201B1" w14:textId="77777777" w:rsidR="00D77650" w:rsidRPr="002A150B" w:rsidRDefault="00D77650" w:rsidP="00CA0B88">
      <w:pPr>
        <w:pStyle w:val="CMR-footnote"/>
        <w:jc w:val="both"/>
      </w:pPr>
      <w:r w:rsidRPr="002A150B">
        <w:rPr>
          <w:rStyle w:val="FootnoteReference"/>
        </w:rPr>
        <w:footnoteRef/>
      </w:r>
      <w:r w:rsidRPr="002A150B">
        <w:t xml:space="preserve"> </w:t>
      </w:r>
      <w:hyperlink r:id="rId48" w:history="1">
        <w:r w:rsidRPr="002A150B">
          <w:rPr>
            <w:rStyle w:val="Hyperlink"/>
          </w:rPr>
          <w:t>COM(2024) 404 final</w:t>
        </w:r>
      </w:hyperlink>
      <w:r w:rsidRPr="002A150B">
        <w:t xml:space="preserve"> – Raport privind starea uniunii energetice [în temeiul Regulamentului (UE) 2018/1999 privind guvernanța uniunii energetice și a acțiunilor climatice)], 11.9.2024.</w:t>
      </w:r>
    </w:p>
  </w:footnote>
  <w:footnote w:id="51">
    <w:p w14:paraId="43C9F664" w14:textId="3AB59E35" w:rsidR="00A1122C" w:rsidRPr="002A150B" w:rsidRDefault="00A1122C" w:rsidP="00663C6D">
      <w:pPr>
        <w:pStyle w:val="CMR-footnote"/>
      </w:pPr>
      <w:r w:rsidRPr="002A150B">
        <w:rPr>
          <w:rStyle w:val="FootnoteReference"/>
        </w:rPr>
        <w:footnoteRef/>
      </w:r>
      <w:r w:rsidRPr="002A150B">
        <w:t xml:space="preserve"> Se referă la producția netă de energie electrică în UE-27 și Norvegia, astfel cum a fost raportată de Eurostat. </w:t>
      </w:r>
    </w:p>
  </w:footnote>
  <w:footnote w:id="52">
    <w:p w14:paraId="1E29A9D5" w14:textId="77777777" w:rsidR="006F5185" w:rsidRPr="002A150B" w:rsidRDefault="006F5185" w:rsidP="006F5185">
      <w:pPr>
        <w:pStyle w:val="CMR-footnote"/>
      </w:pPr>
      <w:r w:rsidRPr="002A150B">
        <w:rPr>
          <w:rStyle w:val="FootnoteReference"/>
        </w:rPr>
        <w:footnoteRef/>
      </w:r>
      <w:r w:rsidRPr="002A150B">
        <w:t xml:space="preserve"> E. Graham și N. Fulghum (2024), </w:t>
      </w:r>
      <w:hyperlink r:id="rId49" w:history="1">
        <w:r w:rsidRPr="002A150B">
          <w:rPr>
            <w:rStyle w:val="Hyperlink"/>
            <w:i/>
            <w:iCs/>
          </w:rPr>
          <w:t>Wind and solar overtake EU fosil fuels in the first half of 2024</w:t>
        </w:r>
      </w:hyperlink>
      <w:r w:rsidRPr="002A150B">
        <w:t xml:space="preserve"> (Energia eoliană și solară depășesc combustibilii fosili în UE în prima jumătate a anului 2024), 30.7.2024, EMBER.</w:t>
      </w:r>
    </w:p>
  </w:footnote>
  <w:footnote w:id="53">
    <w:p w14:paraId="4ECDDB37" w14:textId="3100DE66" w:rsidR="005F69A5" w:rsidRPr="002A150B" w:rsidRDefault="005F69A5" w:rsidP="007C0CA9">
      <w:pPr>
        <w:pStyle w:val="CMR-footnote"/>
        <w:jc w:val="both"/>
      </w:pPr>
      <w:r w:rsidRPr="002A150B">
        <w:rPr>
          <w:rStyle w:val="FootnoteReference"/>
        </w:rPr>
        <w:footnoteRef/>
      </w:r>
      <w:r w:rsidRPr="002A150B">
        <w:t xml:space="preserve"> Această analiză se bazează pe datele privind punerea în aplicare a EU ETS raportate de țări în fiecare an în temeiul articolului 21 din Directiva EU ETS (termen-limită: 30 iunie). Până la 25 octombrie 2024, data finalizării prezentului raport, Italia nu își prezentase încă raportul pe 2023. În lipsa celor mai recente date pentru Italia, în acest capitol se utilizează ca substituent datele raportate de Italia pentru 2022, pentru a face posibilă comparația de la an la an. Pentru toate celelalte țări se utilizează datele referitoare la anul 2023. </w:t>
      </w:r>
    </w:p>
  </w:footnote>
  <w:footnote w:id="54">
    <w:p w14:paraId="2693315F" w14:textId="1DB70D45" w:rsidR="00C75203" w:rsidRPr="002A150B" w:rsidRDefault="00C75203" w:rsidP="00A77F56">
      <w:pPr>
        <w:pStyle w:val="CMR-footnote"/>
      </w:pPr>
      <w:r w:rsidRPr="002A150B">
        <w:rPr>
          <w:rStyle w:val="FootnoteReference"/>
        </w:rPr>
        <w:footnoteRef/>
      </w:r>
      <w:r w:rsidRPr="002A150B">
        <w:t xml:space="preserve"> În 2023, emisiile cu factor zero provenite de la biomasă reprezintă 20,5 % în plus față de emisiile instalațiilor ETS. </w:t>
      </w:r>
    </w:p>
  </w:footnote>
  <w:footnote w:id="55">
    <w:p w14:paraId="26C1ADCF" w14:textId="286084B3" w:rsidR="00DF04EA" w:rsidRPr="002A150B" w:rsidRDefault="00DF04EA" w:rsidP="00784F6C">
      <w:pPr>
        <w:pStyle w:val="CMR-footnote"/>
      </w:pPr>
      <w:r w:rsidRPr="002A150B">
        <w:rPr>
          <w:rStyle w:val="FootnoteReference"/>
        </w:rPr>
        <w:footnoteRef/>
      </w:r>
      <w:r w:rsidRPr="002A150B">
        <w:t xml:space="preserve"> Raportul privind starea uniunii energetice în 2024 – a se vedea nota de subsol 49.</w:t>
      </w:r>
    </w:p>
  </w:footnote>
  <w:footnote w:id="56">
    <w:p w14:paraId="7D60956F" w14:textId="57C885E3" w:rsidR="00AC7C5E" w:rsidRPr="002A150B" w:rsidRDefault="00AC7C5E" w:rsidP="005D4BC2">
      <w:pPr>
        <w:pStyle w:val="CMR-footnote"/>
        <w:jc w:val="both"/>
      </w:pPr>
      <w:r w:rsidRPr="002A150B">
        <w:rPr>
          <w:rStyle w:val="FootnoteReference"/>
        </w:rPr>
        <w:footnoteRef/>
      </w:r>
      <w:r w:rsidRPr="002A150B">
        <w:t xml:space="preserve"> Regulamentul (UE) 2018/1999 al Parlamentului European și al Consiliului din 11 decembrie 2018 privind guvernanța uniunii energetice și a acțiunilor climatice (</w:t>
      </w:r>
      <w:hyperlink r:id="rId50" w:history="1">
        <w:r w:rsidRPr="002A150B">
          <w:rPr>
            <w:rStyle w:val="Hyperlink"/>
          </w:rPr>
          <w:t>JO L 328</w:t>
        </w:r>
      </w:hyperlink>
      <w:r w:rsidRPr="002A150B">
        <w:t>, 21.12.2018).</w:t>
      </w:r>
    </w:p>
  </w:footnote>
  <w:footnote w:id="57">
    <w:p w14:paraId="4B7E99EA" w14:textId="48BE2D15" w:rsidR="00206544" w:rsidRPr="002A150B" w:rsidRDefault="00206544" w:rsidP="00B33C4C">
      <w:pPr>
        <w:pStyle w:val="CMR-footnote"/>
      </w:pPr>
      <w:r w:rsidRPr="002A150B">
        <w:rPr>
          <w:rStyle w:val="FootnoteReference"/>
        </w:rPr>
        <w:footnoteRef/>
      </w:r>
      <w:r w:rsidRPr="002A150B">
        <w:t xml:space="preserve"> </w:t>
      </w:r>
      <w:hyperlink r:id="rId51" w:history="1">
        <w:r w:rsidRPr="002A150B">
          <w:rPr>
            <w:rStyle w:val="Hyperlink"/>
          </w:rPr>
          <w:t>Utilizarea veniturilor obținute din vânzarea prin licitație a certificatelor ETS – Anul de raportare 2024 – GovReg</w:t>
        </w:r>
      </w:hyperlink>
      <w:r w:rsidRPr="002A150B">
        <w:t>, Reportnet3, Agenția Europeană de Mediu.</w:t>
      </w:r>
    </w:p>
  </w:footnote>
  <w:footnote w:id="58">
    <w:p w14:paraId="32E483DE" w14:textId="75DF2330" w:rsidR="005E3BEB" w:rsidRPr="002A150B" w:rsidRDefault="005E3BEB" w:rsidP="00B33C4C">
      <w:pPr>
        <w:pStyle w:val="CMR-footnote"/>
      </w:pPr>
      <w:r w:rsidRPr="002A150B">
        <w:rPr>
          <w:rStyle w:val="FootnoteReference"/>
        </w:rPr>
        <w:footnoteRef/>
      </w:r>
      <w:r w:rsidRPr="002A150B">
        <w:t xml:space="preserve"> </w:t>
      </w:r>
      <w:hyperlink r:id="rId52" w:history="1">
        <w:r w:rsidRPr="002A150B">
          <w:rPr>
            <w:rStyle w:val="Hyperlink"/>
          </w:rPr>
          <w:t>Au fost adoptate</w:t>
        </w:r>
      </w:hyperlink>
      <w:hyperlink r:id="rId53" w:history="1">
        <w:r w:rsidRPr="002A150B">
          <w:rPr>
            <w:rStyle w:val="Hyperlink"/>
          </w:rPr>
          <w:t xml:space="preserve"> noi modele pentru raportarea de către statele membre cu privire la schimbările climatice</w:t>
        </w:r>
      </w:hyperlink>
      <w:r w:rsidRPr="002A150B">
        <w:t>, DG Politici Climatice, 7.5.2024.</w:t>
      </w:r>
    </w:p>
  </w:footnote>
  <w:footnote w:id="59">
    <w:p w14:paraId="67691B99" w14:textId="101358EB" w:rsidR="0055278A" w:rsidRPr="002A150B" w:rsidRDefault="0055278A" w:rsidP="005D4BC2">
      <w:pPr>
        <w:pStyle w:val="CMR-footnote"/>
        <w:jc w:val="both"/>
      </w:pPr>
      <w:r w:rsidRPr="002A150B">
        <w:rPr>
          <w:rStyle w:val="FootnoteReference"/>
        </w:rPr>
        <w:footnoteRef/>
      </w:r>
      <w:r w:rsidRPr="002A150B">
        <w:t xml:space="preserve"> Statele membre au fost încurajate să folosească cel puțin 50 % din veniturile colectate până la 4 iunie 2023 pentru a sprijini investițiile în decarbonizare și în transformarea energetică. În cazul veniturilor colectate începând cu 5 iunie 2023 se aplică obligația de a utiliza 100 % (sau o valoare financiară echivalentă) pentru a sprijini decarbonizarea și transformarea energetică în sectoarele ETS. </w:t>
      </w:r>
    </w:p>
  </w:footnote>
  <w:footnote w:id="60">
    <w:p w14:paraId="20A89585" w14:textId="5F727D19" w:rsidR="004342FC" w:rsidRPr="002A150B" w:rsidRDefault="004342FC" w:rsidP="005D4BC2">
      <w:pPr>
        <w:pStyle w:val="CMR-footnote"/>
        <w:jc w:val="both"/>
      </w:pPr>
      <w:r w:rsidRPr="002A150B">
        <w:rPr>
          <w:rStyle w:val="FootnoteReference"/>
        </w:rPr>
        <w:footnoteRef/>
      </w:r>
      <w:r w:rsidRPr="002A150B">
        <w:t xml:space="preserve"> Unele țări care cofinanțează acțiuni cu veniturile obținute din ETS raportează valoarea totală a acțiunii cofinanțate; prin urmare, cuantumul aferent acțiunilor lor este mai mare decât veniturile obținute. Valorile din prezentul capitol au fost ajustate în acest sens: de exemplu, dacă suma alocată acțiunilor a fost de două ori mai mare decât venitul generat, s-a presupus că jumătate din fiecare acțiune și compensarea costurilor indirecte ale emisiilor de dioxid de carbon au fost plătite din veniturile obținute din licitarea certificatelor.</w:t>
      </w:r>
    </w:p>
  </w:footnote>
  <w:footnote w:id="61">
    <w:p w14:paraId="62D6DB3F" w14:textId="16FD7C58" w:rsidR="004B0B27" w:rsidRPr="002A150B" w:rsidRDefault="004B0B27" w:rsidP="00686AC8">
      <w:pPr>
        <w:pStyle w:val="CMR-footnote"/>
      </w:pPr>
      <w:r w:rsidRPr="002A150B">
        <w:rPr>
          <w:rStyle w:val="FootnoteReference"/>
        </w:rPr>
        <w:footnoteRef/>
      </w:r>
      <w:r w:rsidRPr="002A150B">
        <w:t xml:space="preserve"> </w:t>
      </w:r>
      <w:r w:rsidRPr="002A150B">
        <w:rPr>
          <w:i/>
          <w:iCs/>
        </w:rPr>
        <w:t>Climate and Energy in the EU, Use of ETS auctioning revenues,</w:t>
      </w:r>
      <w:r w:rsidRPr="002A150B">
        <w:t xml:space="preserve"> </w:t>
      </w:r>
      <w:hyperlink r:id="rId54" w:history="1">
        <w:r w:rsidRPr="002A150B">
          <w:rPr>
            <w:rStyle w:val="Hyperlink"/>
            <w:i/>
            <w:iCs/>
          </w:rPr>
          <w:t>Good practices</w:t>
        </w:r>
      </w:hyperlink>
      <w:r w:rsidRPr="002A150B">
        <w:t xml:space="preserve"> (Climă și energie în UE, Utilizarea veniturilor din licitațiile ETS, Bune practici), Agenția Europeană de Mediu, 11.10.2024.</w:t>
      </w:r>
    </w:p>
  </w:footnote>
  <w:footnote w:id="62">
    <w:p w14:paraId="7E81AC08" w14:textId="45E3CB1F" w:rsidR="004B0B27" w:rsidRPr="002A150B" w:rsidRDefault="004B0B27" w:rsidP="00686AC8">
      <w:pPr>
        <w:pStyle w:val="CMR-footnote"/>
      </w:pPr>
      <w:r w:rsidRPr="002A150B">
        <w:rPr>
          <w:rStyle w:val="FootnoteReference"/>
        </w:rPr>
        <w:footnoteRef/>
      </w:r>
      <w:r w:rsidRPr="002A150B">
        <w:t xml:space="preserve"> COM(2024) 498 – Raport intermediar privind politicile climatice 2024 și documentul de lucru însoțitor al serviciilor Comisiei (urmează să fie publicate).</w:t>
      </w:r>
    </w:p>
  </w:footnote>
  <w:footnote w:id="63">
    <w:p w14:paraId="21C35D44" w14:textId="00F26501" w:rsidR="003A2E0D" w:rsidRPr="002A150B" w:rsidRDefault="003A2E0D" w:rsidP="00EC7181">
      <w:pPr>
        <w:pStyle w:val="CMR-footnote"/>
      </w:pPr>
      <w:r w:rsidRPr="002A150B">
        <w:rPr>
          <w:rStyle w:val="FootnoteReference"/>
        </w:rPr>
        <w:footnoteRef/>
      </w:r>
      <w:r w:rsidRPr="002A150B">
        <w:t xml:space="preserve"> Orientări privind anumite măsuri de ajutor de stat acordate în contextul sistemului de comercializare a certificatelor de emisii de gaze cu efect de seră după 2021 (</w:t>
      </w:r>
      <w:hyperlink r:id="rId55" w:history="1">
        <w:r w:rsidRPr="002A150B">
          <w:rPr>
            <w:rStyle w:val="Hyperlink"/>
          </w:rPr>
          <w:t>JO C 317</w:t>
        </w:r>
      </w:hyperlink>
      <w:r w:rsidRPr="002A150B">
        <w:t>, 25.9.2020).</w:t>
      </w:r>
    </w:p>
  </w:footnote>
  <w:footnote w:id="64">
    <w:p w14:paraId="5FDEBF42" w14:textId="6C2F01A4" w:rsidR="00B9060C" w:rsidRPr="002A150B" w:rsidRDefault="00B9060C" w:rsidP="0052364B">
      <w:pPr>
        <w:pStyle w:val="CMR-footnote"/>
      </w:pPr>
      <w:r w:rsidRPr="002A150B">
        <w:rPr>
          <w:rStyle w:val="FootnoteReference"/>
        </w:rPr>
        <w:footnoteRef/>
      </w:r>
      <w:r w:rsidRPr="002A150B">
        <w:t xml:space="preserve"> În plus, Portugalia a adoptat o schemă pentru costurile indirecte la sfârșitul anului 2022.</w:t>
      </w:r>
    </w:p>
  </w:footnote>
  <w:footnote w:id="65">
    <w:p w14:paraId="1202830B" w14:textId="38C69BC1" w:rsidR="00EA70D9" w:rsidRPr="002A150B" w:rsidRDefault="00EA70D9" w:rsidP="00686AC8">
      <w:pPr>
        <w:pStyle w:val="CMR-footnote"/>
      </w:pPr>
      <w:r w:rsidRPr="002A150B">
        <w:rPr>
          <w:rStyle w:val="FootnoteReference"/>
        </w:rPr>
        <w:footnoteRef/>
      </w:r>
      <w:r w:rsidRPr="002A150B">
        <w:t xml:space="preserve"> Excluzând veniturile obținute în urma vânzării prin licitație a certificatelor de emisii pentru aviație.</w:t>
      </w:r>
    </w:p>
  </w:footnote>
  <w:footnote w:id="66">
    <w:p w14:paraId="496FF990" w14:textId="3CC6BB56" w:rsidR="00350DC0" w:rsidRPr="002A150B" w:rsidRDefault="00350DC0" w:rsidP="0052364B">
      <w:pPr>
        <w:pStyle w:val="CMR-footnote"/>
      </w:pPr>
      <w:r w:rsidRPr="002A150B">
        <w:rPr>
          <w:rStyle w:val="FootnoteReference"/>
        </w:rPr>
        <w:footnoteRef/>
      </w:r>
      <w:r w:rsidRPr="002A150B">
        <w:t xml:space="preserve"> În cazul Greciei, în plus față de ajutorul prezentat în tabel, în 2023 au fost efectuate plăți în valoare de 86,1 milioane EUR pentru costurile indirecte suportate în 2021.</w:t>
      </w:r>
    </w:p>
  </w:footnote>
  <w:footnote w:id="67">
    <w:p w14:paraId="7F59EB40" w14:textId="7EDA1314" w:rsidR="00B22FAC" w:rsidRPr="002A150B" w:rsidRDefault="00B22FAC" w:rsidP="0052364B">
      <w:pPr>
        <w:pStyle w:val="CMR-footnote"/>
      </w:pPr>
      <w:r w:rsidRPr="002A150B">
        <w:rPr>
          <w:rStyle w:val="FootnoteReference"/>
        </w:rPr>
        <w:footnoteRef/>
      </w:r>
      <w:r w:rsidRPr="002A150B">
        <w:t xml:space="preserve"> În cazul Portugaliei, în plus față de ajutorul prezentat în tabel, în 2022 s-a plătit un ajutor în valoare de 24,6 milioane EUR unui număr de 26 de instalații pentru costurile indirecte suportate în 2022.</w:t>
      </w:r>
    </w:p>
  </w:footnote>
  <w:footnote w:id="68">
    <w:p w14:paraId="79BBA780" w14:textId="5262F18D" w:rsidR="00456084" w:rsidRPr="002A150B" w:rsidRDefault="00456084" w:rsidP="00DB11ED">
      <w:pPr>
        <w:pStyle w:val="CMR-footnote"/>
        <w:jc w:val="both"/>
      </w:pPr>
      <w:r w:rsidRPr="002A150B">
        <w:rPr>
          <w:rStyle w:val="FootnoteReference"/>
        </w:rPr>
        <w:footnoteRef/>
      </w:r>
      <w:r w:rsidRPr="002A150B">
        <w:t xml:space="preserve"> Regulamentul privind partajarea eforturilor creează o flexibilitate unică prin care statele membre pot avea maximum 100 de milioane de certificate ETS anulate colectiv în perioada 2021-2030, astfel încât fiecare să își poată respecta obiectivul de reducere a emisiilor de gaze cu efect de seră stabilit prin regulamentul respectiv. Flexibilitatea este destinată statelor membre ale căror obiective depășesc cu mult media UE și cu potențial de a realiza reduceri eficiente din punctul de vedere al costurilor, precum și statelor membre care nu au alocat certificate EU ETS cu titlu gratuit instalațiilor industriale în 2013 (nouă țări în total: Austria, Belgia, Danemarca, Finlanda, Irlanda, Luxemburg, Malta, Țările de Jos și Suedia. Anularea se face din volumul de certificate de emisii scoase la licitație de statul membru în cauză în conformitate cu articolul 10 din Directiva EU ETS. În perioada 2021-2023, statele membre eligibile au notificat utilizarea a 21 641 364 de certificate în temeiul mecanismului de flexibilitate al Regulamentului privind partajarea eforturilor. </w:t>
      </w:r>
    </w:p>
  </w:footnote>
  <w:footnote w:id="69">
    <w:p w14:paraId="544DBF79" w14:textId="3BE1D55A" w:rsidR="00FD4030" w:rsidRPr="002A150B" w:rsidRDefault="00FD4030" w:rsidP="00ED343C">
      <w:pPr>
        <w:pStyle w:val="CMR-footnote"/>
      </w:pPr>
      <w:r w:rsidRPr="002A150B">
        <w:rPr>
          <w:rStyle w:val="FootnoteReference"/>
        </w:rPr>
        <w:footnoteRef/>
      </w:r>
      <w:r w:rsidRPr="002A150B">
        <w:t xml:space="preserve"> </w:t>
      </w:r>
      <w:r w:rsidRPr="002A150B">
        <w:rPr>
          <w:shd w:val="clear" w:color="auto" w:fill="FFFFFF"/>
        </w:rPr>
        <w:t>Raportul Comisiei către Parlamentul European și Consiliu privind punerea în aplicare a Fondului pentru inovare (</w:t>
      </w:r>
      <w:hyperlink r:id="rId56" w:history="1">
        <w:r w:rsidRPr="002A150B">
          <w:rPr>
            <w:rStyle w:val="Hyperlink"/>
            <w:shd w:val="clear" w:color="auto" w:fill="FFFFFF"/>
          </w:rPr>
          <w:t>COM/2022/416 final</w:t>
        </w:r>
      </w:hyperlink>
      <w:r w:rsidRPr="002A150B">
        <w:rPr>
          <w:shd w:val="clear" w:color="auto" w:fill="FFFFFF"/>
        </w:rPr>
        <w:t>).</w:t>
      </w:r>
    </w:p>
  </w:footnote>
  <w:footnote w:id="70">
    <w:p w14:paraId="45B779EC" w14:textId="0695C883" w:rsidR="00FD4030" w:rsidRPr="002A150B" w:rsidRDefault="00FD4030" w:rsidP="00ED343C">
      <w:pPr>
        <w:pStyle w:val="CMR-footnote"/>
      </w:pPr>
      <w:r w:rsidRPr="002A150B">
        <w:rPr>
          <w:rStyle w:val="FootnoteReference"/>
        </w:rPr>
        <w:footnoteRef/>
      </w:r>
      <w:r w:rsidRPr="002A150B">
        <w:t xml:space="preserve"> </w:t>
      </w:r>
      <w:bookmarkStart w:id="60" w:name="_Hlk148431765"/>
      <w:r w:rsidRPr="002A150B">
        <w:t>Proiectele vor contribui la decarbonizarea a 16 state membre (Austria, Belgia, Croația, Cehia, Danemarca, Franța, Germania, Grecia, Ungaria, Irlanda, Italia, Letonia, Țările de Jos, Portugalia, Spania și Suedia), plus Norvegia.</w:t>
      </w:r>
      <w:bookmarkEnd w:id="60"/>
    </w:p>
  </w:footnote>
  <w:footnote w:id="71">
    <w:p w14:paraId="2ACD1AF8" w14:textId="4B74097C" w:rsidR="00FD4030" w:rsidRPr="002A150B" w:rsidRDefault="00FD4030" w:rsidP="00ED343C">
      <w:pPr>
        <w:pStyle w:val="CMR-footnote"/>
      </w:pPr>
      <w:r w:rsidRPr="002A150B">
        <w:rPr>
          <w:rStyle w:val="FootnoteReference"/>
        </w:rPr>
        <w:footnoteRef/>
      </w:r>
      <w:r w:rsidRPr="002A150B">
        <w:t xml:space="preserve"> </w:t>
      </w:r>
      <w:hyperlink r:id="rId57" w:history="1">
        <w:r w:rsidRPr="002A150B">
          <w:rPr>
            <w:rStyle w:val="Hyperlink"/>
          </w:rPr>
          <w:t>16 granturi din Fondul pentru inovare al UE acordate unor proiecte din toată Europa</w:t>
        </w:r>
      </w:hyperlink>
      <w:r w:rsidRPr="002A150B">
        <w:t>, DG Politici Climatice</w:t>
      </w:r>
      <w:bookmarkStart w:id="61" w:name="_Hlk148431814"/>
      <w:r w:rsidRPr="002A150B">
        <w:t>, 6.6.2023</w:t>
      </w:r>
      <w:bookmarkEnd w:id="61"/>
      <w:r w:rsidRPr="002A150B">
        <w:t>.</w:t>
      </w:r>
    </w:p>
  </w:footnote>
  <w:footnote w:id="72">
    <w:p w14:paraId="19905378" w14:textId="7FD6F72F" w:rsidR="00FD4030" w:rsidRPr="002A150B" w:rsidRDefault="00FD4030" w:rsidP="00ED343C">
      <w:pPr>
        <w:pStyle w:val="CMR-footnote"/>
      </w:pPr>
      <w:r w:rsidRPr="002A150B">
        <w:rPr>
          <w:rStyle w:val="FootnoteReference"/>
        </w:rPr>
        <w:footnoteRef/>
      </w:r>
      <w:r w:rsidRPr="002A150B">
        <w:t xml:space="preserve"> </w:t>
      </w:r>
      <w:hyperlink r:id="rId58" w:history="1">
        <w:r w:rsidRPr="002A150B">
          <w:rPr>
            <w:rStyle w:val="Hyperlink"/>
          </w:rPr>
          <w:t>Portofoliul actualizat al proiectelor pentru care s-au semnat acorduri în cadrul Fondului pentru inovare</w:t>
        </w:r>
      </w:hyperlink>
      <w:r w:rsidRPr="002A150B">
        <w:t>.</w:t>
      </w:r>
    </w:p>
  </w:footnote>
  <w:footnote w:id="73">
    <w:p w14:paraId="50DEDEFC" w14:textId="5579C892" w:rsidR="00FD4030" w:rsidRPr="002A150B" w:rsidRDefault="00FD4030" w:rsidP="00ED343C">
      <w:pPr>
        <w:pStyle w:val="CMR-footnote"/>
      </w:pPr>
      <w:r w:rsidRPr="002A150B">
        <w:rPr>
          <w:rStyle w:val="FootnoteReference"/>
        </w:rPr>
        <w:footnoteRef/>
      </w:r>
      <w:r w:rsidRPr="002A150B">
        <w:t xml:space="preserve"> Considerentul 20 din Directiva 2009/29/CE, reafirmat în considerentul 14 din Directiva (UE) 2018/410.</w:t>
      </w:r>
    </w:p>
  </w:footnote>
  <w:footnote w:id="74">
    <w:p w14:paraId="6FF696CE" w14:textId="1FE16D53" w:rsidR="00C5385C" w:rsidRPr="002A150B" w:rsidRDefault="00C5385C" w:rsidP="000E65FB">
      <w:pPr>
        <w:pStyle w:val="CMR-footnote"/>
      </w:pPr>
      <w:r w:rsidRPr="002A150B">
        <w:rPr>
          <w:rStyle w:val="FootnoteReference"/>
        </w:rPr>
        <w:footnoteRef/>
      </w:r>
      <w:r w:rsidRPr="002A150B">
        <w:t xml:space="preserve"> Regulamentul (UE) 2024/795 al Parlamentului European și al Consiliului din 29 februarie 2024 de instituire a platformei Tehnologii strategice pentru Europa (STEP) (</w:t>
      </w:r>
      <w:hyperlink r:id="rId59" w:history="1">
        <w:r w:rsidRPr="002A150B">
          <w:rPr>
            <w:rStyle w:val="Hyperlink"/>
          </w:rPr>
          <w:t>JO L, 2024/795</w:t>
        </w:r>
      </w:hyperlink>
      <w:r w:rsidRPr="002A150B">
        <w:t xml:space="preserve">, 29.2.2024). </w:t>
      </w:r>
    </w:p>
  </w:footnote>
  <w:footnote w:id="75">
    <w:p w14:paraId="2A54321F" w14:textId="378ED52E" w:rsidR="00926A02" w:rsidRPr="002A150B" w:rsidRDefault="00926A02" w:rsidP="000E65FB">
      <w:pPr>
        <w:pStyle w:val="CMR-footnote"/>
      </w:pPr>
      <w:r w:rsidRPr="002A150B">
        <w:rPr>
          <w:rStyle w:val="FootnoteReference"/>
        </w:rPr>
        <w:footnoteRef/>
      </w:r>
      <w:r w:rsidRPr="002A150B">
        <w:t xml:space="preserve"> Trei proiecte din Spania, două din Portugalia și câte un proiect din Finlanda și Norvegia. </w:t>
      </w:r>
    </w:p>
  </w:footnote>
  <w:footnote w:id="76">
    <w:p w14:paraId="6CDD4DC5" w14:textId="33F44329" w:rsidR="006F078C" w:rsidRPr="002A150B" w:rsidRDefault="006F078C" w:rsidP="00DB11ED">
      <w:pPr>
        <w:pStyle w:val="CMR-footnote"/>
        <w:jc w:val="both"/>
      </w:pPr>
      <w:r w:rsidRPr="002A150B">
        <w:rPr>
          <w:rStyle w:val="FootnoteReference"/>
        </w:rPr>
        <w:footnoteRef/>
      </w:r>
      <w:r w:rsidRPr="002A150B">
        <w:t xml:space="preserve"> Primele state membre beneficiare au fost Bulgaria, Cehia, Croația, Estonia, Letonia, Lituania, Polonia, România, Slovacia și Ungaria. </w:t>
      </w:r>
    </w:p>
  </w:footnote>
  <w:footnote w:id="77">
    <w:p w14:paraId="31C067E7" w14:textId="1EE946DD" w:rsidR="0069737E" w:rsidRPr="002A150B" w:rsidRDefault="0069737E" w:rsidP="00450FAB">
      <w:pPr>
        <w:pStyle w:val="CMR-footnote"/>
      </w:pPr>
      <w:r w:rsidRPr="002A150B">
        <w:rPr>
          <w:rStyle w:val="FootnoteReference"/>
        </w:rPr>
        <w:footnoteRef/>
      </w:r>
      <w:r w:rsidRPr="002A150B">
        <w:t xml:space="preserve"> Prin revizuirea din 2023 a Directivei EU ETS, celor 10 state membre inițiale li s-au alăturat Grecia, Portugalia și Slovenia.</w:t>
      </w:r>
    </w:p>
  </w:footnote>
  <w:footnote w:id="78">
    <w:p w14:paraId="00FD60A7" w14:textId="021C017C" w:rsidR="006F078C" w:rsidRPr="002A150B" w:rsidRDefault="006F078C" w:rsidP="00FE57C0">
      <w:pPr>
        <w:pStyle w:val="CMR-footnote"/>
      </w:pPr>
      <w:r w:rsidRPr="002A150B">
        <w:rPr>
          <w:rStyle w:val="FootnoteReference"/>
        </w:rPr>
        <w:footnoteRef/>
      </w:r>
      <w:r w:rsidRPr="002A150B">
        <w:t xml:space="preserve"> Anexa IIb la Directiva EU ETS – cheia de repartizare a Fondului pentru modernizare. </w:t>
      </w:r>
    </w:p>
  </w:footnote>
  <w:footnote w:id="79">
    <w:p w14:paraId="1371914E" w14:textId="78A60A8C" w:rsidR="006F078C" w:rsidRPr="002A150B" w:rsidRDefault="006F078C" w:rsidP="00FE57C0">
      <w:pPr>
        <w:pStyle w:val="CMR-footnote"/>
      </w:pPr>
      <w:r w:rsidRPr="002A150B">
        <w:rPr>
          <w:rStyle w:val="FootnoteReference"/>
        </w:rPr>
        <w:footnoteRef/>
      </w:r>
      <w:r w:rsidRPr="002A150B">
        <w:t xml:space="preserve"> </w:t>
      </w:r>
      <w:hyperlink r:id="rId60" w:history="1">
        <w:r w:rsidRPr="002A150B">
          <w:rPr>
            <w:rStyle w:val="Hyperlink"/>
          </w:rPr>
          <w:t>C(2024) 4190 final</w:t>
        </w:r>
      </w:hyperlink>
      <w:r w:rsidRPr="002A150B">
        <w:t xml:space="preserve"> – </w:t>
      </w:r>
      <w:r w:rsidRPr="002A150B">
        <w:rPr>
          <w:i/>
          <w:iCs/>
        </w:rPr>
        <w:t>Commission Decision of 12.6.2024 on the disbursement of revenues from the Modernisation Fund under Directive 2003/87/EC – First biannual disbursement cycle of 2024</w:t>
      </w:r>
      <w:r w:rsidRPr="002A150B">
        <w:t xml:space="preserve"> (Decizia Comisiei din 12.6.2024 privind plata veniturilor din Fondul pentru modernizare în temeiul Directivei 2003/87/CE – primul ciclu bianual de plată din 2024).</w:t>
      </w:r>
    </w:p>
  </w:footnote>
  <w:footnote w:id="80">
    <w:p w14:paraId="06E01E61" w14:textId="5263773B" w:rsidR="006F078C" w:rsidRPr="002A150B" w:rsidRDefault="006F078C" w:rsidP="00987179">
      <w:pPr>
        <w:pStyle w:val="CMR-footnote"/>
      </w:pPr>
      <w:r w:rsidRPr="002A150B">
        <w:rPr>
          <w:rStyle w:val="FootnoteReference"/>
        </w:rPr>
        <w:footnoteRef/>
      </w:r>
      <w:r w:rsidRPr="002A150B">
        <w:t xml:space="preserve"> Cea de a cincea decizie de plată în baza Fondului pentru modernizare a autorizat plăți către România (1,1 miliarde EUR), Cehia (835 de milioane EUR), Polonia (698 de milioane EUR), Ungaria (77 de milioane EUR), Bulgaria (65 de milioane EUR), Lituania (59 de milioane EUR), Croația (52 de milioane EUR), Slovacia (35 de milioane EUR), Letonia (27 de milioane EUR) și Estonia (24 de milioane EUR).</w:t>
      </w:r>
    </w:p>
  </w:footnote>
  <w:footnote w:id="81">
    <w:p w14:paraId="6DB8D993" w14:textId="0A92C701" w:rsidR="00DB11ED" w:rsidRPr="002A150B" w:rsidRDefault="00DB11ED" w:rsidP="00DB11ED">
      <w:pPr>
        <w:pStyle w:val="CMR-footnote"/>
      </w:pPr>
      <w:r w:rsidRPr="002A150B">
        <w:rPr>
          <w:rStyle w:val="FootnoteReference"/>
        </w:rPr>
        <w:footnoteRef/>
      </w:r>
      <w:r w:rsidRPr="002A150B">
        <w:t xml:space="preserve"> Regulamentul de punere în aplicare (UE) 2020/1001 al Comisiei din 9 iulie 2020 de stabilire a unor norme detaliate de aplicare a Directivei 2003/87/CE a Parlamentului European și a Consiliului în ceea ce privește funcționarea Fondului pentru modernizare care sprijină investițiile în vederea modernizării sistemelor energetice și a îmbunătățirii eficienței energetice a anumitor state membre (</w:t>
      </w:r>
      <w:hyperlink r:id="rId61" w:history="1">
        <w:r w:rsidRPr="002A150B">
          <w:rPr>
            <w:rStyle w:val="Hyperlink"/>
          </w:rPr>
          <w:t>JO L 221</w:t>
        </w:r>
      </w:hyperlink>
      <w:r w:rsidRPr="002A150B">
        <w:t>, 10.7.2020).</w:t>
      </w:r>
    </w:p>
  </w:footnote>
  <w:footnote w:id="82">
    <w:p w14:paraId="016F644E" w14:textId="77777777" w:rsidR="0097021E" w:rsidRPr="002A150B" w:rsidRDefault="0097021E" w:rsidP="0097021E">
      <w:pPr>
        <w:pStyle w:val="CMR-footnote"/>
      </w:pPr>
      <w:r w:rsidRPr="002A150B">
        <w:rPr>
          <w:rStyle w:val="FootnoteReference"/>
        </w:rPr>
        <w:footnoteRef/>
      </w:r>
      <w:r w:rsidRPr="002A150B">
        <w:t xml:space="preserve"> 25 de milioane de certificate au fost rezervate pentru o posibilă utilizare în temeiul articolului 10a alineatul (9) din Directiva EU ETS [Comunicarea Comisiei intitulată „Publicarea numărului total de certificate aflate în circulație în 2021 în scopul funcționării rezervei pentru stabilitatea pieței în cadrul sistemului UE de comercializare a certificatelor de emisii instituit prin Directiva 2003/87/CE și a numărului de certificate nealocate în perioada 2013-2020”, 2022/C 195/02, C/2022/2780 (</w:t>
      </w:r>
      <w:hyperlink r:id="rId62" w:history="1">
        <w:r w:rsidRPr="002A150B">
          <w:rPr>
            <w:rStyle w:val="Hyperlink"/>
          </w:rPr>
          <w:t>JO C 195</w:t>
        </w:r>
      </w:hyperlink>
      <w:r w:rsidRPr="002A150B">
        <w:t>, 13.5.2022)].</w:t>
      </w:r>
    </w:p>
  </w:footnote>
  <w:footnote w:id="83">
    <w:p w14:paraId="704629AD" w14:textId="54BCD29F" w:rsidR="00187D4D" w:rsidRPr="002A150B" w:rsidRDefault="00187D4D" w:rsidP="002B6EB7">
      <w:pPr>
        <w:pStyle w:val="CMR-footnote"/>
      </w:pPr>
      <w:r w:rsidRPr="002A150B">
        <w:rPr>
          <w:vertAlign w:val="superscript"/>
        </w:rPr>
        <w:footnoteRef/>
      </w:r>
      <w:r w:rsidRPr="002A150B">
        <w:rPr>
          <w:rStyle w:val="Footnote1"/>
          <w:sz w:val="18"/>
        </w:rPr>
        <w:t xml:space="preserve"> </w:t>
      </w:r>
      <w:r w:rsidRPr="002A150B">
        <w:t>Decizia nr. 377/2013/UE a Parlamentului European și a Consiliului din 24 aprilie 2013 privind derogarea temporară de la Directiva 2003/87/CE de stabilire a unui sistem de comercializare a cotelor de emisie de gaze cu efect de seră în cadrul Comunității (</w:t>
      </w:r>
      <w:hyperlink r:id="rId63" w:history="1">
        <w:r w:rsidRPr="002A150B">
          <w:t>JO L 113</w:t>
        </w:r>
      </w:hyperlink>
      <w:r w:rsidRPr="002A150B">
        <w:t>, 25.4.2013).</w:t>
      </w:r>
    </w:p>
  </w:footnote>
  <w:footnote w:id="84">
    <w:p w14:paraId="447BC223" w14:textId="63910253" w:rsidR="00E772AF" w:rsidRPr="002A150B" w:rsidRDefault="00E772AF" w:rsidP="00545196">
      <w:pPr>
        <w:pStyle w:val="CMR-footnote"/>
      </w:pPr>
      <w:r w:rsidRPr="002A150B">
        <w:rPr>
          <w:rStyle w:val="FootnoteReference"/>
        </w:rPr>
        <w:footnoteRef/>
      </w:r>
      <w:r w:rsidRPr="002A150B">
        <w:t xml:space="preserve"> Considerentul 30 din </w:t>
      </w:r>
      <w:hyperlink r:id="rId64" w:history="1">
        <w:r w:rsidRPr="002A150B">
          <w:rPr>
            <w:rStyle w:val="Hyperlink"/>
          </w:rPr>
          <w:t>Directiva 958/2024/UE</w:t>
        </w:r>
      </w:hyperlink>
      <w:r w:rsidRPr="002A150B">
        <w:t xml:space="preserve"> de revizuire a Directivei EU ETS.</w:t>
      </w:r>
    </w:p>
  </w:footnote>
  <w:footnote w:id="85">
    <w:p w14:paraId="49B64EBA" w14:textId="21BAE37C" w:rsidR="00187D4D" w:rsidRPr="002A150B" w:rsidRDefault="00187D4D" w:rsidP="00505F2D">
      <w:pPr>
        <w:pStyle w:val="CMR-footnote"/>
      </w:pPr>
      <w:r w:rsidRPr="002A150B">
        <w:rPr>
          <w:rStyle w:val="FootnoteReference"/>
          <w:rFonts w:cs="Times New Roman"/>
        </w:rPr>
        <w:footnoteRef/>
      </w:r>
      <w:r w:rsidRPr="002A150B">
        <w:t xml:space="preserve"> Este prevăzută o derogare temporară de la EU ETS până în 2030 pentru emisiile generate de zborurile dintre un aerodrom situat într-o regiune ultraperiferică a unui stat membru și un aerodrom situat în același stat membru.</w:t>
      </w:r>
    </w:p>
  </w:footnote>
  <w:footnote w:id="86">
    <w:p w14:paraId="0E271AE1" w14:textId="4D054476" w:rsidR="00D06F73" w:rsidRPr="002A150B" w:rsidRDefault="00D06F73" w:rsidP="00505F2D">
      <w:pPr>
        <w:pStyle w:val="CMR-footnote"/>
      </w:pPr>
      <w:r w:rsidRPr="002A150B">
        <w:rPr>
          <w:rStyle w:val="FootnoteReference"/>
          <w:rFonts w:cs="Times New Roman"/>
        </w:rPr>
        <w:footnoteRef/>
      </w:r>
      <w:r w:rsidRPr="002A150B">
        <w:t xml:space="preserve"> </w:t>
      </w:r>
      <w:hyperlink r:id="rId65" w:anchor=":~:text=From%202024%2C%20flights%20from%20Switzerland,exempt%20from%20the%20Swiss%20ETS." w:history="1">
        <w:r w:rsidRPr="002A150B">
          <w:rPr>
            <w:rStyle w:val="Hyperlink"/>
          </w:rPr>
          <w:t>Alocări suplimentare cu titlu gratuit pentru zborurile către regiunile ultraperiferice</w:t>
        </w:r>
      </w:hyperlink>
      <w:r w:rsidRPr="002A150B">
        <w:t>, Schema de comercializare a certificatelor de emisii pentru operatorii de aeronave, Oficiul Federal pentru Mediu, 31.8.2024.</w:t>
      </w:r>
    </w:p>
  </w:footnote>
  <w:footnote w:id="87">
    <w:p w14:paraId="71F71E2B" w14:textId="1A59860C" w:rsidR="00187D4D" w:rsidRPr="002A150B" w:rsidRDefault="00187D4D" w:rsidP="00187D4D">
      <w:pPr>
        <w:pStyle w:val="CMR-footnote"/>
        <w:jc w:val="both"/>
        <w:rPr>
          <w:rFonts w:cs="Times New Roman"/>
        </w:rPr>
      </w:pPr>
      <w:r w:rsidRPr="002A150B">
        <w:rPr>
          <w:rStyle w:val="FootnoteReference"/>
          <w:rFonts w:cs="Times New Roman"/>
        </w:rPr>
        <w:footnoteRef/>
      </w:r>
      <w:r w:rsidRPr="002A150B">
        <w:t xml:space="preserve"> </w:t>
      </w:r>
      <w:hyperlink r:id="rId66" w:history="1">
        <w:r w:rsidRPr="002A150B">
          <w:rPr>
            <w:rStyle w:val="Hyperlink"/>
          </w:rPr>
          <w:t>Prezentare generală a sectorului european al aviației, 24-30 mai</w:t>
        </w:r>
      </w:hyperlink>
      <w:r w:rsidRPr="002A150B">
        <w:t>, Eurocontrol, 1.6.2023.</w:t>
      </w:r>
    </w:p>
  </w:footnote>
  <w:footnote w:id="88">
    <w:p w14:paraId="5A41783C" w14:textId="5C51AA09" w:rsidR="00B7738B" w:rsidRPr="002A150B" w:rsidRDefault="00B7738B" w:rsidP="00CA0B88">
      <w:pPr>
        <w:pStyle w:val="CMR-footnote"/>
        <w:jc w:val="both"/>
      </w:pPr>
      <w:r w:rsidRPr="002A150B">
        <w:rPr>
          <w:rStyle w:val="FootnoteReference"/>
        </w:rPr>
        <w:footnoteRef/>
      </w:r>
      <w:r w:rsidRPr="002A150B">
        <w:t xml:space="preserve"> Directiva (UE) 2023/958 a Parlamentului European și a Consiliului din 10 mai 2023 de modificare a Directivei 2003/87/CE în ceea ce privește contribuția sectorului aviației la obiectivul Uniunii de reducere a emisiilor la nivelul întregii economii și punerea în aplicare în mod corespunzător a unei măsuri globale bazate pe piață (</w:t>
      </w:r>
      <w:hyperlink r:id="rId67" w:history="1">
        <w:r w:rsidRPr="002A150B">
          <w:rPr>
            <w:rStyle w:val="Hyperlink"/>
          </w:rPr>
          <w:t>JO L 130</w:t>
        </w:r>
      </w:hyperlink>
      <w:r w:rsidRPr="002A150B">
        <w:t>, 16.5.2023).</w:t>
      </w:r>
    </w:p>
  </w:footnote>
  <w:footnote w:id="89">
    <w:p w14:paraId="1CAE71A9" w14:textId="2826614D" w:rsidR="00B7738B" w:rsidRPr="002A150B" w:rsidRDefault="00B7738B" w:rsidP="00CA0B88">
      <w:pPr>
        <w:pStyle w:val="CMR-footnote"/>
        <w:jc w:val="both"/>
      </w:pPr>
      <w:r w:rsidRPr="002A150B">
        <w:rPr>
          <w:rStyle w:val="FootnoteReference"/>
        </w:rPr>
        <w:footnoteRef/>
      </w:r>
      <w:r w:rsidRPr="002A150B">
        <w:t xml:space="preserve"> Decizia (UE) 2023/136 a Parlamentului European și a Consiliului din 18 ianuarie 2023 de modificare a Directivei 2003/87/CE în ceea ce privește notificarea compensării legate de o măsură globală bazată pe piață pentru operatorii de aeronave cu sediul în Uniune (</w:t>
      </w:r>
      <w:hyperlink r:id="rId68" w:history="1">
        <w:r w:rsidRPr="002A150B">
          <w:rPr>
            <w:rStyle w:val="Hyperlink"/>
          </w:rPr>
          <w:t>JO L 19</w:t>
        </w:r>
      </w:hyperlink>
      <w:r w:rsidRPr="002A150B">
        <w:t>, 20.1.2023).</w:t>
      </w:r>
    </w:p>
  </w:footnote>
  <w:footnote w:id="90">
    <w:p w14:paraId="6B4B2E64" w14:textId="1509A028" w:rsidR="00B7738B" w:rsidRPr="002A150B" w:rsidRDefault="00B7738B" w:rsidP="00CA0B88">
      <w:pPr>
        <w:pStyle w:val="CMR-footnote"/>
        <w:jc w:val="both"/>
      </w:pPr>
      <w:r w:rsidRPr="002A150B">
        <w:rPr>
          <w:rStyle w:val="FootnoteReference"/>
        </w:rPr>
        <w:footnoteRef/>
      </w:r>
      <w:r w:rsidRPr="002A150B">
        <w:t xml:space="preserve"> Regulamentul de punere în aplicare (UE) 2024/622 al Comisiei din 22 februarie 2024 privind lista statelor despre care se consideră că aplică CORSIA în sensul Directivei 2003/87/CE a Parlamentului European și a Consiliului pentru emisiile din 2023 (</w:t>
      </w:r>
      <w:hyperlink r:id="rId69" w:anchor=":~:text=COMMISSION%20IMPLEMENTING%20REGULATION%20%28EU%29%202024%2F622%20of%2022%20February,and%20of%20the%20Council%20for%20emissions%20in%202023" w:history="1">
        <w:r w:rsidRPr="002A150B">
          <w:rPr>
            <w:rStyle w:val="Hyperlink"/>
          </w:rPr>
          <w:t>JO L, 2024/622</w:t>
        </w:r>
      </w:hyperlink>
      <w:r w:rsidRPr="002A150B">
        <w:t>, 23.2.2024).</w:t>
      </w:r>
    </w:p>
  </w:footnote>
  <w:footnote w:id="91">
    <w:p w14:paraId="3E3FB5E7" w14:textId="6FD14333" w:rsidR="00B7738B" w:rsidRPr="002A150B" w:rsidRDefault="00B7738B" w:rsidP="00CA0B88">
      <w:pPr>
        <w:pStyle w:val="CMR-footnote"/>
        <w:jc w:val="both"/>
      </w:pPr>
      <w:r w:rsidRPr="002A150B">
        <w:rPr>
          <w:rStyle w:val="FootnoteReference"/>
        </w:rPr>
        <w:footnoteRef/>
      </w:r>
      <w:r w:rsidRPr="002A150B">
        <w:t xml:space="preserve"> Regulamentul de punere în aplicare (UE) 2024/1879 al Comisiei din 9 iulie 2024 de stabilire a normelor de aplicare a Directivei 2003/87/CE a Parlamentului European și a Consiliului în ceea ce privește calcularea cerințelor de compensare în scopul CORSIA (</w:t>
      </w:r>
      <w:hyperlink r:id="rId70" w:history="1">
        <w:r w:rsidRPr="002A150B">
          <w:rPr>
            <w:rStyle w:val="Hyperlink"/>
          </w:rPr>
          <w:t>JO L, 2024/1879</w:t>
        </w:r>
      </w:hyperlink>
      <w:r w:rsidRPr="002A150B">
        <w:t>, 10.7.2024).</w:t>
      </w:r>
    </w:p>
  </w:footnote>
  <w:footnote w:id="92">
    <w:p w14:paraId="34F555C0" w14:textId="728E3520" w:rsidR="00510DED" w:rsidRPr="002A150B" w:rsidRDefault="00510DED" w:rsidP="00CA0B88">
      <w:pPr>
        <w:pStyle w:val="CMR-footnote"/>
        <w:jc w:val="both"/>
      </w:pPr>
      <w:r w:rsidRPr="002A150B">
        <w:rPr>
          <w:rStyle w:val="FootnoteReference"/>
        </w:rPr>
        <w:footnoteRef/>
      </w:r>
      <w:r w:rsidRPr="002A150B">
        <w:t xml:space="preserve"> </w:t>
      </w:r>
      <w:hyperlink r:id="rId71" w:history="1">
        <w:r w:rsidRPr="002A150B">
          <w:rPr>
            <w:rStyle w:val="Hyperlink"/>
          </w:rPr>
          <w:t>Publicarea datelor din 2022 privind emisiile din aviație</w:t>
        </w:r>
      </w:hyperlink>
      <w:r w:rsidRPr="002A150B">
        <w:t>, DG Politici Climatice, 8.3.2024.</w:t>
      </w:r>
    </w:p>
  </w:footnote>
  <w:footnote w:id="93">
    <w:p w14:paraId="42E77DD1" w14:textId="3F7BCA3F" w:rsidR="00510DED" w:rsidRPr="002A150B" w:rsidRDefault="00510DED" w:rsidP="00510DED">
      <w:pPr>
        <w:pStyle w:val="CMR-footnote"/>
      </w:pPr>
      <w:r w:rsidRPr="002A150B">
        <w:rPr>
          <w:rStyle w:val="FootnoteReference"/>
        </w:rPr>
        <w:footnoteRef/>
      </w:r>
      <w:r w:rsidRPr="002A150B">
        <w:t xml:space="preserve"> </w:t>
      </w:r>
      <w:hyperlink r:id="rId72" w:history="1">
        <w:r w:rsidRPr="002A150B">
          <w:rPr>
            <w:rStyle w:val="Hyperlink"/>
          </w:rPr>
          <w:t>Declarația Comisiei</w:t>
        </w:r>
      </w:hyperlink>
      <w:r w:rsidRPr="002A150B">
        <w:t>, 20.4.2023.</w:t>
      </w:r>
    </w:p>
  </w:footnote>
  <w:footnote w:id="94">
    <w:p w14:paraId="304D4757" w14:textId="5A742744" w:rsidR="007E501C" w:rsidRPr="002A150B" w:rsidRDefault="007E501C" w:rsidP="00CA0B88">
      <w:pPr>
        <w:pStyle w:val="CMR-footnote"/>
        <w:jc w:val="both"/>
      </w:pPr>
      <w:r w:rsidRPr="002A150B">
        <w:rPr>
          <w:vertAlign w:val="superscript"/>
        </w:rPr>
        <w:footnoteRef/>
      </w:r>
      <w:r w:rsidRPr="002A150B">
        <w:rPr>
          <w:rStyle w:val="Footnote1"/>
          <w:sz w:val="18"/>
          <w:vertAlign w:val="superscript"/>
        </w:rPr>
        <w:t xml:space="preserve"> </w:t>
      </w:r>
      <w:r w:rsidRPr="002A150B">
        <w:rPr>
          <w:rStyle w:val="Footnote1"/>
          <w:sz w:val="18"/>
        </w:rPr>
        <w:t>Ținând seama de domeniul de aplicare actualizat al aviației în cadrul EU ETS (excluzând zborurile de sosire din Regatul Unit). Datele de la operatorii de aeronave administrați de Elveția sunt incluse numai în coloanele 2020-2023.</w:t>
      </w:r>
    </w:p>
  </w:footnote>
  <w:footnote w:id="95">
    <w:p w14:paraId="3D522878" w14:textId="77777777" w:rsidR="007E501C" w:rsidRPr="002A150B" w:rsidRDefault="007E501C" w:rsidP="00CA0B88">
      <w:pPr>
        <w:pStyle w:val="CMR-footnote"/>
        <w:jc w:val="both"/>
      </w:pPr>
      <w:r w:rsidRPr="002A150B">
        <w:rPr>
          <w:vertAlign w:val="superscript"/>
        </w:rPr>
        <w:footnoteRef/>
      </w:r>
      <w:r w:rsidRPr="002A150B">
        <w:t xml:space="preserve"> </w:t>
      </w:r>
      <w:r w:rsidRPr="002A150B">
        <w:rPr>
          <w:rStyle w:val="Footnote1"/>
          <w:sz w:val="18"/>
        </w:rPr>
        <w:t>Aceste cifre nu iau în considerare toate cazurile de încetare a activității operatorilor de aeronave, nici certificatele acordate cu titlu gratuit din rezerva specială pentru instalațiile nou-intrate și operatorii cu creștere rapidă și nici returnările din 2012 ca urmare a modificării domeniului de aplicare. Surse: EUTL, DG Politici Climatice.</w:t>
      </w:r>
    </w:p>
  </w:footnote>
  <w:footnote w:id="96">
    <w:p w14:paraId="13E74802" w14:textId="442FC576" w:rsidR="007E501C" w:rsidRPr="002A150B" w:rsidRDefault="007E501C" w:rsidP="00CA0B88">
      <w:pPr>
        <w:pStyle w:val="CMR-footnote"/>
        <w:jc w:val="both"/>
      </w:pPr>
      <w:r w:rsidRPr="002A150B">
        <w:rPr>
          <w:vertAlign w:val="superscript"/>
        </w:rPr>
        <w:footnoteRef/>
      </w:r>
      <w:r w:rsidRPr="002A150B">
        <w:rPr>
          <w:rStyle w:val="Footnote1"/>
          <w:sz w:val="18"/>
        </w:rPr>
        <w:t xml:space="preserve"> Dacă se ține seama de cifrele excluse din calcul ca urmare a cazurilor de încetare a activității unor operatori de aeronave, alocarea reală pentru 2019 ar fi cu 4 milioane mai mică decât cifra prezentată (a se vedea nota de subsol 8 din Comunicarea C/2020/8643, JO C 428, 11.12.2020). Alocarea pentru Regatul Unit (4,31 milioane de certificate din totalul pentru 2019) a fost suspendată în 2019 ca urmare a măsurilor de salvgardare adoptate de Comisie pentru protejarea integrității de mediu a EU ETS în cazurile în care dreptul Uniunii încetează să se aplice unui stat membru care se retrage din UE. Alocarea a fost reluată în 2020.</w:t>
      </w:r>
    </w:p>
  </w:footnote>
  <w:footnote w:id="97">
    <w:p w14:paraId="749E8F4B" w14:textId="4C5DD29E" w:rsidR="00187D4D" w:rsidRPr="002A150B" w:rsidRDefault="00187D4D" w:rsidP="00187D4D">
      <w:pPr>
        <w:pStyle w:val="CMR-footnote"/>
        <w:jc w:val="both"/>
        <w:rPr>
          <w:rFonts w:cs="Times New Roman"/>
        </w:rPr>
      </w:pPr>
      <w:r w:rsidRPr="002A150B">
        <w:rPr>
          <w:rStyle w:val="FootnoteReference"/>
          <w:rFonts w:cs="Times New Roman"/>
        </w:rPr>
        <w:footnoteRef/>
      </w:r>
      <w:r w:rsidRPr="002A150B">
        <w:rPr>
          <w:rStyle w:val="Bodytext1"/>
        </w:rPr>
        <w:t xml:space="preserve"> Impactul global al aviației mondiale asupra climei este considerabil mai mare decât componenta CO</w:t>
      </w:r>
      <w:r w:rsidRPr="002A150B">
        <w:rPr>
          <w:rStyle w:val="Bodytext1"/>
          <w:vertAlign w:val="subscript"/>
        </w:rPr>
        <w:t>2</w:t>
      </w:r>
      <w:r w:rsidRPr="002A150B">
        <w:rPr>
          <w:rStyle w:val="Bodytext1"/>
        </w:rPr>
        <w:t xml:space="preserve"> analizată individual. Se estimează că impactul global al aviației este de două până la patru ori mai mare decât cel al emisiilor de CO</w:t>
      </w:r>
      <w:r w:rsidRPr="002A150B">
        <w:rPr>
          <w:rStyle w:val="Bodytext1"/>
          <w:vertAlign w:val="subscript"/>
        </w:rPr>
        <w:t>2</w:t>
      </w:r>
      <w:r w:rsidRPr="002A150B">
        <w:rPr>
          <w:rStyle w:val="Bodytext1"/>
        </w:rPr>
        <w:t xml:space="preserve"> dacă se iau în considerare și efecte diferite de emisiile de CO</w:t>
      </w:r>
      <w:r w:rsidRPr="002A150B">
        <w:rPr>
          <w:rStyle w:val="Bodytext1"/>
          <w:vertAlign w:val="subscript"/>
        </w:rPr>
        <w:t>2</w:t>
      </w:r>
      <w:r w:rsidRPr="002A150B">
        <w:rPr>
          <w:rStyle w:val="Bodytext1"/>
        </w:rPr>
        <w:t>. Abordarea acestor emisii este relevantă, întrucât Grupul interguvernamental privind schimbările climatice (IPCC) a precizat, în cel de Al șaselea raport de evaluare privind atenuarea schimbărilor climatice, că aviația internațională (și transportul maritim) sunt sectoare ale căror obiective climatice nu sunt suficiente pentru a stopa creșterea temperaturii globale în conformitate cu Acordul de la Paris.</w:t>
      </w:r>
    </w:p>
  </w:footnote>
  <w:footnote w:id="98">
    <w:p w14:paraId="54514D98" w14:textId="6A2FB9C6" w:rsidR="00915C4B" w:rsidRPr="002A150B" w:rsidRDefault="00915C4B" w:rsidP="00CA0B88">
      <w:pPr>
        <w:pStyle w:val="CMR-footnote"/>
        <w:jc w:val="both"/>
      </w:pPr>
      <w:r w:rsidRPr="002A150B">
        <w:rPr>
          <w:rStyle w:val="FootnoteReference"/>
          <w:rFonts w:cs="Times New Roman"/>
          <w:szCs w:val="18"/>
        </w:rPr>
        <w:footnoteRef/>
      </w:r>
      <w:r w:rsidRPr="002A150B">
        <w:t xml:space="preserve"> </w:t>
      </w:r>
      <w:hyperlink r:id="rId73" w:history="1">
        <w:r w:rsidRPr="002A150B">
          <w:rPr>
            <w:rStyle w:val="Hyperlink"/>
          </w:rPr>
          <w:t>Noi norme de monitorizare convenite pentru EU ETS, inclusiv emisii diferite de emisiile de CO₂ din sectorul aviației</w:t>
        </w:r>
      </w:hyperlink>
      <w:r w:rsidRPr="002A150B">
        <w:t>, DG Politici Climatice, 30.8.2024.</w:t>
      </w:r>
    </w:p>
  </w:footnote>
  <w:footnote w:id="99">
    <w:p w14:paraId="1C2D906B" w14:textId="7CA9EDD7" w:rsidR="00546D67" w:rsidRPr="002A150B" w:rsidRDefault="00546D67" w:rsidP="00CA0B88">
      <w:pPr>
        <w:pStyle w:val="CMR-footnote"/>
        <w:jc w:val="both"/>
      </w:pPr>
      <w:r w:rsidRPr="002A150B">
        <w:rPr>
          <w:rStyle w:val="FootnoteReference"/>
        </w:rPr>
        <w:footnoteRef/>
      </w:r>
      <w:r w:rsidRPr="002A150B">
        <w:t xml:space="preserve"> </w:t>
      </w:r>
      <w:r w:rsidRPr="002A150B">
        <w:rPr>
          <w:rStyle w:val="CMR-footnoteChar"/>
        </w:rPr>
        <w:t>Regulamentul (UE) 2015/757 al Parlamentului European și al Consiliului din 29 aprilie 2015 privind monitorizarea, raportarea și verificarea emisiilor de gaze cu efect de seră generate de transportul maritim și de modificare a Directivei 2009/16/CE (</w:t>
      </w:r>
      <w:hyperlink r:id="rId74" w:history="1">
        <w:r w:rsidRPr="002A150B">
          <w:rPr>
            <w:rStyle w:val="Hyperlink"/>
          </w:rPr>
          <w:t>JO L 123</w:t>
        </w:r>
      </w:hyperlink>
      <w:r w:rsidRPr="002A150B">
        <w:rPr>
          <w:rStyle w:val="CMR-footnoteChar"/>
        </w:rPr>
        <w:t>, 19.5.2015).</w:t>
      </w:r>
    </w:p>
  </w:footnote>
  <w:footnote w:id="100">
    <w:p w14:paraId="125941D1" w14:textId="6D06EDB6" w:rsidR="00AC373F" w:rsidRPr="002A150B" w:rsidRDefault="00AC373F" w:rsidP="00CA0B88">
      <w:pPr>
        <w:pStyle w:val="CMR-footnote"/>
        <w:jc w:val="both"/>
      </w:pPr>
      <w:r w:rsidRPr="002A150B">
        <w:rPr>
          <w:rStyle w:val="FootnoteReference"/>
        </w:rPr>
        <w:footnoteRef/>
      </w:r>
      <w:r w:rsidRPr="002A150B">
        <w:t xml:space="preserve"> </w:t>
      </w:r>
      <w:r w:rsidRPr="002A150B">
        <w:rPr>
          <w:rStyle w:val="Bodytext1"/>
        </w:rPr>
        <w:t>Acestea sunt Regulamentul de punere în aplicare (UE) 2023/2297, Regulamentul de punere în aplicare (UE) 2023/2449, Regulamentul de punere în aplicare (UE) 2023/2599, Regulamentul delegat (UE) 2023/2776, Regulamentul delegat (UE) 2023/2849, Decizia de punere în aplicare (UE) 2023/2895, Regulamentul delegat (UE) 2023/2917 și Decizia de punere în aplicare (UE) 2024/411.</w:t>
      </w:r>
      <w:r w:rsidRPr="002A150B">
        <w:t xml:space="preserve"> </w:t>
      </w:r>
    </w:p>
  </w:footnote>
  <w:footnote w:id="101">
    <w:p w14:paraId="70EEC1CD" w14:textId="5B8B6D5A" w:rsidR="00E674D9" w:rsidRPr="002A150B" w:rsidRDefault="00E674D9" w:rsidP="00CA0B88">
      <w:pPr>
        <w:pStyle w:val="CMR-footnote"/>
        <w:jc w:val="both"/>
        <w:rPr>
          <w:rStyle w:val="Bodytext1"/>
          <w:rFonts w:cs="Times New Roman"/>
        </w:rPr>
      </w:pPr>
      <w:r w:rsidRPr="002A150B">
        <w:rPr>
          <w:rStyle w:val="FootnoteReference"/>
        </w:rPr>
        <w:footnoteRef/>
      </w:r>
      <w:r w:rsidRPr="002A150B">
        <w:t xml:space="preserve"> </w:t>
      </w:r>
      <w:r w:rsidRPr="002A150B">
        <w:rPr>
          <w:rStyle w:val="Bodytext1"/>
        </w:rPr>
        <w:t xml:space="preserve">Pentru informații suplimentare, a se vedea pagina privind </w:t>
      </w:r>
      <w:hyperlink r:id="rId75" w:history="1">
        <w:r w:rsidRPr="002A150B">
          <w:rPr>
            <w:rStyle w:val="Hyperlink"/>
          </w:rPr>
          <w:t>reducerea emisiilor din sectorul transportului maritim</w:t>
        </w:r>
      </w:hyperlink>
      <w:r w:rsidRPr="002A150B">
        <w:rPr>
          <w:rStyle w:val="Bodytext1"/>
        </w:rPr>
        <w:t xml:space="preserve"> de pe site-ul Comisiei. </w:t>
      </w:r>
    </w:p>
  </w:footnote>
  <w:footnote w:id="102">
    <w:p w14:paraId="589F967F" w14:textId="178C338F" w:rsidR="00AF2B9A" w:rsidRPr="002A150B" w:rsidRDefault="00AF2B9A" w:rsidP="00CA0B88">
      <w:pPr>
        <w:pStyle w:val="CMR-footnote"/>
        <w:jc w:val="both"/>
      </w:pPr>
      <w:r w:rsidRPr="002A150B">
        <w:rPr>
          <w:rStyle w:val="FootnoteReference"/>
        </w:rPr>
        <w:footnoteRef/>
      </w:r>
      <w:r w:rsidRPr="002A150B">
        <w:t xml:space="preserve"> </w:t>
      </w:r>
      <w:r w:rsidRPr="002A150B">
        <w:rPr>
          <w:rStyle w:val="Bodytext1"/>
        </w:rPr>
        <w:t>Pe lângă extinderea EU ETS la transportul maritim, aceste măsuri cuprind o inițiativă de stimulare a cererii de combustibili alternativi durabili (inițiativa FuelEU în domeniul maritim, care modifică Directiva 2009/16/CE) și revizuirea directivelor existente privind impozitarea energiei (Directiva 2003/96/CE), infrastructurile pentru combustibili alternativi (Directiva 2014/94/UE) și energia din surse regenerabile [Directiva (UE) 2018/2001].</w:t>
      </w:r>
    </w:p>
  </w:footnote>
  <w:footnote w:id="103">
    <w:p w14:paraId="215AAC90" w14:textId="533B8452" w:rsidR="00C9410E" w:rsidRPr="002A150B" w:rsidRDefault="00C9410E" w:rsidP="00CA0B88">
      <w:pPr>
        <w:pStyle w:val="CMR-footnote"/>
        <w:jc w:val="both"/>
      </w:pPr>
      <w:r w:rsidRPr="002A150B">
        <w:rPr>
          <w:rStyle w:val="FootnoteReference"/>
        </w:rPr>
        <w:footnoteRef/>
      </w:r>
      <w:r w:rsidRPr="002A150B">
        <w:t xml:space="preserve"> Regulamentul de punere în aplicare (UE) 2018/2067 al Comisiei din 19 decembrie 2018 privind verificarea datelor și acreditarea verificatorilor în temeiul Directivei 2003/87/CE a Parlamentului European și a Consiliului (</w:t>
      </w:r>
      <w:hyperlink r:id="rId76" w:history="1">
        <w:r w:rsidRPr="002A150B">
          <w:rPr>
            <w:rStyle w:val="Hyperlink"/>
          </w:rPr>
          <w:t>JO L 334</w:t>
        </w:r>
      </w:hyperlink>
      <w:r w:rsidRPr="002A150B">
        <w:t xml:space="preserve">, 31.12.2018). Regulamentul a fost modificat în 2020 prin Regulamentul (UE) 2020/2084 al Comisiei și în 2024 prin Regulamentul (UE) 2024/1321 al Comisiei. A se vedea </w:t>
      </w:r>
      <w:hyperlink r:id="rId77" w:history="1">
        <w:r w:rsidRPr="002A150B">
          <w:rPr>
            <w:rStyle w:val="Hyperlink"/>
          </w:rPr>
          <w:t>textul consolidat</w:t>
        </w:r>
      </w:hyperlink>
      <w:r w:rsidRPr="002A150B">
        <w:t>.</w:t>
      </w:r>
    </w:p>
  </w:footnote>
  <w:footnote w:id="104">
    <w:p w14:paraId="6B27E885" w14:textId="77777777" w:rsidR="00680B54" w:rsidRPr="002A150B" w:rsidRDefault="00680B54" w:rsidP="00CA0B88">
      <w:pPr>
        <w:pStyle w:val="CMR-footnote"/>
        <w:jc w:val="both"/>
      </w:pPr>
      <w:r w:rsidRPr="002A150B">
        <w:rPr>
          <w:rStyle w:val="FootnoteReference"/>
        </w:rPr>
        <w:footnoteRef/>
      </w:r>
      <w:r w:rsidRPr="002A150B">
        <w:t xml:space="preserve"> Aceste state membre au fost Danemarca, Finlanda, Lituania, Țările de Jos și Ungaria. Croația nu mai utilizează metodologia de raportare simplificată.</w:t>
      </w:r>
    </w:p>
  </w:footnote>
  <w:footnote w:id="105">
    <w:p w14:paraId="7510177F" w14:textId="770028A4" w:rsidR="00680B54" w:rsidRPr="002A150B" w:rsidRDefault="00680B54" w:rsidP="00CA0B88">
      <w:pPr>
        <w:pStyle w:val="CMR-footnote"/>
        <w:jc w:val="both"/>
      </w:pPr>
      <w:r w:rsidRPr="002A150B">
        <w:rPr>
          <w:rStyle w:val="FootnoteReference"/>
          <w:rFonts w:cs="Times New Roman"/>
        </w:rPr>
        <w:footnoteRef/>
      </w:r>
      <w:r w:rsidRPr="002A150B">
        <w:t xml:space="preserve"> Articolul 13 din Regulamentul privind monitorizarea și raportarea.</w:t>
      </w:r>
    </w:p>
  </w:footnote>
  <w:footnote w:id="106">
    <w:p w14:paraId="3C5C2679" w14:textId="77777777" w:rsidR="00797ADF" w:rsidRPr="002A150B" w:rsidRDefault="00797ADF" w:rsidP="00CA0B88">
      <w:pPr>
        <w:pStyle w:val="CMR-footnote"/>
        <w:jc w:val="both"/>
      </w:pPr>
      <w:r w:rsidRPr="002A150B">
        <w:rPr>
          <w:rStyle w:val="FootnoteReference"/>
        </w:rPr>
        <w:footnoteRef/>
      </w:r>
      <w:r w:rsidRPr="002A150B">
        <w:t xml:space="preserve"> Principalul motiv este acela că metodologia bazată pe măsurători necesită know-how și resurse considerabile, pe care mulți operatori mai mici nu le dețin.</w:t>
      </w:r>
    </w:p>
  </w:footnote>
  <w:footnote w:id="107">
    <w:p w14:paraId="363CBFE8" w14:textId="5958C6AB" w:rsidR="00797ADF" w:rsidRPr="002A150B" w:rsidRDefault="00797ADF" w:rsidP="00CA0B88">
      <w:pPr>
        <w:pStyle w:val="CMR-footnote"/>
        <w:jc w:val="both"/>
      </w:pPr>
      <w:r w:rsidRPr="002A150B">
        <w:rPr>
          <w:rStyle w:val="FootnoteReference"/>
        </w:rPr>
        <w:footnoteRef/>
      </w:r>
      <w:r w:rsidRPr="002A150B">
        <w:t xml:space="preserve"> Regulamentul privind monitorizarea și raportarea prevede obligația tuturor operatorilor de a respecta anumite niveluri minime. Instalațiile care emit mai mult de 50 kt de CO</w:t>
      </w:r>
      <w:r w:rsidRPr="002A150B">
        <w:rPr>
          <w:vertAlign w:val="subscript"/>
        </w:rPr>
        <w:t>2</w:t>
      </w:r>
      <w:r w:rsidRPr="002A150B">
        <w:t xml:space="preserve"> trebuie să atingă cel mai înalt nivel pentru fluxurile-sursă majore (ceea ce înseamnă o calitate mai fiabilă a datelor), în timp ce surselor minore li se aplică cerințe mai puțin stricte din motive de rentabilitate.</w:t>
      </w:r>
    </w:p>
  </w:footnote>
  <w:footnote w:id="108">
    <w:p w14:paraId="539AF9DA" w14:textId="686AF17E" w:rsidR="00797ADF" w:rsidRPr="002A150B" w:rsidRDefault="00797ADF" w:rsidP="00CA0B88">
      <w:pPr>
        <w:pStyle w:val="CMR-footnote"/>
        <w:jc w:val="both"/>
      </w:pPr>
      <w:r w:rsidRPr="002A150B">
        <w:rPr>
          <w:rStyle w:val="FootnoteReference"/>
        </w:rPr>
        <w:footnoteRef/>
      </w:r>
      <w:r w:rsidRPr="002A150B">
        <w:t xml:space="preserve"> Regulamentul de punere în aplicare (UE) 2023/2122 al Comisiei din 17 octombrie 2023 de modificare a Regulamentului de punere în aplicare (UE) 2018/2066 privind monitorizarea și raportarea emisiilor de gaze cu efect de seră în temeiul Directivei 2003/87/CE a Parlamentului European și a Consiliului (</w:t>
      </w:r>
      <w:hyperlink r:id="rId78" w:history="1">
        <w:r w:rsidRPr="002A150B">
          <w:rPr>
            <w:rStyle w:val="Hyperlink"/>
          </w:rPr>
          <w:t>JO L, 2023/2122</w:t>
        </w:r>
      </w:hyperlink>
      <w:r w:rsidRPr="002A150B">
        <w:t>, 18.10.2023).</w:t>
      </w:r>
    </w:p>
  </w:footnote>
  <w:footnote w:id="109">
    <w:p w14:paraId="01C94578" w14:textId="2F17302E" w:rsidR="00F0691F" w:rsidRPr="002A150B" w:rsidRDefault="00F0691F" w:rsidP="00984820">
      <w:pPr>
        <w:pStyle w:val="CMR-footnote"/>
      </w:pPr>
      <w:r w:rsidRPr="002A150B">
        <w:rPr>
          <w:rStyle w:val="FootnoteReference"/>
        </w:rPr>
        <w:footnoteRef/>
      </w:r>
      <w:r w:rsidRPr="002A150B">
        <w:t xml:space="preserve"> Regulamentul de punere în aplicare (UE) 2018/2066 – a se vedea nota de subsol 7. </w:t>
      </w:r>
    </w:p>
  </w:footnote>
  <w:footnote w:id="110">
    <w:p w14:paraId="1AE294CA" w14:textId="33D297BF" w:rsidR="0074302E" w:rsidRPr="002A150B" w:rsidRDefault="0074302E" w:rsidP="004E07E2">
      <w:pPr>
        <w:pStyle w:val="CMR-footnote"/>
      </w:pPr>
      <w:r w:rsidRPr="002A150B">
        <w:rPr>
          <w:rStyle w:val="FootnoteReference"/>
        </w:rPr>
        <w:footnoteRef/>
      </w:r>
      <w:r w:rsidRPr="002A150B">
        <w:t xml:space="preserve"> Pentru informații suplimentare, a se vedea </w:t>
      </w:r>
      <w:hyperlink r:id="rId79" w:history="1">
        <w:r w:rsidRPr="002A150B">
          <w:rPr>
            <w:rStyle w:val="Hyperlink"/>
          </w:rPr>
          <w:t>baza de date a Uniunii privind biocarburanții</w:t>
        </w:r>
      </w:hyperlink>
      <w:r w:rsidRPr="002A150B">
        <w:t xml:space="preserve">. </w:t>
      </w:r>
    </w:p>
  </w:footnote>
  <w:footnote w:id="111">
    <w:p w14:paraId="6503849D" w14:textId="0F343DD7" w:rsidR="00092DB8" w:rsidRPr="002A150B" w:rsidRDefault="00092DB8" w:rsidP="00984820">
      <w:pPr>
        <w:pStyle w:val="CMR-footnote"/>
      </w:pPr>
      <w:r w:rsidRPr="002A150B">
        <w:rPr>
          <w:rStyle w:val="FootnoteReference"/>
        </w:rPr>
        <w:footnoteRef/>
      </w:r>
      <w:r w:rsidRPr="002A150B">
        <w:t xml:space="preserve"> Regulamentul (UE) 2015/757 – a se vedea nota de subsol 98. </w:t>
      </w:r>
    </w:p>
  </w:footnote>
  <w:footnote w:id="112">
    <w:p w14:paraId="6F30665F" w14:textId="3B77C6EC" w:rsidR="003444DD" w:rsidRPr="002A150B" w:rsidRDefault="003444DD" w:rsidP="003364F5">
      <w:pPr>
        <w:pStyle w:val="CMR-footnote"/>
      </w:pPr>
      <w:r w:rsidRPr="002A150B">
        <w:rPr>
          <w:rStyle w:val="CMR-footnoteChar"/>
          <w:vertAlign w:val="superscript"/>
        </w:rPr>
        <w:footnoteRef/>
      </w:r>
      <w:r w:rsidRPr="002A150B">
        <w:t xml:space="preserve"> </w:t>
      </w:r>
      <w:hyperlink r:id="rId80" w:anchor="documentation" w:history="1">
        <w:r w:rsidRPr="002A150B">
          <w:rPr>
            <w:rStyle w:val="Hyperlink"/>
          </w:rPr>
          <w:t>Monitorizarea, raportarea și verificarea emisiilor în cadrul EU ETS</w:t>
        </w:r>
      </w:hyperlink>
      <w:r w:rsidRPr="002A150B">
        <w:t>, DG Politici Climatice, 31.8.2024.</w:t>
      </w:r>
    </w:p>
  </w:footnote>
  <w:footnote w:id="113">
    <w:p w14:paraId="142B8C7A" w14:textId="77777777" w:rsidR="006922C5" w:rsidRPr="002A150B" w:rsidRDefault="006922C5" w:rsidP="00CA0B88">
      <w:pPr>
        <w:pStyle w:val="CMR-footnote"/>
        <w:jc w:val="both"/>
      </w:pPr>
      <w:r w:rsidRPr="002A150B">
        <w:rPr>
          <w:rStyle w:val="FootnoteReference"/>
        </w:rPr>
        <w:footnoteRef/>
      </w:r>
      <w:r w:rsidRPr="002A150B">
        <w:t xml:space="preserve"> În cazurile în care autoritățile regionale/locale sunt responsabile de activitatea MRV, autoritatea competentă centrală examinează, de asemenea, documentele relevante (cum ar fi planurile de monitorizare) pentru a monitoriza calitatea proceselor MRV.</w:t>
      </w:r>
    </w:p>
  </w:footnote>
  <w:footnote w:id="114">
    <w:p w14:paraId="17FE86B8" w14:textId="08136237" w:rsidR="00C561AF" w:rsidRPr="002A150B" w:rsidRDefault="00C561AF" w:rsidP="00CA0B88">
      <w:pPr>
        <w:pStyle w:val="CMR-footnote"/>
        <w:jc w:val="both"/>
      </w:pPr>
      <w:r w:rsidRPr="002A150B">
        <w:rPr>
          <w:rStyle w:val="FootnoteReference"/>
        </w:rPr>
        <w:footnoteRef/>
      </w:r>
      <w:r w:rsidRPr="002A150B">
        <w:t xml:space="preserve"> În revizuirea din 2023 a Directivei EU ETS, termenul pentru restituirea certificatelor a fost mutat de la 30 aprilie la 30 septembrie (aplicabil începând din 2024).</w:t>
      </w:r>
    </w:p>
  </w:footnote>
  <w:footnote w:id="115">
    <w:p w14:paraId="2BFA6A7C" w14:textId="77777777" w:rsidR="0060292C" w:rsidRPr="002A150B" w:rsidRDefault="0060292C" w:rsidP="00CA0B88">
      <w:pPr>
        <w:pStyle w:val="CMR-footnote"/>
        <w:jc w:val="both"/>
      </w:pPr>
      <w:r w:rsidRPr="002A150B">
        <w:rPr>
          <w:rStyle w:val="FootnoteReference"/>
        </w:rPr>
        <w:footnoteRef/>
      </w:r>
      <w:r w:rsidRPr="002A150B">
        <w:t xml:space="preserve"> Sancțiunea este indexată în funcție de inflație.</w:t>
      </w:r>
    </w:p>
  </w:footnote>
  <w:footnote w:id="116">
    <w:p w14:paraId="40D3E7D2" w14:textId="541B34B4" w:rsidR="0060292C" w:rsidRPr="002A150B" w:rsidRDefault="0060292C" w:rsidP="00CA0B88">
      <w:pPr>
        <w:pStyle w:val="CMR-footnote"/>
        <w:jc w:val="both"/>
      </w:pPr>
      <w:r w:rsidRPr="002A150B">
        <w:rPr>
          <w:rStyle w:val="FootnoteReference"/>
        </w:rPr>
        <w:footnoteRef/>
      </w:r>
      <w:r w:rsidRPr="002A150B">
        <w:t xml:space="preserve"> Articolul 34a din Regulamentul privind acreditarea și verificarea permite verificatorului să efectueze vizite virtuale ale sitului în cazul în care o situație de forță majoră îl împiedică să se deplaseze la fața locului. Acest lucru este permis numai cu aprobarea autorității competente și dacă au fost îndeplinite anumite condiții.</w:t>
      </w:r>
    </w:p>
  </w:footnote>
  <w:footnote w:id="117">
    <w:p w14:paraId="1C7135CA" w14:textId="5DA93DD1" w:rsidR="0060292C" w:rsidRPr="002A150B" w:rsidRDefault="0060292C" w:rsidP="00CA6D7E">
      <w:pPr>
        <w:pStyle w:val="CMR-footnote"/>
      </w:pPr>
      <w:r w:rsidRPr="002A150B">
        <w:rPr>
          <w:rStyle w:val="FootnoteReference"/>
        </w:rPr>
        <w:footnoteRef/>
      </w:r>
      <w:r w:rsidRPr="002A150B">
        <w:t xml:space="preserve"> Articolul 70 din Regulamentul privind monitorizarea și raportarea.</w:t>
      </w:r>
    </w:p>
  </w:footnote>
  <w:footnote w:id="118">
    <w:p w14:paraId="7F56302C" w14:textId="45E78308" w:rsidR="00062739" w:rsidRPr="002A150B" w:rsidRDefault="00062739" w:rsidP="00062739">
      <w:pPr>
        <w:pStyle w:val="CMR-footnote"/>
      </w:pPr>
      <w:r w:rsidRPr="002A150B">
        <w:rPr>
          <w:rStyle w:val="FootnoteReference"/>
        </w:rPr>
        <w:footnoteRef/>
      </w:r>
      <w:r w:rsidRPr="002A150B">
        <w:t xml:space="preserve"> În cazul Italiei, au fost utilizate ca substituent datele raportate pentru 2022 – a se vedea pagina 4</w:t>
      </w:r>
      <w:r w:rsidR="00D84A55">
        <w:t>2</w:t>
      </w:r>
      <w:r w:rsidRPr="002A150B">
        <w:t xml:space="preserve"> din prezentul raport.</w:t>
      </w:r>
    </w:p>
  </w:footnote>
  <w:footnote w:id="119">
    <w:p w14:paraId="3E293956" w14:textId="77777777" w:rsidR="0060292C" w:rsidRPr="002A150B" w:rsidRDefault="0060292C" w:rsidP="00CA6D7E">
      <w:pPr>
        <w:pStyle w:val="CMR-footnote"/>
      </w:pPr>
      <w:r w:rsidRPr="002A150B">
        <w:rPr>
          <w:rStyle w:val="FootnoteReference"/>
        </w:rPr>
        <w:footnoteRef/>
      </w:r>
      <w:r w:rsidRPr="002A150B">
        <w:t xml:space="preserve"> Alte două țări (Liechtenstein și Irlanda de Nord) nu administrează niciun operator de aeronave.</w:t>
      </w:r>
    </w:p>
  </w:footnote>
  <w:footnote w:id="120">
    <w:p w14:paraId="19C373D6" w14:textId="10D364B3" w:rsidR="00B04039" w:rsidRPr="002A150B" w:rsidRDefault="00B04039" w:rsidP="00B04039">
      <w:pPr>
        <w:pStyle w:val="CMR-footnote"/>
      </w:pPr>
      <w:r w:rsidRPr="002A150B">
        <w:rPr>
          <w:rStyle w:val="FootnoteReference"/>
        </w:rPr>
        <w:footnoteRef/>
      </w:r>
      <w:r w:rsidRPr="002A150B">
        <w:t xml:space="preserve"> În cazul Italiei, au fost utilizate ca substituent datele raportate pentru 2022 – a se vedea pagina 4</w:t>
      </w:r>
      <w:r w:rsidR="00D84A55">
        <w:t>2</w:t>
      </w:r>
      <w:r w:rsidRPr="002A150B">
        <w:t xml:space="preserve"> din prezentul raport.</w:t>
      </w:r>
    </w:p>
  </w:footnote>
  <w:footnote w:id="121">
    <w:p w14:paraId="4E895F80" w14:textId="3A4CCB9A" w:rsidR="0060292C" w:rsidRPr="002A150B" w:rsidRDefault="0060292C" w:rsidP="00CA0B88">
      <w:pPr>
        <w:pStyle w:val="CMR-footnote"/>
        <w:jc w:val="both"/>
      </w:pPr>
      <w:r w:rsidRPr="002A150B">
        <w:rPr>
          <w:rStyle w:val="FootnoteReference"/>
        </w:rPr>
        <w:footnoteRef/>
      </w:r>
      <w:r w:rsidRPr="002A150B">
        <w:t xml:space="preserve"> Cele 14 țări sunt Cehia, Danemarca, Finlanda, Franța, Germania, Grecia, Ungaria, Irlanda, Italia, Țările de Jos, Norvegia, Polonia, Spania și Suedia. În cazul Italiei au fost utilizate ca substituent datele raportate pentru 2022. În cazul Italiei, au fost utilizate ca substituent datele raportate pentru 2022 – a se vedea pagina 4</w:t>
      </w:r>
      <w:r w:rsidR="00D84A55">
        <w:t>2</w:t>
      </w:r>
      <w:r w:rsidRPr="002A150B">
        <w:t xml:space="preserve"> din prezentul raport.</w:t>
      </w:r>
    </w:p>
  </w:footnote>
  <w:footnote w:id="122">
    <w:p w14:paraId="2D6E6D53" w14:textId="4AE4AA53" w:rsidR="00983C03" w:rsidRPr="002A150B" w:rsidRDefault="00983C03" w:rsidP="00CA0B88">
      <w:pPr>
        <w:pStyle w:val="CMR-footnote"/>
        <w:jc w:val="both"/>
      </w:pPr>
      <w:r w:rsidRPr="002A150B">
        <w:rPr>
          <w:rStyle w:val="FootnoteReference"/>
        </w:rPr>
        <w:footnoteRef/>
      </w:r>
      <w:r w:rsidRPr="002A150B">
        <w:t xml:space="preserve"> Directiva (UE) 2023/1791 a Parlamentului European și a Consiliului din 13 septembrie 2023 privind eficiența energetică și de modificare a Regulamentului (UE) 2023/955 (reformare) (</w:t>
      </w:r>
      <w:hyperlink r:id="rId81" w:history="1">
        <w:r w:rsidRPr="002A150B">
          <w:rPr>
            <w:rStyle w:val="Hyperlink"/>
          </w:rPr>
          <w:t>JO L 231</w:t>
        </w:r>
      </w:hyperlink>
      <w:r w:rsidRPr="002A150B">
        <w:t>, 20.9.2018).</w:t>
      </w:r>
    </w:p>
  </w:footnote>
  <w:footnote w:id="123">
    <w:p w14:paraId="353DF671" w14:textId="77777777" w:rsidR="00C85430" w:rsidRPr="002A150B" w:rsidRDefault="00C85430" w:rsidP="00CA0B88">
      <w:pPr>
        <w:pStyle w:val="CMR-footnote"/>
        <w:jc w:val="both"/>
      </w:pPr>
      <w:r w:rsidRPr="002A150B">
        <w:rPr>
          <w:rStyle w:val="FootnoteReference"/>
        </w:rPr>
        <w:footnoteRef/>
      </w:r>
      <w:r w:rsidRPr="002A150B">
        <w:t xml:space="preserve"> </w:t>
      </w:r>
      <w:r w:rsidRPr="002A150B">
        <w:rPr>
          <w:shd w:val="clear" w:color="auto" w:fill="FFFFFF"/>
        </w:rPr>
        <w:t>Acordul dintre Uniunea Europeană și Confederația Elvețiană pentru crearea unei legături între respectivele lor scheme de comercializare a certificatelor de emisii de gaze cu efect de seră (</w:t>
      </w:r>
      <w:hyperlink r:id="rId82" w:history="1">
        <w:r w:rsidRPr="002A150B">
          <w:rPr>
            <w:rStyle w:val="Hyperlink"/>
            <w:color w:val="337AB7"/>
            <w:sz w:val="19"/>
            <w:shd w:val="clear" w:color="auto" w:fill="FFFFFF"/>
          </w:rPr>
          <w:t>JO L 322</w:t>
        </w:r>
      </w:hyperlink>
      <w:r w:rsidRPr="002A150B">
        <w:rPr>
          <w:shd w:val="clear" w:color="auto" w:fill="FFFFFF"/>
        </w:rPr>
        <w:t>, 7.12.2017).</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52DE5E6" w14:textId="77777777" w:rsidR="0030444F" w:rsidRPr="0030444F" w:rsidRDefault="0030444F" w:rsidP="0030444F">
    <w:pPr>
      <w:pStyle w:val="HeaderCoverPage"/>
    </w:pPr>
  </w:p>
</w:hdr>
</file>

<file path=word/header10.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6F6CC05" w14:textId="77777777" w:rsidR="00126559" w:rsidRDefault="00126559">
    <w:pPr>
      <w:pStyle w:val="Header"/>
    </w:pPr>
  </w:p>
</w:hdr>
</file>

<file path=word/header1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1144143" w14:textId="77777777" w:rsidR="00126559" w:rsidRDefault="00126559">
    <w:pPr>
      <w:pStyle w:val="Header"/>
    </w:pPr>
  </w:p>
</w:hdr>
</file>

<file path=word/header1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E360FAF" w14:textId="77777777" w:rsidR="00126559" w:rsidRDefault="00126559">
    <w:pPr>
      <w:pStyle w:val="Header"/>
    </w:pPr>
  </w:p>
</w:hdr>
</file>

<file path=word/header1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871AA27" w14:textId="77777777" w:rsidR="00890E07" w:rsidRDefault="00890E07">
    <w:pPr>
      <w:pStyle w:val="Header"/>
    </w:pPr>
  </w:p>
</w:hdr>
</file>

<file path=word/header1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A138B0C" w14:textId="77777777" w:rsidR="00890E07" w:rsidRDefault="00890E07">
    <w:pPr>
      <w:pStyle w:val="Header"/>
    </w:pPr>
  </w:p>
</w:hdr>
</file>

<file path=word/header1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A5DDED0" w14:textId="77777777" w:rsidR="00890E07" w:rsidRDefault="00890E07">
    <w:pPr>
      <w:pStyle w:val="Header"/>
    </w:pPr>
  </w:p>
</w:hdr>
</file>

<file path=word/header1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A12D2C4" w14:textId="77777777" w:rsidR="00890E07" w:rsidRDefault="00890E07">
    <w:pPr>
      <w:pStyle w:val="Header"/>
    </w:pPr>
  </w:p>
</w:hdr>
</file>

<file path=word/header1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DDDC37B" w14:textId="77777777" w:rsidR="00890E07" w:rsidRDefault="00890E07">
    <w:pPr>
      <w:pStyle w:val="Header"/>
    </w:pPr>
  </w:p>
</w:hdr>
</file>

<file path=word/header1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6DDAF3C" w14:textId="77777777" w:rsidR="00890E07" w:rsidRDefault="00890E0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9591454" w14:textId="77777777" w:rsidR="0030444F" w:rsidRPr="0030444F" w:rsidRDefault="0030444F" w:rsidP="0030444F">
    <w:pPr>
      <w:pStyle w:val="HeaderCoverPage"/>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B68B7B6" w14:textId="77777777" w:rsidR="0030444F" w:rsidRPr="0030444F" w:rsidRDefault="0030444F" w:rsidP="0030444F">
    <w:pPr>
      <w:pStyle w:val="HeaderCoverPage"/>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3AA443C" w14:textId="77777777" w:rsidR="00464745" w:rsidRDefault="00464745">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1DACF6B" w14:textId="77777777" w:rsidR="000C3DBF" w:rsidRDefault="000C3DBF">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C6E5E03" w14:textId="77777777" w:rsidR="00535E6D" w:rsidRDefault="00535E6D">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A058AEA" w14:textId="77777777" w:rsidR="00126559" w:rsidRDefault="00126559">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54DC9BE" w14:textId="77777777" w:rsidR="00126559" w:rsidRDefault="00126559">
    <w:pPr>
      <w:pStyle w:val="Header"/>
    </w:pPr>
  </w:p>
</w:hdr>
</file>

<file path=word/header9.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F3AA1B4" w14:textId="77777777" w:rsidR="00126559" w:rsidRDefault="0012655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6A59F9"/>
    <w:multiLevelType w:val="hybridMultilevel"/>
    <w:tmpl w:val="C8BEBD42"/>
    <w:lvl w:ilvl="0" w:tplc="18090001">
      <w:start w:val="1"/>
      <w:numFmt w:val="bullet"/>
      <w:lvlText w:val=""/>
      <w:lvlJc w:val="left"/>
      <w:pPr>
        <w:ind w:left="644"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 w15:restartNumberingAfterBreak="0">
    <w:nsid w:val="0BBD7281"/>
    <w:multiLevelType w:val="hybridMultilevel"/>
    <w:tmpl w:val="2EB88E14"/>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 w15:restartNumberingAfterBreak="0">
    <w:nsid w:val="0C74785C"/>
    <w:multiLevelType w:val="hybridMultilevel"/>
    <w:tmpl w:val="AB2A1AC8"/>
    <w:lvl w:ilvl="0" w:tplc="BC2EA328">
      <w:start w:val="16"/>
      <w:numFmt w:val="bullet"/>
      <w:lvlText w:val="-"/>
      <w:lvlJc w:val="left"/>
      <w:pPr>
        <w:ind w:left="644" w:hanging="360"/>
      </w:pPr>
      <w:rPr>
        <w:rFonts w:ascii="Calibri" w:eastAsiaTheme="minorHAnsi" w:hAnsi="Calibri" w:cs="Calibri" w:hint="default"/>
      </w:rPr>
    </w:lvl>
    <w:lvl w:ilvl="1" w:tplc="18090003">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 w15:restartNumberingAfterBreak="0">
    <w:nsid w:val="0DBD32C1"/>
    <w:multiLevelType w:val="hybridMultilevel"/>
    <w:tmpl w:val="A5B0C88C"/>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4" w15:restartNumberingAfterBreak="0">
    <w:nsid w:val="11AA5363"/>
    <w:multiLevelType w:val="hybridMultilevel"/>
    <w:tmpl w:val="73F6FF88"/>
    <w:lvl w:ilvl="0" w:tplc="2D64AD06">
      <w:numFmt w:val="bullet"/>
      <w:lvlText w:val="•"/>
      <w:lvlJc w:val="left"/>
      <w:pPr>
        <w:ind w:left="720" w:hanging="360"/>
      </w:pPr>
      <w:rPr>
        <w:rFonts w:ascii="Calibri" w:eastAsiaTheme="minorHAnsi" w:hAnsi="Calibri" w:cs="Calibri"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5" w15:restartNumberingAfterBreak="0">
    <w:nsid w:val="158D6C86"/>
    <w:multiLevelType w:val="hybridMultilevel"/>
    <w:tmpl w:val="54221750"/>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6" w15:restartNumberingAfterBreak="0">
    <w:nsid w:val="15A05FB9"/>
    <w:multiLevelType w:val="hybridMultilevel"/>
    <w:tmpl w:val="221AC820"/>
    <w:lvl w:ilvl="0" w:tplc="BC2EA328">
      <w:start w:val="16"/>
      <w:numFmt w:val="bullet"/>
      <w:lvlText w:val="-"/>
      <w:lvlJc w:val="left"/>
      <w:pPr>
        <w:ind w:left="644" w:hanging="360"/>
      </w:pPr>
      <w:rPr>
        <w:rFonts w:ascii="Calibri" w:eastAsiaTheme="minorHAnsi" w:hAnsi="Calibri" w:cs="Calibri"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7" w15:restartNumberingAfterBreak="0">
    <w:nsid w:val="1E363A9C"/>
    <w:multiLevelType w:val="hybridMultilevel"/>
    <w:tmpl w:val="8206C04C"/>
    <w:lvl w:ilvl="0" w:tplc="1809000F">
      <w:start w:val="1"/>
      <w:numFmt w:val="decimal"/>
      <w:lvlText w:val="%1."/>
      <w:lvlJc w:val="left"/>
      <w:pPr>
        <w:ind w:left="1571" w:hanging="360"/>
      </w:pPr>
    </w:lvl>
    <w:lvl w:ilvl="1" w:tplc="18090019" w:tentative="1">
      <w:start w:val="1"/>
      <w:numFmt w:val="lowerLetter"/>
      <w:lvlText w:val="%2."/>
      <w:lvlJc w:val="left"/>
      <w:pPr>
        <w:ind w:left="2291" w:hanging="360"/>
      </w:pPr>
    </w:lvl>
    <w:lvl w:ilvl="2" w:tplc="1809001B" w:tentative="1">
      <w:start w:val="1"/>
      <w:numFmt w:val="lowerRoman"/>
      <w:lvlText w:val="%3."/>
      <w:lvlJc w:val="right"/>
      <w:pPr>
        <w:ind w:left="3011" w:hanging="180"/>
      </w:pPr>
    </w:lvl>
    <w:lvl w:ilvl="3" w:tplc="1809000F" w:tentative="1">
      <w:start w:val="1"/>
      <w:numFmt w:val="decimal"/>
      <w:lvlText w:val="%4."/>
      <w:lvlJc w:val="left"/>
      <w:pPr>
        <w:ind w:left="3731" w:hanging="360"/>
      </w:pPr>
    </w:lvl>
    <w:lvl w:ilvl="4" w:tplc="18090019" w:tentative="1">
      <w:start w:val="1"/>
      <w:numFmt w:val="lowerLetter"/>
      <w:lvlText w:val="%5."/>
      <w:lvlJc w:val="left"/>
      <w:pPr>
        <w:ind w:left="4451" w:hanging="360"/>
      </w:pPr>
    </w:lvl>
    <w:lvl w:ilvl="5" w:tplc="1809001B" w:tentative="1">
      <w:start w:val="1"/>
      <w:numFmt w:val="lowerRoman"/>
      <w:lvlText w:val="%6."/>
      <w:lvlJc w:val="right"/>
      <w:pPr>
        <w:ind w:left="5171" w:hanging="180"/>
      </w:pPr>
    </w:lvl>
    <w:lvl w:ilvl="6" w:tplc="1809000F" w:tentative="1">
      <w:start w:val="1"/>
      <w:numFmt w:val="decimal"/>
      <w:lvlText w:val="%7."/>
      <w:lvlJc w:val="left"/>
      <w:pPr>
        <w:ind w:left="5891" w:hanging="360"/>
      </w:pPr>
    </w:lvl>
    <w:lvl w:ilvl="7" w:tplc="18090019" w:tentative="1">
      <w:start w:val="1"/>
      <w:numFmt w:val="lowerLetter"/>
      <w:lvlText w:val="%8."/>
      <w:lvlJc w:val="left"/>
      <w:pPr>
        <w:ind w:left="6611" w:hanging="360"/>
      </w:pPr>
    </w:lvl>
    <w:lvl w:ilvl="8" w:tplc="1809001B" w:tentative="1">
      <w:start w:val="1"/>
      <w:numFmt w:val="lowerRoman"/>
      <w:lvlText w:val="%9."/>
      <w:lvlJc w:val="right"/>
      <w:pPr>
        <w:ind w:left="7331" w:hanging="180"/>
      </w:pPr>
    </w:lvl>
  </w:abstractNum>
  <w:abstractNum w:abstractNumId="8" w15:restartNumberingAfterBreak="0">
    <w:nsid w:val="21685294"/>
    <w:multiLevelType w:val="multilevel"/>
    <w:tmpl w:val="C98232A4"/>
    <w:lvl w:ilvl="0">
      <w:start w:val="1"/>
      <w:numFmt w:val="decimal"/>
      <w:lvlText w:val="%1."/>
      <w:lvlJc w:val="left"/>
      <w:pPr>
        <w:ind w:left="360" w:hanging="360"/>
      </w:pPr>
    </w:lvl>
    <w:lvl w:ilvl="1">
      <w:start w:val="1"/>
      <w:numFmt w:val="decimal"/>
      <w:lvlText w:val="%1.%2."/>
      <w:lvlJc w:val="left"/>
      <w:pPr>
        <w:ind w:left="792" w:hanging="432"/>
      </w:pPr>
      <w:rPr>
        <w:sz w:val="24"/>
        <w:szCs w:val="24"/>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2C2304A8"/>
    <w:multiLevelType w:val="hybridMultilevel"/>
    <w:tmpl w:val="8C82B816"/>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0" w15:restartNumberingAfterBreak="0">
    <w:nsid w:val="307F2CAF"/>
    <w:multiLevelType w:val="hybridMultilevel"/>
    <w:tmpl w:val="C6461B02"/>
    <w:lvl w:ilvl="0" w:tplc="95FA03E6">
      <w:start w:val="1"/>
      <w:numFmt w:val="bullet"/>
      <w:lvlText w:val=""/>
      <w:lvlJc w:val="left"/>
      <w:pPr>
        <w:ind w:left="1020" w:hanging="360"/>
      </w:pPr>
      <w:rPr>
        <w:rFonts w:ascii="Symbol" w:hAnsi="Symbol"/>
      </w:rPr>
    </w:lvl>
    <w:lvl w:ilvl="1" w:tplc="016006E0">
      <w:start w:val="1"/>
      <w:numFmt w:val="bullet"/>
      <w:lvlText w:val=""/>
      <w:lvlJc w:val="left"/>
      <w:pPr>
        <w:ind w:left="1020" w:hanging="360"/>
      </w:pPr>
      <w:rPr>
        <w:rFonts w:ascii="Symbol" w:hAnsi="Symbol"/>
      </w:rPr>
    </w:lvl>
    <w:lvl w:ilvl="2" w:tplc="32A08A1C">
      <w:start w:val="1"/>
      <w:numFmt w:val="bullet"/>
      <w:lvlText w:val=""/>
      <w:lvlJc w:val="left"/>
      <w:pPr>
        <w:ind w:left="1020" w:hanging="360"/>
      </w:pPr>
      <w:rPr>
        <w:rFonts w:ascii="Symbol" w:hAnsi="Symbol"/>
      </w:rPr>
    </w:lvl>
    <w:lvl w:ilvl="3" w:tplc="EF96EC48">
      <w:start w:val="1"/>
      <w:numFmt w:val="bullet"/>
      <w:lvlText w:val=""/>
      <w:lvlJc w:val="left"/>
      <w:pPr>
        <w:ind w:left="1020" w:hanging="360"/>
      </w:pPr>
      <w:rPr>
        <w:rFonts w:ascii="Symbol" w:hAnsi="Symbol"/>
      </w:rPr>
    </w:lvl>
    <w:lvl w:ilvl="4" w:tplc="18D87820">
      <w:start w:val="1"/>
      <w:numFmt w:val="bullet"/>
      <w:lvlText w:val=""/>
      <w:lvlJc w:val="left"/>
      <w:pPr>
        <w:ind w:left="1020" w:hanging="360"/>
      </w:pPr>
      <w:rPr>
        <w:rFonts w:ascii="Symbol" w:hAnsi="Symbol"/>
      </w:rPr>
    </w:lvl>
    <w:lvl w:ilvl="5" w:tplc="0246ADBE">
      <w:start w:val="1"/>
      <w:numFmt w:val="bullet"/>
      <w:lvlText w:val=""/>
      <w:lvlJc w:val="left"/>
      <w:pPr>
        <w:ind w:left="1020" w:hanging="360"/>
      </w:pPr>
      <w:rPr>
        <w:rFonts w:ascii="Symbol" w:hAnsi="Symbol"/>
      </w:rPr>
    </w:lvl>
    <w:lvl w:ilvl="6" w:tplc="FD08DA5C">
      <w:start w:val="1"/>
      <w:numFmt w:val="bullet"/>
      <w:lvlText w:val=""/>
      <w:lvlJc w:val="left"/>
      <w:pPr>
        <w:ind w:left="1020" w:hanging="360"/>
      </w:pPr>
      <w:rPr>
        <w:rFonts w:ascii="Symbol" w:hAnsi="Symbol"/>
      </w:rPr>
    </w:lvl>
    <w:lvl w:ilvl="7" w:tplc="8B62BE76">
      <w:start w:val="1"/>
      <w:numFmt w:val="bullet"/>
      <w:lvlText w:val=""/>
      <w:lvlJc w:val="left"/>
      <w:pPr>
        <w:ind w:left="1020" w:hanging="360"/>
      </w:pPr>
      <w:rPr>
        <w:rFonts w:ascii="Symbol" w:hAnsi="Symbol"/>
      </w:rPr>
    </w:lvl>
    <w:lvl w:ilvl="8" w:tplc="6D106C9E">
      <w:start w:val="1"/>
      <w:numFmt w:val="bullet"/>
      <w:lvlText w:val=""/>
      <w:lvlJc w:val="left"/>
      <w:pPr>
        <w:ind w:left="1020" w:hanging="360"/>
      </w:pPr>
      <w:rPr>
        <w:rFonts w:ascii="Symbol" w:hAnsi="Symbol"/>
      </w:rPr>
    </w:lvl>
  </w:abstractNum>
  <w:abstractNum w:abstractNumId="11" w15:restartNumberingAfterBreak="0">
    <w:nsid w:val="37E45A90"/>
    <w:multiLevelType w:val="hybridMultilevel"/>
    <w:tmpl w:val="0CF437C0"/>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2" w15:restartNumberingAfterBreak="0">
    <w:nsid w:val="39152369"/>
    <w:multiLevelType w:val="hybridMultilevel"/>
    <w:tmpl w:val="2850F2DE"/>
    <w:lvl w:ilvl="0" w:tplc="08090001">
      <w:start w:val="1"/>
      <w:numFmt w:val="bullet"/>
      <w:lvlText w:val=""/>
      <w:lvlJc w:val="left"/>
      <w:pPr>
        <w:ind w:left="720" w:hanging="360"/>
      </w:pPr>
      <w:rPr>
        <w:rFonts w:ascii="Symbol" w:hAnsi="Symbol" w:hint="default"/>
        <w:sz w:val="18"/>
        <w:szCs w:val="18"/>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3" w15:restartNumberingAfterBreak="0">
    <w:nsid w:val="3C246E5D"/>
    <w:multiLevelType w:val="hybridMultilevel"/>
    <w:tmpl w:val="825EED68"/>
    <w:lvl w:ilvl="0" w:tplc="72861EFC">
      <w:start w:val="1"/>
      <w:numFmt w:val="bullet"/>
      <w:lvlText w:val=""/>
      <w:lvlJc w:val="left"/>
      <w:pPr>
        <w:ind w:left="1020" w:hanging="360"/>
      </w:pPr>
      <w:rPr>
        <w:rFonts w:ascii="Symbol" w:hAnsi="Symbol"/>
      </w:rPr>
    </w:lvl>
    <w:lvl w:ilvl="1" w:tplc="0A2A6E3C">
      <w:start w:val="1"/>
      <w:numFmt w:val="bullet"/>
      <w:lvlText w:val=""/>
      <w:lvlJc w:val="left"/>
      <w:pPr>
        <w:ind w:left="1020" w:hanging="360"/>
      </w:pPr>
      <w:rPr>
        <w:rFonts w:ascii="Symbol" w:hAnsi="Symbol"/>
      </w:rPr>
    </w:lvl>
    <w:lvl w:ilvl="2" w:tplc="84F4FDE4">
      <w:start w:val="1"/>
      <w:numFmt w:val="bullet"/>
      <w:lvlText w:val=""/>
      <w:lvlJc w:val="left"/>
      <w:pPr>
        <w:ind w:left="1020" w:hanging="360"/>
      </w:pPr>
      <w:rPr>
        <w:rFonts w:ascii="Symbol" w:hAnsi="Symbol"/>
      </w:rPr>
    </w:lvl>
    <w:lvl w:ilvl="3" w:tplc="BD2497E6">
      <w:start w:val="1"/>
      <w:numFmt w:val="bullet"/>
      <w:lvlText w:val=""/>
      <w:lvlJc w:val="left"/>
      <w:pPr>
        <w:ind w:left="1020" w:hanging="360"/>
      </w:pPr>
      <w:rPr>
        <w:rFonts w:ascii="Symbol" w:hAnsi="Symbol"/>
      </w:rPr>
    </w:lvl>
    <w:lvl w:ilvl="4" w:tplc="DD34B8D8">
      <w:start w:val="1"/>
      <w:numFmt w:val="bullet"/>
      <w:lvlText w:val=""/>
      <w:lvlJc w:val="left"/>
      <w:pPr>
        <w:ind w:left="1020" w:hanging="360"/>
      </w:pPr>
      <w:rPr>
        <w:rFonts w:ascii="Symbol" w:hAnsi="Symbol"/>
      </w:rPr>
    </w:lvl>
    <w:lvl w:ilvl="5" w:tplc="E16442DE">
      <w:start w:val="1"/>
      <w:numFmt w:val="bullet"/>
      <w:lvlText w:val=""/>
      <w:lvlJc w:val="left"/>
      <w:pPr>
        <w:ind w:left="1020" w:hanging="360"/>
      </w:pPr>
      <w:rPr>
        <w:rFonts w:ascii="Symbol" w:hAnsi="Symbol"/>
      </w:rPr>
    </w:lvl>
    <w:lvl w:ilvl="6" w:tplc="A8C05EFE">
      <w:start w:val="1"/>
      <w:numFmt w:val="bullet"/>
      <w:lvlText w:val=""/>
      <w:lvlJc w:val="left"/>
      <w:pPr>
        <w:ind w:left="1020" w:hanging="360"/>
      </w:pPr>
      <w:rPr>
        <w:rFonts w:ascii="Symbol" w:hAnsi="Symbol"/>
      </w:rPr>
    </w:lvl>
    <w:lvl w:ilvl="7" w:tplc="ACA48568">
      <w:start w:val="1"/>
      <w:numFmt w:val="bullet"/>
      <w:lvlText w:val=""/>
      <w:lvlJc w:val="left"/>
      <w:pPr>
        <w:ind w:left="1020" w:hanging="360"/>
      </w:pPr>
      <w:rPr>
        <w:rFonts w:ascii="Symbol" w:hAnsi="Symbol"/>
      </w:rPr>
    </w:lvl>
    <w:lvl w:ilvl="8" w:tplc="87A67908">
      <w:start w:val="1"/>
      <w:numFmt w:val="bullet"/>
      <w:lvlText w:val=""/>
      <w:lvlJc w:val="left"/>
      <w:pPr>
        <w:ind w:left="1020" w:hanging="360"/>
      </w:pPr>
      <w:rPr>
        <w:rFonts w:ascii="Symbol" w:hAnsi="Symbol"/>
      </w:rPr>
    </w:lvl>
  </w:abstractNum>
  <w:abstractNum w:abstractNumId="14" w15:restartNumberingAfterBreak="0">
    <w:nsid w:val="46A271AE"/>
    <w:multiLevelType w:val="hybridMultilevel"/>
    <w:tmpl w:val="E0A81CCC"/>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5" w15:restartNumberingAfterBreak="0">
    <w:nsid w:val="52F95A50"/>
    <w:multiLevelType w:val="multilevel"/>
    <w:tmpl w:val="1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5C4212CD"/>
    <w:multiLevelType w:val="multilevel"/>
    <w:tmpl w:val="290629E0"/>
    <w:lvl w:ilvl="0">
      <w:start w:val="1"/>
      <w:numFmt w:val="decimal"/>
      <w:lvlText w:val="%1."/>
      <w:lvlJc w:val="left"/>
      <w:pPr>
        <w:ind w:left="360" w:hanging="360"/>
      </w:pPr>
      <w:rPr>
        <w:rFonts w:ascii="Times New Roman" w:hAnsi="Times New Roman"/>
        <w:b/>
        <w:bCs/>
        <w:sz w:val="28"/>
      </w:rPr>
    </w:lvl>
    <w:lvl w:ilvl="1">
      <w:start w:val="1"/>
      <w:numFmt w:val="decimal"/>
      <w:lvlText w:val="%1.%2."/>
      <w:lvlJc w:val="left"/>
      <w:pPr>
        <w:ind w:left="792" w:hanging="432"/>
      </w:pPr>
      <w:rPr>
        <w:sz w:val="24"/>
        <w:szCs w:val="24"/>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5C7B2357"/>
    <w:multiLevelType w:val="multilevel"/>
    <w:tmpl w:val="BD444FFA"/>
    <w:lvl w:ilvl="0">
      <w:start w:val="1"/>
      <w:numFmt w:val="decimal"/>
      <w:pStyle w:val="CMR-Heading"/>
      <w:lvlText w:val="%1."/>
      <w:lvlJc w:val="left"/>
      <w:pPr>
        <w:ind w:left="502" w:hanging="360"/>
      </w:pPr>
      <w:rPr>
        <w:rFonts w:hint="default"/>
        <w:b/>
        <w:bCs/>
      </w:rPr>
    </w:lvl>
    <w:lvl w:ilvl="1">
      <w:start w:val="1"/>
      <w:numFmt w:val="decimal"/>
      <w:pStyle w:val="CMR-Subheading"/>
      <w:lvlText w:val="%1.%2."/>
      <w:lvlJc w:val="left"/>
      <w:pPr>
        <w:ind w:left="792" w:hanging="432"/>
      </w:pPr>
      <w:rPr>
        <w:rFonts w:hint="default"/>
        <w:sz w:val="24"/>
        <w:szCs w:val="24"/>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8" w15:restartNumberingAfterBreak="0">
    <w:nsid w:val="5F493CCB"/>
    <w:multiLevelType w:val="multilevel"/>
    <w:tmpl w:val="1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6ABC090A"/>
    <w:multiLevelType w:val="multilevel"/>
    <w:tmpl w:val="1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6AD9543C"/>
    <w:multiLevelType w:val="hybridMultilevel"/>
    <w:tmpl w:val="B756FA8E"/>
    <w:lvl w:ilvl="0" w:tplc="F9805A92">
      <w:numFmt w:val="bullet"/>
      <w:lvlText w:val="-"/>
      <w:lvlJc w:val="left"/>
      <w:pPr>
        <w:ind w:left="720" w:hanging="360"/>
      </w:pPr>
      <w:rPr>
        <w:rFonts w:ascii="Calibri" w:eastAsiaTheme="minorHAnsi" w:hAnsi="Calibri" w:cs="Calibri"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1" w15:restartNumberingAfterBreak="0">
    <w:nsid w:val="6FFF6A63"/>
    <w:multiLevelType w:val="hybridMultilevel"/>
    <w:tmpl w:val="AD5C3926"/>
    <w:lvl w:ilvl="0" w:tplc="90802C94">
      <w:start w:val="16"/>
      <w:numFmt w:val="bullet"/>
      <w:lvlText w:val="-"/>
      <w:lvlJc w:val="left"/>
      <w:pPr>
        <w:ind w:left="720" w:hanging="360"/>
      </w:pPr>
      <w:rPr>
        <w:rFonts w:ascii="Calibri" w:eastAsiaTheme="minorHAnsi" w:hAnsi="Calibri" w:cs="Calibri"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2" w15:restartNumberingAfterBreak="0">
    <w:nsid w:val="78CC0B5B"/>
    <w:multiLevelType w:val="multilevel"/>
    <w:tmpl w:val="A094C6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79FD22C1"/>
    <w:multiLevelType w:val="multilevel"/>
    <w:tmpl w:val="1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15:restartNumberingAfterBreak="0">
    <w:nsid w:val="7ABD6630"/>
    <w:multiLevelType w:val="hybridMultilevel"/>
    <w:tmpl w:val="19E6F590"/>
    <w:lvl w:ilvl="0" w:tplc="431A95D4">
      <w:start w:val="1"/>
      <w:numFmt w:val="bullet"/>
      <w:lvlText w:val=""/>
      <w:lvlJc w:val="left"/>
      <w:pPr>
        <w:ind w:left="1020" w:hanging="360"/>
      </w:pPr>
      <w:rPr>
        <w:rFonts w:ascii="Symbol" w:hAnsi="Symbol"/>
      </w:rPr>
    </w:lvl>
    <w:lvl w:ilvl="1" w:tplc="5B1CDEE8">
      <w:start w:val="1"/>
      <w:numFmt w:val="bullet"/>
      <w:lvlText w:val=""/>
      <w:lvlJc w:val="left"/>
      <w:pPr>
        <w:ind w:left="1020" w:hanging="360"/>
      </w:pPr>
      <w:rPr>
        <w:rFonts w:ascii="Symbol" w:hAnsi="Symbol"/>
      </w:rPr>
    </w:lvl>
    <w:lvl w:ilvl="2" w:tplc="E9BEAB2C">
      <w:start w:val="1"/>
      <w:numFmt w:val="bullet"/>
      <w:lvlText w:val=""/>
      <w:lvlJc w:val="left"/>
      <w:pPr>
        <w:ind w:left="1020" w:hanging="360"/>
      </w:pPr>
      <w:rPr>
        <w:rFonts w:ascii="Symbol" w:hAnsi="Symbol"/>
      </w:rPr>
    </w:lvl>
    <w:lvl w:ilvl="3" w:tplc="21947EF8">
      <w:start w:val="1"/>
      <w:numFmt w:val="bullet"/>
      <w:lvlText w:val=""/>
      <w:lvlJc w:val="left"/>
      <w:pPr>
        <w:ind w:left="1020" w:hanging="360"/>
      </w:pPr>
      <w:rPr>
        <w:rFonts w:ascii="Symbol" w:hAnsi="Symbol"/>
      </w:rPr>
    </w:lvl>
    <w:lvl w:ilvl="4" w:tplc="973423C6">
      <w:start w:val="1"/>
      <w:numFmt w:val="bullet"/>
      <w:lvlText w:val=""/>
      <w:lvlJc w:val="left"/>
      <w:pPr>
        <w:ind w:left="1020" w:hanging="360"/>
      </w:pPr>
      <w:rPr>
        <w:rFonts w:ascii="Symbol" w:hAnsi="Symbol"/>
      </w:rPr>
    </w:lvl>
    <w:lvl w:ilvl="5" w:tplc="D0B448D8">
      <w:start w:val="1"/>
      <w:numFmt w:val="bullet"/>
      <w:lvlText w:val=""/>
      <w:lvlJc w:val="left"/>
      <w:pPr>
        <w:ind w:left="1020" w:hanging="360"/>
      </w:pPr>
      <w:rPr>
        <w:rFonts w:ascii="Symbol" w:hAnsi="Symbol"/>
      </w:rPr>
    </w:lvl>
    <w:lvl w:ilvl="6" w:tplc="0F743D14">
      <w:start w:val="1"/>
      <w:numFmt w:val="bullet"/>
      <w:lvlText w:val=""/>
      <w:lvlJc w:val="left"/>
      <w:pPr>
        <w:ind w:left="1020" w:hanging="360"/>
      </w:pPr>
      <w:rPr>
        <w:rFonts w:ascii="Symbol" w:hAnsi="Symbol"/>
      </w:rPr>
    </w:lvl>
    <w:lvl w:ilvl="7" w:tplc="B728F216">
      <w:start w:val="1"/>
      <w:numFmt w:val="bullet"/>
      <w:lvlText w:val=""/>
      <w:lvlJc w:val="left"/>
      <w:pPr>
        <w:ind w:left="1020" w:hanging="360"/>
      </w:pPr>
      <w:rPr>
        <w:rFonts w:ascii="Symbol" w:hAnsi="Symbol"/>
      </w:rPr>
    </w:lvl>
    <w:lvl w:ilvl="8" w:tplc="ED0EDCD6">
      <w:start w:val="1"/>
      <w:numFmt w:val="bullet"/>
      <w:lvlText w:val=""/>
      <w:lvlJc w:val="left"/>
      <w:pPr>
        <w:ind w:left="1020" w:hanging="360"/>
      </w:pPr>
      <w:rPr>
        <w:rFonts w:ascii="Symbol" w:hAnsi="Symbol"/>
      </w:rPr>
    </w:lvl>
  </w:abstractNum>
  <w:abstractNum w:abstractNumId="25" w15:restartNumberingAfterBreak="0">
    <w:nsid w:val="7E68FE28"/>
    <w:multiLevelType w:val="hybridMultilevel"/>
    <w:tmpl w:val="E9061BA2"/>
    <w:lvl w:ilvl="0" w:tplc="68BA3086">
      <w:start w:val="1"/>
      <w:numFmt w:val="bullet"/>
      <w:lvlText w:val=""/>
      <w:lvlJc w:val="left"/>
      <w:pPr>
        <w:ind w:left="720" w:hanging="360"/>
      </w:pPr>
      <w:rPr>
        <w:rFonts w:ascii="Symbol" w:hAnsi="Symbol" w:hint="default"/>
      </w:rPr>
    </w:lvl>
    <w:lvl w:ilvl="1" w:tplc="ED464CC4">
      <w:start w:val="1"/>
      <w:numFmt w:val="bullet"/>
      <w:lvlText w:val="o"/>
      <w:lvlJc w:val="left"/>
      <w:pPr>
        <w:ind w:left="1440" w:hanging="360"/>
      </w:pPr>
      <w:rPr>
        <w:rFonts w:ascii="Courier New" w:hAnsi="Courier New" w:hint="default"/>
      </w:rPr>
    </w:lvl>
    <w:lvl w:ilvl="2" w:tplc="87403D74">
      <w:start w:val="1"/>
      <w:numFmt w:val="bullet"/>
      <w:lvlText w:val=""/>
      <w:lvlJc w:val="left"/>
      <w:pPr>
        <w:ind w:left="2160" w:hanging="360"/>
      </w:pPr>
      <w:rPr>
        <w:rFonts w:ascii="Wingdings" w:hAnsi="Wingdings" w:hint="default"/>
      </w:rPr>
    </w:lvl>
    <w:lvl w:ilvl="3" w:tplc="F42E0A80">
      <w:start w:val="1"/>
      <w:numFmt w:val="bullet"/>
      <w:lvlText w:val=""/>
      <w:lvlJc w:val="left"/>
      <w:pPr>
        <w:ind w:left="2880" w:hanging="360"/>
      </w:pPr>
      <w:rPr>
        <w:rFonts w:ascii="Symbol" w:hAnsi="Symbol" w:hint="default"/>
      </w:rPr>
    </w:lvl>
    <w:lvl w:ilvl="4" w:tplc="13B429B6">
      <w:start w:val="1"/>
      <w:numFmt w:val="bullet"/>
      <w:lvlText w:val="o"/>
      <w:lvlJc w:val="left"/>
      <w:pPr>
        <w:ind w:left="3600" w:hanging="360"/>
      </w:pPr>
      <w:rPr>
        <w:rFonts w:ascii="Courier New" w:hAnsi="Courier New" w:hint="default"/>
      </w:rPr>
    </w:lvl>
    <w:lvl w:ilvl="5" w:tplc="6F8474F0">
      <w:start w:val="1"/>
      <w:numFmt w:val="bullet"/>
      <w:lvlText w:val=""/>
      <w:lvlJc w:val="left"/>
      <w:pPr>
        <w:ind w:left="4320" w:hanging="360"/>
      </w:pPr>
      <w:rPr>
        <w:rFonts w:ascii="Wingdings" w:hAnsi="Wingdings" w:hint="default"/>
      </w:rPr>
    </w:lvl>
    <w:lvl w:ilvl="6" w:tplc="766EE8BA">
      <w:start w:val="1"/>
      <w:numFmt w:val="bullet"/>
      <w:lvlText w:val=""/>
      <w:lvlJc w:val="left"/>
      <w:pPr>
        <w:ind w:left="5040" w:hanging="360"/>
      </w:pPr>
      <w:rPr>
        <w:rFonts w:ascii="Symbol" w:hAnsi="Symbol" w:hint="default"/>
      </w:rPr>
    </w:lvl>
    <w:lvl w:ilvl="7" w:tplc="BC881F94">
      <w:start w:val="1"/>
      <w:numFmt w:val="bullet"/>
      <w:lvlText w:val="o"/>
      <w:lvlJc w:val="left"/>
      <w:pPr>
        <w:ind w:left="5760" w:hanging="360"/>
      </w:pPr>
      <w:rPr>
        <w:rFonts w:ascii="Courier New" w:hAnsi="Courier New" w:hint="default"/>
      </w:rPr>
    </w:lvl>
    <w:lvl w:ilvl="8" w:tplc="F1CA5528">
      <w:start w:val="1"/>
      <w:numFmt w:val="bullet"/>
      <w:lvlText w:val=""/>
      <w:lvlJc w:val="left"/>
      <w:pPr>
        <w:ind w:left="6480" w:hanging="360"/>
      </w:pPr>
      <w:rPr>
        <w:rFonts w:ascii="Wingdings" w:hAnsi="Wingdings" w:hint="default"/>
      </w:rPr>
    </w:lvl>
  </w:abstractNum>
  <w:num w:numId="1">
    <w:abstractNumId w:val="17"/>
  </w:num>
  <w:num w:numId="2">
    <w:abstractNumId w:val="2"/>
  </w:num>
  <w:num w:numId="3">
    <w:abstractNumId w:val="21"/>
  </w:num>
  <w:num w:numId="4">
    <w:abstractNumId w:val="18"/>
  </w:num>
  <w:num w:numId="5">
    <w:abstractNumId w:val="8"/>
  </w:num>
  <w:num w:numId="6">
    <w:abstractNumId w:val="9"/>
  </w:num>
  <w:num w:numId="7">
    <w:abstractNumId w:val="5"/>
  </w:num>
  <w:num w:numId="8">
    <w:abstractNumId w:val="14"/>
  </w:num>
  <w:num w:numId="9">
    <w:abstractNumId w:val="4"/>
  </w:num>
  <w:num w:numId="10">
    <w:abstractNumId w:val="16"/>
  </w:num>
  <w:num w:numId="11">
    <w:abstractNumId w:val="20"/>
  </w:num>
  <w:num w:numId="12">
    <w:abstractNumId w:val="25"/>
  </w:num>
  <w:num w:numId="13">
    <w:abstractNumId w:val="15"/>
  </w:num>
  <w:num w:numId="14">
    <w:abstractNumId w:val="1"/>
  </w:num>
  <w:num w:numId="15">
    <w:abstractNumId w:val="6"/>
  </w:num>
  <w:num w:numId="16">
    <w:abstractNumId w:val="0"/>
  </w:num>
  <w:num w:numId="17">
    <w:abstractNumId w:val="7"/>
  </w:num>
  <w:num w:numId="18">
    <w:abstractNumId w:val="23"/>
  </w:num>
  <w:num w:numId="19">
    <w:abstractNumId w:val="19"/>
  </w:num>
  <w:num w:numId="20">
    <w:abstractNumId w:val="17"/>
  </w:num>
  <w:num w:numId="21">
    <w:abstractNumId w:val="17"/>
  </w:num>
  <w:num w:numId="22">
    <w:abstractNumId w:val="17"/>
  </w:num>
  <w:num w:numId="23">
    <w:abstractNumId w:val="11"/>
  </w:num>
  <w:num w:numId="24">
    <w:abstractNumId w:val="12"/>
  </w:num>
  <w:num w:numId="25">
    <w:abstractNumId w:val="22"/>
  </w:num>
  <w:num w:numId="26">
    <w:abstractNumId w:val="3"/>
  </w:num>
  <w:num w:numId="27">
    <w:abstractNumId w:val="13"/>
  </w:num>
  <w:num w:numId="28">
    <w:abstractNumId w:val="24"/>
  </w:num>
  <w:num w:numId="29">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hideSpellingErrors/>
  <w:hideGrammaticalErrors/>
  <w:revisionView w:markup="0"/>
  <w:defaultTabStop w:val="720"/>
  <w:characterSpacingControl w:val="doNotCompress"/>
  <w:hdrShapeDefaults>
    <o:shapedefaults v:ext="edit" spidmax="2051"/>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DocStatus" w:val="Green"/>
    <w:docVar w:name="LW_CORRIGENDUM" w:val="&lt;UNUSED&gt;"/>
    <w:docVar w:name="LW_COVERPAGE_EXISTS" w:val="True"/>
    <w:docVar w:name="LW_COVERPAGE_GUID" w:val="6BD7C1F3-CDC3-4437-829C-96A7404AA673"/>
    <w:docVar w:name="LW_COVERPAGE_TYPE" w:val="1"/>
    <w:docVar w:name="LW_CROSSREFERENCE" w:val="{SWD(2024) 264 final}"/>
    <w:docVar w:name="LW_DocType" w:val="NORMAL"/>
    <w:docVar w:name="LW_EMISSION" w:val="19.11.2024"/>
    <w:docVar w:name="LW_EMISSION_ISODATE" w:val="2024-11-19"/>
    <w:docVar w:name="LW_EMISSION_LOCATION" w:val="BRX"/>
    <w:docVar w:name="LW_EMISSION_PREFIX" w:val="Bruxelles, "/>
    <w:docVar w:name="LW_EMISSION_SUFFIX" w:val=" "/>
    <w:docVar w:name="LW_ID_DOCTYPE_NONLW" w:val="CP-006"/>
    <w:docVar w:name="LW_LANGUE" w:val="RO"/>
    <w:docVar w:name="LW_LEVEL_OF_SENSITIVITY" w:val="Standard treatment"/>
    <w:docVar w:name="LW_NOM.INST" w:val="COMISIA EUROPEAN\u258?"/>
    <w:docVar w:name="LW_NOM.INST_JOINTDOC" w:val="&lt;EMPTY&gt;"/>
    <w:docVar w:name="LW_PART_NBR" w:val="1"/>
    <w:docVar w:name="LW_PART_NBR_TOTAL" w:val="1"/>
    <w:docVar w:name="LW_REF.INST.NEW" w:val="COM"/>
    <w:docVar w:name="LW_REF.INST.NEW_ADOPTED" w:val="final"/>
    <w:docVar w:name="LW_REF.INST.NEW_TEXT" w:val="(2024) 538"/>
    <w:docVar w:name="LW_REF.INTERNE" w:val="&lt;UNUSED&gt;"/>
    <w:docVar w:name="LW_SENSITIVITY" w:val="&lt;?xml version=&quot;1.0&quot; encoding=&quot;utf-8&quot;?&gt;_x000d__x000a_&lt;SensitivityLevel xmlns:xsd=&quot;http://www.w3.org/2001/XMLSchema&quot; xmlns:xsi=&quot;http://www.w3.org/2001/XMLSchema-instance&quot; id=&quot;standard&quot;&gt;_x000d__x000a_  &lt;nicename EN=&quot;Standard treatment&quot; FR=&quot;Traitement standard&quot; /&gt;_x000d__x000a_  &lt;documentProperty&gt;Standard treatment&lt;/documentProperty&gt;_x000d__x000a_  &lt;markingConfig isAvailable=&quot;false&quot; isMandatory=&quot;false&quot; sensitiveMarkingMandatory=&quot;false&quot; specialMarkingMandatory=&quot;true&quot; isOptionDisplayInHeaderAvailable=&quot;true&quot; sensitiveMarkingListSee=&quot;SensitiveMarkings&quot; specialMarkingListSee=&quot;SpecialMarkings&quot; sensitiveFootnoteTextSee=&quot;sensitiveFootnote&quot; specialFootnoteTextSee=&quot;specialFootnote&quot; /&gt;_x000d__x000a_  &lt;chosenMainMarking xsi:nil=&quot;true&quot; /&gt;_x000d__x000a_  &lt;dateMarking xsi:nil=&quot;true&quot; /&gt;_x000d__x000a_  &lt;releasableToConfig isAvailable=&quot;false&quot; institutionListSee=&quot;DefaultInstitutions&quot; /&gt;_x000d__x000a_  &lt;chosenReleasableTo xsi:nil=&quot;true&quot; /&gt;_x000d__x000a_  &lt;detached xsi:nil=&quot;true&quot; /&gt;_x000d__x000a_  &lt;declassify xsi:nil=&quot;true&quot; /&gt;_x000d__x000a_  &lt;headerTexts xsi:nil=&quot;true&quot; /&gt;_x000d__x000a_  &lt;footerTexts xsi:nil=&quot;true&quot; /&gt;_x000d__x000a_  &lt;isRestricted&gt;false&lt;/isRestricted&gt;_x000d__x000a_&lt;/SensitivityLevel&gt;"/>
    <w:docVar w:name="LW_SUPERTITRE" w:val="&lt;UNUSED&gt;"/>
    <w:docVar w:name="LW_TITRE.OBJ.CP" w:val="privind func\u539?ionarea pie\u539?ei europene a carbonului în 2023"/>
    <w:docVar w:name="LW_TYPE.DOC.CP" w:val="RAPORT AL COMISIEI C\u258?TRE PARLAMENTUL EUROPEAN \u536?I CONSILIU"/>
    <w:docVar w:name="LwApiVersions" w:val="LW4CoDe 1.24.5.0; LW 9.0, Build 20240221"/>
  </w:docVars>
  <w:rsids>
    <w:rsidRoot w:val="004F5575"/>
    <w:rsid w:val="0000013C"/>
    <w:rsid w:val="000004BA"/>
    <w:rsid w:val="000005F9"/>
    <w:rsid w:val="000006BA"/>
    <w:rsid w:val="000008EB"/>
    <w:rsid w:val="00000905"/>
    <w:rsid w:val="00000CB8"/>
    <w:rsid w:val="00000EF0"/>
    <w:rsid w:val="00001384"/>
    <w:rsid w:val="000013D3"/>
    <w:rsid w:val="00001B1A"/>
    <w:rsid w:val="00001C25"/>
    <w:rsid w:val="00001D6C"/>
    <w:rsid w:val="00001ECD"/>
    <w:rsid w:val="00001EE6"/>
    <w:rsid w:val="0000207B"/>
    <w:rsid w:val="000021E3"/>
    <w:rsid w:val="0000266F"/>
    <w:rsid w:val="00002720"/>
    <w:rsid w:val="000027DE"/>
    <w:rsid w:val="00002A6F"/>
    <w:rsid w:val="00002AD8"/>
    <w:rsid w:val="00002C4A"/>
    <w:rsid w:val="00002CD2"/>
    <w:rsid w:val="00003122"/>
    <w:rsid w:val="000031CA"/>
    <w:rsid w:val="000032D0"/>
    <w:rsid w:val="0000334F"/>
    <w:rsid w:val="00003798"/>
    <w:rsid w:val="00003D65"/>
    <w:rsid w:val="00003E05"/>
    <w:rsid w:val="00003E55"/>
    <w:rsid w:val="00003EB4"/>
    <w:rsid w:val="00003EC4"/>
    <w:rsid w:val="00004096"/>
    <w:rsid w:val="000046AB"/>
    <w:rsid w:val="0000470D"/>
    <w:rsid w:val="0000483B"/>
    <w:rsid w:val="00004883"/>
    <w:rsid w:val="00004984"/>
    <w:rsid w:val="00004B30"/>
    <w:rsid w:val="000052F1"/>
    <w:rsid w:val="00005501"/>
    <w:rsid w:val="0000575A"/>
    <w:rsid w:val="0000580A"/>
    <w:rsid w:val="0000581D"/>
    <w:rsid w:val="00005BA0"/>
    <w:rsid w:val="00005CAD"/>
    <w:rsid w:val="00005F68"/>
    <w:rsid w:val="0000609B"/>
    <w:rsid w:val="0000612E"/>
    <w:rsid w:val="00006141"/>
    <w:rsid w:val="000061E0"/>
    <w:rsid w:val="00006416"/>
    <w:rsid w:val="0000643E"/>
    <w:rsid w:val="00006538"/>
    <w:rsid w:val="000068BF"/>
    <w:rsid w:val="00006A14"/>
    <w:rsid w:val="00006E3F"/>
    <w:rsid w:val="00006E71"/>
    <w:rsid w:val="00006EDD"/>
    <w:rsid w:val="00006F12"/>
    <w:rsid w:val="00006F30"/>
    <w:rsid w:val="00006F69"/>
    <w:rsid w:val="00006FE6"/>
    <w:rsid w:val="000073EB"/>
    <w:rsid w:val="000075F8"/>
    <w:rsid w:val="0000773B"/>
    <w:rsid w:val="00007B79"/>
    <w:rsid w:val="00007C6E"/>
    <w:rsid w:val="00007C8E"/>
    <w:rsid w:val="00007F2E"/>
    <w:rsid w:val="00007F46"/>
    <w:rsid w:val="00007F7B"/>
    <w:rsid w:val="00010402"/>
    <w:rsid w:val="00010462"/>
    <w:rsid w:val="000105BB"/>
    <w:rsid w:val="00010BBA"/>
    <w:rsid w:val="00010BDC"/>
    <w:rsid w:val="000114E2"/>
    <w:rsid w:val="0001150C"/>
    <w:rsid w:val="00011D1F"/>
    <w:rsid w:val="00011DEF"/>
    <w:rsid w:val="00011EFC"/>
    <w:rsid w:val="00012109"/>
    <w:rsid w:val="00012372"/>
    <w:rsid w:val="0001239F"/>
    <w:rsid w:val="000124A9"/>
    <w:rsid w:val="0001251A"/>
    <w:rsid w:val="000125A8"/>
    <w:rsid w:val="000129BA"/>
    <w:rsid w:val="0001303A"/>
    <w:rsid w:val="00013164"/>
    <w:rsid w:val="0001325D"/>
    <w:rsid w:val="00013644"/>
    <w:rsid w:val="00013796"/>
    <w:rsid w:val="0001386C"/>
    <w:rsid w:val="0001399B"/>
    <w:rsid w:val="00013A61"/>
    <w:rsid w:val="00013B3E"/>
    <w:rsid w:val="00013EF9"/>
    <w:rsid w:val="00013F7F"/>
    <w:rsid w:val="00014165"/>
    <w:rsid w:val="00014174"/>
    <w:rsid w:val="00014399"/>
    <w:rsid w:val="0001474C"/>
    <w:rsid w:val="00014818"/>
    <w:rsid w:val="0001491B"/>
    <w:rsid w:val="0001492A"/>
    <w:rsid w:val="00014B72"/>
    <w:rsid w:val="00014DC7"/>
    <w:rsid w:val="0001523A"/>
    <w:rsid w:val="00015583"/>
    <w:rsid w:val="00015621"/>
    <w:rsid w:val="00015A4E"/>
    <w:rsid w:val="00015BD3"/>
    <w:rsid w:val="00015C92"/>
    <w:rsid w:val="00016257"/>
    <w:rsid w:val="00016370"/>
    <w:rsid w:val="000163A7"/>
    <w:rsid w:val="00016681"/>
    <w:rsid w:val="000166FD"/>
    <w:rsid w:val="00016843"/>
    <w:rsid w:val="00016887"/>
    <w:rsid w:val="000168CD"/>
    <w:rsid w:val="00016963"/>
    <w:rsid w:val="000169A1"/>
    <w:rsid w:val="00016BD6"/>
    <w:rsid w:val="00016CC5"/>
    <w:rsid w:val="0001707D"/>
    <w:rsid w:val="0001711B"/>
    <w:rsid w:val="000171F5"/>
    <w:rsid w:val="000173A8"/>
    <w:rsid w:val="000173C5"/>
    <w:rsid w:val="00017682"/>
    <w:rsid w:val="00017AF6"/>
    <w:rsid w:val="00017BAE"/>
    <w:rsid w:val="00017C88"/>
    <w:rsid w:val="00017E9F"/>
    <w:rsid w:val="00017FBF"/>
    <w:rsid w:val="00020077"/>
    <w:rsid w:val="000202A1"/>
    <w:rsid w:val="00020F1A"/>
    <w:rsid w:val="00020F5A"/>
    <w:rsid w:val="000210AE"/>
    <w:rsid w:val="00021417"/>
    <w:rsid w:val="0002145F"/>
    <w:rsid w:val="000215D2"/>
    <w:rsid w:val="00021D1A"/>
    <w:rsid w:val="00021DC1"/>
    <w:rsid w:val="00022120"/>
    <w:rsid w:val="00022319"/>
    <w:rsid w:val="00022530"/>
    <w:rsid w:val="00022657"/>
    <w:rsid w:val="000226D3"/>
    <w:rsid w:val="00022778"/>
    <w:rsid w:val="0002278C"/>
    <w:rsid w:val="00022964"/>
    <w:rsid w:val="00022E64"/>
    <w:rsid w:val="0002308D"/>
    <w:rsid w:val="000230E9"/>
    <w:rsid w:val="00023146"/>
    <w:rsid w:val="00023516"/>
    <w:rsid w:val="000235BB"/>
    <w:rsid w:val="00023976"/>
    <w:rsid w:val="00023A47"/>
    <w:rsid w:val="00023DE7"/>
    <w:rsid w:val="00023F00"/>
    <w:rsid w:val="000241EB"/>
    <w:rsid w:val="00024222"/>
    <w:rsid w:val="0002446E"/>
    <w:rsid w:val="000244C1"/>
    <w:rsid w:val="000246E3"/>
    <w:rsid w:val="000249A3"/>
    <w:rsid w:val="00024E2C"/>
    <w:rsid w:val="0002520C"/>
    <w:rsid w:val="0002548D"/>
    <w:rsid w:val="000254B5"/>
    <w:rsid w:val="00025630"/>
    <w:rsid w:val="000257A1"/>
    <w:rsid w:val="00025A05"/>
    <w:rsid w:val="00025AE0"/>
    <w:rsid w:val="00026043"/>
    <w:rsid w:val="000260D0"/>
    <w:rsid w:val="000263ED"/>
    <w:rsid w:val="0002696C"/>
    <w:rsid w:val="00026B6D"/>
    <w:rsid w:val="00026F3E"/>
    <w:rsid w:val="000274BD"/>
    <w:rsid w:val="0002752C"/>
    <w:rsid w:val="00027626"/>
    <w:rsid w:val="0002770E"/>
    <w:rsid w:val="00027DB3"/>
    <w:rsid w:val="00027DEE"/>
    <w:rsid w:val="00027E8C"/>
    <w:rsid w:val="00030007"/>
    <w:rsid w:val="00030628"/>
    <w:rsid w:val="000306F6"/>
    <w:rsid w:val="00030803"/>
    <w:rsid w:val="000309B8"/>
    <w:rsid w:val="00030A3A"/>
    <w:rsid w:val="00030C58"/>
    <w:rsid w:val="00030E06"/>
    <w:rsid w:val="00030E72"/>
    <w:rsid w:val="00031077"/>
    <w:rsid w:val="000310CD"/>
    <w:rsid w:val="00031165"/>
    <w:rsid w:val="00031223"/>
    <w:rsid w:val="000312D3"/>
    <w:rsid w:val="00031339"/>
    <w:rsid w:val="000317AD"/>
    <w:rsid w:val="00031858"/>
    <w:rsid w:val="00031AC7"/>
    <w:rsid w:val="00031D47"/>
    <w:rsid w:val="00031E90"/>
    <w:rsid w:val="00032164"/>
    <w:rsid w:val="000321AF"/>
    <w:rsid w:val="00032390"/>
    <w:rsid w:val="00032614"/>
    <w:rsid w:val="00032B47"/>
    <w:rsid w:val="00032D90"/>
    <w:rsid w:val="00032DDC"/>
    <w:rsid w:val="00032FCD"/>
    <w:rsid w:val="00032FF8"/>
    <w:rsid w:val="00033249"/>
    <w:rsid w:val="00033592"/>
    <w:rsid w:val="00033849"/>
    <w:rsid w:val="00033992"/>
    <w:rsid w:val="0003399B"/>
    <w:rsid w:val="00033C05"/>
    <w:rsid w:val="00033F31"/>
    <w:rsid w:val="00034174"/>
    <w:rsid w:val="00034245"/>
    <w:rsid w:val="00034393"/>
    <w:rsid w:val="0003455B"/>
    <w:rsid w:val="00034758"/>
    <w:rsid w:val="000347C8"/>
    <w:rsid w:val="00034969"/>
    <w:rsid w:val="00034AD0"/>
    <w:rsid w:val="00034ECD"/>
    <w:rsid w:val="00034FE7"/>
    <w:rsid w:val="000350C3"/>
    <w:rsid w:val="0003520A"/>
    <w:rsid w:val="0003531C"/>
    <w:rsid w:val="000353C9"/>
    <w:rsid w:val="0003553B"/>
    <w:rsid w:val="00035E07"/>
    <w:rsid w:val="000363A3"/>
    <w:rsid w:val="000366F8"/>
    <w:rsid w:val="000367C4"/>
    <w:rsid w:val="000369FB"/>
    <w:rsid w:val="00036C89"/>
    <w:rsid w:val="00036DF3"/>
    <w:rsid w:val="00036FD0"/>
    <w:rsid w:val="0003733E"/>
    <w:rsid w:val="000376DC"/>
    <w:rsid w:val="000377BD"/>
    <w:rsid w:val="000378E8"/>
    <w:rsid w:val="00037923"/>
    <w:rsid w:val="00037959"/>
    <w:rsid w:val="00037BEC"/>
    <w:rsid w:val="00037E65"/>
    <w:rsid w:val="000406F1"/>
    <w:rsid w:val="00040808"/>
    <w:rsid w:val="0004082D"/>
    <w:rsid w:val="0004101D"/>
    <w:rsid w:val="000410BE"/>
    <w:rsid w:val="00041408"/>
    <w:rsid w:val="000415A7"/>
    <w:rsid w:val="000417CE"/>
    <w:rsid w:val="000418B3"/>
    <w:rsid w:val="00041B42"/>
    <w:rsid w:val="00041D59"/>
    <w:rsid w:val="00041FFE"/>
    <w:rsid w:val="0004232B"/>
    <w:rsid w:val="0004247F"/>
    <w:rsid w:val="0004256B"/>
    <w:rsid w:val="00042610"/>
    <w:rsid w:val="0004279B"/>
    <w:rsid w:val="00042C04"/>
    <w:rsid w:val="00042DD7"/>
    <w:rsid w:val="0004302E"/>
    <w:rsid w:val="0004324D"/>
    <w:rsid w:val="00043317"/>
    <w:rsid w:val="0004334C"/>
    <w:rsid w:val="00043660"/>
    <w:rsid w:val="00043851"/>
    <w:rsid w:val="000438A6"/>
    <w:rsid w:val="00043F42"/>
    <w:rsid w:val="000440EF"/>
    <w:rsid w:val="0004424B"/>
    <w:rsid w:val="00044538"/>
    <w:rsid w:val="00044B49"/>
    <w:rsid w:val="00044F02"/>
    <w:rsid w:val="00044F28"/>
    <w:rsid w:val="00045045"/>
    <w:rsid w:val="0004518E"/>
    <w:rsid w:val="0004539C"/>
    <w:rsid w:val="0004547A"/>
    <w:rsid w:val="000456A0"/>
    <w:rsid w:val="00045801"/>
    <w:rsid w:val="00045920"/>
    <w:rsid w:val="00045AB5"/>
    <w:rsid w:val="000460CB"/>
    <w:rsid w:val="00046281"/>
    <w:rsid w:val="000462CB"/>
    <w:rsid w:val="0004648E"/>
    <w:rsid w:val="00046618"/>
    <w:rsid w:val="00046D98"/>
    <w:rsid w:val="00047039"/>
    <w:rsid w:val="00047204"/>
    <w:rsid w:val="00047265"/>
    <w:rsid w:val="00047351"/>
    <w:rsid w:val="000475CE"/>
    <w:rsid w:val="000479D7"/>
    <w:rsid w:val="00047B3E"/>
    <w:rsid w:val="00047C66"/>
    <w:rsid w:val="0005000D"/>
    <w:rsid w:val="00050039"/>
    <w:rsid w:val="00050386"/>
    <w:rsid w:val="000506C3"/>
    <w:rsid w:val="00050CD1"/>
    <w:rsid w:val="00050D05"/>
    <w:rsid w:val="00051186"/>
    <w:rsid w:val="00051258"/>
    <w:rsid w:val="00051485"/>
    <w:rsid w:val="000514FD"/>
    <w:rsid w:val="0005155B"/>
    <w:rsid w:val="000516D6"/>
    <w:rsid w:val="000517FD"/>
    <w:rsid w:val="00051B57"/>
    <w:rsid w:val="00051F42"/>
    <w:rsid w:val="000529B4"/>
    <w:rsid w:val="00052C44"/>
    <w:rsid w:val="00052CB5"/>
    <w:rsid w:val="00052EF2"/>
    <w:rsid w:val="00052F22"/>
    <w:rsid w:val="00052FD1"/>
    <w:rsid w:val="000532E8"/>
    <w:rsid w:val="000535E4"/>
    <w:rsid w:val="00053B18"/>
    <w:rsid w:val="00053D77"/>
    <w:rsid w:val="00054367"/>
    <w:rsid w:val="00054534"/>
    <w:rsid w:val="0005455C"/>
    <w:rsid w:val="0005474B"/>
    <w:rsid w:val="00054839"/>
    <w:rsid w:val="00054942"/>
    <w:rsid w:val="00054D70"/>
    <w:rsid w:val="000550FD"/>
    <w:rsid w:val="00055168"/>
    <w:rsid w:val="00055309"/>
    <w:rsid w:val="000553A3"/>
    <w:rsid w:val="00055408"/>
    <w:rsid w:val="0005543B"/>
    <w:rsid w:val="0005556D"/>
    <w:rsid w:val="00055903"/>
    <w:rsid w:val="00055927"/>
    <w:rsid w:val="0005593E"/>
    <w:rsid w:val="00055CD4"/>
    <w:rsid w:val="000566BF"/>
    <w:rsid w:val="00056BDD"/>
    <w:rsid w:val="00056C97"/>
    <w:rsid w:val="00056E92"/>
    <w:rsid w:val="00056ECB"/>
    <w:rsid w:val="000570F6"/>
    <w:rsid w:val="00057163"/>
    <w:rsid w:val="000571D2"/>
    <w:rsid w:val="00057529"/>
    <w:rsid w:val="000578C2"/>
    <w:rsid w:val="000579F1"/>
    <w:rsid w:val="00057A83"/>
    <w:rsid w:val="00057D0A"/>
    <w:rsid w:val="00057E42"/>
    <w:rsid w:val="00057F1A"/>
    <w:rsid w:val="00057F38"/>
    <w:rsid w:val="000602B6"/>
    <w:rsid w:val="00060301"/>
    <w:rsid w:val="00060447"/>
    <w:rsid w:val="00060470"/>
    <w:rsid w:val="0006088C"/>
    <w:rsid w:val="00060A3D"/>
    <w:rsid w:val="00060A5D"/>
    <w:rsid w:val="00060BEC"/>
    <w:rsid w:val="00060CC9"/>
    <w:rsid w:val="00060F0B"/>
    <w:rsid w:val="000610A7"/>
    <w:rsid w:val="00061102"/>
    <w:rsid w:val="00061278"/>
    <w:rsid w:val="000612FA"/>
    <w:rsid w:val="00061312"/>
    <w:rsid w:val="00061935"/>
    <w:rsid w:val="00061A16"/>
    <w:rsid w:val="00061C7A"/>
    <w:rsid w:val="00061C8E"/>
    <w:rsid w:val="00061CDC"/>
    <w:rsid w:val="00061CEF"/>
    <w:rsid w:val="00061D75"/>
    <w:rsid w:val="00061FD8"/>
    <w:rsid w:val="00061FDD"/>
    <w:rsid w:val="00062189"/>
    <w:rsid w:val="0006239E"/>
    <w:rsid w:val="000623A8"/>
    <w:rsid w:val="0006243D"/>
    <w:rsid w:val="00062572"/>
    <w:rsid w:val="000625B1"/>
    <w:rsid w:val="00062658"/>
    <w:rsid w:val="00062739"/>
    <w:rsid w:val="00062C2A"/>
    <w:rsid w:val="00063051"/>
    <w:rsid w:val="000630FC"/>
    <w:rsid w:val="00063338"/>
    <w:rsid w:val="000636E1"/>
    <w:rsid w:val="000637F0"/>
    <w:rsid w:val="00063952"/>
    <w:rsid w:val="00063B9D"/>
    <w:rsid w:val="00063F97"/>
    <w:rsid w:val="00063FA7"/>
    <w:rsid w:val="000640DB"/>
    <w:rsid w:val="00064414"/>
    <w:rsid w:val="000645BE"/>
    <w:rsid w:val="00064771"/>
    <w:rsid w:val="0006502B"/>
    <w:rsid w:val="000650B7"/>
    <w:rsid w:val="0006514F"/>
    <w:rsid w:val="000651B8"/>
    <w:rsid w:val="000651CA"/>
    <w:rsid w:val="00065373"/>
    <w:rsid w:val="000658D9"/>
    <w:rsid w:val="000659F0"/>
    <w:rsid w:val="00065B29"/>
    <w:rsid w:val="00065B5D"/>
    <w:rsid w:val="00065CCA"/>
    <w:rsid w:val="00065FC6"/>
    <w:rsid w:val="00066505"/>
    <w:rsid w:val="0006662D"/>
    <w:rsid w:val="000666A0"/>
    <w:rsid w:val="00066791"/>
    <w:rsid w:val="000667E0"/>
    <w:rsid w:val="00066A1F"/>
    <w:rsid w:val="00066BBC"/>
    <w:rsid w:val="00066C08"/>
    <w:rsid w:val="00067085"/>
    <w:rsid w:val="00067127"/>
    <w:rsid w:val="0006750B"/>
    <w:rsid w:val="0006755B"/>
    <w:rsid w:val="000675DB"/>
    <w:rsid w:val="0006765F"/>
    <w:rsid w:val="000678C1"/>
    <w:rsid w:val="00067C25"/>
    <w:rsid w:val="00067E99"/>
    <w:rsid w:val="00067FA5"/>
    <w:rsid w:val="00070107"/>
    <w:rsid w:val="000703E1"/>
    <w:rsid w:val="00070DE4"/>
    <w:rsid w:val="000712F8"/>
    <w:rsid w:val="0007186D"/>
    <w:rsid w:val="00071901"/>
    <w:rsid w:val="00071BD8"/>
    <w:rsid w:val="00071E6B"/>
    <w:rsid w:val="00071FE6"/>
    <w:rsid w:val="000720FD"/>
    <w:rsid w:val="000721C5"/>
    <w:rsid w:val="00072568"/>
    <w:rsid w:val="000729EA"/>
    <w:rsid w:val="000729EF"/>
    <w:rsid w:val="00072CD6"/>
    <w:rsid w:val="00072DE8"/>
    <w:rsid w:val="0007316D"/>
    <w:rsid w:val="000732F4"/>
    <w:rsid w:val="00073637"/>
    <w:rsid w:val="00073CB8"/>
    <w:rsid w:val="00073CDA"/>
    <w:rsid w:val="00074084"/>
    <w:rsid w:val="00074195"/>
    <w:rsid w:val="0007470B"/>
    <w:rsid w:val="00074937"/>
    <w:rsid w:val="00074A0D"/>
    <w:rsid w:val="00074B27"/>
    <w:rsid w:val="00074B41"/>
    <w:rsid w:val="00074C2E"/>
    <w:rsid w:val="00074C3F"/>
    <w:rsid w:val="00074D19"/>
    <w:rsid w:val="00075247"/>
    <w:rsid w:val="00075307"/>
    <w:rsid w:val="0007538E"/>
    <w:rsid w:val="0007588F"/>
    <w:rsid w:val="000758EC"/>
    <w:rsid w:val="000759AC"/>
    <w:rsid w:val="00075AA8"/>
    <w:rsid w:val="00075D3D"/>
    <w:rsid w:val="00075D65"/>
    <w:rsid w:val="00075EC2"/>
    <w:rsid w:val="00075F69"/>
    <w:rsid w:val="0007604C"/>
    <w:rsid w:val="0007608F"/>
    <w:rsid w:val="000760D5"/>
    <w:rsid w:val="000762CB"/>
    <w:rsid w:val="00076495"/>
    <w:rsid w:val="00076687"/>
    <w:rsid w:val="000766AC"/>
    <w:rsid w:val="000767AB"/>
    <w:rsid w:val="000767F3"/>
    <w:rsid w:val="000769A4"/>
    <w:rsid w:val="00076B54"/>
    <w:rsid w:val="0007712B"/>
    <w:rsid w:val="000771FF"/>
    <w:rsid w:val="00077539"/>
    <w:rsid w:val="0007773E"/>
    <w:rsid w:val="000777C7"/>
    <w:rsid w:val="0007785A"/>
    <w:rsid w:val="00077A08"/>
    <w:rsid w:val="00077D12"/>
    <w:rsid w:val="00077F42"/>
    <w:rsid w:val="000803D7"/>
    <w:rsid w:val="000807FB"/>
    <w:rsid w:val="000809BC"/>
    <w:rsid w:val="00080D18"/>
    <w:rsid w:val="00080DA0"/>
    <w:rsid w:val="00080DBD"/>
    <w:rsid w:val="00080DD2"/>
    <w:rsid w:val="00080E49"/>
    <w:rsid w:val="00080EAC"/>
    <w:rsid w:val="00080F0B"/>
    <w:rsid w:val="00080F3F"/>
    <w:rsid w:val="000810EE"/>
    <w:rsid w:val="000812F7"/>
    <w:rsid w:val="000813FF"/>
    <w:rsid w:val="00081568"/>
    <w:rsid w:val="00081777"/>
    <w:rsid w:val="00081853"/>
    <w:rsid w:val="00081A28"/>
    <w:rsid w:val="00081C1F"/>
    <w:rsid w:val="00081D63"/>
    <w:rsid w:val="00081EE4"/>
    <w:rsid w:val="00081FF0"/>
    <w:rsid w:val="00082031"/>
    <w:rsid w:val="000820ED"/>
    <w:rsid w:val="000826EE"/>
    <w:rsid w:val="00082C7C"/>
    <w:rsid w:val="00082CEA"/>
    <w:rsid w:val="00083256"/>
    <w:rsid w:val="000832B8"/>
    <w:rsid w:val="00083615"/>
    <w:rsid w:val="00083735"/>
    <w:rsid w:val="00083737"/>
    <w:rsid w:val="00083827"/>
    <w:rsid w:val="000838B7"/>
    <w:rsid w:val="00083C4D"/>
    <w:rsid w:val="00083E14"/>
    <w:rsid w:val="00084400"/>
    <w:rsid w:val="00084452"/>
    <w:rsid w:val="000844B4"/>
    <w:rsid w:val="000845EE"/>
    <w:rsid w:val="00084B38"/>
    <w:rsid w:val="00084FE1"/>
    <w:rsid w:val="00085A2A"/>
    <w:rsid w:val="00085AB7"/>
    <w:rsid w:val="00085BAE"/>
    <w:rsid w:val="00085F77"/>
    <w:rsid w:val="00085FFC"/>
    <w:rsid w:val="00086028"/>
    <w:rsid w:val="00086062"/>
    <w:rsid w:val="000860BD"/>
    <w:rsid w:val="00086332"/>
    <w:rsid w:val="000865E5"/>
    <w:rsid w:val="000866E8"/>
    <w:rsid w:val="00086B16"/>
    <w:rsid w:val="00086F45"/>
    <w:rsid w:val="00087337"/>
    <w:rsid w:val="0008758B"/>
    <w:rsid w:val="0008795F"/>
    <w:rsid w:val="00087CD6"/>
    <w:rsid w:val="00087DAB"/>
    <w:rsid w:val="00087ECF"/>
    <w:rsid w:val="00090020"/>
    <w:rsid w:val="0009009E"/>
    <w:rsid w:val="000902AC"/>
    <w:rsid w:val="00090589"/>
    <w:rsid w:val="00090A2A"/>
    <w:rsid w:val="00090E17"/>
    <w:rsid w:val="00090EB3"/>
    <w:rsid w:val="00090EDE"/>
    <w:rsid w:val="00090F73"/>
    <w:rsid w:val="00090FDE"/>
    <w:rsid w:val="00091011"/>
    <w:rsid w:val="00091283"/>
    <w:rsid w:val="00091AA3"/>
    <w:rsid w:val="00091BE9"/>
    <w:rsid w:val="00091BF5"/>
    <w:rsid w:val="00091D21"/>
    <w:rsid w:val="00091D4D"/>
    <w:rsid w:val="00091E51"/>
    <w:rsid w:val="00091F47"/>
    <w:rsid w:val="0009252F"/>
    <w:rsid w:val="00092928"/>
    <w:rsid w:val="00092B8B"/>
    <w:rsid w:val="00092C21"/>
    <w:rsid w:val="00092DB8"/>
    <w:rsid w:val="000930FD"/>
    <w:rsid w:val="00093143"/>
    <w:rsid w:val="00093292"/>
    <w:rsid w:val="00093386"/>
    <w:rsid w:val="00093476"/>
    <w:rsid w:val="000935FE"/>
    <w:rsid w:val="000936D1"/>
    <w:rsid w:val="00093D48"/>
    <w:rsid w:val="00093F3D"/>
    <w:rsid w:val="00093F5B"/>
    <w:rsid w:val="00094083"/>
    <w:rsid w:val="00094548"/>
    <w:rsid w:val="00094A65"/>
    <w:rsid w:val="00094B10"/>
    <w:rsid w:val="00094B3A"/>
    <w:rsid w:val="00094E31"/>
    <w:rsid w:val="00094FC8"/>
    <w:rsid w:val="00095100"/>
    <w:rsid w:val="00095467"/>
    <w:rsid w:val="000957D5"/>
    <w:rsid w:val="00095AFC"/>
    <w:rsid w:val="00095C88"/>
    <w:rsid w:val="00095CED"/>
    <w:rsid w:val="00095D98"/>
    <w:rsid w:val="00095F21"/>
    <w:rsid w:val="00095F6D"/>
    <w:rsid w:val="00096035"/>
    <w:rsid w:val="000963C2"/>
    <w:rsid w:val="0009642B"/>
    <w:rsid w:val="0009683E"/>
    <w:rsid w:val="00096914"/>
    <w:rsid w:val="00096A3F"/>
    <w:rsid w:val="00096B40"/>
    <w:rsid w:val="00096CAB"/>
    <w:rsid w:val="00096D24"/>
    <w:rsid w:val="00096DBA"/>
    <w:rsid w:val="00096E59"/>
    <w:rsid w:val="00096EB9"/>
    <w:rsid w:val="000971C9"/>
    <w:rsid w:val="00097281"/>
    <w:rsid w:val="00097BE9"/>
    <w:rsid w:val="000A01B2"/>
    <w:rsid w:val="000A0214"/>
    <w:rsid w:val="000A02AD"/>
    <w:rsid w:val="000A031E"/>
    <w:rsid w:val="000A04F0"/>
    <w:rsid w:val="000A0A45"/>
    <w:rsid w:val="000A0C88"/>
    <w:rsid w:val="000A0D05"/>
    <w:rsid w:val="000A0D33"/>
    <w:rsid w:val="000A0DC7"/>
    <w:rsid w:val="000A0FE6"/>
    <w:rsid w:val="000A1022"/>
    <w:rsid w:val="000A134E"/>
    <w:rsid w:val="000A15B3"/>
    <w:rsid w:val="000A178E"/>
    <w:rsid w:val="000A1A88"/>
    <w:rsid w:val="000A1B6F"/>
    <w:rsid w:val="000A1B70"/>
    <w:rsid w:val="000A1BC4"/>
    <w:rsid w:val="000A1C5B"/>
    <w:rsid w:val="000A1D91"/>
    <w:rsid w:val="000A226D"/>
    <w:rsid w:val="000A26E9"/>
    <w:rsid w:val="000A26F0"/>
    <w:rsid w:val="000A270B"/>
    <w:rsid w:val="000A28CB"/>
    <w:rsid w:val="000A2A7C"/>
    <w:rsid w:val="000A2B57"/>
    <w:rsid w:val="000A2C77"/>
    <w:rsid w:val="000A2F00"/>
    <w:rsid w:val="000A2F5E"/>
    <w:rsid w:val="000A300E"/>
    <w:rsid w:val="000A31F5"/>
    <w:rsid w:val="000A3260"/>
    <w:rsid w:val="000A33C5"/>
    <w:rsid w:val="000A3485"/>
    <w:rsid w:val="000A3600"/>
    <w:rsid w:val="000A36E0"/>
    <w:rsid w:val="000A3DDD"/>
    <w:rsid w:val="000A4029"/>
    <w:rsid w:val="000A4331"/>
    <w:rsid w:val="000A445A"/>
    <w:rsid w:val="000A44E3"/>
    <w:rsid w:val="000A4660"/>
    <w:rsid w:val="000A4964"/>
    <w:rsid w:val="000A4A2A"/>
    <w:rsid w:val="000A4A79"/>
    <w:rsid w:val="000A4AEF"/>
    <w:rsid w:val="000A4B27"/>
    <w:rsid w:val="000A4B9A"/>
    <w:rsid w:val="000A4EA1"/>
    <w:rsid w:val="000A527B"/>
    <w:rsid w:val="000A52CA"/>
    <w:rsid w:val="000A57FF"/>
    <w:rsid w:val="000A5868"/>
    <w:rsid w:val="000A5959"/>
    <w:rsid w:val="000A5B29"/>
    <w:rsid w:val="000A5B70"/>
    <w:rsid w:val="000A5CFB"/>
    <w:rsid w:val="000A6243"/>
    <w:rsid w:val="000A62EF"/>
    <w:rsid w:val="000A635C"/>
    <w:rsid w:val="000A64E4"/>
    <w:rsid w:val="000A66C6"/>
    <w:rsid w:val="000A6A91"/>
    <w:rsid w:val="000A6D00"/>
    <w:rsid w:val="000A6E86"/>
    <w:rsid w:val="000A6F8B"/>
    <w:rsid w:val="000A706F"/>
    <w:rsid w:val="000A70B4"/>
    <w:rsid w:val="000A7270"/>
    <w:rsid w:val="000A72A6"/>
    <w:rsid w:val="000A730E"/>
    <w:rsid w:val="000A731B"/>
    <w:rsid w:val="000A7794"/>
    <w:rsid w:val="000A77E8"/>
    <w:rsid w:val="000A7820"/>
    <w:rsid w:val="000A797D"/>
    <w:rsid w:val="000A7BDF"/>
    <w:rsid w:val="000A7C4E"/>
    <w:rsid w:val="000A7D74"/>
    <w:rsid w:val="000A7E90"/>
    <w:rsid w:val="000B0467"/>
    <w:rsid w:val="000B0581"/>
    <w:rsid w:val="000B065E"/>
    <w:rsid w:val="000B0678"/>
    <w:rsid w:val="000B081E"/>
    <w:rsid w:val="000B0D20"/>
    <w:rsid w:val="000B0ED7"/>
    <w:rsid w:val="000B1021"/>
    <w:rsid w:val="000B109E"/>
    <w:rsid w:val="000B12D6"/>
    <w:rsid w:val="000B1305"/>
    <w:rsid w:val="000B190F"/>
    <w:rsid w:val="000B1985"/>
    <w:rsid w:val="000B1AB3"/>
    <w:rsid w:val="000B1E1B"/>
    <w:rsid w:val="000B1FB0"/>
    <w:rsid w:val="000B20DA"/>
    <w:rsid w:val="000B21A8"/>
    <w:rsid w:val="000B25E9"/>
    <w:rsid w:val="000B2E39"/>
    <w:rsid w:val="000B30AB"/>
    <w:rsid w:val="000B3165"/>
    <w:rsid w:val="000B31C4"/>
    <w:rsid w:val="000B3458"/>
    <w:rsid w:val="000B364E"/>
    <w:rsid w:val="000B373D"/>
    <w:rsid w:val="000B37E3"/>
    <w:rsid w:val="000B3903"/>
    <w:rsid w:val="000B3A8C"/>
    <w:rsid w:val="000B3C96"/>
    <w:rsid w:val="000B3DD1"/>
    <w:rsid w:val="000B3F58"/>
    <w:rsid w:val="000B4048"/>
    <w:rsid w:val="000B4400"/>
    <w:rsid w:val="000B451D"/>
    <w:rsid w:val="000B47A1"/>
    <w:rsid w:val="000B4852"/>
    <w:rsid w:val="000B4A93"/>
    <w:rsid w:val="000B4C36"/>
    <w:rsid w:val="000B4C56"/>
    <w:rsid w:val="000B545A"/>
    <w:rsid w:val="000B57EE"/>
    <w:rsid w:val="000B5C30"/>
    <w:rsid w:val="000B5EEC"/>
    <w:rsid w:val="000B5F42"/>
    <w:rsid w:val="000B5FB3"/>
    <w:rsid w:val="000B61CC"/>
    <w:rsid w:val="000B6348"/>
    <w:rsid w:val="000B66D6"/>
    <w:rsid w:val="000B672A"/>
    <w:rsid w:val="000B695F"/>
    <w:rsid w:val="000B6EBA"/>
    <w:rsid w:val="000B6FE9"/>
    <w:rsid w:val="000B7112"/>
    <w:rsid w:val="000B76BE"/>
    <w:rsid w:val="000B7A64"/>
    <w:rsid w:val="000B7E27"/>
    <w:rsid w:val="000B7E4D"/>
    <w:rsid w:val="000C0035"/>
    <w:rsid w:val="000C01D8"/>
    <w:rsid w:val="000C031F"/>
    <w:rsid w:val="000C06FE"/>
    <w:rsid w:val="000C09C8"/>
    <w:rsid w:val="000C0A38"/>
    <w:rsid w:val="000C0B8C"/>
    <w:rsid w:val="000C0C72"/>
    <w:rsid w:val="000C0D6A"/>
    <w:rsid w:val="000C0D6F"/>
    <w:rsid w:val="000C0FD0"/>
    <w:rsid w:val="000C1032"/>
    <w:rsid w:val="000C17EA"/>
    <w:rsid w:val="000C1808"/>
    <w:rsid w:val="000C1D6D"/>
    <w:rsid w:val="000C1E63"/>
    <w:rsid w:val="000C2C4D"/>
    <w:rsid w:val="000C2D0F"/>
    <w:rsid w:val="000C2E24"/>
    <w:rsid w:val="000C2EB8"/>
    <w:rsid w:val="000C312A"/>
    <w:rsid w:val="000C3997"/>
    <w:rsid w:val="000C3BCF"/>
    <w:rsid w:val="000C3D75"/>
    <w:rsid w:val="000C3DBF"/>
    <w:rsid w:val="000C3E44"/>
    <w:rsid w:val="000C3E9D"/>
    <w:rsid w:val="000C3FF2"/>
    <w:rsid w:val="000C42AB"/>
    <w:rsid w:val="000C439C"/>
    <w:rsid w:val="000C45CF"/>
    <w:rsid w:val="000C4A6F"/>
    <w:rsid w:val="000C4BFB"/>
    <w:rsid w:val="000C4C0D"/>
    <w:rsid w:val="000C4C3C"/>
    <w:rsid w:val="000C4F11"/>
    <w:rsid w:val="000C4F2A"/>
    <w:rsid w:val="000C4F92"/>
    <w:rsid w:val="000C52D8"/>
    <w:rsid w:val="000C5379"/>
    <w:rsid w:val="000C5533"/>
    <w:rsid w:val="000C591B"/>
    <w:rsid w:val="000C5BB6"/>
    <w:rsid w:val="000C5C53"/>
    <w:rsid w:val="000C5D16"/>
    <w:rsid w:val="000C5D94"/>
    <w:rsid w:val="000C5E44"/>
    <w:rsid w:val="000C5FC3"/>
    <w:rsid w:val="000C618D"/>
    <w:rsid w:val="000C6774"/>
    <w:rsid w:val="000C69D1"/>
    <w:rsid w:val="000C6B22"/>
    <w:rsid w:val="000C6D10"/>
    <w:rsid w:val="000C6E73"/>
    <w:rsid w:val="000C6FBE"/>
    <w:rsid w:val="000C7132"/>
    <w:rsid w:val="000C7478"/>
    <w:rsid w:val="000C76FC"/>
    <w:rsid w:val="000C7722"/>
    <w:rsid w:val="000C78EB"/>
    <w:rsid w:val="000C7FA1"/>
    <w:rsid w:val="000D00AE"/>
    <w:rsid w:val="000D0373"/>
    <w:rsid w:val="000D0413"/>
    <w:rsid w:val="000D0A15"/>
    <w:rsid w:val="000D0AD3"/>
    <w:rsid w:val="000D0C3E"/>
    <w:rsid w:val="000D0D86"/>
    <w:rsid w:val="000D0DBA"/>
    <w:rsid w:val="000D15C0"/>
    <w:rsid w:val="000D197E"/>
    <w:rsid w:val="000D1AA3"/>
    <w:rsid w:val="000D1ACF"/>
    <w:rsid w:val="000D1C27"/>
    <w:rsid w:val="000D2356"/>
    <w:rsid w:val="000D24C2"/>
    <w:rsid w:val="000D2D31"/>
    <w:rsid w:val="000D2D4B"/>
    <w:rsid w:val="000D312A"/>
    <w:rsid w:val="000D326F"/>
    <w:rsid w:val="000D338F"/>
    <w:rsid w:val="000D379D"/>
    <w:rsid w:val="000D3EBF"/>
    <w:rsid w:val="000D42C2"/>
    <w:rsid w:val="000D4A5F"/>
    <w:rsid w:val="000D4BBD"/>
    <w:rsid w:val="000D52C9"/>
    <w:rsid w:val="000D5307"/>
    <w:rsid w:val="000D546C"/>
    <w:rsid w:val="000D5576"/>
    <w:rsid w:val="000D5B09"/>
    <w:rsid w:val="000D5B2F"/>
    <w:rsid w:val="000D5D48"/>
    <w:rsid w:val="000D5E08"/>
    <w:rsid w:val="000D5EA5"/>
    <w:rsid w:val="000D6029"/>
    <w:rsid w:val="000D661A"/>
    <w:rsid w:val="000D67C0"/>
    <w:rsid w:val="000D684C"/>
    <w:rsid w:val="000D6946"/>
    <w:rsid w:val="000D6B50"/>
    <w:rsid w:val="000D6C38"/>
    <w:rsid w:val="000D6C89"/>
    <w:rsid w:val="000D6CD2"/>
    <w:rsid w:val="000D6D57"/>
    <w:rsid w:val="000D6F0F"/>
    <w:rsid w:val="000D72A5"/>
    <w:rsid w:val="000D743D"/>
    <w:rsid w:val="000D74D3"/>
    <w:rsid w:val="000D74E6"/>
    <w:rsid w:val="000D7562"/>
    <w:rsid w:val="000D7580"/>
    <w:rsid w:val="000D758A"/>
    <w:rsid w:val="000D765F"/>
    <w:rsid w:val="000D774E"/>
    <w:rsid w:val="000D78AF"/>
    <w:rsid w:val="000D7BD7"/>
    <w:rsid w:val="000D7D18"/>
    <w:rsid w:val="000E04DB"/>
    <w:rsid w:val="000E0597"/>
    <w:rsid w:val="000E0822"/>
    <w:rsid w:val="000E09AA"/>
    <w:rsid w:val="000E0BB7"/>
    <w:rsid w:val="000E0C51"/>
    <w:rsid w:val="000E1125"/>
    <w:rsid w:val="000E1336"/>
    <w:rsid w:val="000E1378"/>
    <w:rsid w:val="000E1582"/>
    <w:rsid w:val="000E17B7"/>
    <w:rsid w:val="000E19C0"/>
    <w:rsid w:val="000E1C02"/>
    <w:rsid w:val="000E1C3B"/>
    <w:rsid w:val="000E1D68"/>
    <w:rsid w:val="000E1D84"/>
    <w:rsid w:val="000E1D85"/>
    <w:rsid w:val="000E1DD3"/>
    <w:rsid w:val="000E1E91"/>
    <w:rsid w:val="000E2055"/>
    <w:rsid w:val="000E2346"/>
    <w:rsid w:val="000E25BC"/>
    <w:rsid w:val="000E2779"/>
    <w:rsid w:val="000E288C"/>
    <w:rsid w:val="000E2976"/>
    <w:rsid w:val="000E2B3F"/>
    <w:rsid w:val="000E2C27"/>
    <w:rsid w:val="000E2C6A"/>
    <w:rsid w:val="000E3032"/>
    <w:rsid w:val="000E30C5"/>
    <w:rsid w:val="000E3302"/>
    <w:rsid w:val="000E354D"/>
    <w:rsid w:val="000E3596"/>
    <w:rsid w:val="000E35B5"/>
    <w:rsid w:val="000E37EB"/>
    <w:rsid w:val="000E3B0D"/>
    <w:rsid w:val="000E3B12"/>
    <w:rsid w:val="000E3CA2"/>
    <w:rsid w:val="000E46AB"/>
    <w:rsid w:val="000E4A62"/>
    <w:rsid w:val="000E4B2F"/>
    <w:rsid w:val="000E4B65"/>
    <w:rsid w:val="000E4D60"/>
    <w:rsid w:val="000E4DBB"/>
    <w:rsid w:val="000E4EE1"/>
    <w:rsid w:val="000E4FF0"/>
    <w:rsid w:val="000E526C"/>
    <w:rsid w:val="000E54CA"/>
    <w:rsid w:val="000E58C3"/>
    <w:rsid w:val="000E59EB"/>
    <w:rsid w:val="000E5B41"/>
    <w:rsid w:val="000E5EA3"/>
    <w:rsid w:val="000E6326"/>
    <w:rsid w:val="000E638E"/>
    <w:rsid w:val="000E654A"/>
    <w:rsid w:val="000E65FB"/>
    <w:rsid w:val="000E69BB"/>
    <w:rsid w:val="000E69FF"/>
    <w:rsid w:val="000E6B4F"/>
    <w:rsid w:val="000E6BED"/>
    <w:rsid w:val="000E6C63"/>
    <w:rsid w:val="000E6E91"/>
    <w:rsid w:val="000E6FF6"/>
    <w:rsid w:val="000E70E2"/>
    <w:rsid w:val="000E7489"/>
    <w:rsid w:val="000E7793"/>
    <w:rsid w:val="000E789E"/>
    <w:rsid w:val="000E7BE0"/>
    <w:rsid w:val="000E7D3C"/>
    <w:rsid w:val="000E7E34"/>
    <w:rsid w:val="000F022E"/>
    <w:rsid w:val="000F023D"/>
    <w:rsid w:val="000F0264"/>
    <w:rsid w:val="000F0409"/>
    <w:rsid w:val="000F04D6"/>
    <w:rsid w:val="000F05D4"/>
    <w:rsid w:val="000F0741"/>
    <w:rsid w:val="000F08CC"/>
    <w:rsid w:val="000F0FA0"/>
    <w:rsid w:val="000F1028"/>
    <w:rsid w:val="000F102D"/>
    <w:rsid w:val="000F1301"/>
    <w:rsid w:val="000F130D"/>
    <w:rsid w:val="000F1485"/>
    <w:rsid w:val="000F18F3"/>
    <w:rsid w:val="000F193E"/>
    <w:rsid w:val="000F1A64"/>
    <w:rsid w:val="000F1B77"/>
    <w:rsid w:val="000F1BE0"/>
    <w:rsid w:val="000F1D08"/>
    <w:rsid w:val="000F1D92"/>
    <w:rsid w:val="000F1F16"/>
    <w:rsid w:val="000F1FB9"/>
    <w:rsid w:val="000F22C7"/>
    <w:rsid w:val="000F23DB"/>
    <w:rsid w:val="000F2764"/>
    <w:rsid w:val="000F35F6"/>
    <w:rsid w:val="000F393C"/>
    <w:rsid w:val="000F3A8C"/>
    <w:rsid w:val="000F3CCE"/>
    <w:rsid w:val="000F3F2B"/>
    <w:rsid w:val="000F42D9"/>
    <w:rsid w:val="000F438F"/>
    <w:rsid w:val="000F47E0"/>
    <w:rsid w:val="000F4A5A"/>
    <w:rsid w:val="000F4B2F"/>
    <w:rsid w:val="000F4B49"/>
    <w:rsid w:val="000F4CC2"/>
    <w:rsid w:val="000F50EB"/>
    <w:rsid w:val="000F5133"/>
    <w:rsid w:val="000F513A"/>
    <w:rsid w:val="000F5188"/>
    <w:rsid w:val="000F54AD"/>
    <w:rsid w:val="000F560C"/>
    <w:rsid w:val="000F5629"/>
    <w:rsid w:val="000F5710"/>
    <w:rsid w:val="000F5784"/>
    <w:rsid w:val="000F5A2F"/>
    <w:rsid w:val="000F5E64"/>
    <w:rsid w:val="000F6449"/>
    <w:rsid w:val="000F6592"/>
    <w:rsid w:val="000F6A1B"/>
    <w:rsid w:val="000F6B87"/>
    <w:rsid w:val="000F6B98"/>
    <w:rsid w:val="000F7226"/>
    <w:rsid w:val="000F72CF"/>
    <w:rsid w:val="000F7391"/>
    <w:rsid w:val="000F7402"/>
    <w:rsid w:val="000F77F3"/>
    <w:rsid w:val="000F7AD1"/>
    <w:rsid w:val="000F7AEA"/>
    <w:rsid w:val="000F7CD0"/>
    <w:rsid w:val="000F7D5A"/>
    <w:rsid w:val="000F7DEE"/>
    <w:rsid w:val="000F7DFB"/>
    <w:rsid w:val="000F7EE4"/>
    <w:rsid w:val="00100097"/>
    <w:rsid w:val="001000BB"/>
    <w:rsid w:val="00100228"/>
    <w:rsid w:val="001002C9"/>
    <w:rsid w:val="0010031B"/>
    <w:rsid w:val="0010031F"/>
    <w:rsid w:val="00100324"/>
    <w:rsid w:val="001003B6"/>
    <w:rsid w:val="001005AF"/>
    <w:rsid w:val="001006F7"/>
    <w:rsid w:val="0010085D"/>
    <w:rsid w:val="001008A0"/>
    <w:rsid w:val="00100915"/>
    <w:rsid w:val="00100984"/>
    <w:rsid w:val="00100A7C"/>
    <w:rsid w:val="00100DB2"/>
    <w:rsid w:val="00100E50"/>
    <w:rsid w:val="00100F0D"/>
    <w:rsid w:val="00101078"/>
    <w:rsid w:val="001010A1"/>
    <w:rsid w:val="001010B1"/>
    <w:rsid w:val="00101209"/>
    <w:rsid w:val="00101449"/>
    <w:rsid w:val="001014E0"/>
    <w:rsid w:val="00101921"/>
    <w:rsid w:val="00101C67"/>
    <w:rsid w:val="00101F2B"/>
    <w:rsid w:val="0010204F"/>
    <w:rsid w:val="00102062"/>
    <w:rsid w:val="00102315"/>
    <w:rsid w:val="00102355"/>
    <w:rsid w:val="0010236F"/>
    <w:rsid w:val="00102458"/>
    <w:rsid w:val="0010258C"/>
    <w:rsid w:val="0010258F"/>
    <w:rsid w:val="001027C9"/>
    <w:rsid w:val="00102815"/>
    <w:rsid w:val="00102CAE"/>
    <w:rsid w:val="00102D9B"/>
    <w:rsid w:val="00102DEA"/>
    <w:rsid w:val="00102EC0"/>
    <w:rsid w:val="00102F0A"/>
    <w:rsid w:val="00102FDD"/>
    <w:rsid w:val="001031FC"/>
    <w:rsid w:val="0010386B"/>
    <w:rsid w:val="00103903"/>
    <w:rsid w:val="00103F02"/>
    <w:rsid w:val="00103F96"/>
    <w:rsid w:val="00104693"/>
    <w:rsid w:val="00104707"/>
    <w:rsid w:val="001047FC"/>
    <w:rsid w:val="00104984"/>
    <w:rsid w:val="00104A4D"/>
    <w:rsid w:val="00105046"/>
    <w:rsid w:val="001051C9"/>
    <w:rsid w:val="0010541C"/>
    <w:rsid w:val="001054D4"/>
    <w:rsid w:val="001059D7"/>
    <w:rsid w:val="00105DFD"/>
    <w:rsid w:val="00106358"/>
    <w:rsid w:val="0010637E"/>
    <w:rsid w:val="001065CA"/>
    <w:rsid w:val="001065CF"/>
    <w:rsid w:val="00106965"/>
    <w:rsid w:val="00107551"/>
    <w:rsid w:val="0010763F"/>
    <w:rsid w:val="001076D6"/>
    <w:rsid w:val="00107A5C"/>
    <w:rsid w:val="00107FB8"/>
    <w:rsid w:val="0011049B"/>
    <w:rsid w:val="001104FC"/>
    <w:rsid w:val="00110D3C"/>
    <w:rsid w:val="001111F7"/>
    <w:rsid w:val="00111397"/>
    <w:rsid w:val="001113BB"/>
    <w:rsid w:val="0011151E"/>
    <w:rsid w:val="0011166C"/>
    <w:rsid w:val="00111865"/>
    <w:rsid w:val="00111AF4"/>
    <w:rsid w:val="00111B15"/>
    <w:rsid w:val="00111B23"/>
    <w:rsid w:val="00111BA1"/>
    <w:rsid w:val="00111F76"/>
    <w:rsid w:val="00112013"/>
    <w:rsid w:val="0011220B"/>
    <w:rsid w:val="00112246"/>
    <w:rsid w:val="001122F0"/>
    <w:rsid w:val="00112386"/>
    <w:rsid w:val="00112463"/>
    <w:rsid w:val="0011283D"/>
    <w:rsid w:val="0011298B"/>
    <w:rsid w:val="00112A7D"/>
    <w:rsid w:val="00112E6C"/>
    <w:rsid w:val="00112FED"/>
    <w:rsid w:val="00113303"/>
    <w:rsid w:val="0011343B"/>
    <w:rsid w:val="00113988"/>
    <w:rsid w:val="00113C6D"/>
    <w:rsid w:val="00113C90"/>
    <w:rsid w:val="00113F01"/>
    <w:rsid w:val="00113F8F"/>
    <w:rsid w:val="001140BC"/>
    <w:rsid w:val="0011419F"/>
    <w:rsid w:val="0011429F"/>
    <w:rsid w:val="00114318"/>
    <w:rsid w:val="00114586"/>
    <w:rsid w:val="00114623"/>
    <w:rsid w:val="00114624"/>
    <w:rsid w:val="001147AC"/>
    <w:rsid w:val="00114D19"/>
    <w:rsid w:val="0011517A"/>
    <w:rsid w:val="0011518E"/>
    <w:rsid w:val="001151A2"/>
    <w:rsid w:val="00115253"/>
    <w:rsid w:val="00115465"/>
    <w:rsid w:val="00115807"/>
    <w:rsid w:val="001158D1"/>
    <w:rsid w:val="00115A60"/>
    <w:rsid w:val="00115A91"/>
    <w:rsid w:val="00115B2B"/>
    <w:rsid w:val="00115EEB"/>
    <w:rsid w:val="00115F0D"/>
    <w:rsid w:val="001162C8"/>
    <w:rsid w:val="001164FE"/>
    <w:rsid w:val="00116560"/>
    <w:rsid w:val="001165F0"/>
    <w:rsid w:val="00116D6F"/>
    <w:rsid w:val="00116E92"/>
    <w:rsid w:val="0011706B"/>
    <w:rsid w:val="00117118"/>
    <w:rsid w:val="00117166"/>
    <w:rsid w:val="0011717A"/>
    <w:rsid w:val="0011734F"/>
    <w:rsid w:val="0011747E"/>
    <w:rsid w:val="00117932"/>
    <w:rsid w:val="00117A28"/>
    <w:rsid w:val="00120147"/>
    <w:rsid w:val="001203AE"/>
    <w:rsid w:val="001203ED"/>
    <w:rsid w:val="001206EE"/>
    <w:rsid w:val="00120F3D"/>
    <w:rsid w:val="0012114F"/>
    <w:rsid w:val="001211E6"/>
    <w:rsid w:val="0012142E"/>
    <w:rsid w:val="00121837"/>
    <w:rsid w:val="001220E6"/>
    <w:rsid w:val="001221F0"/>
    <w:rsid w:val="001229AF"/>
    <w:rsid w:val="00122E22"/>
    <w:rsid w:val="00122FB9"/>
    <w:rsid w:val="00123080"/>
    <w:rsid w:val="00123125"/>
    <w:rsid w:val="0012390D"/>
    <w:rsid w:val="00123973"/>
    <w:rsid w:val="001239DD"/>
    <w:rsid w:val="001239ED"/>
    <w:rsid w:val="00123AA5"/>
    <w:rsid w:val="00123D72"/>
    <w:rsid w:val="00123FA1"/>
    <w:rsid w:val="0012428F"/>
    <w:rsid w:val="001247AE"/>
    <w:rsid w:val="00124861"/>
    <w:rsid w:val="00124AC2"/>
    <w:rsid w:val="00124C12"/>
    <w:rsid w:val="00124C1D"/>
    <w:rsid w:val="00124C44"/>
    <w:rsid w:val="00124C9A"/>
    <w:rsid w:val="00124DC7"/>
    <w:rsid w:val="00124E02"/>
    <w:rsid w:val="0012533D"/>
    <w:rsid w:val="0012555E"/>
    <w:rsid w:val="001255E5"/>
    <w:rsid w:val="0012599B"/>
    <w:rsid w:val="00125A1E"/>
    <w:rsid w:val="00125B00"/>
    <w:rsid w:val="00125BFD"/>
    <w:rsid w:val="001261DB"/>
    <w:rsid w:val="00126559"/>
    <w:rsid w:val="00126935"/>
    <w:rsid w:val="00126E48"/>
    <w:rsid w:val="00127021"/>
    <w:rsid w:val="001273DD"/>
    <w:rsid w:val="001273DF"/>
    <w:rsid w:val="001274C0"/>
    <w:rsid w:val="00127765"/>
    <w:rsid w:val="00127843"/>
    <w:rsid w:val="00127863"/>
    <w:rsid w:val="001278B4"/>
    <w:rsid w:val="001279D3"/>
    <w:rsid w:val="00127C0B"/>
    <w:rsid w:val="00127E41"/>
    <w:rsid w:val="00127F79"/>
    <w:rsid w:val="0013010C"/>
    <w:rsid w:val="001301CB"/>
    <w:rsid w:val="0013058F"/>
    <w:rsid w:val="00130659"/>
    <w:rsid w:val="00130910"/>
    <w:rsid w:val="00130AC0"/>
    <w:rsid w:val="00130BEA"/>
    <w:rsid w:val="00130F9C"/>
    <w:rsid w:val="0013165A"/>
    <w:rsid w:val="0013167A"/>
    <w:rsid w:val="00131846"/>
    <w:rsid w:val="00131955"/>
    <w:rsid w:val="00131B81"/>
    <w:rsid w:val="00132381"/>
    <w:rsid w:val="0013269C"/>
    <w:rsid w:val="0013291B"/>
    <w:rsid w:val="00132B41"/>
    <w:rsid w:val="00132B7F"/>
    <w:rsid w:val="00132C18"/>
    <w:rsid w:val="001330AC"/>
    <w:rsid w:val="00133BF8"/>
    <w:rsid w:val="00133E93"/>
    <w:rsid w:val="00133FD8"/>
    <w:rsid w:val="00134050"/>
    <w:rsid w:val="001340C7"/>
    <w:rsid w:val="0013442B"/>
    <w:rsid w:val="00134640"/>
    <w:rsid w:val="00134651"/>
    <w:rsid w:val="0013474E"/>
    <w:rsid w:val="00134803"/>
    <w:rsid w:val="001348D0"/>
    <w:rsid w:val="00134964"/>
    <w:rsid w:val="00134A77"/>
    <w:rsid w:val="00134A9C"/>
    <w:rsid w:val="00134E5F"/>
    <w:rsid w:val="00134F9B"/>
    <w:rsid w:val="00135128"/>
    <w:rsid w:val="00135336"/>
    <w:rsid w:val="001356A5"/>
    <w:rsid w:val="00135A19"/>
    <w:rsid w:val="00135C77"/>
    <w:rsid w:val="00135EA0"/>
    <w:rsid w:val="0013613C"/>
    <w:rsid w:val="00136531"/>
    <w:rsid w:val="001365B6"/>
    <w:rsid w:val="00136682"/>
    <w:rsid w:val="001369AE"/>
    <w:rsid w:val="00136A19"/>
    <w:rsid w:val="00136D29"/>
    <w:rsid w:val="00136D6C"/>
    <w:rsid w:val="00136FDD"/>
    <w:rsid w:val="00137004"/>
    <w:rsid w:val="0013711C"/>
    <w:rsid w:val="00137346"/>
    <w:rsid w:val="00137387"/>
    <w:rsid w:val="00137567"/>
    <w:rsid w:val="00137702"/>
    <w:rsid w:val="0013770D"/>
    <w:rsid w:val="0013775A"/>
    <w:rsid w:val="00137A7E"/>
    <w:rsid w:val="00137F2D"/>
    <w:rsid w:val="0014035E"/>
    <w:rsid w:val="00140699"/>
    <w:rsid w:val="00140A52"/>
    <w:rsid w:val="00141014"/>
    <w:rsid w:val="00141029"/>
    <w:rsid w:val="0014141C"/>
    <w:rsid w:val="001415C8"/>
    <w:rsid w:val="00141639"/>
    <w:rsid w:val="001418C5"/>
    <w:rsid w:val="00141A0F"/>
    <w:rsid w:val="00141B27"/>
    <w:rsid w:val="00141DAC"/>
    <w:rsid w:val="0014217F"/>
    <w:rsid w:val="00142318"/>
    <w:rsid w:val="00142A6A"/>
    <w:rsid w:val="00142BA6"/>
    <w:rsid w:val="001431BE"/>
    <w:rsid w:val="00143255"/>
    <w:rsid w:val="001432EA"/>
    <w:rsid w:val="00143324"/>
    <w:rsid w:val="00143429"/>
    <w:rsid w:val="0014355D"/>
    <w:rsid w:val="0014357A"/>
    <w:rsid w:val="0014362E"/>
    <w:rsid w:val="0014397B"/>
    <w:rsid w:val="00143B82"/>
    <w:rsid w:val="00143C96"/>
    <w:rsid w:val="00143D77"/>
    <w:rsid w:val="00143EF5"/>
    <w:rsid w:val="00144138"/>
    <w:rsid w:val="0014454D"/>
    <w:rsid w:val="001449DA"/>
    <w:rsid w:val="00144AE9"/>
    <w:rsid w:val="00144AEE"/>
    <w:rsid w:val="00144EB6"/>
    <w:rsid w:val="00145246"/>
    <w:rsid w:val="001452EC"/>
    <w:rsid w:val="001452FC"/>
    <w:rsid w:val="0014535A"/>
    <w:rsid w:val="001454F8"/>
    <w:rsid w:val="00145BA3"/>
    <w:rsid w:val="00145DC0"/>
    <w:rsid w:val="00145E97"/>
    <w:rsid w:val="00145FFB"/>
    <w:rsid w:val="001461E1"/>
    <w:rsid w:val="001463C8"/>
    <w:rsid w:val="00146610"/>
    <w:rsid w:val="00146657"/>
    <w:rsid w:val="0014688E"/>
    <w:rsid w:val="001470B0"/>
    <w:rsid w:val="00147705"/>
    <w:rsid w:val="00147E62"/>
    <w:rsid w:val="00147E9F"/>
    <w:rsid w:val="00147F23"/>
    <w:rsid w:val="00150209"/>
    <w:rsid w:val="0015027D"/>
    <w:rsid w:val="00150668"/>
    <w:rsid w:val="00150819"/>
    <w:rsid w:val="001508FD"/>
    <w:rsid w:val="0015095D"/>
    <w:rsid w:val="00150BC7"/>
    <w:rsid w:val="00150C77"/>
    <w:rsid w:val="0015115F"/>
    <w:rsid w:val="0015159D"/>
    <w:rsid w:val="001518DC"/>
    <w:rsid w:val="00151A7E"/>
    <w:rsid w:val="00151FB0"/>
    <w:rsid w:val="001520E3"/>
    <w:rsid w:val="0015213D"/>
    <w:rsid w:val="00152392"/>
    <w:rsid w:val="001523A4"/>
    <w:rsid w:val="00152479"/>
    <w:rsid w:val="00152C7C"/>
    <w:rsid w:val="00152E37"/>
    <w:rsid w:val="00152E7F"/>
    <w:rsid w:val="00152EE1"/>
    <w:rsid w:val="00152F74"/>
    <w:rsid w:val="00153258"/>
    <w:rsid w:val="0015349F"/>
    <w:rsid w:val="00153553"/>
    <w:rsid w:val="00153A89"/>
    <w:rsid w:val="00153D7C"/>
    <w:rsid w:val="001540B2"/>
    <w:rsid w:val="001540DA"/>
    <w:rsid w:val="00154133"/>
    <w:rsid w:val="00154214"/>
    <w:rsid w:val="001542DE"/>
    <w:rsid w:val="00154360"/>
    <w:rsid w:val="00154F35"/>
    <w:rsid w:val="001551E8"/>
    <w:rsid w:val="001556F8"/>
    <w:rsid w:val="001557BF"/>
    <w:rsid w:val="0015583D"/>
    <w:rsid w:val="00155915"/>
    <w:rsid w:val="00155D2B"/>
    <w:rsid w:val="00155EF2"/>
    <w:rsid w:val="00156645"/>
    <w:rsid w:val="001566C9"/>
    <w:rsid w:val="001566F2"/>
    <w:rsid w:val="001567D3"/>
    <w:rsid w:val="00156ACB"/>
    <w:rsid w:val="001575DE"/>
    <w:rsid w:val="00157602"/>
    <w:rsid w:val="0015767C"/>
    <w:rsid w:val="00157A68"/>
    <w:rsid w:val="00157A87"/>
    <w:rsid w:val="00157BDD"/>
    <w:rsid w:val="00157C98"/>
    <w:rsid w:val="00157F88"/>
    <w:rsid w:val="00160571"/>
    <w:rsid w:val="00160606"/>
    <w:rsid w:val="0016063B"/>
    <w:rsid w:val="00160779"/>
    <w:rsid w:val="0016090A"/>
    <w:rsid w:val="00160ECF"/>
    <w:rsid w:val="0016130A"/>
    <w:rsid w:val="00161426"/>
    <w:rsid w:val="00161609"/>
    <w:rsid w:val="001616F9"/>
    <w:rsid w:val="00161766"/>
    <w:rsid w:val="0016181B"/>
    <w:rsid w:val="00161A95"/>
    <w:rsid w:val="00161B89"/>
    <w:rsid w:val="00161F6A"/>
    <w:rsid w:val="00161FC8"/>
    <w:rsid w:val="00162105"/>
    <w:rsid w:val="001623E5"/>
    <w:rsid w:val="001623F0"/>
    <w:rsid w:val="001624D5"/>
    <w:rsid w:val="001626A3"/>
    <w:rsid w:val="00162F50"/>
    <w:rsid w:val="00162F87"/>
    <w:rsid w:val="001631ED"/>
    <w:rsid w:val="001632AE"/>
    <w:rsid w:val="001633AB"/>
    <w:rsid w:val="00163695"/>
    <w:rsid w:val="00163911"/>
    <w:rsid w:val="00163919"/>
    <w:rsid w:val="00163982"/>
    <w:rsid w:val="00163C6C"/>
    <w:rsid w:val="00163D3D"/>
    <w:rsid w:val="001641CC"/>
    <w:rsid w:val="001641E1"/>
    <w:rsid w:val="001642FB"/>
    <w:rsid w:val="00164626"/>
    <w:rsid w:val="00164BBC"/>
    <w:rsid w:val="00164DD9"/>
    <w:rsid w:val="00164FF7"/>
    <w:rsid w:val="00165148"/>
    <w:rsid w:val="001651B6"/>
    <w:rsid w:val="00165606"/>
    <w:rsid w:val="00165A06"/>
    <w:rsid w:val="00165DFC"/>
    <w:rsid w:val="001660A7"/>
    <w:rsid w:val="001662FA"/>
    <w:rsid w:val="00166458"/>
    <w:rsid w:val="001667DE"/>
    <w:rsid w:val="00166A3D"/>
    <w:rsid w:val="00166FA5"/>
    <w:rsid w:val="00167078"/>
    <w:rsid w:val="001678AC"/>
    <w:rsid w:val="00167A3C"/>
    <w:rsid w:val="00167A94"/>
    <w:rsid w:val="00167CC3"/>
    <w:rsid w:val="00167CF4"/>
    <w:rsid w:val="00167E5E"/>
    <w:rsid w:val="00167ECF"/>
    <w:rsid w:val="00170013"/>
    <w:rsid w:val="0017008C"/>
    <w:rsid w:val="001700BA"/>
    <w:rsid w:val="00170252"/>
    <w:rsid w:val="00170777"/>
    <w:rsid w:val="00170904"/>
    <w:rsid w:val="0017096C"/>
    <w:rsid w:val="001709C9"/>
    <w:rsid w:val="00170A6C"/>
    <w:rsid w:val="00170B75"/>
    <w:rsid w:val="00170D74"/>
    <w:rsid w:val="00171325"/>
    <w:rsid w:val="0017169B"/>
    <w:rsid w:val="001716C8"/>
    <w:rsid w:val="0017188A"/>
    <w:rsid w:val="00171AA7"/>
    <w:rsid w:val="00171C4C"/>
    <w:rsid w:val="00171D0D"/>
    <w:rsid w:val="00171D98"/>
    <w:rsid w:val="00172075"/>
    <w:rsid w:val="00172266"/>
    <w:rsid w:val="00172792"/>
    <w:rsid w:val="001729D3"/>
    <w:rsid w:val="00172A99"/>
    <w:rsid w:val="00172B29"/>
    <w:rsid w:val="00172C04"/>
    <w:rsid w:val="00172D0D"/>
    <w:rsid w:val="00173060"/>
    <w:rsid w:val="001731F1"/>
    <w:rsid w:val="001734AF"/>
    <w:rsid w:val="001734ED"/>
    <w:rsid w:val="00173BA4"/>
    <w:rsid w:val="00173BAE"/>
    <w:rsid w:val="00173BF4"/>
    <w:rsid w:val="00173F91"/>
    <w:rsid w:val="00174187"/>
    <w:rsid w:val="0017448A"/>
    <w:rsid w:val="00174585"/>
    <w:rsid w:val="00174970"/>
    <w:rsid w:val="00174DC4"/>
    <w:rsid w:val="00174FBD"/>
    <w:rsid w:val="0017509E"/>
    <w:rsid w:val="0017522B"/>
    <w:rsid w:val="001752AD"/>
    <w:rsid w:val="001758B7"/>
    <w:rsid w:val="00175AF3"/>
    <w:rsid w:val="00175C02"/>
    <w:rsid w:val="00175E45"/>
    <w:rsid w:val="00176217"/>
    <w:rsid w:val="00176230"/>
    <w:rsid w:val="00176418"/>
    <w:rsid w:val="00176630"/>
    <w:rsid w:val="00176F16"/>
    <w:rsid w:val="00177574"/>
    <w:rsid w:val="001776B8"/>
    <w:rsid w:val="0017770C"/>
    <w:rsid w:val="00177886"/>
    <w:rsid w:val="001778D9"/>
    <w:rsid w:val="00177A5A"/>
    <w:rsid w:val="00177B8E"/>
    <w:rsid w:val="00177BCE"/>
    <w:rsid w:val="00177CB9"/>
    <w:rsid w:val="00177CBC"/>
    <w:rsid w:val="00177DB2"/>
    <w:rsid w:val="00177E07"/>
    <w:rsid w:val="00177F10"/>
    <w:rsid w:val="0017BEAD"/>
    <w:rsid w:val="00180020"/>
    <w:rsid w:val="00180038"/>
    <w:rsid w:val="001800E9"/>
    <w:rsid w:val="0018021D"/>
    <w:rsid w:val="001802DE"/>
    <w:rsid w:val="00180507"/>
    <w:rsid w:val="0018059B"/>
    <w:rsid w:val="0018062C"/>
    <w:rsid w:val="001806D4"/>
    <w:rsid w:val="00180ABB"/>
    <w:rsid w:val="00180B21"/>
    <w:rsid w:val="00180D1D"/>
    <w:rsid w:val="00180F2F"/>
    <w:rsid w:val="0018101E"/>
    <w:rsid w:val="00181C65"/>
    <w:rsid w:val="00182053"/>
    <w:rsid w:val="00182095"/>
    <w:rsid w:val="001821AC"/>
    <w:rsid w:val="00182671"/>
    <w:rsid w:val="001828B7"/>
    <w:rsid w:val="00182B4D"/>
    <w:rsid w:val="001832F3"/>
    <w:rsid w:val="00183375"/>
    <w:rsid w:val="00183430"/>
    <w:rsid w:val="0018349E"/>
    <w:rsid w:val="00183804"/>
    <w:rsid w:val="00183CE9"/>
    <w:rsid w:val="00183EE6"/>
    <w:rsid w:val="001841C4"/>
    <w:rsid w:val="001841CE"/>
    <w:rsid w:val="0018434A"/>
    <w:rsid w:val="00184511"/>
    <w:rsid w:val="00184553"/>
    <w:rsid w:val="00184599"/>
    <w:rsid w:val="001846D8"/>
    <w:rsid w:val="00184899"/>
    <w:rsid w:val="0018489A"/>
    <w:rsid w:val="00184935"/>
    <w:rsid w:val="001849C7"/>
    <w:rsid w:val="00184E88"/>
    <w:rsid w:val="0018501C"/>
    <w:rsid w:val="001852FC"/>
    <w:rsid w:val="0018533E"/>
    <w:rsid w:val="001853C8"/>
    <w:rsid w:val="001853F3"/>
    <w:rsid w:val="001854A3"/>
    <w:rsid w:val="001856AF"/>
    <w:rsid w:val="001856B7"/>
    <w:rsid w:val="00185A04"/>
    <w:rsid w:val="00185B6A"/>
    <w:rsid w:val="00186481"/>
    <w:rsid w:val="00186C20"/>
    <w:rsid w:val="00186D63"/>
    <w:rsid w:val="00186D6F"/>
    <w:rsid w:val="00186D8A"/>
    <w:rsid w:val="00186F00"/>
    <w:rsid w:val="00187548"/>
    <w:rsid w:val="001877EF"/>
    <w:rsid w:val="00187A89"/>
    <w:rsid w:val="00187B1F"/>
    <w:rsid w:val="00187C27"/>
    <w:rsid w:val="00187C8D"/>
    <w:rsid w:val="00187D4D"/>
    <w:rsid w:val="001900DB"/>
    <w:rsid w:val="001902E9"/>
    <w:rsid w:val="001904CC"/>
    <w:rsid w:val="0019059E"/>
    <w:rsid w:val="0019063D"/>
    <w:rsid w:val="0019068D"/>
    <w:rsid w:val="00190811"/>
    <w:rsid w:val="00190BBB"/>
    <w:rsid w:val="00190C44"/>
    <w:rsid w:val="00190FD5"/>
    <w:rsid w:val="00191171"/>
    <w:rsid w:val="00191227"/>
    <w:rsid w:val="001912F1"/>
    <w:rsid w:val="001912FE"/>
    <w:rsid w:val="001913C6"/>
    <w:rsid w:val="00191A1B"/>
    <w:rsid w:val="00191B54"/>
    <w:rsid w:val="00191CD8"/>
    <w:rsid w:val="00192091"/>
    <w:rsid w:val="0019216E"/>
    <w:rsid w:val="001923E5"/>
    <w:rsid w:val="001924E2"/>
    <w:rsid w:val="001925F2"/>
    <w:rsid w:val="001925FB"/>
    <w:rsid w:val="00192782"/>
    <w:rsid w:val="00192C21"/>
    <w:rsid w:val="00192F74"/>
    <w:rsid w:val="00193122"/>
    <w:rsid w:val="0019340C"/>
    <w:rsid w:val="00193477"/>
    <w:rsid w:val="00193543"/>
    <w:rsid w:val="00193731"/>
    <w:rsid w:val="0019384A"/>
    <w:rsid w:val="00193949"/>
    <w:rsid w:val="00193D9A"/>
    <w:rsid w:val="00194343"/>
    <w:rsid w:val="0019456D"/>
    <w:rsid w:val="001947FF"/>
    <w:rsid w:val="00194B01"/>
    <w:rsid w:val="00194CB5"/>
    <w:rsid w:val="0019511C"/>
    <w:rsid w:val="001952B0"/>
    <w:rsid w:val="00195433"/>
    <w:rsid w:val="001956D7"/>
    <w:rsid w:val="0019583C"/>
    <w:rsid w:val="00195ABB"/>
    <w:rsid w:val="00195BB2"/>
    <w:rsid w:val="00195BC1"/>
    <w:rsid w:val="00195C84"/>
    <w:rsid w:val="001962F6"/>
    <w:rsid w:val="001964BD"/>
    <w:rsid w:val="00196854"/>
    <w:rsid w:val="001969D6"/>
    <w:rsid w:val="00196A86"/>
    <w:rsid w:val="00196F44"/>
    <w:rsid w:val="00197256"/>
    <w:rsid w:val="0019738F"/>
    <w:rsid w:val="00197405"/>
    <w:rsid w:val="00197A49"/>
    <w:rsid w:val="00197B66"/>
    <w:rsid w:val="00197DB1"/>
    <w:rsid w:val="001A05D5"/>
    <w:rsid w:val="001A08D3"/>
    <w:rsid w:val="001A09FE"/>
    <w:rsid w:val="001A0AD9"/>
    <w:rsid w:val="001A0BA4"/>
    <w:rsid w:val="001A116D"/>
    <w:rsid w:val="001A1184"/>
    <w:rsid w:val="001A120F"/>
    <w:rsid w:val="001A125D"/>
    <w:rsid w:val="001A12DF"/>
    <w:rsid w:val="001A12F3"/>
    <w:rsid w:val="001A15FE"/>
    <w:rsid w:val="001A174B"/>
    <w:rsid w:val="001A1C81"/>
    <w:rsid w:val="001A1CEC"/>
    <w:rsid w:val="001A1D51"/>
    <w:rsid w:val="001A1E73"/>
    <w:rsid w:val="001A20E4"/>
    <w:rsid w:val="001A2111"/>
    <w:rsid w:val="001A2254"/>
    <w:rsid w:val="001A26DF"/>
    <w:rsid w:val="001A275F"/>
    <w:rsid w:val="001A2A5C"/>
    <w:rsid w:val="001A2BA2"/>
    <w:rsid w:val="001A2D2A"/>
    <w:rsid w:val="001A3163"/>
    <w:rsid w:val="001A3378"/>
    <w:rsid w:val="001A3410"/>
    <w:rsid w:val="001A3523"/>
    <w:rsid w:val="001A3579"/>
    <w:rsid w:val="001A38F4"/>
    <w:rsid w:val="001A39E7"/>
    <w:rsid w:val="001A3A22"/>
    <w:rsid w:val="001A3A7A"/>
    <w:rsid w:val="001A3B11"/>
    <w:rsid w:val="001A3C88"/>
    <w:rsid w:val="001A4594"/>
    <w:rsid w:val="001A4AF6"/>
    <w:rsid w:val="001A4BB2"/>
    <w:rsid w:val="001A4D47"/>
    <w:rsid w:val="001A4E92"/>
    <w:rsid w:val="001A5158"/>
    <w:rsid w:val="001A5396"/>
    <w:rsid w:val="001A53D2"/>
    <w:rsid w:val="001A53F3"/>
    <w:rsid w:val="001A545D"/>
    <w:rsid w:val="001A54DC"/>
    <w:rsid w:val="001A56DF"/>
    <w:rsid w:val="001A5B69"/>
    <w:rsid w:val="001A5E03"/>
    <w:rsid w:val="001A6154"/>
    <w:rsid w:val="001A62BA"/>
    <w:rsid w:val="001A63FB"/>
    <w:rsid w:val="001A6A7F"/>
    <w:rsid w:val="001A6D06"/>
    <w:rsid w:val="001A6DD3"/>
    <w:rsid w:val="001A6E60"/>
    <w:rsid w:val="001A707F"/>
    <w:rsid w:val="001A716F"/>
    <w:rsid w:val="001A72C5"/>
    <w:rsid w:val="001A7365"/>
    <w:rsid w:val="001A737E"/>
    <w:rsid w:val="001A771C"/>
    <w:rsid w:val="001A77F1"/>
    <w:rsid w:val="001A7843"/>
    <w:rsid w:val="001A7866"/>
    <w:rsid w:val="001A7A22"/>
    <w:rsid w:val="001A7AEB"/>
    <w:rsid w:val="001A7AEF"/>
    <w:rsid w:val="001B00F6"/>
    <w:rsid w:val="001B04AD"/>
    <w:rsid w:val="001B0502"/>
    <w:rsid w:val="001B0556"/>
    <w:rsid w:val="001B07AE"/>
    <w:rsid w:val="001B0976"/>
    <w:rsid w:val="001B0C74"/>
    <w:rsid w:val="001B0C96"/>
    <w:rsid w:val="001B0E4D"/>
    <w:rsid w:val="001B0F4C"/>
    <w:rsid w:val="001B10ED"/>
    <w:rsid w:val="001B11A2"/>
    <w:rsid w:val="001B1278"/>
    <w:rsid w:val="001B14D1"/>
    <w:rsid w:val="001B15ED"/>
    <w:rsid w:val="001B1C72"/>
    <w:rsid w:val="001B1FC1"/>
    <w:rsid w:val="001B23B9"/>
    <w:rsid w:val="001B26A8"/>
    <w:rsid w:val="001B2738"/>
    <w:rsid w:val="001B29FD"/>
    <w:rsid w:val="001B2A46"/>
    <w:rsid w:val="001B2B62"/>
    <w:rsid w:val="001B2E8D"/>
    <w:rsid w:val="001B2F2C"/>
    <w:rsid w:val="001B301E"/>
    <w:rsid w:val="001B3197"/>
    <w:rsid w:val="001B3321"/>
    <w:rsid w:val="001B3348"/>
    <w:rsid w:val="001B3560"/>
    <w:rsid w:val="001B35BF"/>
    <w:rsid w:val="001B35C7"/>
    <w:rsid w:val="001B37F7"/>
    <w:rsid w:val="001B384E"/>
    <w:rsid w:val="001B3D0F"/>
    <w:rsid w:val="001B3D36"/>
    <w:rsid w:val="001B3EC0"/>
    <w:rsid w:val="001B447C"/>
    <w:rsid w:val="001B47D2"/>
    <w:rsid w:val="001B49D7"/>
    <w:rsid w:val="001B4A8D"/>
    <w:rsid w:val="001B5007"/>
    <w:rsid w:val="001B512E"/>
    <w:rsid w:val="001B5200"/>
    <w:rsid w:val="001B52A6"/>
    <w:rsid w:val="001B5399"/>
    <w:rsid w:val="001B56ED"/>
    <w:rsid w:val="001B575D"/>
    <w:rsid w:val="001B5A2F"/>
    <w:rsid w:val="001B5B20"/>
    <w:rsid w:val="001B5B8B"/>
    <w:rsid w:val="001B5C4C"/>
    <w:rsid w:val="001B5D01"/>
    <w:rsid w:val="001B5DDE"/>
    <w:rsid w:val="001B5F80"/>
    <w:rsid w:val="001B5FEB"/>
    <w:rsid w:val="001B60BA"/>
    <w:rsid w:val="001B617C"/>
    <w:rsid w:val="001B61D4"/>
    <w:rsid w:val="001B62C7"/>
    <w:rsid w:val="001B64FF"/>
    <w:rsid w:val="001B6515"/>
    <w:rsid w:val="001B65FB"/>
    <w:rsid w:val="001B6910"/>
    <w:rsid w:val="001B6B22"/>
    <w:rsid w:val="001B7142"/>
    <w:rsid w:val="001B717D"/>
    <w:rsid w:val="001B728D"/>
    <w:rsid w:val="001B7405"/>
    <w:rsid w:val="001B7581"/>
    <w:rsid w:val="001B7BFD"/>
    <w:rsid w:val="001B7DA0"/>
    <w:rsid w:val="001B7DC0"/>
    <w:rsid w:val="001B7EA2"/>
    <w:rsid w:val="001C020E"/>
    <w:rsid w:val="001C0245"/>
    <w:rsid w:val="001C0D2C"/>
    <w:rsid w:val="001C0DC0"/>
    <w:rsid w:val="001C0DD0"/>
    <w:rsid w:val="001C0F51"/>
    <w:rsid w:val="001C116F"/>
    <w:rsid w:val="001C1170"/>
    <w:rsid w:val="001C1524"/>
    <w:rsid w:val="001C1574"/>
    <w:rsid w:val="001C1A66"/>
    <w:rsid w:val="001C1DF2"/>
    <w:rsid w:val="001C1FF3"/>
    <w:rsid w:val="001C2147"/>
    <w:rsid w:val="001C21D8"/>
    <w:rsid w:val="001C23BF"/>
    <w:rsid w:val="001C2417"/>
    <w:rsid w:val="001C26C1"/>
    <w:rsid w:val="001C2920"/>
    <w:rsid w:val="001C2ADB"/>
    <w:rsid w:val="001C2E71"/>
    <w:rsid w:val="001C2F80"/>
    <w:rsid w:val="001C2FFA"/>
    <w:rsid w:val="001C30BB"/>
    <w:rsid w:val="001C32FD"/>
    <w:rsid w:val="001C340A"/>
    <w:rsid w:val="001C36F8"/>
    <w:rsid w:val="001C3852"/>
    <w:rsid w:val="001C39DA"/>
    <w:rsid w:val="001C3C74"/>
    <w:rsid w:val="001C3E6E"/>
    <w:rsid w:val="001C42A1"/>
    <w:rsid w:val="001C4314"/>
    <w:rsid w:val="001C4679"/>
    <w:rsid w:val="001C48A8"/>
    <w:rsid w:val="001C4A2B"/>
    <w:rsid w:val="001C4A93"/>
    <w:rsid w:val="001C4B60"/>
    <w:rsid w:val="001C4B9C"/>
    <w:rsid w:val="001C54C1"/>
    <w:rsid w:val="001C54DF"/>
    <w:rsid w:val="001C5843"/>
    <w:rsid w:val="001C5952"/>
    <w:rsid w:val="001C5A69"/>
    <w:rsid w:val="001C5AE9"/>
    <w:rsid w:val="001C5C55"/>
    <w:rsid w:val="001C5D27"/>
    <w:rsid w:val="001C5D6C"/>
    <w:rsid w:val="001C5EDC"/>
    <w:rsid w:val="001C5FB8"/>
    <w:rsid w:val="001C616E"/>
    <w:rsid w:val="001C62B2"/>
    <w:rsid w:val="001C671A"/>
    <w:rsid w:val="001C6734"/>
    <w:rsid w:val="001C68C5"/>
    <w:rsid w:val="001C6B28"/>
    <w:rsid w:val="001C6BD0"/>
    <w:rsid w:val="001C6F78"/>
    <w:rsid w:val="001C71F4"/>
    <w:rsid w:val="001C749C"/>
    <w:rsid w:val="001C79DF"/>
    <w:rsid w:val="001C7C0E"/>
    <w:rsid w:val="001C7E73"/>
    <w:rsid w:val="001D0104"/>
    <w:rsid w:val="001D0296"/>
    <w:rsid w:val="001D08F2"/>
    <w:rsid w:val="001D090B"/>
    <w:rsid w:val="001D0CBF"/>
    <w:rsid w:val="001D0DC0"/>
    <w:rsid w:val="001D0E3C"/>
    <w:rsid w:val="001D1512"/>
    <w:rsid w:val="001D1571"/>
    <w:rsid w:val="001D15E2"/>
    <w:rsid w:val="001D1844"/>
    <w:rsid w:val="001D1858"/>
    <w:rsid w:val="001D1CFC"/>
    <w:rsid w:val="001D233E"/>
    <w:rsid w:val="001D2398"/>
    <w:rsid w:val="001D245B"/>
    <w:rsid w:val="001D2858"/>
    <w:rsid w:val="001D293E"/>
    <w:rsid w:val="001D29FE"/>
    <w:rsid w:val="001D2BE8"/>
    <w:rsid w:val="001D2C9C"/>
    <w:rsid w:val="001D2EC3"/>
    <w:rsid w:val="001D2EC5"/>
    <w:rsid w:val="001D2EE9"/>
    <w:rsid w:val="001D2F74"/>
    <w:rsid w:val="001D304B"/>
    <w:rsid w:val="001D309F"/>
    <w:rsid w:val="001D3892"/>
    <w:rsid w:val="001D3AB0"/>
    <w:rsid w:val="001D3D3D"/>
    <w:rsid w:val="001D3E46"/>
    <w:rsid w:val="001D4063"/>
    <w:rsid w:val="001D410A"/>
    <w:rsid w:val="001D43B1"/>
    <w:rsid w:val="001D4599"/>
    <w:rsid w:val="001D4606"/>
    <w:rsid w:val="001D467D"/>
    <w:rsid w:val="001D47F9"/>
    <w:rsid w:val="001D4905"/>
    <w:rsid w:val="001D49C0"/>
    <w:rsid w:val="001D49C1"/>
    <w:rsid w:val="001D4B0A"/>
    <w:rsid w:val="001D51D7"/>
    <w:rsid w:val="001D53BE"/>
    <w:rsid w:val="001D55C9"/>
    <w:rsid w:val="001D5B68"/>
    <w:rsid w:val="001D5C6A"/>
    <w:rsid w:val="001D5C9B"/>
    <w:rsid w:val="001D5CE8"/>
    <w:rsid w:val="001D5DD6"/>
    <w:rsid w:val="001D5E2C"/>
    <w:rsid w:val="001D62C2"/>
    <w:rsid w:val="001D6607"/>
    <w:rsid w:val="001D66F0"/>
    <w:rsid w:val="001D6A30"/>
    <w:rsid w:val="001D6B5B"/>
    <w:rsid w:val="001D6C6F"/>
    <w:rsid w:val="001D729E"/>
    <w:rsid w:val="001D73FB"/>
    <w:rsid w:val="001D753B"/>
    <w:rsid w:val="001D7688"/>
    <w:rsid w:val="001D7B6B"/>
    <w:rsid w:val="001D7BEE"/>
    <w:rsid w:val="001D7F46"/>
    <w:rsid w:val="001D7F4A"/>
    <w:rsid w:val="001D7F58"/>
    <w:rsid w:val="001E0019"/>
    <w:rsid w:val="001E011A"/>
    <w:rsid w:val="001E062F"/>
    <w:rsid w:val="001E0641"/>
    <w:rsid w:val="001E06B1"/>
    <w:rsid w:val="001E08F8"/>
    <w:rsid w:val="001E09B2"/>
    <w:rsid w:val="001E0A3C"/>
    <w:rsid w:val="001E0AC3"/>
    <w:rsid w:val="001E0D06"/>
    <w:rsid w:val="001E0D5A"/>
    <w:rsid w:val="001E0D5F"/>
    <w:rsid w:val="001E10F2"/>
    <w:rsid w:val="001E1A93"/>
    <w:rsid w:val="001E1BA4"/>
    <w:rsid w:val="001E1F16"/>
    <w:rsid w:val="001E1F5D"/>
    <w:rsid w:val="001E237A"/>
    <w:rsid w:val="001E2498"/>
    <w:rsid w:val="001E24E3"/>
    <w:rsid w:val="001E25E0"/>
    <w:rsid w:val="001E2695"/>
    <w:rsid w:val="001E27DC"/>
    <w:rsid w:val="001E29C3"/>
    <w:rsid w:val="001E2A84"/>
    <w:rsid w:val="001E2B3C"/>
    <w:rsid w:val="001E2CA2"/>
    <w:rsid w:val="001E3121"/>
    <w:rsid w:val="001E31BA"/>
    <w:rsid w:val="001E3817"/>
    <w:rsid w:val="001E383A"/>
    <w:rsid w:val="001E39D6"/>
    <w:rsid w:val="001E3AEA"/>
    <w:rsid w:val="001E4088"/>
    <w:rsid w:val="001E440D"/>
    <w:rsid w:val="001E470E"/>
    <w:rsid w:val="001E4C9B"/>
    <w:rsid w:val="001E4D87"/>
    <w:rsid w:val="001E5274"/>
    <w:rsid w:val="001E545D"/>
    <w:rsid w:val="001E55E1"/>
    <w:rsid w:val="001E567F"/>
    <w:rsid w:val="001E59C9"/>
    <w:rsid w:val="001E5DD3"/>
    <w:rsid w:val="001E5F06"/>
    <w:rsid w:val="001E5FAD"/>
    <w:rsid w:val="001E6175"/>
    <w:rsid w:val="001E6193"/>
    <w:rsid w:val="001E655F"/>
    <w:rsid w:val="001E6574"/>
    <w:rsid w:val="001E6681"/>
    <w:rsid w:val="001E6DEA"/>
    <w:rsid w:val="001E72A5"/>
    <w:rsid w:val="001E72FA"/>
    <w:rsid w:val="001E749F"/>
    <w:rsid w:val="001E7505"/>
    <w:rsid w:val="001E77F9"/>
    <w:rsid w:val="001E7895"/>
    <w:rsid w:val="001E7B4E"/>
    <w:rsid w:val="001E7B5B"/>
    <w:rsid w:val="001E7B82"/>
    <w:rsid w:val="001E7C14"/>
    <w:rsid w:val="001E7F07"/>
    <w:rsid w:val="001E7F25"/>
    <w:rsid w:val="001E7FD6"/>
    <w:rsid w:val="001F032C"/>
    <w:rsid w:val="001F059E"/>
    <w:rsid w:val="001F0608"/>
    <w:rsid w:val="001F0761"/>
    <w:rsid w:val="001F0C69"/>
    <w:rsid w:val="001F0DE4"/>
    <w:rsid w:val="001F1040"/>
    <w:rsid w:val="001F10EC"/>
    <w:rsid w:val="001F15FE"/>
    <w:rsid w:val="001F15FF"/>
    <w:rsid w:val="001F18DC"/>
    <w:rsid w:val="001F1D56"/>
    <w:rsid w:val="001F1E51"/>
    <w:rsid w:val="001F1EE2"/>
    <w:rsid w:val="001F1F85"/>
    <w:rsid w:val="001F216D"/>
    <w:rsid w:val="001F233A"/>
    <w:rsid w:val="001F2370"/>
    <w:rsid w:val="001F24C7"/>
    <w:rsid w:val="001F2C0E"/>
    <w:rsid w:val="001F2E59"/>
    <w:rsid w:val="001F313B"/>
    <w:rsid w:val="001F37BB"/>
    <w:rsid w:val="001F3D88"/>
    <w:rsid w:val="001F3F6A"/>
    <w:rsid w:val="001F3FCB"/>
    <w:rsid w:val="001F3FDD"/>
    <w:rsid w:val="001F4088"/>
    <w:rsid w:val="001F4146"/>
    <w:rsid w:val="001F422E"/>
    <w:rsid w:val="001F44A6"/>
    <w:rsid w:val="001F4526"/>
    <w:rsid w:val="001F4656"/>
    <w:rsid w:val="001F4A76"/>
    <w:rsid w:val="001F4B36"/>
    <w:rsid w:val="001F539D"/>
    <w:rsid w:val="001F5481"/>
    <w:rsid w:val="001F5758"/>
    <w:rsid w:val="001F5771"/>
    <w:rsid w:val="001F5842"/>
    <w:rsid w:val="001F5A18"/>
    <w:rsid w:val="001F5AA9"/>
    <w:rsid w:val="001F5AAA"/>
    <w:rsid w:val="001F5ABC"/>
    <w:rsid w:val="001F5B6B"/>
    <w:rsid w:val="001F5BB0"/>
    <w:rsid w:val="001F60CF"/>
    <w:rsid w:val="001F6E91"/>
    <w:rsid w:val="001F7221"/>
    <w:rsid w:val="001F7326"/>
    <w:rsid w:val="001F73A1"/>
    <w:rsid w:val="001F74C5"/>
    <w:rsid w:val="001F7B10"/>
    <w:rsid w:val="001F7CEB"/>
    <w:rsid w:val="0020013C"/>
    <w:rsid w:val="0020035A"/>
    <w:rsid w:val="002003FC"/>
    <w:rsid w:val="00200481"/>
    <w:rsid w:val="00200732"/>
    <w:rsid w:val="00200957"/>
    <w:rsid w:val="00200B24"/>
    <w:rsid w:val="00200C0F"/>
    <w:rsid w:val="00200C91"/>
    <w:rsid w:val="00200D87"/>
    <w:rsid w:val="00200FC9"/>
    <w:rsid w:val="0020112F"/>
    <w:rsid w:val="002011B8"/>
    <w:rsid w:val="002016AA"/>
    <w:rsid w:val="002017A7"/>
    <w:rsid w:val="002018F9"/>
    <w:rsid w:val="00201A81"/>
    <w:rsid w:val="00201A89"/>
    <w:rsid w:val="0020236C"/>
    <w:rsid w:val="00202640"/>
    <w:rsid w:val="00202B42"/>
    <w:rsid w:val="00202CE1"/>
    <w:rsid w:val="00202D12"/>
    <w:rsid w:val="00202F12"/>
    <w:rsid w:val="00202F31"/>
    <w:rsid w:val="00202F3F"/>
    <w:rsid w:val="00203292"/>
    <w:rsid w:val="0020364E"/>
    <w:rsid w:val="002037D7"/>
    <w:rsid w:val="00203C9F"/>
    <w:rsid w:val="00204147"/>
    <w:rsid w:val="0020424A"/>
    <w:rsid w:val="00204378"/>
    <w:rsid w:val="002043A5"/>
    <w:rsid w:val="002048EA"/>
    <w:rsid w:val="00204B1A"/>
    <w:rsid w:val="00204CD8"/>
    <w:rsid w:val="00204F72"/>
    <w:rsid w:val="00205186"/>
    <w:rsid w:val="00205366"/>
    <w:rsid w:val="0020545B"/>
    <w:rsid w:val="002056F7"/>
    <w:rsid w:val="0020577B"/>
    <w:rsid w:val="00205917"/>
    <w:rsid w:val="0020596C"/>
    <w:rsid w:val="00205C2D"/>
    <w:rsid w:val="00205CF5"/>
    <w:rsid w:val="00205FD6"/>
    <w:rsid w:val="002061ED"/>
    <w:rsid w:val="0020628E"/>
    <w:rsid w:val="00206316"/>
    <w:rsid w:val="00206319"/>
    <w:rsid w:val="0020640E"/>
    <w:rsid w:val="00206544"/>
    <w:rsid w:val="00206766"/>
    <w:rsid w:val="0020677B"/>
    <w:rsid w:val="00206AC0"/>
    <w:rsid w:val="00206D85"/>
    <w:rsid w:val="00206ED2"/>
    <w:rsid w:val="00206F16"/>
    <w:rsid w:val="0020711E"/>
    <w:rsid w:val="0020712F"/>
    <w:rsid w:val="00207337"/>
    <w:rsid w:val="00207453"/>
    <w:rsid w:val="002075C4"/>
    <w:rsid w:val="00207680"/>
    <w:rsid w:val="00207734"/>
    <w:rsid w:val="002077AD"/>
    <w:rsid w:val="00207A3F"/>
    <w:rsid w:val="002103A0"/>
    <w:rsid w:val="002103C6"/>
    <w:rsid w:val="0021048F"/>
    <w:rsid w:val="002105E8"/>
    <w:rsid w:val="00210748"/>
    <w:rsid w:val="002109BB"/>
    <w:rsid w:val="00210A27"/>
    <w:rsid w:val="00210B0F"/>
    <w:rsid w:val="00210BC5"/>
    <w:rsid w:val="00210E85"/>
    <w:rsid w:val="00210EAB"/>
    <w:rsid w:val="0021108B"/>
    <w:rsid w:val="00211111"/>
    <w:rsid w:val="0021114E"/>
    <w:rsid w:val="0021117A"/>
    <w:rsid w:val="002115C8"/>
    <w:rsid w:val="0021185F"/>
    <w:rsid w:val="00211971"/>
    <w:rsid w:val="00211B8B"/>
    <w:rsid w:val="00211D37"/>
    <w:rsid w:val="00211EE3"/>
    <w:rsid w:val="002122CB"/>
    <w:rsid w:val="002125B3"/>
    <w:rsid w:val="002129DB"/>
    <w:rsid w:val="00212E41"/>
    <w:rsid w:val="00212EF5"/>
    <w:rsid w:val="0021317F"/>
    <w:rsid w:val="002131CA"/>
    <w:rsid w:val="00213368"/>
    <w:rsid w:val="0021344B"/>
    <w:rsid w:val="00213909"/>
    <w:rsid w:val="00213CAD"/>
    <w:rsid w:val="00213E11"/>
    <w:rsid w:val="00213EFC"/>
    <w:rsid w:val="00213F7D"/>
    <w:rsid w:val="00213FF2"/>
    <w:rsid w:val="002141EC"/>
    <w:rsid w:val="002143FB"/>
    <w:rsid w:val="0021441B"/>
    <w:rsid w:val="002147FD"/>
    <w:rsid w:val="0021493E"/>
    <w:rsid w:val="00214A33"/>
    <w:rsid w:val="00214F46"/>
    <w:rsid w:val="00214FF4"/>
    <w:rsid w:val="00215208"/>
    <w:rsid w:val="002155E0"/>
    <w:rsid w:val="0021560C"/>
    <w:rsid w:val="00215816"/>
    <w:rsid w:val="00215A38"/>
    <w:rsid w:val="00215CB3"/>
    <w:rsid w:val="00215E20"/>
    <w:rsid w:val="00216066"/>
    <w:rsid w:val="00216135"/>
    <w:rsid w:val="002161DE"/>
    <w:rsid w:val="002162FC"/>
    <w:rsid w:val="00216436"/>
    <w:rsid w:val="002167A0"/>
    <w:rsid w:val="002168EA"/>
    <w:rsid w:val="00216B54"/>
    <w:rsid w:val="00216BFA"/>
    <w:rsid w:val="00216DA1"/>
    <w:rsid w:val="00217268"/>
    <w:rsid w:val="002175F1"/>
    <w:rsid w:val="00217688"/>
    <w:rsid w:val="00217819"/>
    <w:rsid w:val="00217A3A"/>
    <w:rsid w:val="00217B0F"/>
    <w:rsid w:val="00217C05"/>
    <w:rsid w:val="00217E10"/>
    <w:rsid w:val="00217EF0"/>
    <w:rsid w:val="00220104"/>
    <w:rsid w:val="00220231"/>
    <w:rsid w:val="00220A61"/>
    <w:rsid w:val="00220D5A"/>
    <w:rsid w:val="00220D9C"/>
    <w:rsid w:val="00220E81"/>
    <w:rsid w:val="0022118B"/>
    <w:rsid w:val="0022151B"/>
    <w:rsid w:val="00221589"/>
    <w:rsid w:val="002217E2"/>
    <w:rsid w:val="0022185A"/>
    <w:rsid w:val="00221863"/>
    <w:rsid w:val="00221BD5"/>
    <w:rsid w:val="00221D95"/>
    <w:rsid w:val="00222087"/>
    <w:rsid w:val="00222350"/>
    <w:rsid w:val="00222735"/>
    <w:rsid w:val="00222915"/>
    <w:rsid w:val="00222A5D"/>
    <w:rsid w:val="00222BC0"/>
    <w:rsid w:val="00222E94"/>
    <w:rsid w:val="00222F9F"/>
    <w:rsid w:val="002232F7"/>
    <w:rsid w:val="002232FE"/>
    <w:rsid w:val="002233D8"/>
    <w:rsid w:val="002233F4"/>
    <w:rsid w:val="0022342E"/>
    <w:rsid w:val="002236F5"/>
    <w:rsid w:val="0022374E"/>
    <w:rsid w:val="00223786"/>
    <w:rsid w:val="00223787"/>
    <w:rsid w:val="002237C2"/>
    <w:rsid w:val="002238EC"/>
    <w:rsid w:val="00224042"/>
    <w:rsid w:val="00224478"/>
    <w:rsid w:val="002249A9"/>
    <w:rsid w:val="002249B4"/>
    <w:rsid w:val="00224A62"/>
    <w:rsid w:val="00224CDD"/>
    <w:rsid w:val="00224E1F"/>
    <w:rsid w:val="0022520F"/>
    <w:rsid w:val="0022554D"/>
    <w:rsid w:val="002256B0"/>
    <w:rsid w:val="00225899"/>
    <w:rsid w:val="0022599A"/>
    <w:rsid w:val="00225BC1"/>
    <w:rsid w:val="00225D3D"/>
    <w:rsid w:val="00225DD8"/>
    <w:rsid w:val="00226098"/>
    <w:rsid w:val="00226105"/>
    <w:rsid w:val="0022661A"/>
    <w:rsid w:val="00226622"/>
    <w:rsid w:val="0022669A"/>
    <w:rsid w:val="00226A6B"/>
    <w:rsid w:val="00226E9B"/>
    <w:rsid w:val="00226FC4"/>
    <w:rsid w:val="00227090"/>
    <w:rsid w:val="002271F0"/>
    <w:rsid w:val="002272E5"/>
    <w:rsid w:val="0022739D"/>
    <w:rsid w:val="0022748C"/>
    <w:rsid w:val="00227571"/>
    <w:rsid w:val="00227FE7"/>
    <w:rsid w:val="00230251"/>
    <w:rsid w:val="002305C1"/>
    <w:rsid w:val="0023062D"/>
    <w:rsid w:val="0023071E"/>
    <w:rsid w:val="00230743"/>
    <w:rsid w:val="0023080E"/>
    <w:rsid w:val="00230897"/>
    <w:rsid w:val="002309A4"/>
    <w:rsid w:val="00230C17"/>
    <w:rsid w:val="00230EF3"/>
    <w:rsid w:val="00231244"/>
    <w:rsid w:val="00231334"/>
    <w:rsid w:val="002314B4"/>
    <w:rsid w:val="002315DA"/>
    <w:rsid w:val="0023165A"/>
    <w:rsid w:val="00231749"/>
    <w:rsid w:val="00231D9D"/>
    <w:rsid w:val="00231E22"/>
    <w:rsid w:val="00231E2B"/>
    <w:rsid w:val="00231F78"/>
    <w:rsid w:val="00232187"/>
    <w:rsid w:val="0023229D"/>
    <w:rsid w:val="0023269F"/>
    <w:rsid w:val="00232711"/>
    <w:rsid w:val="00232B98"/>
    <w:rsid w:val="00232C93"/>
    <w:rsid w:val="00233056"/>
    <w:rsid w:val="00233222"/>
    <w:rsid w:val="00233474"/>
    <w:rsid w:val="00233559"/>
    <w:rsid w:val="00233821"/>
    <w:rsid w:val="00233A52"/>
    <w:rsid w:val="00233B02"/>
    <w:rsid w:val="00233BB0"/>
    <w:rsid w:val="00233C28"/>
    <w:rsid w:val="00233C97"/>
    <w:rsid w:val="0023407B"/>
    <w:rsid w:val="00234145"/>
    <w:rsid w:val="00234196"/>
    <w:rsid w:val="002344C7"/>
    <w:rsid w:val="00234549"/>
    <w:rsid w:val="00234611"/>
    <w:rsid w:val="00235385"/>
    <w:rsid w:val="002353B9"/>
    <w:rsid w:val="00235445"/>
    <w:rsid w:val="00235696"/>
    <w:rsid w:val="00235B80"/>
    <w:rsid w:val="00235F08"/>
    <w:rsid w:val="00235FE0"/>
    <w:rsid w:val="00236112"/>
    <w:rsid w:val="00236743"/>
    <w:rsid w:val="002367A7"/>
    <w:rsid w:val="00236967"/>
    <w:rsid w:val="00236D62"/>
    <w:rsid w:val="00236E8A"/>
    <w:rsid w:val="002373A4"/>
    <w:rsid w:val="00237682"/>
    <w:rsid w:val="002376A3"/>
    <w:rsid w:val="00237783"/>
    <w:rsid w:val="002377AB"/>
    <w:rsid w:val="002377E9"/>
    <w:rsid w:val="00237830"/>
    <w:rsid w:val="00237837"/>
    <w:rsid w:val="002378CC"/>
    <w:rsid w:val="00237A3D"/>
    <w:rsid w:val="00237B8C"/>
    <w:rsid w:val="00237E24"/>
    <w:rsid w:val="00240348"/>
    <w:rsid w:val="002406B2"/>
    <w:rsid w:val="00240D19"/>
    <w:rsid w:val="00240F23"/>
    <w:rsid w:val="00241071"/>
    <w:rsid w:val="0024112A"/>
    <w:rsid w:val="00241474"/>
    <w:rsid w:val="002414EE"/>
    <w:rsid w:val="00241645"/>
    <w:rsid w:val="00241728"/>
    <w:rsid w:val="00241761"/>
    <w:rsid w:val="0024193A"/>
    <w:rsid w:val="00241953"/>
    <w:rsid w:val="002421A0"/>
    <w:rsid w:val="00242238"/>
    <w:rsid w:val="0024249C"/>
    <w:rsid w:val="002424FF"/>
    <w:rsid w:val="0024282E"/>
    <w:rsid w:val="0024296D"/>
    <w:rsid w:val="00242B13"/>
    <w:rsid w:val="00242B2F"/>
    <w:rsid w:val="00242E49"/>
    <w:rsid w:val="00242F56"/>
    <w:rsid w:val="002431D8"/>
    <w:rsid w:val="00243243"/>
    <w:rsid w:val="00243B73"/>
    <w:rsid w:val="00243E7E"/>
    <w:rsid w:val="00243F2A"/>
    <w:rsid w:val="0024408C"/>
    <w:rsid w:val="00244445"/>
    <w:rsid w:val="00244502"/>
    <w:rsid w:val="00244606"/>
    <w:rsid w:val="0024464E"/>
    <w:rsid w:val="00244D46"/>
    <w:rsid w:val="0024548B"/>
    <w:rsid w:val="0024565E"/>
    <w:rsid w:val="0024582F"/>
    <w:rsid w:val="002463E9"/>
    <w:rsid w:val="0024658C"/>
    <w:rsid w:val="002465B0"/>
    <w:rsid w:val="002465C2"/>
    <w:rsid w:val="002466C7"/>
    <w:rsid w:val="00246A87"/>
    <w:rsid w:val="00246A99"/>
    <w:rsid w:val="00246D8B"/>
    <w:rsid w:val="0024716F"/>
    <w:rsid w:val="00247844"/>
    <w:rsid w:val="00247976"/>
    <w:rsid w:val="00247C28"/>
    <w:rsid w:val="00247C72"/>
    <w:rsid w:val="00247D1E"/>
    <w:rsid w:val="00247F86"/>
    <w:rsid w:val="00250108"/>
    <w:rsid w:val="00250386"/>
    <w:rsid w:val="0025048B"/>
    <w:rsid w:val="0025049D"/>
    <w:rsid w:val="002504E6"/>
    <w:rsid w:val="0025050D"/>
    <w:rsid w:val="00250740"/>
    <w:rsid w:val="002507A7"/>
    <w:rsid w:val="00250858"/>
    <w:rsid w:val="00250876"/>
    <w:rsid w:val="00250908"/>
    <w:rsid w:val="00250951"/>
    <w:rsid w:val="002510CB"/>
    <w:rsid w:val="00251165"/>
    <w:rsid w:val="0025132C"/>
    <w:rsid w:val="00251C4C"/>
    <w:rsid w:val="00251F6A"/>
    <w:rsid w:val="00252098"/>
    <w:rsid w:val="0025238A"/>
    <w:rsid w:val="00252676"/>
    <w:rsid w:val="0025268A"/>
    <w:rsid w:val="002526A1"/>
    <w:rsid w:val="00252A55"/>
    <w:rsid w:val="00252A58"/>
    <w:rsid w:val="00252D05"/>
    <w:rsid w:val="00252FD8"/>
    <w:rsid w:val="00252FF5"/>
    <w:rsid w:val="00253550"/>
    <w:rsid w:val="0025359F"/>
    <w:rsid w:val="002535F9"/>
    <w:rsid w:val="0025390D"/>
    <w:rsid w:val="00253948"/>
    <w:rsid w:val="00254144"/>
    <w:rsid w:val="002542DB"/>
    <w:rsid w:val="00254618"/>
    <w:rsid w:val="002548A1"/>
    <w:rsid w:val="00254A44"/>
    <w:rsid w:val="00254A55"/>
    <w:rsid w:val="00254C45"/>
    <w:rsid w:val="00254D65"/>
    <w:rsid w:val="00254E06"/>
    <w:rsid w:val="002555B6"/>
    <w:rsid w:val="002558EA"/>
    <w:rsid w:val="002559F5"/>
    <w:rsid w:val="00255AB9"/>
    <w:rsid w:val="00255CDF"/>
    <w:rsid w:val="00255CFA"/>
    <w:rsid w:val="00255F81"/>
    <w:rsid w:val="00256772"/>
    <w:rsid w:val="00256787"/>
    <w:rsid w:val="00256A3D"/>
    <w:rsid w:val="00256EF0"/>
    <w:rsid w:val="00256F30"/>
    <w:rsid w:val="0025716C"/>
    <w:rsid w:val="00257458"/>
    <w:rsid w:val="0025759B"/>
    <w:rsid w:val="00257B96"/>
    <w:rsid w:val="0026023A"/>
    <w:rsid w:val="002604DC"/>
    <w:rsid w:val="002605EF"/>
    <w:rsid w:val="002606BE"/>
    <w:rsid w:val="0026078D"/>
    <w:rsid w:val="00260855"/>
    <w:rsid w:val="00260903"/>
    <w:rsid w:val="00260B43"/>
    <w:rsid w:val="00260B52"/>
    <w:rsid w:val="00260C32"/>
    <w:rsid w:val="00260C79"/>
    <w:rsid w:val="00260D70"/>
    <w:rsid w:val="002615F3"/>
    <w:rsid w:val="0026170C"/>
    <w:rsid w:val="0026171B"/>
    <w:rsid w:val="0026186D"/>
    <w:rsid w:val="00261AF5"/>
    <w:rsid w:val="00261D36"/>
    <w:rsid w:val="00261D58"/>
    <w:rsid w:val="00262307"/>
    <w:rsid w:val="002625B4"/>
    <w:rsid w:val="002625EF"/>
    <w:rsid w:val="002629FE"/>
    <w:rsid w:val="00262B2D"/>
    <w:rsid w:val="00262C88"/>
    <w:rsid w:val="00262DCB"/>
    <w:rsid w:val="002631FE"/>
    <w:rsid w:val="002632C9"/>
    <w:rsid w:val="002635B3"/>
    <w:rsid w:val="0026373D"/>
    <w:rsid w:val="00263DB3"/>
    <w:rsid w:val="00263DF9"/>
    <w:rsid w:val="00263F7C"/>
    <w:rsid w:val="00263FCA"/>
    <w:rsid w:val="002642D4"/>
    <w:rsid w:val="0026432E"/>
    <w:rsid w:val="00264639"/>
    <w:rsid w:val="00264641"/>
    <w:rsid w:val="002647F0"/>
    <w:rsid w:val="00264869"/>
    <w:rsid w:val="00264C1D"/>
    <w:rsid w:val="0026561A"/>
    <w:rsid w:val="0026563B"/>
    <w:rsid w:val="00265AD0"/>
    <w:rsid w:val="00265BBA"/>
    <w:rsid w:val="00265C73"/>
    <w:rsid w:val="00265E0B"/>
    <w:rsid w:val="00265EDC"/>
    <w:rsid w:val="00265FC6"/>
    <w:rsid w:val="00266C42"/>
    <w:rsid w:val="00266FC4"/>
    <w:rsid w:val="00266FD5"/>
    <w:rsid w:val="002672DF"/>
    <w:rsid w:val="002674E2"/>
    <w:rsid w:val="0026777C"/>
    <w:rsid w:val="002677C6"/>
    <w:rsid w:val="00267896"/>
    <w:rsid w:val="00267946"/>
    <w:rsid w:val="00267A59"/>
    <w:rsid w:val="00267AFB"/>
    <w:rsid w:val="00267CD4"/>
    <w:rsid w:val="00267D59"/>
    <w:rsid w:val="00267FE3"/>
    <w:rsid w:val="00270266"/>
    <w:rsid w:val="00270915"/>
    <w:rsid w:val="00270984"/>
    <w:rsid w:val="00270AFE"/>
    <w:rsid w:val="00270B0A"/>
    <w:rsid w:val="00270B6C"/>
    <w:rsid w:val="00270C7B"/>
    <w:rsid w:val="00270D69"/>
    <w:rsid w:val="00270F4E"/>
    <w:rsid w:val="002713A7"/>
    <w:rsid w:val="002713CC"/>
    <w:rsid w:val="002717D8"/>
    <w:rsid w:val="0027187A"/>
    <w:rsid w:val="00271D6B"/>
    <w:rsid w:val="00271DA9"/>
    <w:rsid w:val="00271DAD"/>
    <w:rsid w:val="00271DC1"/>
    <w:rsid w:val="00271E81"/>
    <w:rsid w:val="00271FDF"/>
    <w:rsid w:val="00272157"/>
    <w:rsid w:val="002722D9"/>
    <w:rsid w:val="00272493"/>
    <w:rsid w:val="002728F5"/>
    <w:rsid w:val="00272963"/>
    <w:rsid w:val="00272CA7"/>
    <w:rsid w:val="00272E27"/>
    <w:rsid w:val="00273202"/>
    <w:rsid w:val="00273645"/>
    <w:rsid w:val="00273742"/>
    <w:rsid w:val="00273E95"/>
    <w:rsid w:val="00273F27"/>
    <w:rsid w:val="002740EF"/>
    <w:rsid w:val="002746DD"/>
    <w:rsid w:val="00274778"/>
    <w:rsid w:val="0027489F"/>
    <w:rsid w:val="002748CA"/>
    <w:rsid w:val="00274B16"/>
    <w:rsid w:val="00274D7B"/>
    <w:rsid w:val="00274E68"/>
    <w:rsid w:val="00275410"/>
    <w:rsid w:val="0027554B"/>
    <w:rsid w:val="00275838"/>
    <w:rsid w:val="00275A5D"/>
    <w:rsid w:val="00275CFE"/>
    <w:rsid w:val="00275FA0"/>
    <w:rsid w:val="0027610E"/>
    <w:rsid w:val="00276443"/>
    <w:rsid w:val="002767D7"/>
    <w:rsid w:val="00276AD2"/>
    <w:rsid w:val="00276DDA"/>
    <w:rsid w:val="00276FA6"/>
    <w:rsid w:val="00277069"/>
    <w:rsid w:val="00277204"/>
    <w:rsid w:val="00277220"/>
    <w:rsid w:val="00277507"/>
    <w:rsid w:val="002775E1"/>
    <w:rsid w:val="002778DA"/>
    <w:rsid w:val="00277991"/>
    <w:rsid w:val="00277ADF"/>
    <w:rsid w:val="00277F98"/>
    <w:rsid w:val="00280089"/>
    <w:rsid w:val="0028053D"/>
    <w:rsid w:val="00280705"/>
    <w:rsid w:val="0028089A"/>
    <w:rsid w:val="00280971"/>
    <w:rsid w:val="00280975"/>
    <w:rsid w:val="00280976"/>
    <w:rsid w:val="00280B61"/>
    <w:rsid w:val="00280CF9"/>
    <w:rsid w:val="00280F24"/>
    <w:rsid w:val="00280F3B"/>
    <w:rsid w:val="00280FE0"/>
    <w:rsid w:val="00281186"/>
    <w:rsid w:val="00281238"/>
    <w:rsid w:val="002813FF"/>
    <w:rsid w:val="00281452"/>
    <w:rsid w:val="00281708"/>
    <w:rsid w:val="002819EB"/>
    <w:rsid w:val="00281E27"/>
    <w:rsid w:val="00281F3D"/>
    <w:rsid w:val="00281F5D"/>
    <w:rsid w:val="00281FCF"/>
    <w:rsid w:val="0028213D"/>
    <w:rsid w:val="002821CD"/>
    <w:rsid w:val="00282266"/>
    <w:rsid w:val="002824E6"/>
    <w:rsid w:val="0028270C"/>
    <w:rsid w:val="00282840"/>
    <w:rsid w:val="00282922"/>
    <w:rsid w:val="002829D3"/>
    <w:rsid w:val="00282B1D"/>
    <w:rsid w:val="0028312C"/>
    <w:rsid w:val="00283189"/>
    <w:rsid w:val="0028326B"/>
    <w:rsid w:val="00283CAC"/>
    <w:rsid w:val="00283D18"/>
    <w:rsid w:val="00283F33"/>
    <w:rsid w:val="00283F6C"/>
    <w:rsid w:val="0028445F"/>
    <w:rsid w:val="00284553"/>
    <w:rsid w:val="0028471A"/>
    <w:rsid w:val="002848D4"/>
    <w:rsid w:val="002852B5"/>
    <w:rsid w:val="002854E4"/>
    <w:rsid w:val="00285664"/>
    <w:rsid w:val="002857DE"/>
    <w:rsid w:val="00285820"/>
    <w:rsid w:val="00285B78"/>
    <w:rsid w:val="00285DAE"/>
    <w:rsid w:val="00285EC7"/>
    <w:rsid w:val="00285FE2"/>
    <w:rsid w:val="002860E9"/>
    <w:rsid w:val="00286319"/>
    <w:rsid w:val="00286322"/>
    <w:rsid w:val="00286416"/>
    <w:rsid w:val="0028654A"/>
    <w:rsid w:val="00286753"/>
    <w:rsid w:val="00286754"/>
    <w:rsid w:val="0028676C"/>
    <w:rsid w:val="0028677C"/>
    <w:rsid w:val="0028696D"/>
    <w:rsid w:val="00286D1A"/>
    <w:rsid w:val="00287049"/>
    <w:rsid w:val="0028709E"/>
    <w:rsid w:val="00287467"/>
    <w:rsid w:val="0028750E"/>
    <w:rsid w:val="002875BF"/>
    <w:rsid w:val="00287DA0"/>
    <w:rsid w:val="00287E4F"/>
    <w:rsid w:val="00290356"/>
    <w:rsid w:val="002903DE"/>
    <w:rsid w:val="0029047E"/>
    <w:rsid w:val="00290485"/>
    <w:rsid w:val="0029071A"/>
    <w:rsid w:val="00290D4D"/>
    <w:rsid w:val="00291331"/>
    <w:rsid w:val="00291527"/>
    <w:rsid w:val="002915F5"/>
    <w:rsid w:val="002918CC"/>
    <w:rsid w:val="00291A59"/>
    <w:rsid w:val="00291AF2"/>
    <w:rsid w:val="00291CAF"/>
    <w:rsid w:val="00292486"/>
    <w:rsid w:val="00292AC6"/>
    <w:rsid w:val="00292FE8"/>
    <w:rsid w:val="0029306D"/>
    <w:rsid w:val="002930A2"/>
    <w:rsid w:val="002937F8"/>
    <w:rsid w:val="00293890"/>
    <w:rsid w:val="00293CED"/>
    <w:rsid w:val="00293E1F"/>
    <w:rsid w:val="00293F0C"/>
    <w:rsid w:val="002943B1"/>
    <w:rsid w:val="0029487F"/>
    <w:rsid w:val="00294CD2"/>
    <w:rsid w:val="00295041"/>
    <w:rsid w:val="0029524C"/>
    <w:rsid w:val="002952BC"/>
    <w:rsid w:val="002952D8"/>
    <w:rsid w:val="00295ABA"/>
    <w:rsid w:val="00295B3D"/>
    <w:rsid w:val="00295B47"/>
    <w:rsid w:val="00295B5B"/>
    <w:rsid w:val="00295D07"/>
    <w:rsid w:val="00295E1E"/>
    <w:rsid w:val="00296014"/>
    <w:rsid w:val="00296179"/>
    <w:rsid w:val="002961BF"/>
    <w:rsid w:val="00296201"/>
    <w:rsid w:val="00296259"/>
    <w:rsid w:val="002962C1"/>
    <w:rsid w:val="002965FA"/>
    <w:rsid w:val="00296700"/>
    <w:rsid w:val="0029694A"/>
    <w:rsid w:val="00296D48"/>
    <w:rsid w:val="002970DE"/>
    <w:rsid w:val="00297125"/>
    <w:rsid w:val="002973CD"/>
    <w:rsid w:val="0029781B"/>
    <w:rsid w:val="00297E02"/>
    <w:rsid w:val="002A0067"/>
    <w:rsid w:val="002A00BB"/>
    <w:rsid w:val="002A06F0"/>
    <w:rsid w:val="002A0714"/>
    <w:rsid w:val="002A0D1F"/>
    <w:rsid w:val="002A12B4"/>
    <w:rsid w:val="002A137A"/>
    <w:rsid w:val="002A13C1"/>
    <w:rsid w:val="002A150B"/>
    <w:rsid w:val="002A1A99"/>
    <w:rsid w:val="002A1BFF"/>
    <w:rsid w:val="002A1DF3"/>
    <w:rsid w:val="002A1FB4"/>
    <w:rsid w:val="002A2311"/>
    <w:rsid w:val="002A25C3"/>
    <w:rsid w:val="002A2872"/>
    <w:rsid w:val="002A2BEA"/>
    <w:rsid w:val="002A2E9C"/>
    <w:rsid w:val="002A2FF9"/>
    <w:rsid w:val="002A31F7"/>
    <w:rsid w:val="002A32C3"/>
    <w:rsid w:val="002A35CA"/>
    <w:rsid w:val="002A3601"/>
    <w:rsid w:val="002A3752"/>
    <w:rsid w:val="002A37F9"/>
    <w:rsid w:val="002A3913"/>
    <w:rsid w:val="002A39D9"/>
    <w:rsid w:val="002A3A0B"/>
    <w:rsid w:val="002A3A2D"/>
    <w:rsid w:val="002A3AE0"/>
    <w:rsid w:val="002A3CAA"/>
    <w:rsid w:val="002A3D50"/>
    <w:rsid w:val="002A3D84"/>
    <w:rsid w:val="002A410B"/>
    <w:rsid w:val="002A421A"/>
    <w:rsid w:val="002A461F"/>
    <w:rsid w:val="002A4781"/>
    <w:rsid w:val="002A47D0"/>
    <w:rsid w:val="002A4914"/>
    <w:rsid w:val="002A4B53"/>
    <w:rsid w:val="002A4BC6"/>
    <w:rsid w:val="002A4E0D"/>
    <w:rsid w:val="002A4E58"/>
    <w:rsid w:val="002A4F23"/>
    <w:rsid w:val="002A51C4"/>
    <w:rsid w:val="002A5426"/>
    <w:rsid w:val="002A5455"/>
    <w:rsid w:val="002A55A2"/>
    <w:rsid w:val="002A5A01"/>
    <w:rsid w:val="002A5C04"/>
    <w:rsid w:val="002A5D78"/>
    <w:rsid w:val="002A61AA"/>
    <w:rsid w:val="002A627A"/>
    <w:rsid w:val="002A6333"/>
    <w:rsid w:val="002A6447"/>
    <w:rsid w:val="002A64C5"/>
    <w:rsid w:val="002A675A"/>
    <w:rsid w:val="002A6A01"/>
    <w:rsid w:val="002A6B31"/>
    <w:rsid w:val="002A6BA3"/>
    <w:rsid w:val="002A6C6D"/>
    <w:rsid w:val="002A754C"/>
    <w:rsid w:val="002A757C"/>
    <w:rsid w:val="002A78AB"/>
    <w:rsid w:val="002A7939"/>
    <w:rsid w:val="002A794C"/>
    <w:rsid w:val="002A7A79"/>
    <w:rsid w:val="002A7D1E"/>
    <w:rsid w:val="002A7F76"/>
    <w:rsid w:val="002B00F5"/>
    <w:rsid w:val="002B018D"/>
    <w:rsid w:val="002B02BF"/>
    <w:rsid w:val="002B069D"/>
    <w:rsid w:val="002B079E"/>
    <w:rsid w:val="002B0A16"/>
    <w:rsid w:val="002B0ADA"/>
    <w:rsid w:val="002B0B6F"/>
    <w:rsid w:val="002B0EF0"/>
    <w:rsid w:val="002B10E7"/>
    <w:rsid w:val="002B1207"/>
    <w:rsid w:val="002B120A"/>
    <w:rsid w:val="002B1683"/>
    <w:rsid w:val="002B16AE"/>
    <w:rsid w:val="002B1859"/>
    <w:rsid w:val="002B190D"/>
    <w:rsid w:val="002B19C5"/>
    <w:rsid w:val="002B1D44"/>
    <w:rsid w:val="002B2032"/>
    <w:rsid w:val="002B2338"/>
    <w:rsid w:val="002B24EC"/>
    <w:rsid w:val="002B2672"/>
    <w:rsid w:val="002B272F"/>
    <w:rsid w:val="002B28EE"/>
    <w:rsid w:val="002B2A04"/>
    <w:rsid w:val="002B2AAF"/>
    <w:rsid w:val="002B2D6C"/>
    <w:rsid w:val="002B2F8C"/>
    <w:rsid w:val="002B2F9F"/>
    <w:rsid w:val="002B3492"/>
    <w:rsid w:val="002B34D7"/>
    <w:rsid w:val="002B3507"/>
    <w:rsid w:val="002B352A"/>
    <w:rsid w:val="002B35A5"/>
    <w:rsid w:val="002B363B"/>
    <w:rsid w:val="002B3B7A"/>
    <w:rsid w:val="002B3C7E"/>
    <w:rsid w:val="002B402A"/>
    <w:rsid w:val="002B4093"/>
    <w:rsid w:val="002B40F7"/>
    <w:rsid w:val="002B41DD"/>
    <w:rsid w:val="002B4339"/>
    <w:rsid w:val="002B4627"/>
    <w:rsid w:val="002B4939"/>
    <w:rsid w:val="002B4A7C"/>
    <w:rsid w:val="002B4CC5"/>
    <w:rsid w:val="002B4D1B"/>
    <w:rsid w:val="002B4E76"/>
    <w:rsid w:val="002B542C"/>
    <w:rsid w:val="002B55CC"/>
    <w:rsid w:val="002B5935"/>
    <w:rsid w:val="002B5BCF"/>
    <w:rsid w:val="002B5CBA"/>
    <w:rsid w:val="002B5F46"/>
    <w:rsid w:val="002B5FA1"/>
    <w:rsid w:val="002B6058"/>
    <w:rsid w:val="002B619A"/>
    <w:rsid w:val="002B63BF"/>
    <w:rsid w:val="002B667E"/>
    <w:rsid w:val="002B6902"/>
    <w:rsid w:val="002B6A1F"/>
    <w:rsid w:val="002B6A5C"/>
    <w:rsid w:val="002B6AC6"/>
    <w:rsid w:val="002B6AD3"/>
    <w:rsid w:val="002B6AF6"/>
    <w:rsid w:val="002B6B5E"/>
    <w:rsid w:val="002B6CDD"/>
    <w:rsid w:val="002B6CFB"/>
    <w:rsid w:val="002B6E21"/>
    <w:rsid w:val="002B6EB7"/>
    <w:rsid w:val="002B7048"/>
    <w:rsid w:val="002B7289"/>
    <w:rsid w:val="002B72B3"/>
    <w:rsid w:val="002B731D"/>
    <w:rsid w:val="002B7353"/>
    <w:rsid w:val="002B74A0"/>
    <w:rsid w:val="002B76B2"/>
    <w:rsid w:val="002B7895"/>
    <w:rsid w:val="002B795D"/>
    <w:rsid w:val="002B7972"/>
    <w:rsid w:val="002B7999"/>
    <w:rsid w:val="002B7B5A"/>
    <w:rsid w:val="002B7BBF"/>
    <w:rsid w:val="002B7FDE"/>
    <w:rsid w:val="002C0223"/>
    <w:rsid w:val="002C02D1"/>
    <w:rsid w:val="002C0361"/>
    <w:rsid w:val="002C03CF"/>
    <w:rsid w:val="002C0487"/>
    <w:rsid w:val="002C04B2"/>
    <w:rsid w:val="002C0700"/>
    <w:rsid w:val="002C0B30"/>
    <w:rsid w:val="002C0DB8"/>
    <w:rsid w:val="002C0DEE"/>
    <w:rsid w:val="002C0F42"/>
    <w:rsid w:val="002C1148"/>
    <w:rsid w:val="002C1411"/>
    <w:rsid w:val="002C1449"/>
    <w:rsid w:val="002C1704"/>
    <w:rsid w:val="002C19B8"/>
    <w:rsid w:val="002C1A20"/>
    <w:rsid w:val="002C1E4A"/>
    <w:rsid w:val="002C269B"/>
    <w:rsid w:val="002C2AE2"/>
    <w:rsid w:val="002C2B70"/>
    <w:rsid w:val="002C2CC1"/>
    <w:rsid w:val="002C3156"/>
    <w:rsid w:val="002C3249"/>
    <w:rsid w:val="002C34B0"/>
    <w:rsid w:val="002C36DC"/>
    <w:rsid w:val="002C387A"/>
    <w:rsid w:val="002C39AA"/>
    <w:rsid w:val="002C3B5F"/>
    <w:rsid w:val="002C3C53"/>
    <w:rsid w:val="002C3E57"/>
    <w:rsid w:val="002C40BF"/>
    <w:rsid w:val="002C41B0"/>
    <w:rsid w:val="002C42A1"/>
    <w:rsid w:val="002C42B0"/>
    <w:rsid w:val="002C4458"/>
    <w:rsid w:val="002C446D"/>
    <w:rsid w:val="002C4474"/>
    <w:rsid w:val="002C4744"/>
    <w:rsid w:val="002C4951"/>
    <w:rsid w:val="002C4CA3"/>
    <w:rsid w:val="002C4DC5"/>
    <w:rsid w:val="002C4E86"/>
    <w:rsid w:val="002C5111"/>
    <w:rsid w:val="002C5483"/>
    <w:rsid w:val="002C5C24"/>
    <w:rsid w:val="002C5E2F"/>
    <w:rsid w:val="002C5FD2"/>
    <w:rsid w:val="002C6156"/>
    <w:rsid w:val="002C65AF"/>
    <w:rsid w:val="002C6696"/>
    <w:rsid w:val="002C69CC"/>
    <w:rsid w:val="002C6B56"/>
    <w:rsid w:val="002C6C2D"/>
    <w:rsid w:val="002C6DE8"/>
    <w:rsid w:val="002C6FFA"/>
    <w:rsid w:val="002C70A9"/>
    <w:rsid w:val="002C7315"/>
    <w:rsid w:val="002C739E"/>
    <w:rsid w:val="002C73BF"/>
    <w:rsid w:val="002C76E8"/>
    <w:rsid w:val="002C7883"/>
    <w:rsid w:val="002C78FE"/>
    <w:rsid w:val="002C7945"/>
    <w:rsid w:val="002C7CD8"/>
    <w:rsid w:val="002C7D5E"/>
    <w:rsid w:val="002C7E26"/>
    <w:rsid w:val="002C7EA7"/>
    <w:rsid w:val="002C7F37"/>
    <w:rsid w:val="002D12FD"/>
    <w:rsid w:val="002D1379"/>
    <w:rsid w:val="002D1514"/>
    <w:rsid w:val="002D1687"/>
    <w:rsid w:val="002D169D"/>
    <w:rsid w:val="002D17EA"/>
    <w:rsid w:val="002D19B1"/>
    <w:rsid w:val="002D1C5B"/>
    <w:rsid w:val="002D1FDB"/>
    <w:rsid w:val="002D2030"/>
    <w:rsid w:val="002D2216"/>
    <w:rsid w:val="002D25BD"/>
    <w:rsid w:val="002D26A3"/>
    <w:rsid w:val="002D287B"/>
    <w:rsid w:val="002D28E2"/>
    <w:rsid w:val="002D2909"/>
    <w:rsid w:val="002D2991"/>
    <w:rsid w:val="002D2AEC"/>
    <w:rsid w:val="002D2AFF"/>
    <w:rsid w:val="002D2E64"/>
    <w:rsid w:val="002D315F"/>
    <w:rsid w:val="002D32C2"/>
    <w:rsid w:val="002D3322"/>
    <w:rsid w:val="002D3440"/>
    <w:rsid w:val="002D35B2"/>
    <w:rsid w:val="002D3656"/>
    <w:rsid w:val="002D36D2"/>
    <w:rsid w:val="002D3861"/>
    <w:rsid w:val="002D39BE"/>
    <w:rsid w:val="002D39D4"/>
    <w:rsid w:val="002D3A26"/>
    <w:rsid w:val="002D3B7F"/>
    <w:rsid w:val="002D3D16"/>
    <w:rsid w:val="002D3D53"/>
    <w:rsid w:val="002D4047"/>
    <w:rsid w:val="002D4369"/>
    <w:rsid w:val="002D457B"/>
    <w:rsid w:val="002D5146"/>
    <w:rsid w:val="002D518E"/>
    <w:rsid w:val="002D5390"/>
    <w:rsid w:val="002D54EF"/>
    <w:rsid w:val="002D559B"/>
    <w:rsid w:val="002D5700"/>
    <w:rsid w:val="002D573A"/>
    <w:rsid w:val="002D586C"/>
    <w:rsid w:val="002D58D6"/>
    <w:rsid w:val="002D5A9D"/>
    <w:rsid w:val="002D5B14"/>
    <w:rsid w:val="002D5B59"/>
    <w:rsid w:val="002D63FC"/>
    <w:rsid w:val="002D649F"/>
    <w:rsid w:val="002D670A"/>
    <w:rsid w:val="002D690E"/>
    <w:rsid w:val="002D691D"/>
    <w:rsid w:val="002D7817"/>
    <w:rsid w:val="002D7999"/>
    <w:rsid w:val="002D7B03"/>
    <w:rsid w:val="002D7B1B"/>
    <w:rsid w:val="002D7B5E"/>
    <w:rsid w:val="002D7CE7"/>
    <w:rsid w:val="002E00B6"/>
    <w:rsid w:val="002E024A"/>
    <w:rsid w:val="002E02E2"/>
    <w:rsid w:val="002E04D6"/>
    <w:rsid w:val="002E0674"/>
    <w:rsid w:val="002E08B2"/>
    <w:rsid w:val="002E0C91"/>
    <w:rsid w:val="002E1184"/>
    <w:rsid w:val="002E11E6"/>
    <w:rsid w:val="002E1330"/>
    <w:rsid w:val="002E13E4"/>
    <w:rsid w:val="002E14FF"/>
    <w:rsid w:val="002E211C"/>
    <w:rsid w:val="002E2135"/>
    <w:rsid w:val="002E23C6"/>
    <w:rsid w:val="002E2949"/>
    <w:rsid w:val="002E2966"/>
    <w:rsid w:val="002E31AB"/>
    <w:rsid w:val="002E31E2"/>
    <w:rsid w:val="002E3436"/>
    <w:rsid w:val="002E35DD"/>
    <w:rsid w:val="002E364C"/>
    <w:rsid w:val="002E39DF"/>
    <w:rsid w:val="002E3E1E"/>
    <w:rsid w:val="002E43BF"/>
    <w:rsid w:val="002E43D0"/>
    <w:rsid w:val="002E4497"/>
    <w:rsid w:val="002E45AC"/>
    <w:rsid w:val="002E47CE"/>
    <w:rsid w:val="002E4AF7"/>
    <w:rsid w:val="002E4CE4"/>
    <w:rsid w:val="002E5055"/>
    <w:rsid w:val="002E52CC"/>
    <w:rsid w:val="002E5591"/>
    <w:rsid w:val="002E56E0"/>
    <w:rsid w:val="002E59E6"/>
    <w:rsid w:val="002E5B80"/>
    <w:rsid w:val="002E5B93"/>
    <w:rsid w:val="002E5F82"/>
    <w:rsid w:val="002E5F84"/>
    <w:rsid w:val="002E6061"/>
    <w:rsid w:val="002E6102"/>
    <w:rsid w:val="002E65C0"/>
    <w:rsid w:val="002E65E0"/>
    <w:rsid w:val="002E6ACF"/>
    <w:rsid w:val="002E6B03"/>
    <w:rsid w:val="002E6E93"/>
    <w:rsid w:val="002E7320"/>
    <w:rsid w:val="002E748A"/>
    <w:rsid w:val="002E76B5"/>
    <w:rsid w:val="002E7C77"/>
    <w:rsid w:val="002E7D1E"/>
    <w:rsid w:val="002E7D7B"/>
    <w:rsid w:val="002E7E57"/>
    <w:rsid w:val="002F04A5"/>
    <w:rsid w:val="002F05C6"/>
    <w:rsid w:val="002F0A02"/>
    <w:rsid w:val="002F0C21"/>
    <w:rsid w:val="002F0F0B"/>
    <w:rsid w:val="002F1052"/>
    <w:rsid w:val="002F1213"/>
    <w:rsid w:val="002F1257"/>
    <w:rsid w:val="002F1340"/>
    <w:rsid w:val="002F156E"/>
    <w:rsid w:val="002F15B4"/>
    <w:rsid w:val="002F1770"/>
    <w:rsid w:val="002F186E"/>
    <w:rsid w:val="002F1981"/>
    <w:rsid w:val="002F1B33"/>
    <w:rsid w:val="002F1BB2"/>
    <w:rsid w:val="002F1BCB"/>
    <w:rsid w:val="002F2157"/>
    <w:rsid w:val="002F2183"/>
    <w:rsid w:val="002F229B"/>
    <w:rsid w:val="002F2444"/>
    <w:rsid w:val="002F26AB"/>
    <w:rsid w:val="002F27F8"/>
    <w:rsid w:val="002F2A4C"/>
    <w:rsid w:val="002F2C8A"/>
    <w:rsid w:val="002F2FB8"/>
    <w:rsid w:val="002F301E"/>
    <w:rsid w:val="002F310C"/>
    <w:rsid w:val="002F3303"/>
    <w:rsid w:val="002F333D"/>
    <w:rsid w:val="002F3659"/>
    <w:rsid w:val="002F38E7"/>
    <w:rsid w:val="002F3ADA"/>
    <w:rsid w:val="002F3D1E"/>
    <w:rsid w:val="002F3D2F"/>
    <w:rsid w:val="002F3DF3"/>
    <w:rsid w:val="002F3F90"/>
    <w:rsid w:val="002F4110"/>
    <w:rsid w:val="002F41A2"/>
    <w:rsid w:val="002F42F4"/>
    <w:rsid w:val="002F44FB"/>
    <w:rsid w:val="002F492E"/>
    <w:rsid w:val="002F4A01"/>
    <w:rsid w:val="002F4DC4"/>
    <w:rsid w:val="002F4E20"/>
    <w:rsid w:val="002F516B"/>
    <w:rsid w:val="002F520E"/>
    <w:rsid w:val="002F52D0"/>
    <w:rsid w:val="002F549F"/>
    <w:rsid w:val="002F54F2"/>
    <w:rsid w:val="002F5669"/>
    <w:rsid w:val="002F57FA"/>
    <w:rsid w:val="002F595B"/>
    <w:rsid w:val="002F5A2E"/>
    <w:rsid w:val="002F5CC8"/>
    <w:rsid w:val="002F5D7D"/>
    <w:rsid w:val="002F5DD9"/>
    <w:rsid w:val="002F6146"/>
    <w:rsid w:val="002F6186"/>
    <w:rsid w:val="002F61E3"/>
    <w:rsid w:val="002F623A"/>
    <w:rsid w:val="002F643F"/>
    <w:rsid w:val="002F644C"/>
    <w:rsid w:val="002F6512"/>
    <w:rsid w:val="002F6659"/>
    <w:rsid w:val="002F67CC"/>
    <w:rsid w:val="002F680C"/>
    <w:rsid w:val="002F6822"/>
    <w:rsid w:val="002F6C75"/>
    <w:rsid w:val="002F6D26"/>
    <w:rsid w:val="002F6FA3"/>
    <w:rsid w:val="002F725A"/>
    <w:rsid w:val="002F7345"/>
    <w:rsid w:val="002F73E3"/>
    <w:rsid w:val="002F74CF"/>
    <w:rsid w:val="002F773F"/>
    <w:rsid w:val="002F7776"/>
    <w:rsid w:val="002F77AA"/>
    <w:rsid w:val="002F7901"/>
    <w:rsid w:val="002F7928"/>
    <w:rsid w:val="002F7B62"/>
    <w:rsid w:val="002F7B93"/>
    <w:rsid w:val="002F7E22"/>
    <w:rsid w:val="00300048"/>
    <w:rsid w:val="00300173"/>
    <w:rsid w:val="00300220"/>
    <w:rsid w:val="003004BF"/>
    <w:rsid w:val="0030051F"/>
    <w:rsid w:val="0030053A"/>
    <w:rsid w:val="00300604"/>
    <w:rsid w:val="00300784"/>
    <w:rsid w:val="003009DC"/>
    <w:rsid w:val="00300D5E"/>
    <w:rsid w:val="00300E37"/>
    <w:rsid w:val="003010FC"/>
    <w:rsid w:val="00301200"/>
    <w:rsid w:val="00301455"/>
    <w:rsid w:val="003016B7"/>
    <w:rsid w:val="003017CD"/>
    <w:rsid w:val="0030197E"/>
    <w:rsid w:val="00301B8D"/>
    <w:rsid w:val="00301C12"/>
    <w:rsid w:val="00301C38"/>
    <w:rsid w:val="00301CF9"/>
    <w:rsid w:val="00301D8E"/>
    <w:rsid w:val="00301F87"/>
    <w:rsid w:val="00302C2D"/>
    <w:rsid w:val="00302CB4"/>
    <w:rsid w:val="00302DDF"/>
    <w:rsid w:val="00302E00"/>
    <w:rsid w:val="00302F58"/>
    <w:rsid w:val="0030306B"/>
    <w:rsid w:val="003032B1"/>
    <w:rsid w:val="003033AA"/>
    <w:rsid w:val="00303468"/>
    <w:rsid w:val="00303471"/>
    <w:rsid w:val="00303695"/>
    <w:rsid w:val="003036F5"/>
    <w:rsid w:val="00303886"/>
    <w:rsid w:val="0030389C"/>
    <w:rsid w:val="003038F6"/>
    <w:rsid w:val="00303C4F"/>
    <w:rsid w:val="00303C7C"/>
    <w:rsid w:val="00303CBC"/>
    <w:rsid w:val="00303E07"/>
    <w:rsid w:val="00304177"/>
    <w:rsid w:val="0030444F"/>
    <w:rsid w:val="00304481"/>
    <w:rsid w:val="003044B3"/>
    <w:rsid w:val="00304591"/>
    <w:rsid w:val="003051A3"/>
    <w:rsid w:val="003051FA"/>
    <w:rsid w:val="00305266"/>
    <w:rsid w:val="0030545A"/>
    <w:rsid w:val="0030552F"/>
    <w:rsid w:val="00305539"/>
    <w:rsid w:val="00305584"/>
    <w:rsid w:val="0030559B"/>
    <w:rsid w:val="003055DB"/>
    <w:rsid w:val="003060C7"/>
    <w:rsid w:val="003063FE"/>
    <w:rsid w:val="00306538"/>
    <w:rsid w:val="0030657B"/>
    <w:rsid w:val="003065C1"/>
    <w:rsid w:val="00306686"/>
    <w:rsid w:val="0030668C"/>
    <w:rsid w:val="003067C0"/>
    <w:rsid w:val="00306B66"/>
    <w:rsid w:val="00306CDA"/>
    <w:rsid w:val="00306F1E"/>
    <w:rsid w:val="003072F3"/>
    <w:rsid w:val="0030762C"/>
    <w:rsid w:val="003078C4"/>
    <w:rsid w:val="00307C95"/>
    <w:rsid w:val="00307CCA"/>
    <w:rsid w:val="00310036"/>
    <w:rsid w:val="00310087"/>
    <w:rsid w:val="003100CA"/>
    <w:rsid w:val="0031013D"/>
    <w:rsid w:val="0031054D"/>
    <w:rsid w:val="003106C3"/>
    <w:rsid w:val="00310BBB"/>
    <w:rsid w:val="00310E85"/>
    <w:rsid w:val="00311059"/>
    <w:rsid w:val="00311142"/>
    <w:rsid w:val="0031121D"/>
    <w:rsid w:val="003119CC"/>
    <w:rsid w:val="003119E4"/>
    <w:rsid w:val="00311F12"/>
    <w:rsid w:val="003121B4"/>
    <w:rsid w:val="003123C9"/>
    <w:rsid w:val="0031249E"/>
    <w:rsid w:val="00312981"/>
    <w:rsid w:val="00312A26"/>
    <w:rsid w:val="00312AEC"/>
    <w:rsid w:val="00312B1F"/>
    <w:rsid w:val="00313297"/>
    <w:rsid w:val="00313387"/>
    <w:rsid w:val="0031389B"/>
    <w:rsid w:val="00313984"/>
    <w:rsid w:val="00313B58"/>
    <w:rsid w:val="00313BE5"/>
    <w:rsid w:val="00313C4A"/>
    <w:rsid w:val="003141DB"/>
    <w:rsid w:val="003141F9"/>
    <w:rsid w:val="00314309"/>
    <w:rsid w:val="003144BF"/>
    <w:rsid w:val="00314538"/>
    <w:rsid w:val="0031455B"/>
    <w:rsid w:val="00314598"/>
    <w:rsid w:val="0031462B"/>
    <w:rsid w:val="00314657"/>
    <w:rsid w:val="003146BD"/>
    <w:rsid w:val="00314778"/>
    <w:rsid w:val="0031480C"/>
    <w:rsid w:val="003149B9"/>
    <w:rsid w:val="00314B3F"/>
    <w:rsid w:val="00314BED"/>
    <w:rsid w:val="00314D46"/>
    <w:rsid w:val="00314E20"/>
    <w:rsid w:val="00314E22"/>
    <w:rsid w:val="00314F1C"/>
    <w:rsid w:val="00315226"/>
    <w:rsid w:val="003152E0"/>
    <w:rsid w:val="0031540B"/>
    <w:rsid w:val="0031555D"/>
    <w:rsid w:val="00315780"/>
    <w:rsid w:val="00315885"/>
    <w:rsid w:val="003159A9"/>
    <w:rsid w:val="00315A21"/>
    <w:rsid w:val="00315A5E"/>
    <w:rsid w:val="00315ABD"/>
    <w:rsid w:val="00315B0A"/>
    <w:rsid w:val="00315BE0"/>
    <w:rsid w:val="00315C28"/>
    <w:rsid w:val="00315C57"/>
    <w:rsid w:val="00315CAB"/>
    <w:rsid w:val="00315D27"/>
    <w:rsid w:val="00315E28"/>
    <w:rsid w:val="00316223"/>
    <w:rsid w:val="0031649B"/>
    <w:rsid w:val="00316605"/>
    <w:rsid w:val="003169BF"/>
    <w:rsid w:val="00316B69"/>
    <w:rsid w:val="00316FC1"/>
    <w:rsid w:val="003171A9"/>
    <w:rsid w:val="00317318"/>
    <w:rsid w:val="003173E5"/>
    <w:rsid w:val="00317794"/>
    <w:rsid w:val="0031785E"/>
    <w:rsid w:val="003178B2"/>
    <w:rsid w:val="00317C7B"/>
    <w:rsid w:val="00317DAD"/>
    <w:rsid w:val="00317E44"/>
    <w:rsid w:val="00317E63"/>
    <w:rsid w:val="00317FAE"/>
    <w:rsid w:val="00320092"/>
    <w:rsid w:val="00320276"/>
    <w:rsid w:val="00320352"/>
    <w:rsid w:val="003203A7"/>
    <w:rsid w:val="00320556"/>
    <w:rsid w:val="0032076A"/>
    <w:rsid w:val="003208E0"/>
    <w:rsid w:val="00320AD4"/>
    <w:rsid w:val="00320DEA"/>
    <w:rsid w:val="00320DEB"/>
    <w:rsid w:val="00320E00"/>
    <w:rsid w:val="00320E38"/>
    <w:rsid w:val="00320E3E"/>
    <w:rsid w:val="00320EA9"/>
    <w:rsid w:val="00320FC8"/>
    <w:rsid w:val="0032128A"/>
    <w:rsid w:val="003212FD"/>
    <w:rsid w:val="0032138A"/>
    <w:rsid w:val="00321745"/>
    <w:rsid w:val="0032175F"/>
    <w:rsid w:val="00321772"/>
    <w:rsid w:val="0032183E"/>
    <w:rsid w:val="003218FE"/>
    <w:rsid w:val="003219C7"/>
    <w:rsid w:val="00321A6D"/>
    <w:rsid w:val="003220A8"/>
    <w:rsid w:val="00322206"/>
    <w:rsid w:val="00322258"/>
    <w:rsid w:val="003222E4"/>
    <w:rsid w:val="003222FA"/>
    <w:rsid w:val="003224E8"/>
    <w:rsid w:val="00322EC5"/>
    <w:rsid w:val="00322F1E"/>
    <w:rsid w:val="003230F6"/>
    <w:rsid w:val="00323196"/>
    <w:rsid w:val="003232C2"/>
    <w:rsid w:val="0032341E"/>
    <w:rsid w:val="003234CD"/>
    <w:rsid w:val="00323572"/>
    <w:rsid w:val="00323679"/>
    <w:rsid w:val="003236B6"/>
    <w:rsid w:val="003237DE"/>
    <w:rsid w:val="0032385A"/>
    <w:rsid w:val="003239F5"/>
    <w:rsid w:val="00323BCC"/>
    <w:rsid w:val="00323C8E"/>
    <w:rsid w:val="00323D59"/>
    <w:rsid w:val="00323D83"/>
    <w:rsid w:val="00324051"/>
    <w:rsid w:val="003240BD"/>
    <w:rsid w:val="003241ED"/>
    <w:rsid w:val="00324489"/>
    <w:rsid w:val="0032462E"/>
    <w:rsid w:val="003246D2"/>
    <w:rsid w:val="003246ED"/>
    <w:rsid w:val="003248E9"/>
    <w:rsid w:val="00324A91"/>
    <w:rsid w:val="00324D8B"/>
    <w:rsid w:val="00325005"/>
    <w:rsid w:val="00325698"/>
    <w:rsid w:val="003256FD"/>
    <w:rsid w:val="00325A51"/>
    <w:rsid w:val="00325AB1"/>
    <w:rsid w:val="00325CF2"/>
    <w:rsid w:val="00325F40"/>
    <w:rsid w:val="00326162"/>
    <w:rsid w:val="003263C0"/>
    <w:rsid w:val="003266BF"/>
    <w:rsid w:val="00326956"/>
    <w:rsid w:val="00326996"/>
    <w:rsid w:val="00326B37"/>
    <w:rsid w:val="00326B80"/>
    <w:rsid w:val="00326BDE"/>
    <w:rsid w:val="00326E80"/>
    <w:rsid w:val="00326F18"/>
    <w:rsid w:val="00327132"/>
    <w:rsid w:val="0032719C"/>
    <w:rsid w:val="003271ED"/>
    <w:rsid w:val="0032765F"/>
    <w:rsid w:val="00327977"/>
    <w:rsid w:val="0033001C"/>
    <w:rsid w:val="003301AE"/>
    <w:rsid w:val="00330DD9"/>
    <w:rsid w:val="00330FB3"/>
    <w:rsid w:val="00331420"/>
    <w:rsid w:val="00331507"/>
    <w:rsid w:val="003319CA"/>
    <w:rsid w:val="00331A8D"/>
    <w:rsid w:val="003320B8"/>
    <w:rsid w:val="003321F9"/>
    <w:rsid w:val="00332440"/>
    <w:rsid w:val="00332868"/>
    <w:rsid w:val="00332958"/>
    <w:rsid w:val="00332A15"/>
    <w:rsid w:val="00332FDD"/>
    <w:rsid w:val="003335C1"/>
    <w:rsid w:val="00333DD6"/>
    <w:rsid w:val="00333F92"/>
    <w:rsid w:val="00334225"/>
    <w:rsid w:val="003344DB"/>
    <w:rsid w:val="0033480C"/>
    <w:rsid w:val="00334AA3"/>
    <w:rsid w:val="00334E60"/>
    <w:rsid w:val="00334EE2"/>
    <w:rsid w:val="00335002"/>
    <w:rsid w:val="0033530B"/>
    <w:rsid w:val="0033559A"/>
    <w:rsid w:val="003356E7"/>
    <w:rsid w:val="00335876"/>
    <w:rsid w:val="00335C51"/>
    <w:rsid w:val="00335C87"/>
    <w:rsid w:val="00335CFF"/>
    <w:rsid w:val="0033603F"/>
    <w:rsid w:val="0033609D"/>
    <w:rsid w:val="003364F5"/>
    <w:rsid w:val="003368F2"/>
    <w:rsid w:val="003369A1"/>
    <w:rsid w:val="00336A81"/>
    <w:rsid w:val="00336B01"/>
    <w:rsid w:val="00336C0F"/>
    <w:rsid w:val="00336C7B"/>
    <w:rsid w:val="00336D8F"/>
    <w:rsid w:val="00336EB9"/>
    <w:rsid w:val="0033721F"/>
    <w:rsid w:val="003372E9"/>
    <w:rsid w:val="0033736B"/>
    <w:rsid w:val="00337CA3"/>
    <w:rsid w:val="00337E31"/>
    <w:rsid w:val="00337ECE"/>
    <w:rsid w:val="00337FE2"/>
    <w:rsid w:val="0034011E"/>
    <w:rsid w:val="003401BA"/>
    <w:rsid w:val="003401FA"/>
    <w:rsid w:val="0034050E"/>
    <w:rsid w:val="00340677"/>
    <w:rsid w:val="00340935"/>
    <w:rsid w:val="00340A5E"/>
    <w:rsid w:val="00340CC4"/>
    <w:rsid w:val="00340D8C"/>
    <w:rsid w:val="00341119"/>
    <w:rsid w:val="00341212"/>
    <w:rsid w:val="0034138B"/>
    <w:rsid w:val="00341463"/>
    <w:rsid w:val="003414A4"/>
    <w:rsid w:val="003418F5"/>
    <w:rsid w:val="00341943"/>
    <w:rsid w:val="00341A7B"/>
    <w:rsid w:val="00341C4E"/>
    <w:rsid w:val="00341CD4"/>
    <w:rsid w:val="00341CF9"/>
    <w:rsid w:val="00341E50"/>
    <w:rsid w:val="003420DA"/>
    <w:rsid w:val="0034235B"/>
    <w:rsid w:val="0034274B"/>
    <w:rsid w:val="0034275B"/>
    <w:rsid w:val="003427EE"/>
    <w:rsid w:val="0034281D"/>
    <w:rsid w:val="00342E92"/>
    <w:rsid w:val="003431C8"/>
    <w:rsid w:val="0034337E"/>
    <w:rsid w:val="00343BB9"/>
    <w:rsid w:val="00343C68"/>
    <w:rsid w:val="00343CFC"/>
    <w:rsid w:val="00343EFB"/>
    <w:rsid w:val="00344050"/>
    <w:rsid w:val="003440B4"/>
    <w:rsid w:val="003444DD"/>
    <w:rsid w:val="00344C45"/>
    <w:rsid w:val="00344C7C"/>
    <w:rsid w:val="00344CA9"/>
    <w:rsid w:val="00344CF0"/>
    <w:rsid w:val="00344D4D"/>
    <w:rsid w:val="003450E8"/>
    <w:rsid w:val="0034523B"/>
    <w:rsid w:val="003452EE"/>
    <w:rsid w:val="003459EC"/>
    <w:rsid w:val="00345B0B"/>
    <w:rsid w:val="00345B64"/>
    <w:rsid w:val="00345D05"/>
    <w:rsid w:val="00345F2C"/>
    <w:rsid w:val="00346150"/>
    <w:rsid w:val="0034615A"/>
    <w:rsid w:val="00346296"/>
    <w:rsid w:val="0034647C"/>
    <w:rsid w:val="0034651A"/>
    <w:rsid w:val="003465FD"/>
    <w:rsid w:val="00346860"/>
    <w:rsid w:val="00346918"/>
    <w:rsid w:val="00346DFA"/>
    <w:rsid w:val="00346E13"/>
    <w:rsid w:val="003474F9"/>
    <w:rsid w:val="003476A2"/>
    <w:rsid w:val="003476C0"/>
    <w:rsid w:val="00347B2F"/>
    <w:rsid w:val="00347F8A"/>
    <w:rsid w:val="0035016B"/>
    <w:rsid w:val="003504E0"/>
    <w:rsid w:val="003507DF"/>
    <w:rsid w:val="00350D8D"/>
    <w:rsid w:val="00350DA3"/>
    <w:rsid w:val="00350DC0"/>
    <w:rsid w:val="00350F38"/>
    <w:rsid w:val="00351034"/>
    <w:rsid w:val="00351360"/>
    <w:rsid w:val="0035157C"/>
    <w:rsid w:val="003516F8"/>
    <w:rsid w:val="003517F6"/>
    <w:rsid w:val="003518E0"/>
    <w:rsid w:val="00351954"/>
    <w:rsid w:val="00351ABC"/>
    <w:rsid w:val="00351D7F"/>
    <w:rsid w:val="00351D93"/>
    <w:rsid w:val="00351F20"/>
    <w:rsid w:val="003521CF"/>
    <w:rsid w:val="0035274F"/>
    <w:rsid w:val="00352781"/>
    <w:rsid w:val="00352A63"/>
    <w:rsid w:val="00352CB2"/>
    <w:rsid w:val="00353880"/>
    <w:rsid w:val="00353D57"/>
    <w:rsid w:val="0035415A"/>
    <w:rsid w:val="00354189"/>
    <w:rsid w:val="00354519"/>
    <w:rsid w:val="0035460D"/>
    <w:rsid w:val="00354A34"/>
    <w:rsid w:val="00354DCA"/>
    <w:rsid w:val="00354E2F"/>
    <w:rsid w:val="003550FB"/>
    <w:rsid w:val="00355110"/>
    <w:rsid w:val="00355360"/>
    <w:rsid w:val="00355418"/>
    <w:rsid w:val="00355879"/>
    <w:rsid w:val="00355A8A"/>
    <w:rsid w:val="00355B46"/>
    <w:rsid w:val="00355B78"/>
    <w:rsid w:val="00355D66"/>
    <w:rsid w:val="003561DC"/>
    <w:rsid w:val="00356484"/>
    <w:rsid w:val="003564F1"/>
    <w:rsid w:val="00356577"/>
    <w:rsid w:val="00356934"/>
    <w:rsid w:val="00356B8A"/>
    <w:rsid w:val="00356F9D"/>
    <w:rsid w:val="00357085"/>
    <w:rsid w:val="00357267"/>
    <w:rsid w:val="003573B5"/>
    <w:rsid w:val="00357547"/>
    <w:rsid w:val="0035759E"/>
    <w:rsid w:val="00357BD6"/>
    <w:rsid w:val="00357DA3"/>
    <w:rsid w:val="00357DC8"/>
    <w:rsid w:val="00357EDC"/>
    <w:rsid w:val="00360005"/>
    <w:rsid w:val="003605B3"/>
    <w:rsid w:val="003608F3"/>
    <w:rsid w:val="00360AFA"/>
    <w:rsid w:val="00360B61"/>
    <w:rsid w:val="00360D37"/>
    <w:rsid w:val="00360E24"/>
    <w:rsid w:val="00360F3E"/>
    <w:rsid w:val="00360FB8"/>
    <w:rsid w:val="00360FDE"/>
    <w:rsid w:val="003610FB"/>
    <w:rsid w:val="0036147F"/>
    <w:rsid w:val="00361488"/>
    <w:rsid w:val="00361635"/>
    <w:rsid w:val="0036178B"/>
    <w:rsid w:val="00361832"/>
    <w:rsid w:val="00361956"/>
    <w:rsid w:val="00361B80"/>
    <w:rsid w:val="00361C2D"/>
    <w:rsid w:val="00361F5B"/>
    <w:rsid w:val="00362075"/>
    <w:rsid w:val="00362146"/>
    <w:rsid w:val="003621AE"/>
    <w:rsid w:val="003623B4"/>
    <w:rsid w:val="0036251C"/>
    <w:rsid w:val="0036296B"/>
    <w:rsid w:val="00362B39"/>
    <w:rsid w:val="00362D27"/>
    <w:rsid w:val="00362DAB"/>
    <w:rsid w:val="003630E7"/>
    <w:rsid w:val="0036311D"/>
    <w:rsid w:val="00363505"/>
    <w:rsid w:val="00363609"/>
    <w:rsid w:val="0036377E"/>
    <w:rsid w:val="00363835"/>
    <w:rsid w:val="003639CA"/>
    <w:rsid w:val="00363B45"/>
    <w:rsid w:val="00363C2C"/>
    <w:rsid w:val="00363F93"/>
    <w:rsid w:val="00364417"/>
    <w:rsid w:val="0036448F"/>
    <w:rsid w:val="00364867"/>
    <w:rsid w:val="00364869"/>
    <w:rsid w:val="00364C34"/>
    <w:rsid w:val="00365004"/>
    <w:rsid w:val="003651A5"/>
    <w:rsid w:val="0036540E"/>
    <w:rsid w:val="00365461"/>
    <w:rsid w:val="003655B5"/>
    <w:rsid w:val="00365661"/>
    <w:rsid w:val="003656E5"/>
    <w:rsid w:val="00365833"/>
    <w:rsid w:val="003658CB"/>
    <w:rsid w:val="00365995"/>
    <w:rsid w:val="00365A65"/>
    <w:rsid w:val="00365BCC"/>
    <w:rsid w:val="00365D94"/>
    <w:rsid w:val="00365ED6"/>
    <w:rsid w:val="003662FA"/>
    <w:rsid w:val="00366B0E"/>
    <w:rsid w:val="00366D50"/>
    <w:rsid w:val="003670FF"/>
    <w:rsid w:val="00367206"/>
    <w:rsid w:val="00367213"/>
    <w:rsid w:val="00367316"/>
    <w:rsid w:val="00367426"/>
    <w:rsid w:val="003674E5"/>
    <w:rsid w:val="00367A51"/>
    <w:rsid w:val="00367B3D"/>
    <w:rsid w:val="00367FFE"/>
    <w:rsid w:val="0037004F"/>
    <w:rsid w:val="003702CA"/>
    <w:rsid w:val="003707D7"/>
    <w:rsid w:val="003707DD"/>
    <w:rsid w:val="00370887"/>
    <w:rsid w:val="00370CCC"/>
    <w:rsid w:val="00370D65"/>
    <w:rsid w:val="00370F1F"/>
    <w:rsid w:val="0037150B"/>
    <w:rsid w:val="0037156A"/>
    <w:rsid w:val="003715B0"/>
    <w:rsid w:val="003715E8"/>
    <w:rsid w:val="00371620"/>
    <w:rsid w:val="00371C6C"/>
    <w:rsid w:val="00371D8A"/>
    <w:rsid w:val="0037211C"/>
    <w:rsid w:val="00372258"/>
    <w:rsid w:val="0037243C"/>
    <w:rsid w:val="00372449"/>
    <w:rsid w:val="00372763"/>
    <w:rsid w:val="00372955"/>
    <w:rsid w:val="00372BF5"/>
    <w:rsid w:val="00372C0F"/>
    <w:rsid w:val="00372C84"/>
    <w:rsid w:val="00372DBD"/>
    <w:rsid w:val="00373766"/>
    <w:rsid w:val="003737C8"/>
    <w:rsid w:val="0037386C"/>
    <w:rsid w:val="003739EB"/>
    <w:rsid w:val="00373D37"/>
    <w:rsid w:val="00374164"/>
    <w:rsid w:val="003742EC"/>
    <w:rsid w:val="00374B91"/>
    <w:rsid w:val="00374C09"/>
    <w:rsid w:val="00374C94"/>
    <w:rsid w:val="00374F9A"/>
    <w:rsid w:val="00375076"/>
    <w:rsid w:val="003751BB"/>
    <w:rsid w:val="0037522A"/>
    <w:rsid w:val="00375305"/>
    <w:rsid w:val="0037546F"/>
    <w:rsid w:val="003754EE"/>
    <w:rsid w:val="00375564"/>
    <w:rsid w:val="00375834"/>
    <w:rsid w:val="00375943"/>
    <w:rsid w:val="00375B4F"/>
    <w:rsid w:val="00375D31"/>
    <w:rsid w:val="00376211"/>
    <w:rsid w:val="003767AB"/>
    <w:rsid w:val="00376926"/>
    <w:rsid w:val="003769A0"/>
    <w:rsid w:val="00376A24"/>
    <w:rsid w:val="00376B83"/>
    <w:rsid w:val="00376B9D"/>
    <w:rsid w:val="00376F05"/>
    <w:rsid w:val="00377151"/>
    <w:rsid w:val="00377304"/>
    <w:rsid w:val="00377B16"/>
    <w:rsid w:val="00380249"/>
    <w:rsid w:val="00380338"/>
    <w:rsid w:val="003805F5"/>
    <w:rsid w:val="003806B7"/>
    <w:rsid w:val="003813E9"/>
    <w:rsid w:val="00381AD3"/>
    <w:rsid w:val="00381B94"/>
    <w:rsid w:val="00381D7C"/>
    <w:rsid w:val="00381DE1"/>
    <w:rsid w:val="003822CE"/>
    <w:rsid w:val="003830AA"/>
    <w:rsid w:val="003833F9"/>
    <w:rsid w:val="00383412"/>
    <w:rsid w:val="003834BF"/>
    <w:rsid w:val="003836C5"/>
    <w:rsid w:val="00383779"/>
    <w:rsid w:val="00383A5C"/>
    <w:rsid w:val="00383A64"/>
    <w:rsid w:val="00383BDC"/>
    <w:rsid w:val="00383D0D"/>
    <w:rsid w:val="00383D69"/>
    <w:rsid w:val="00383ED8"/>
    <w:rsid w:val="00384014"/>
    <w:rsid w:val="003842EA"/>
    <w:rsid w:val="00384309"/>
    <w:rsid w:val="00384404"/>
    <w:rsid w:val="0038455E"/>
    <w:rsid w:val="0038469C"/>
    <w:rsid w:val="00384B75"/>
    <w:rsid w:val="00384BA4"/>
    <w:rsid w:val="00384C41"/>
    <w:rsid w:val="00384CED"/>
    <w:rsid w:val="003851E3"/>
    <w:rsid w:val="0038546C"/>
    <w:rsid w:val="00385B70"/>
    <w:rsid w:val="00385CCD"/>
    <w:rsid w:val="00385E61"/>
    <w:rsid w:val="00385F65"/>
    <w:rsid w:val="00385FA9"/>
    <w:rsid w:val="00386331"/>
    <w:rsid w:val="00386463"/>
    <w:rsid w:val="003865F0"/>
    <w:rsid w:val="00386871"/>
    <w:rsid w:val="003868F8"/>
    <w:rsid w:val="00386C0D"/>
    <w:rsid w:val="00386D52"/>
    <w:rsid w:val="00386EFE"/>
    <w:rsid w:val="00386F3B"/>
    <w:rsid w:val="003870CD"/>
    <w:rsid w:val="00387290"/>
    <w:rsid w:val="003872FA"/>
    <w:rsid w:val="0038731A"/>
    <w:rsid w:val="00387621"/>
    <w:rsid w:val="00387787"/>
    <w:rsid w:val="003877D6"/>
    <w:rsid w:val="003878E5"/>
    <w:rsid w:val="003879D5"/>
    <w:rsid w:val="00387C54"/>
    <w:rsid w:val="00387C74"/>
    <w:rsid w:val="00387CD2"/>
    <w:rsid w:val="00387E77"/>
    <w:rsid w:val="00387F1B"/>
    <w:rsid w:val="00387FF3"/>
    <w:rsid w:val="003900B6"/>
    <w:rsid w:val="00390382"/>
    <w:rsid w:val="003907A9"/>
    <w:rsid w:val="0039082E"/>
    <w:rsid w:val="003909E9"/>
    <w:rsid w:val="00390E9E"/>
    <w:rsid w:val="00390FD6"/>
    <w:rsid w:val="0039124F"/>
    <w:rsid w:val="003914F8"/>
    <w:rsid w:val="0039158D"/>
    <w:rsid w:val="003917B3"/>
    <w:rsid w:val="00391933"/>
    <w:rsid w:val="00391F24"/>
    <w:rsid w:val="00392572"/>
    <w:rsid w:val="00392746"/>
    <w:rsid w:val="00392783"/>
    <w:rsid w:val="003927F9"/>
    <w:rsid w:val="003929A7"/>
    <w:rsid w:val="00392E34"/>
    <w:rsid w:val="00392F5C"/>
    <w:rsid w:val="003932F9"/>
    <w:rsid w:val="0039333A"/>
    <w:rsid w:val="0039358F"/>
    <w:rsid w:val="003937FF"/>
    <w:rsid w:val="003939AF"/>
    <w:rsid w:val="00393D02"/>
    <w:rsid w:val="00393FA0"/>
    <w:rsid w:val="0039412D"/>
    <w:rsid w:val="003941DA"/>
    <w:rsid w:val="003947E1"/>
    <w:rsid w:val="00394AB8"/>
    <w:rsid w:val="0039510B"/>
    <w:rsid w:val="003952B9"/>
    <w:rsid w:val="003955AF"/>
    <w:rsid w:val="00395645"/>
    <w:rsid w:val="0039566D"/>
    <w:rsid w:val="003957C4"/>
    <w:rsid w:val="003959B8"/>
    <w:rsid w:val="00395B37"/>
    <w:rsid w:val="00395BB5"/>
    <w:rsid w:val="003960F9"/>
    <w:rsid w:val="0039625F"/>
    <w:rsid w:val="0039631E"/>
    <w:rsid w:val="003963A1"/>
    <w:rsid w:val="00396500"/>
    <w:rsid w:val="003968AD"/>
    <w:rsid w:val="00396ADA"/>
    <w:rsid w:val="00396D3C"/>
    <w:rsid w:val="00396F10"/>
    <w:rsid w:val="0039734E"/>
    <w:rsid w:val="0039763E"/>
    <w:rsid w:val="003976B0"/>
    <w:rsid w:val="003978B5"/>
    <w:rsid w:val="003A01DC"/>
    <w:rsid w:val="003A04B1"/>
    <w:rsid w:val="003A0545"/>
    <w:rsid w:val="003A1037"/>
    <w:rsid w:val="003A12DD"/>
    <w:rsid w:val="003A1331"/>
    <w:rsid w:val="003A1397"/>
    <w:rsid w:val="003A1529"/>
    <w:rsid w:val="003A15A6"/>
    <w:rsid w:val="003A16EC"/>
    <w:rsid w:val="003A1889"/>
    <w:rsid w:val="003A1B51"/>
    <w:rsid w:val="003A1BA9"/>
    <w:rsid w:val="003A1D84"/>
    <w:rsid w:val="003A1DC0"/>
    <w:rsid w:val="003A2221"/>
    <w:rsid w:val="003A22A9"/>
    <w:rsid w:val="003A22CE"/>
    <w:rsid w:val="003A2459"/>
    <w:rsid w:val="003A24CA"/>
    <w:rsid w:val="003A2739"/>
    <w:rsid w:val="003A2908"/>
    <w:rsid w:val="003A2ADB"/>
    <w:rsid w:val="003A2E0D"/>
    <w:rsid w:val="003A3439"/>
    <w:rsid w:val="003A3612"/>
    <w:rsid w:val="003A3663"/>
    <w:rsid w:val="003A3968"/>
    <w:rsid w:val="003A39E7"/>
    <w:rsid w:val="003A3B37"/>
    <w:rsid w:val="003A3CA4"/>
    <w:rsid w:val="003A3D3A"/>
    <w:rsid w:val="003A3F74"/>
    <w:rsid w:val="003A404D"/>
    <w:rsid w:val="003A4226"/>
    <w:rsid w:val="003A45BE"/>
    <w:rsid w:val="003A45F7"/>
    <w:rsid w:val="003A46D8"/>
    <w:rsid w:val="003A477C"/>
    <w:rsid w:val="003A4A18"/>
    <w:rsid w:val="003A4B03"/>
    <w:rsid w:val="003A4BE8"/>
    <w:rsid w:val="003A4EB7"/>
    <w:rsid w:val="003A4F84"/>
    <w:rsid w:val="003A5260"/>
    <w:rsid w:val="003A530A"/>
    <w:rsid w:val="003A538E"/>
    <w:rsid w:val="003A53BF"/>
    <w:rsid w:val="003A543C"/>
    <w:rsid w:val="003A5508"/>
    <w:rsid w:val="003A55BF"/>
    <w:rsid w:val="003A5BE7"/>
    <w:rsid w:val="003A5E9A"/>
    <w:rsid w:val="003A5F2A"/>
    <w:rsid w:val="003A6063"/>
    <w:rsid w:val="003A64C2"/>
    <w:rsid w:val="003A694B"/>
    <w:rsid w:val="003A6AB2"/>
    <w:rsid w:val="003A6C7F"/>
    <w:rsid w:val="003A6FC0"/>
    <w:rsid w:val="003A706F"/>
    <w:rsid w:val="003A7581"/>
    <w:rsid w:val="003A78E6"/>
    <w:rsid w:val="003A79BD"/>
    <w:rsid w:val="003A7F1F"/>
    <w:rsid w:val="003B0365"/>
    <w:rsid w:val="003B094C"/>
    <w:rsid w:val="003B0C6E"/>
    <w:rsid w:val="003B0D58"/>
    <w:rsid w:val="003B0E8B"/>
    <w:rsid w:val="003B0EB8"/>
    <w:rsid w:val="003B0ED7"/>
    <w:rsid w:val="003B0EEB"/>
    <w:rsid w:val="003B128A"/>
    <w:rsid w:val="003B131F"/>
    <w:rsid w:val="003B1504"/>
    <w:rsid w:val="003B1507"/>
    <w:rsid w:val="003B186D"/>
    <w:rsid w:val="003B1D7C"/>
    <w:rsid w:val="003B2013"/>
    <w:rsid w:val="003B2390"/>
    <w:rsid w:val="003B2412"/>
    <w:rsid w:val="003B244F"/>
    <w:rsid w:val="003B24F8"/>
    <w:rsid w:val="003B25FD"/>
    <w:rsid w:val="003B2642"/>
    <w:rsid w:val="003B278D"/>
    <w:rsid w:val="003B2A72"/>
    <w:rsid w:val="003B2B7D"/>
    <w:rsid w:val="003B32A6"/>
    <w:rsid w:val="003B36EB"/>
    <w:rsid w:val="003B3763"/>
    <w:rsid w:val="003B3C6E"/>
    <w:rsid w:val="003B3DFE"/>
    <w:rsid w:val="003B3FBF"/>
    <w:rsid w:val="003B4624"/>
    <w:rsid w:val="003B46B7"/>
    <w:rsid w:val="003B4719"/>
    <w:rsid w:val="003B4754"/>
    <w:rsid w:val="003B48A0"/>
    <w:rsid w:val="003B4B71"/>
    <w:rsid w:val="003B4F3A"/>
    <w:rsid w:val="003B51C5"/>
    <w:rsid w:val="003B546A"/>
    <w:rsid w:val="003B5608"/>
    <w:rsid w:val="003B569F"/>
    <w:rsid w:val="003B5753"/>
    <w:rsid w:val="003B57D1"/>
    <w:rsid w:val="003B5C99"/>
    <w:rsid w:val="003B5FAA"/>
    <w:rsid w:val="003B6886"/>
    <w:rsid w:val="003B68E4"/>
    <w:rsid w:val="003B699B"/>
    <w:rsid w:val="003B6E0E"/>
    <w:rsid w:val="003B6F0B"/>
    <w:rsid w:val="003B6F80"/>
    <w:rsid w:val="003B6F93"/>
    <w:rsid w:val="003B7036"/>
    <w:rsid w:val="003B7172"/>
    <w:rsid w:val="003B741D"/>
    <w:rsid w:val="003B74D1"/>
    <w:rsid w:val="003B76D2"/>
    <w:rsid w:val="003B7722"/>
    <w:rsid w:val="003B7DD3"/>
    <w:rsid w:val="003B7E55"/>
    <w:rsid w:val="003B7FB6"/>
    <w:rsid w:val="003C014A"/>
    <w:rsid w:val="003C04F6"/>
    <w:rsid w:val="003C0542"/>
    <w:rsid w:val="003C0663"/>
    <w:rsid w:val="003C06A8"/>
    <w:rsid w:val="003C0796"/>
    <w:rsid w:val="003C0B22"/>
    <w:rsid w:val="003C0B2D"/>
    <w:rsid w:val="003C0B37"/>
    <w:rsid w:val="003C0B84"/>
    <w:rsid w:val="003C0BB0"/>
    <w:rsid w:val="003C0CC7"/>
    <w:rsid w:val="003C0F2F"/>
    <w:rsid w:val="003C0F83"/>
    <w:rsid w:val="003C1854"/>
    <w:rsid w:val="003C1A5C"/>
    <w:rsid w:val="003C1AEB"/>
    <w:rsid w:val="003C1C88"/>
    <w:rsid w:val="003C1CA8"/>
    <w:rsid w:val="003C1D63"/>
    <w:rsid w:val="003C1DF2"/>
    <w:rsid w:val="003C2030"/>
    <w:rsid w:val="003C2043"/>
    <w:rsid w:val="003C24E2"/>
    <w:rsid w:val="003C2962"/>
    <w:rsid w:val="003C29F4"/>
    <w:rsid w:val="003C2A55"/>
    <w:rsid w:val="003C2A7E"/>
    <w:rsid w:val="003C2D04"/>
    <w:rsid w:val="003C2F46"/>
    <w:rsid w:val="003C2F6C"/>
    <w:rsid w:val="003C37F4"/>
    <w:rsid w:val="003C381E"/>
    <w:rsid w:val="003C38E2"/>
    <w:rsid w:val="003C3B01"/>
    <w:rsid w:val="003C3C88"/>
    <w:rsid w:val="003C3D13"/>
    <w:rsid w:val="003C3E36"/>
    <w:rsid w:val="003C3EA6"/>
    <w:rsid w:val="003C4311"/>
    <w:rsid w:val="003C43D0"/>
    <w:rsid w:val="003C44CE"/>
    <w:rsid w:val="003C4E2B"/>
    <w:rsid w:val="003C4F5C"/>
    <w:rsid w:val="003C4F7A"/>
    <w:rsid w:val="003C51A8"/>
    <w:rsid w:val="003C589E"/>
    <w:rsid w:val="003C58D6"/>
    <w:rsid w:val="003C58E5"/>
    <w:rsid w:val="003C5E28"/>
    <w:rsid w:val="003C5EA7"/>
    <w:rsid w:val="003C5F5C"/>
    <w:rsid w:val="003C6091"/>
    <w:rsid w:val="003C66C1"/>
    <w:rsid w:val="003C671C"/>
    <w:rsid w:val="003C6775"/>
    <w:rsid w:val="003C6C17"/>
    <w:rsid w:val="003C6ED8"/>
    <w:rsid w:val="003C6EEE"/>
    <w:rsid w:val="003C7034"/>
    <w:rsid w:val="003C7091"/>
    <w:rsid w:val="003C7110"/>
    <w:rsid w:val="003C724E"/>
    <w:rsid w:val="003C72D9"/>
    <w:rsid w:val="003C79C8"/>
    <w:rsid w:val="003C7A8E"/>
    <w:rsid w:val="003C7EFA"/>
    <w:rsid w:val="003C7F60"/>
    <w:rsid w:val="003D0029"/>
    <w:rsid w:val="003D01F9"/>
    <w:rsid w:val="003D02A1"/>
    <w:rsid w:val="003D031D"/>
    <w:rsid w:val="003D042F"/>
    <w:rsid w:val="003D0471"/>
    <w:rsid w:val="003D0683"/>
    <w:rsid w:val="003D0D04"/>
    <w:rsid w:val="003D0D33"/>
    <w:rsid w:val="003D112A"/>
    <w:rsid w:val="003D117D"/>
    <w:rsid w:val="003D1192"/>
    <w:rsid w:val="003D1241"/>
    <w:rsid w:val="003D12C6"/>
    <w:rsid w:val="003D1424"/>
    <w:rsid w:val="003D1552"/>
    <w:rsid w:val="003D1BAD"/>
    <w:rsid w:val="003D1C68"/>
    <w:rsid w:val="003D1E06"/>
    <w:rsid w:val="003D1F21"/>
    <w:rsid w:val="003D1FDA"/>
    <w:rsid w:val="003D2106"/>
    <w:rsid w:val="003D2204"/>
    <w:rsid w:val="003D2339"/>
    <w:rsid w:val="003D250F"/>
    <w:rsid w:val="003D25E2"/>
    <w:rsid w:val="003D27D7"/>
    <w:rsid w:val="003D2817"/>
    <w:rsid w:val="003D2981"/>
    <w:rsid w:val="003D2D57"/>
    <w:rsid w:val="003D2F92"/>
    <w:rsid w:val="003D31E3"/>
    <w:rsid w:val="003D34D0"/>
    <w:rsid w:val="003D3574"/>
    <w:rsid w:val="003D377C"/>
    <w:rsid w:val="003D3A07"/>
    <w:rsid w:val="003D3C8F"/>
    <w:rsid w:val="003D41B0"/>
    <w:rsid w:val="003D43A3"/>
    <w:rsid w:val="003D44E4"/>
    <w:rsid w:val="003D45AD"/>
    <w:rsid w:val="003D45C9"/>
    <w:rsid w:val="003D462D"/>
    <w:rsid w:val="003D46AB"/>
    <w:rsid w:val="003D46DA"/>
    <w:rsid w:val="003D4D9C"/>
    <w:rsid w:val="003D4DE5"/>
    <w:rsid w:val="003D4E02"/>
    <w:rsid w:val="003D50D1"/>
    <w:rsid w:val="003D5168"/>
    <w:rsid w:val="003D5214"/>
    <w:rsid w:val="003D5313"/>
    <w:rsid w:val="003D542E"/>
    <w:rsid w:val="003D5562"/>
    <w:rsid w:val="003D566F"/>
    <w:rsid w:val="003D5BA6"/>
    <w:rsid w:val="003D5C97"/>
    <w:rsid w:val="003D5D78"/>
    <w:rsid w:val="003D5E99"/>
    <w:rsid w:val="003D6576"/>
    <w:rsid w:val="003D65C4"/>
    <w:rsid w:val="003D6643"/>
    <w:rsid w:val="003D7063"/>
    <w:rsid w:val="003D715D"/>
    <w:rsid w:val="003D728E"/>
    <w:rsid w:val="003D75A1"/>
    <w:rsid w:val="003D78DA"/>
    <w:rsid w:val="003E0150"/>
    <w:rsid w:val="003E05EA"/>
    <w:rsid w:val="003E0607"/>
    <w:rsid w:val="003E094A"/>
    <w:rsid w:val="003E0D2F"/>
    <w:rsid w:val="003E0DF1"/>
    <w:rsid w:val="003E0F43"/>
    <w:rsid w:val="003E1003"/>
    <w:rsid w:val="003E116E"/>
    <w:rsid w:val="003E14AA"/>
    <w:rsid w:val="003E14AB"/>
    <w:rsid w:val="003E152E"/>
    <w:rsid w:val="003E17CE"/>
    <w:rsid w:val="003E20A9"/>
    <w:rsid w:val="003E215F"/>
    <w:rsid w:val="003E2202"/>
    <w:rsid w:val="003E242D"/>
    <w:rsid w:val="003E2A49"/>
    <w:rsid w:val="003E2DA2"/>
    <w:rsid w:val="003E303C"/>
    <w:rsid w:val="003E307B"/>
    <w:rsid w:val="003E32E5"/>
    <w:rsid w:val="003E32F0"/>
    <w:rsid w:val="003E36E1"/>
    <w:rsid w:val="003E3752"/>
    <w:rsid w:val="003E37E0"/>
    <w:rsid w:val="003E3970"/>
    <w:rsid w:val="003E399A"/>
    <w:rsid w:val="003E3A6E"/>
    <w:rsid w:val="003E3BFB"/>
    <w:rsid w:val="003E3DBF"/>
    <w:rsid w:val="003E3FEA"/>
    <w:rsid w:val="003E42AF"/>
    <w:rsid w:val="003E469E"/>
    <w:rsid w:val="003E49AC"/>
    <w:rsid w:val="003E49EC"/>
    <w:rsid w:val="003E4D4D"/>
    <w:rsid w:val="003E4FFD"/>
    <w:rsid w:val="003E5070"/>
    <w:rsid w:val="003E50B8"/>
    <w:rsid w:val="003E50C6"/>
    <w:rsid w:val="003E59CF"/>
    <w:rsid w:val="003E5D9F"/>
    <w:rsid w:val="003E5F8B"/>
    <w:rsid w:val="003E6329"/>
    <w:rsid w:val="003E6470"/>
    <w:rsid w:val="003E64B7"/>
    <w:rsid w:val="003E663E"/>
    <w:rsid w:val="003E6A75"/>
    <w:rsid w:val="003E6B54"/>
    <w:rsid w:val="003E6FD5"/>
    <w:rsid w:val="003E7281"/>
    <w:rsid w:val="003E743B"/>
    <w:rsid w:val="003E758B"/>
    <w:rsid w:val="003E7989"/>
    <w:rsid w:val="003E7C18"/>
    <w:rsid w:val="003F04EB"/>
    <w:rsid w:val="003F06B5"/>
    <w:rsid w:val="003F07BD"/>
    <w:rsid w:val="003F07DE"/>
    <w:rsid w:val="003F0E0A"/>
    <w:rsid w:val="003F0E43"/>
    <w:rsid w:val="003F14B3"/>
    <w:rsid w:val="003F1501"/>
    <w:rsid w:val="003F16CA"/>
    <w:rsid w:val="003F1CBC"/>
    <w:rsid w:val="003F1F5B"/>
    <w:rsid w:val="003F206C"/>
    <w:rsid w:val="003F2098"/>
    <w:rsid w:val="003F20BC"/>
    <w:rsid w:val="003F217D"/>
    <w:rsid w:val="003F2BF2"/>
    <w:rsid w:val="003F30AF"/>
    <w:rsid w:val="003F3197"/>
    <w:rsid w:val="003F3611"/>
    <w:rsid w:val="003F3878"/>
    <w:rsid w:val="003F3B20"/>
    <w:rsid w:val="003F3CB1"/>
    <w:rsid w:val="003F3FDB"/>
    <w:rsid w:val="003F428E"/>
    <w:rsid w:val="003F4293"/>
    <w:rsid w:val="003F432F"/>
    <w:rsid w:val="003F4467"/>
    <w:rsid w:val="003F4659"/>
    <w:rsid w:val="003F47B5"/>
    <w:rsid w:val="003F48C4"/>
    <w:rsid w:val="003F4D22"/>
    <w:rsid w:val="003F4D34"/>
    <w:rsid w:val="003F4E5E"/>
    <w:rsid w:val="003F5572"/>
    <w:rsid w:val="003F5C5B"/>
    <w:rsid w:val="003F5C64"/>
    <w:rsid w:val="003F5FB7"/>
    <w:rsid w:val="003F644F"/>
    <w:rsid w:val="003F64AA"/>
    <w:rsid w:val="003F6747"/>
    <w:rsid w:val="003F6C28"/>
    <w:rsid w:val="003F6CF6"/>
    <w:rsid w:val="003F6D85"/>
    <w:rsid w:val="003F6EB2"/>
    <w:rsid w:val="003F6EC0"/>
    <w:rsid w:val="003F71ED"/>
    <w:rsid w:val="003F7445"/>
    <w:rsid w:val="003F7CF4"/>
    <w:rsid w:val="0040018F"/>
    <w:rsid w:val="004001B7"/>
    <w:rsid w:val="004006E5"/>
    <w:rsid w:val="00400C43"/>
    <w:rsid w:val="00401043"/>
    <w:rsid w:val="00401182"/>
    <w:rsid w:val="004011CF"/>
    <w:rsid w:val="00401308"/>
    <w:rsid w:val="0040147E"/>
    <w:rsid w:val="004014A1"/>
    <w:rsid w:val="00401572"/>
    <w:rsid w:val="004016D7"/>
    <w:rsid w:val="00401C51"/>
    <w:rsid w:val="00401CE8"/>
    <w:rsid w:val="00401DAE"/>
    <w:rsid w:val="004020B3"/>
    <w:rsid w:val="004025ED"/>
    <w:rsid w:val="00402840"/>
    <w:rsid w:val="0040291D"/>
    <w:rsid w:val="00402E46"/>
    <w:rsid w:val="00402EEE"/>
    <w:rsid w:val="00402F96"/>
    <w:rsid w:val="004033CF"/>
    <w:rsid w:val="0040369F"/>
    <w:rsid w:val="00403926"/>
    <w:rsid w:val="00403A21"/>
    <w:rsid w:val="00403B09"/>
    <w:rsid w:val="00403D66"/>
    <w:rsid w:val="00403EDF"/>
    <w:rsid w:val="004042CC"/>
    <w:rsid w:val="00404334"/>
    <w:rsid w:val="004044AE"/>
    <w:rsid w:val="00404532"/>
    <w:rsid w:val="004045A7"/>
    <w:rsid w:val="004045E7"/>
    <w:rsid w:val="00404B20"/>
    <w:rsid w:val="004050E1"/>
    <w:rsid w:val="00405203"/>
    <w:rsid w:val="004052DD"/>
    <w:rsid w:val="004053F5"/>
    <w:rsid w:val="0040543B"/>
    <w:rsid w:val="00405477"/>
    <w:rsid w:val="00405537"/>
    <w:rsid w:val="0040584B"/>
    <w:rsid w:val="00405C1F"/>
    <w:rsid w:val="00405F7B"/>
    <w:rsid w:val="00406004"/>
    <w:rsid w:val="00406137"/>
    <w:rsid w:val="004065D5"/>
    <w:rsid w:val="00406678"/>
    <w:rsid w:val="00406726"/>
    <w:rsid w:val="00406B0D"/>
    <w:rsid w:val="00406BDB"/>
    <w:rsid w:val="00406D09"/>
    <w:rsid w:val="00406E6B"/>
    <w:rsid w:val="00406F13"/>
    <w:rsid w:val="00407457"/>
    <w:rsid w:val="00407716"/>
    <w:rsid w:val="00407851"/>
    <w:rsid w:val="00407C8D"/>
    <w:rsid w:val="00407EC8"/>
    <w:rsid w:val="00407F34"/>
    <w:rsid w:val="00407F35"/>
    <w:rsid w:val="004100B0"/>
    <w:rsid w:val="00410183"/>
    <w:rsid w:val="004105AA"/>
    <w:rsid w:val="004109B9"/>
    <w:rsid w:val="00410C0A"/>
    <w:rsid w:val="0041112D"/>
    <w:rsid w:val="00411137"/>
    <w:rsid w:val="00411220"/>
    <w:rsid w:val="0041123D"/>
    <w:rsid w:val="00411334"/>
    <w:rsid w:val="00411804"/>
    <w:rsid w:val="004118A5"/>
    <w:rsid w:val="00411967"/>
    <w:rsid w:val="00411A3F"/>
    <w:rsid w:val="00411ABE"/>
    <w:rsid w:val="00411BF0"/>
    <w:rsid w:val="00411CDC"/>
    <w:rsid w:val="00411ED4"/>
    <w:rsid w:val="0041237B"/>
    <w:rsid w:val="004123CE"/>
    <w:rsid w:val="00412461"/>
    <w:rsid w:val="0041250E"/>
    <w:rsid w:val="00412B1A"/>
    <w:rsid w:val="00412B74"/>
    <w:rsid w:val="0041325B"/>
    <w:rsid w:val="00413293"/>
    <w:rsid w:val="0041381F"/>
    <w:rsid w:val="0041388E"/>
    <w:rsid w:val="004139BA"/>
    <w:rsid w:val="00413B07"/>
    <w:rsid w:val="00414040"/>
    <w:rsid w:val="00414053"/>
    <w:rsid w:val="00414105"/>
    <w:rsid w:val="0041410D"/>
    <w:rsid w:val="00414129"/>
    <w:rsid w:val="00414199"/>
    <w:rsid w:val="00414711"/>
    <w:rsid w:val="00414AB8"/>
    <w:rsid w:val="00414B1B"/>
    <w:rsid w:val="00414BA8"/>
    <w:rsid w:val="00414EE4"/>
    <w:rsid w:val="00414F0F"/>
    <w:rsid w:val="00415235"/>
    <w:rsid w:val="004152FA"/>
    <w:rsid w:val="004155BD"/>
    <w:rsid w:val="0041566E"/>
    <w:rsid w:val="004156D7"/>
    <w:rsid w:val="004156FD"/>
    <w:rsid w:val="00415A77"/>
    <w:rsid w:val="00415BAA"/>
    <w:rsid w:val="00415BC1"/>
    <w:rsid w:val="004160E5"/>
    <w:rsid w:val="00416313"/>
    <w:rsid w:val="004163B5"/>
    <w:rsid w:val="00416445"/>
    <w:rsid w:val="0041661C"/>
    <w:rsid w:val="0041663D"/>
    <w:rsid w:val="00416C87"/>
    <w:rsid w:val="00416F33"/>
    <w:rsid w:val="0041707A"/>
    <w:rsid w:val="004170BF"/>
    <w:rsid w:val="0041716E"/>
    <w:rsid w:val="0041726F"/>
    <w:rsid w:val="0041794F"/>
    <w:rsid w:val="00417B24"/>
    <w:rsid w:val="00417BE5"/>
    <w:rsid w:val="00417C1C"/>
    <w:rsid w:val="00417D15"/>
    <w:rsid w:val="004201B6"/>
    <w:rsid w:val="00420358"/>
    <w:rsid w:val="004205D4"/>
    <w:rsid w:val="00420619"/>
    <w:rsid w:val="004209C6"/>
    <w:rsid w:val="004209F4"/>
    <w:rsid w:val="00420A2B"/>
    <w:rsid w:val="00420CD1"/>
    <w:rsid w:val="00420D61"/>
    <w:rsid w:val="00420EFA"/>
    <w:rsid w:val="00420F6D"/>
    <w:rsid w:val="004210CB"/>
    <w:rsid w:val="00421216"/>
    <w:rsid w:val="0042131D"/>
    <w:rsid w:val="00421612"/>
    <w:rsid w:val="0042162C"/>
    <w:rsid w:val="0042181D"/>
    <w:rsid w:val="00421B53"/>
    <w:rsid w:val="00421D90"/>
    <w:rsid w:val="00422180"/>
    <w:rsid w:val="00422712"/>
    <w:rsid w:val="0042294B"/>
    <w:rsid w:val="00422B92"/>
    <w:rsid w:val="00422BA6"/>
    <w:rsid w:val="00422CB4"/>
    <w:rsid w:val="004235D1"/>
    <w:rsid w:val="00423917"/>
    <w:rsid w:val="0042398A"/>
    <w:rsid w:val="00423AF6"/>
    <w:rsid w:val="00423C8A"/>
    <w:rsid w:val="00424068"/>
    <w:rsid w:val="0042426B"/>
    <w:rsid w:val="004242F3"/>
    <w:rsid w:val="004244CE"/>
    <w:rsid w:val="004245DA"/>
    <w:rsid w:val="0042496D"/>
    <w:rsid w:val="00424CCA"/>
    <w:rsid w:val="00425009"/>
    <w:rsid w:val="0042519F"/>
    <w:rsid w:val="004258CD"/>
    <w:rsid w:val="00425A94"/>
    <w:rsid w:val="00425D63"/>
    <w:rsid w:val="00425D80"/>
    <w:rsid w:val="004260DD"/>
    <w:rsid w:val="0042639A"/>
    <w:rsid w:val="00426633"/>
    <w:rsid w:val="00426720"/>
    <w:rsid w:val="004269E4"/>
    <w:rsid w:val="00426D29"/>
    <w:rsid w:val="00426E05"/>
    <w:rsid w:val="00426F19"/>
    <w:rsid w:val="00426FFA"/>
    <w:rsid w:val="00427253"/>
    <w:rsid w:val="00427270"/>
    <w:rsid w:val="0042748D"/>
    <w:rsid w:val="00427515"/>
    <w:rsid w:val="004277C4"/>
    <w:rsid w:val="004278DD"/>
    <w:rsid w:val="0042792C"/>
    <w:rsid w:val="00427B00"/>
    <w:rsid w:val="00427CBF"/>
    <w:rsid w:val="00427DED"/>
    <w:rsid w:val="004304E0"/>
    <w:rsid w:val="00430704"/>
    <w:rsid w:val="004307DB"/>
    <w:rsid w:val="0043091C"/>
    <w:rsid w:val="00430A7D"/>
    <w:rsid w:val="00430B2B"/>
    <w:rsid w:val="00430C54"/>
    <w:rsid w:val="00431039"/>
    <w:rsid w:val="0043106A"/>
    <w:rsid w:val="004310C6"/>
    <w:rsid w:val="00431226"/>
    <w:rsid w:val="004312A1"/>
    <w:rsid w:val="00431371"/>
    <w:rsid w:val="004315B4"/>
    <w:rsid w:val="00431A82"/>
    <w:rsid w:val="00431EE0"/>
    <w:rsid w:val="00431FD0"/>
    <w:rsid w:val="00432105"/>
    <w:rsid w:val="00432443"/>
    <w:rsid w:val="004325FE"/>
    <w:rsid w:val="004326D9"/>
    <w:rsid w:val="00432C14"/>
    <w:rsid w:val="00432DA5"/>
    <w:rsid w:val="00432FB6"/>
    <w:rsid w:val="004333BE"/>
    <w:rsid w:val="00433806"/>
    <w:rsid w:val="00433894"/>
    <w:rsid w:val="00433BA4"/>
    <w:rsid w:val="00433C46"/>
    <w:rsid w:val="004342FC"/>
    <w:rsid w:val="00434680"/>
    <w:rsid w:val="00434B32"/>
    <w:rsid w:val="00434BBA"/>
    <w:rsid w:val="00434C09"/>
    <w:rsid w:val="00434C28"/>
    <w:rsid w:val="00434EE4"/>
    <w:rsid w:val="00434FCD"/>
    <w:rsid w:val="00435018"/>
    <w:rsid w:val="0043504F"/>
    <w:rsid w:val="0043505C"/>
    <w:rsid w:val="00435080"/>
    <w:rsid w:val="004350FB"/>
    <w:rsid w:val="0043529C"/>
    <w:rsid w:val="004352A3"/>
    <w:rsid w:val="004353D2"/>
    <w:rsid w:val="004355D6"/>
    <w:rsid w:val="00435740"/>
    <w:rsid w:val="00435A99"/>
    <w:rsid w:val="00435B79"/>
    <w:rsid w:val="00435C6A"/>
    <w:rsid w:val="0043614B"/>
    <w:rsid w:val="00436366"/>
    <w:rsid w:val="004365D9"/>
    <w:rsid w:val="004368FE"/>
    <w:rsid w:val="00436AD0"/>
    <w:rsid w:val="00436BC6"/>
    <w:rsid w:val="00436D16"/>
    <w:rsid w:val="00436D46"/>
    <w:rsid w:val="00436DF4"/>
    <w:rsid w:val="00436F98"/>
    <w:rsid w:val="004373D4"/>
    <w:rsid w:val="00437750"/>
    <w:rsid w:val="00437B5D"/>
    <w:rsid w:val="00437BBD"/>
    <w:rsid w:val="00437D3C"/>
    <w:rsid w:val="00437DF7"/>
    <w:rsid w:val="00437F60"/>
    <w:rsid w:val="00440087"/>
    <w:rsid w:val="00440155"/>
    <w:rsid w:val="00440212"/>
    <w:rsid w:val="004402E8"/>
    <w:rsid w:val="004403C2"/>
    <w:rsid w:val="004405DA"/>
    <w:rsid w:val="00440667"/>
    <w:rsid w:val="004407EA"/>
    <w:rsid w:val="00440811"/>
    <w:rsid w:val="00440BEB"/>
    <w:rsid w:val="00440C87"/>
    <w:rsid w:val="00440F03"/>
    <w:rsid w:val="00441404"/>
    <w:rsid w:val="0044169F"/>
    <w:rsid w:val="00441742"/>
    <w:rsid w:val="00441759"/>
    <w:rsid w:val="00441A43"/>
    <w:rsid w:val="00441A94"/>
    <w:rsid w:val="00441BD5"/>
    <w:rsid w:val="00441CEB"/>
    <w:rsid w:val="00441F87"/>
    <w:rsid w:val="004421FD"/>
    <w:rsid w:val="00442220"/>
    <w:rsid w:val="004424D4"/>
    <w:rsid w:val="0044262A"/>
    <w:rsid w:val="004427FB"/>
    <w:rsid w:val="00442AE1"/>
    <w:rsid w:val="00442C33"/>
    <w:rsid w:val="00442D01"/>
    <w:rsid w:val="004430A3"/>
    <w:rsid w:val="004433D8"/>
    <w:rsid w:val="00443710"/>
    <w:rsid w:val="00443835"/>
    <w:rsid w:val="00443BB6"/>
    <w:rsid w:val="00443C43"/>
    <w:rsid w:val="00443E94"/>
    <w:rsid w:val="00444052"/>
    <w:rsid w:val="00444341"/>
    <w:rsid w:val="004448DA"/>
    <w:rsid w:val="00444C38"/>
    <w:rsid w:val="00444FB2"/>
    <w:rsid w:val="00445062"/>
    <w:rsid w:val="004451B5"/>
    <w:rsid w:val="0044541D"/>
    <w:rsid w:val="00445513"/>
    <w:rsid w:val="0044569E"/>
    <w:rsid w:val="004456B2"/>
    <w:rsid w:val="004456B6"/>
    <w:rsid w:val="0044570F"/>
    <w:rsid w:val="00445A3F"/>
    <w:rsid w:val="00445A9D"/>
    <w:rsid w:val="00445B9B"/>
    <w:rsid w:val="00445F9C"/>
    <w:rsid w:val="00446000"/>
    <w:rsid w:val="00446442"/>
    <w:rsid w:val="004464EA"/>
    <w:rsid w:val="0044659A"/>
    <w:rsid w:val="004465A8"/>
    <w:rsid w:val="00446823"/>
    <w:rsid w:val="00446A2A"/>
    <w:rsid w:val="00446FCA"/>
    <w:rsid w:val="00447C9A"/>
    <w:rsid w:val="00447EEE"/>
    <w:rsid w:val="004500FE"/>
    <w:rsid w:val="004505E3"/>
    <w:rsid w:val="00450823"/>
    <w:rsid w:val="004509A5"/>
    <w:rsid w:val="00450B56"/>
    <w:rsid w:val="00450BF8"/>
    <w:rsid w:val="00450C98"/>
    <w:rsid w:val="00450E3A"/>
    <w:rsid w:val="00450F4C"/>
    <w:rsid w:val="00450FAB"/>
    <w:rsid w:val="00451000"/>
    <w:rsid w:val="00451031"/>
    <w:rsid w:val="004511AB"/>
    <w:rsid w:val="004511CB"/>
    <w:rsid w:val="004512EC"/>
    <w:rsid w:val="00451383"/>
    <w:rsid w:val="00451592"/>
    <w:rsid w:val="004516D4"/>
    <w:rsid w:val="00451957"/>
    <w:rsid w:val="00451E1C"/>
    <w:rsid w:val="00451F21"/>
    <w:rsid w:val="00451FF7"/>
    <w:rsid w:val="004521D0"/>
    <w:rsid w:val="0045240A"/>
    <w:rsid w:val="004526D2"/>
    <w:rsid w:val="004528F4"/>
    <w:rsid w:val="00452B71"/>
    <w:rsid w:val="00452C14"/>
    <w:rsid w:val="00453090"/>
    <w:rsid w:val="00453236"/>
    <w:rsid w:val="004532A9"/>
    <w:rsid w:val="00453350"/>
    <w:rsid w:val="0045336E"/>
    <w:rsid w:val="00453503"/>
    <w:rsid w:val="0045381B"/>
    <w:rsid w:val="00453935"/>
    <w:rsid w:val="00453A2F"/>
    <w:rsid w:val="00453AE7"/>
    <w:rsid w:val="00453B6C"/>
    <w:rsid w:val="00453F28"/>
    <w:rsid w:val="004541F2"/>
    <w:rsid w:val="0045422A"/>
    <w:rsid w:val="004547AB"/>
    <w:rsid w:val="004549C2"/>
    <w:rsid w:val="00454C4F"/>
    <w:rsid w:val="004551B4"/>
    <w:rsid w:val="004551DD"/>
    <w:rsid w:val="004552A4"/>
    <w:rsid w:val="0045574D"/>
    <w:rsid w:val="00455851"/>
    <w:rsid w:val="004558D0"/>
    <w:rsid w:val="00455937"/>
    <w:rsid w:val="004559F8"/>
    <w:rsid w:val="00455B7C"/>
    <w:rsid w:val="00456084"/>
    <w:rsid w:val="0045614B"/>
    <w:rsid w:val="004561A3"/>
    <w:rsid w:val="00456302"/>
    <w:rsid w:val="004565F6"/>
    <w:rsid w:val="00456933"/>
    <w:rsid w:val="004569C2"/>
    <w:rsid w:val="00456D79"/>
    <w:rsid w:val="00457562"/>
    <w:rsid w:val="0045772E"/>
    <w:rsid w:val="00457CF7"/>
    <w:rsid w:val="0046043F"/>
    <w:rsid w:val="00460713"/>
    <w:rsid w:val="0046075C"/>
    <w:rsid w:val="004609AA"/>
    <w:rsid w:val="00460E4A"/>
    <w:rsid w:val="004611FF"/>
    <w:rsid w:val="0046130C"/>
    <w:rsid w:val="004613D0"/>
    <w:rsid w:val="004613F6"/>
    <w:rsid w:val="00461570"/>
    <w:rsid w:val="00461C79"/>
    <w:rsid w:val="00461C7F"/>
    <w:rsid w:val="00461E03"/>
    <w:rsid w:val="00461EB2"/>
    <w:rsid w:val="004621F9"/>
    <w:rsid w:val="004623B4"/>
    <w:rsid w:val="0046245D"/>
    <w:rsid w:val="0046292D"/>
    <w:rsid w:val="00462B46"/>
    <w:rsid w:val="00462D11"/>
    <w:rsid w:val="00462D3B"/>
    <w:rsid w:val="00462E0F"/>
    <w:rsid w:val="00462EAF"/>
    <w:rsid w:val="00463304"/>
    <w:rsid w:val="004633A2"/>
    <w:rsid w:val="004633B8"/>
    <w:rsid w:val="0046386D"/>
    <w:rsid w:val="00463E1D"/>
    <w:rsid w:val="00463E24"/>
    <w:rsid w:val="00463F71"/>
    <w:rsid w:val="00464024"/>
    <w:rsid w:val="00464461"/>
    <w:rsid w:val="004644BF"/>
    <w:rsid w:val="00464745"/>
    <w:rsid w:val="00464992"/>
    <w:rsid w:val="00464A54"/>
    <w:rsid w:val="00464E23"/>
    <w:rsid w:val="00464F2E"/>
    <w:rsid w:val="004653D2"/>
    <w:rsid w:val="00465415"/>
    <w:rsid w:val="004654DA"/>
    <w:rsid w:val="004656D2"/>
    <w:rsid w:val="0046576B"/>
    <w:rsid w:val="00465799"/>
    <w:rsid w:val="00465816"/>
    <w:rsid w:val="004658F6"/>
    <w:rsid w:val="00465D1F"/>
    <w:rsid w:val="00465D2C"/>
    <w:rsid w:val="00466215"/>
    <w:rsid w:val="00466544"/>
    <w:rsid w:val="004666BF"/>
    <w:rsid w:val="00466775"/>
    <w:rsid w:val="004667C3"/>
    <w:rsid w:val="004668AC"/>
    <w:rsid w:val="004668D2"/>
    <w:rsid w:val="00466A55"/>
    <w:rsid w:val="00466A5F"/>
    <w:rsid w:val="00466B06"/>
    <w:rsid w:val="00466EE2"/>
    <w:rsid w:val="0046780E"/>
    <w:rsid w:val="0046787C"/>
    <w:rsid w:val="00467A3A"/>
    <w:rsid w:val="00467E06"/>
    <w:rsid w:val="00467E7C"/>
    <w:rsid w:val="0047005D"/>
    <w:rsid w:val="004702DC"/>
    <w:rsid w:val="004708AB"/>
    <w:rsid w:val="00470C37"/>
    <w:rsid w:val="00470D76"/>
    <w:rsid w:val="00470DC4"/>
    <w:rsid w:val="00471024"/>
    <w:rsid w:val="004711E5"/>
    <w:rsid w:val="0047150A"/>
    <w:rsid w:val="004715A5"/>
    <w:rsid w:val="00471691"/>
    <w:rsid w:val="004716C1"/>
    <w:rsid w:val="00471D9A"/>
    <w:rsid w:val="00471DDC"/>
    <w:rsid w:val="00471E5B"/>
    <w:rsid w:val="0047202F"/>
    <w:rsid w:val="00472140"/>
    <w:rsid w:val="0047230C"/>
    <w:rsid w:val="00472353"/>
    <w:rsid w:val="004727CB"/>
    <w:rsid w:val="00472ED2"/>
    <w:rsid w:val="00472F30"/>
    <w:rsid w:val="00473347"/>
    <w:rsid w:val="00473921"/>
    <w:rsid w:val="00473958"/>
    <w:rsid w:val="00473CF3"/>
    <w:rsid w:val="00473D73"/>
    <w:rsid w:val="004740CF"/>
    <w:rsid w:val="00474168"/>
    <w:rsid w:val="00474488"/>
    <w:rsid w:val="0047479B"/>
    <w:rsid w:val="00474CD2"/>
    <w:rsid w:val="00474CE8"/>
    <w:rsid w:val="00474D7F"/>
    <w:rsid w:val="00474F82"/>
    <w:rsid w:val="00475472"/>
    <w:rsid w:val="004754B7"/>
    <w:rsid w:val="00475536"/>
    <w:rsid w:val="0047584B"/>
    <w:rsid w:val="00475D58"/>
    <w:rsid w:val="00475F71"/>
    <w:rsid w:val="00475FD8"/>
    <w:rsid w:val="00476AFA"/>
    <w:rsid w:val="00476C63"/>
    <w:rsid w:val="004770FE"/>
    <w:rsid w:val="0047734F"/>
    <w:rsid w:val="0047778E"/>
    <w:rsid w:val="00477AAA"/>
    <w:rsid w:val="00477E34"/>
    <w:rsid w:val="00477E8A"/>
    <w:rsid w:val="00480373"/>
    <w:rsid w:val="0048040D"/>
    <w:rsid w:val="00480478"/>
    <w:rsid w:val="004808D9"/>
    <w:rsid w:val="00480BF3"/>
    <w:rsid w:val="00480D98"/>
    <w:rsid w:val="004811F1"/>
    <w:rsid w:val="00481200"/>
    <w:rsid w:val="0048121C"/>
    <w:rsid w:val="004814D8"/>
    <w:rsid w:val="00481528"/>
    <w:rsid w:val="00481643"/>
    <w:rsid w:val="00481876"/>
    <w:rsid w:val="00481FF9"/>
    <w:rsid w:val="00482021"/>
    <w:rsid w:val="00482148"/>
    <w:rsid w:val="00482692"/>
    <w:rsid w:val="00482753"/>
    <w:rsid w:val="0048276D"/>
    <w:rsid w:val="00482B8F"/>
    <w:rsid w:val="00482E6B"/>
    <w:rsid w:val="00483036"/>
    <w:rsid w:val="00483050"/>
    <w:rsid w:val="004830E7"/>
    <w:rsid w:val="0048318F"/>
    <w:rsid w:val="00483322"/>
    <w:rsid w:val="004835C9"/>
    <w:rsid w:val="004836ED"/>
    <w:rsid w:val="004836F3"/>
    <w:rsid w:val="004837DC"/>
    <w:rsid w:val="00483852"/>
    <w:rsid w:val="00483C5A"/>
    <w:rsid w:val="00483DFE"/>
    <w:rsid w:val="00483E2D"/>
    <w:rsid w:val="00483F3E"/>
    <w:rsid w:val="00483FEA"/>
    <w:rsid w:val="00484297"/>
    <w:rsid w:val="00484350"/>
    <w:rsid w:val="00484476"/>
    <w:rsid w:val="00484797"/>
    <w:rsid w:val="0048487A"/>
    <w:rsid w:val="00484B6D"/>
    <w:rsid w:val="00484D28"/>
    <w:rsid w:val="00484D3F"/>
    <w:rsid w:val="00485019"/>
    <w:rsid w:val="0048508F"/>
    <w:rsid w:val="004851D1"/>
    <w:rsid w:val="004853B1"/>
    <w:rsid w:val="004857FF"/>
    <w:rsid w:val="00485BA7"/>
    <w:rsid w:val="00485CF8"/>
    <w:rsid w:val="00485D68"/>
    <w:rsid w:val="00485D81"/>
    <w:rsid w:val="00485DB9"/>
    <w:rsid w:val="0048602F"/>
    <w:rsid w:val="0048605B"/>
    <w:rsid w:val="00486351"/>
    <w:rsid w:val="00486437"/>
    <w:rsid w:val="004867EA"/>
    <w:rsid w:val="00486887"/>
    <w:rsid w:val="00486EE2"/>
    <w:rsid w:val="00486FDB"/>
    <w:rsid w:val="00487208"/>
    <w:rsid w:val="0048737E"/>
    <w:rsid w:val="004875E8"/>
    <w:rsid w:val="0048786B"/>
    <w:rsid w:val="00487BAA"/>
    <w:rsid w:val="00487EFD"/>
    <w:rsid w:val="00490069"/>
    <w:rsid w:val="0049010A"/>
    <w:rsid w:val="0049017C"/>
    <w:rsid w:val="004901D0"/>
    <w:rsid w:val="00490334"/>
    <w:rsid w:val="004904B5"/>
    <w:rsid w:val="00490778"/>
    <w:rsid w:val="00490C32"/>
    <w:rsid w:val="00490FCE"/>
    <w:rsid w:val="00491111"/>
    <w:rsid w:val="00491391"/>
    <w:rsid w:val="0049157E"/>
    <w:rsid w:val="00491615"/>
    <w:rsid w:val="00491791"/>
    <w:rsid w:val="00491954"/>
    <w:rsid w:val="004919A1"/>
    <w:rsid w:val="00491B5B"/>
    <w:rsid w:val="00491DC0"/>
    <w:rsid w:val="00492176"/>
    <w:rsid w:val="0049218E"/>
    <w:rsid w:val="00492ABB"/>
    <w:rsid w:val="00492DD9"/>
    <w:rsid w:val="00493816"/>
    <w:rsid w:val="00493ACF"/>
    <w:rsid w:val="00493CD0"/>
    <w:rsid w:val="00493E44"/>
    <w:rsid w:val="00493EF1"/>
    <w:rsid w:val="00493F6D"/>
    <w:rsid w:val="004940F1"/>
    <w:rsid w:val="00494132"/>
    <w:rsid w:val="0049467F"/>
    <w:rsid w:val="004948DA"/>
    <w:rsid w:val="00494E6A"/>
    <w:rsid w:val="00494EEA"/>
    <w:rsid w:val="00495072"/>
    <w:rsid w:val="00495103"/>
    <w:rsid w:val="00495306"/>
    <w:rsid w:val="0049560C"/>
    <w:rsid w:val="00495619"/>
    <w:rsid w:val="00495752"/>
    <w:rsid w:val="00495AEE"/>
    <w:rsid w:val="00495E45"/>
    <w:rsid w:val="0049611F"/>
    <w:rsid w:val="0049625A"/>
    <w:rsid w:val="0049637C"/>
    <w:rsid w:val="004965B6"/>
    <w:rsid w:val="0049676C"/>
    <w:rsid w:val="00496A94"/>
    <w:rsid w:val="00496C1D"/>
    <w:rsid w:val="00496DE8"/>
    <w:rsid w:val="004970CF"/>
    <w:rsid w:val="004972F7"/>
    <w:rsid w:val="00497458"/>
    <w:rsid w:val="0049762F"/>
    <w:rsid w:val="00497C49"/>
    <w:rsid w:val="00497C67"/>
    <w:rsid w:val="00497E73"/>
    <w:rsid w:val="004A00B6"/>
    <w:rsid w:val="004A02B3"/>
    <w:rsid w:val="004A02FC"/>
    <w:rsid w:val="004A0308"/>
    <w:rsid w:val="004A074F"/>
    <w:rsid w:val="004A08E0"/>
    <w:rsid w:val="004A09A6"/>
    <w:rsid w:val="004A0B3F"/>
    <w:rsid w:val="004A0D8D"/>
    <w:rsid w:val="004A10D4"/>
    <w:rsid w:val="004A11C4"/>
    <w:rsid w:val="004A14A8"/>
    <w:rsid w:val="004A1541"/>
    <w:rsid w:val="004A15B2"/>
    <w:rsid w:val="004A18EE"/>
    <w:rsid w:val="004A2386"/>
    <w:rsid w:val="004A23D4"/>
    <w:rsid w:val="004A26C1"/>
    <w:rsid w:val="004A2756"/>
    <w:rsid w:val="004A2925"/>
    <w:rsid w:val="004A34D3"/>
    <w:rsid w:val="004A35E8"/>
    <w:rsid w:val="004A35F0"/>
    <w:rsid w:val="004A393F"/>
    <w:rsid w:val="004A3953"/>
    <w:rsid w:val="004A3D44"/>
    <w:rsid w:val="004A3F8B"/>
    <w:rsid w:val="004A3FB4"/>
    <w:rsid w:val="004A4490"/>
    <w:rsid w:val="004A47C0"/>
    <w:rsid w:val="004A4863"/>
    <w:rsid w:val="004A4E22"/>
    <w:rsid w:val="004A50AF"/>
    <w:rsid w:val="004A5718"/>
    <w:rsid w:val="004A59F8"/>
    <w:rsid w:val="004A5BB8"/>
    <w:rsid w:val="004A6126"/>
    <w:rsid w:val="004A615B"/>
    <w:rsid w:val="004A6206"/>
    <w:rsid w:val="004A635F"/>
    <w:rsid w:val="004A6794"/>
    <w:rsid w:val="004A6825"/>
    <w:rsid w:val="004A6933"/>
    <w:rsid w:val="004A697C"/>
    <w:rsid w:val="004A6B8B"/>
    <w:rsid w:val="004A6B8F"/>
    <w:rsid w:val="004A6CD6"/>
    <w:rsid w:val="004A6CF8"/>
    <w:rsid w:val="004A6E8D"/>
    <w:rsid w:val="004A6EDC"/>
    <w:rsid w:val="004A7041"/>
    <w:rsid w:val="004A7342"/>
    <w:rsid w:val="004A73A2"/>
    <w:rsid w:val="004A74A5"/>
    <w:rsid w:val="004A7896"/>
    <w:rsid w:val="004A7920"/>
    <w:rsid w:val="004A7AED"/>
    <w:rsid w:val="004A7CF7"/>
    <w:rsid w:val="004A7D16"/>
    <w:rsid w:val="004A7D5F"/>
    <w:rsid w:val="004A7DF2"/>
    <w:rsid w:val="004A7E13"/>
    <w:rsid w:val="004A7E8F"/>
    <w:rsid w:val="004A7EB6"/>
    <w:rsid w:val="004B03DD"/>
    <w:rsid w:val="004B080C"/>
    <w:rsid w:val="004B0872"/>
    <w:rsid w:val="004B099F"/>
    <w:rsid w:val="004B0AE2"/>
    <w:rsid w:val="004B0B27"/>
    <w:rsid w:val="004B0EE0"/>
    <w:rsid w:val="004B1091"/>
    <w:rsid w:val="004B111F"/>
    <w:rsid w:val="004B1215"/>
    <w:rsid w:val="004B1352"/>
    <w:rsid w:val="004B1B76"/>
    <w:rsid w:val="004B21CA"/>
    <w:rsid w:val="004B21FB"/>
    <w:rsid w:val="004B2216"/>
    <w:rsid w:val="004B24C8"/>
    <w:rsid w:val="004B2602"/>
    <w:rsid w:val="004B28EC"/>
    <w:rsid w:val="004B2A88"/>
    <w:rsid w:val="004B2C02"/>
    <w:rsid w:val="004B2DBB"/>
    <w:rsid w:val="004B2DFD"/>
    <w:rsid w:val="004B2F27"/>
    <w:rsid w:val="004B3680"/>
    <w:rsid w:val="004B3D48"/>
    <w:rsid w:val="004B4027"/>
    <w:rsid w:val="004B405C"/>
    <w:rsid w:val="004B4080"/>
    <w:rsid w:val="004B4138"/>
    <w:rsid w:val="004B41C2"/>
    <w:rsid w:val="004B45E8"/>
    <w:rsid w:val="004B487B"/>
    <w:rsid w:val="004B4924"/>
    <w:rsid w:val="004B497E"/>
    <w:rsid w:val="004B49AE"/>
    <w:rsid w:val="004B4F57"/>
    <w:rsid w:val="004B4F83"/>
    <w:rsid w:val="004B4FE9"/>
    <w:rsid w:val="004B532E"/>
    <w:rsid w:val="004B585F"/>
    <w:rsid w:val="004B592D"/>
    <w:rsid w:val="004B5A55"/>
    <w:rsid w:val="004B5A5E"/>
    <w:rsid w:val="004B5CCF"/>
    <w:rsid w:val="004B5EA0"/>
    <w:rsid w:val="004B62EA"/>
    <w:rsid w:val="004B63F6"/>
    <w:rsid w:val="004B65A6"/>
    <w:rsid w:val="004B66EB"/>
    <w:rsid w:val="004B69E0"/>
    <w:rsid w:val="004B6B52"/>
    <w:rsid w:val="004B6B7D"/>
    <w:rsid w:val="004B751E"/>
    <w:rsid w:val="004B7814"/>
    <w:rsid w:val="004B782E"/>
    <w:rsid w:val="004B7A8F"/>
    <w:rsid w:val="004B7B42"/>
    <w:rsid w:val="004B7C24"/>
    <w:rsid w:val="004C00DB"/>
    <w:rsid w:val="004C00E8"/>
    <w:rsid w:val="004C0203"/>
    <w:rsid w:val="004C02F2"/>
    <w:rsid w:val="004C031F"/>
    <w:rsid w:val="004C04E0"/>
    <w:rsid w:val="004C05F5"/>
    <w:rsid w:val="004C0804"/>
    <w:rsid w:val="004C0953"/>
    <w:rsid w:val="004C0A8C"/>
    <w:rsid w:val="004C0CD5"/>
    <w:rsid w:val="004C0FC1"/>
    <w:rsid w:val="004C0FD0"/>
    <w:rsid w:val="004C153E"/>
    <w:rsid w:val="004C193A"/>
    <w:rsid w:val="004C1BC8"/>
    <w:rsid w:val="004C1BD0"/>
    <w:rsid w:val="004C1CBB"/>
    <w:rsid w:val="004C1D21"/>
    <w:rsid w:val="004C1FDE"/>
    <w:rsid w:val="004C212C"/>
    <w:rsid w:val="004C219D"/>
    <w:rsid w:val="004C219F"/>
    <w:rsid w:val="004C2889"/>
    <w:rsid w:val="004C2D01"/>
    <w:rsid w:val="004C2D6C"/>
    <w:rsid w:val="004C2DD5"/>
    <w:rsid w:val="004C2FCB"/>
    <w:rsid w:val="004C344A"/>
    <w:rsid w:val="004C37EF"/>
    <w:rsid w:val="004C38B6"/>
    <w:rsid w:val="004C394F"/>
    <w:rsid w:val="004C3DD6"/>
    <w:rsid w:val="004C40A7"/>
    <w:rsid w:val="004C47D9"/>
    <w:rsid w:val="004C47E1"/>
    <w:rsid w:val="004C4946"/>
    <w:rsid w:val="004C4972"/>
    <w:rsid w:val="004C590E"/>
    <w:rsid w:val="004C5ABA"/>
    <w:rsid w:val="004C5B75"/>
    <w:rsid w:val="004C5F54"/>
    <w:rsid w:val="004C604A"/>
    <w:rsid w:val="004C6085"/>
    <w:rsid w:val="004C6583"/>
    <w:rsid w:val="004C66B5"/>
    <w:rsid w:val="004C6AAB"/>
    <w:rsid w:val="004C6B34"/>
    <w:rsid w:val="004C6D36"/>
    <w:rsid w:val="004C6DD1"/>
    <w:rsid w:val="004C6E91"/>
    <w:rsid w:val="004C6EF6"/>
    <w:rsid w:val="004C7010"/>
    <w:rsid w:val="004C7140"/>
    <w:rsid w:val="004C7219"/>
    <w:rsid w:val="004C739C"/>
    <w:rsid w:val="004C748F"/>
    <w:rsid w:val="004C7683"/>
    <w:rsid w:val="004C76F0"/>
    <w:rsid w:val="004C7892"/>
    <w:rsid w:val="004C7BA2"/>
    <w:rsid w:val="004C7BBB"/>
    <w:rsid w:val="004C7E5B"/>
    <w:rsid w:val="004D0372"/>
    <w:rsid w:val="004D041C"/>
    <w:rsid w:val="004D062C"/>
    <w:rsid w:val="004D0880"/>
    <w:rsid w:val="004D1016"/>
    <w:rsid w:val="004D1425"/>
    <w:rsid w:val="004D1636"/>
    <w:rsid w:val="004D1817"/>
    <w:rsid w:val="004D1C4F"/>
    <w:rsid w:val="004D21BF"/>
    <w:rsid w:val="004D21D9"/>
    <w:rsid w:val="004D2212"/>
    <w:rsid w:val="004D226E"/>
    <w:rsid w:val="004D24F1"/>
    <w:rsid w:val="004D2626"/>
    <w:rsid w:val="004D2952"/>
    <w:rsid w:val="004D29E5"/>
    <w:rsid w:val="004D2E4C"/>
    <w:rsid w:val="004D2F3E"/>
    <w:rsid w:val="004D3077"/>
    <w:rsid w:val="004D3374"/>
    <w:rsid w:val="004D3927"/>
    <w:rsid w:val="004D3A88"/>
    <w:rsid w:val="004D3B06"/>
    <w:rsid w:val="004D3D95"/>
    <w:rsid w:val="004D3E16"/>
    <w:rsid w:val="004D3E97"/>
    <w:rsid w:val="004D40C0"/>
    <w:rsid w:val="004D40DB"/>
    <w:rsid w:val="004D427B"/>
    <w:rsid w:val="004D45C3"/>
    <w:rsid w:val="004D497D"/>
    <w:rsid w:val="004D4B28"/>
    <w:rsid w:val="004D4D4A"/>
    <w:rsid w:val="004D5243"/>
    <w:rsid w:val="004D5404"/>
    <w:rsid w:val="004D55E4"/>
    <w:rsid w:val="004D5EDA"/>
    <w:rsid w:val="004D6122"/>
    <w:rsid w:val="004D6152"/>
    <w:rsid w:val="004D6661"/>
    <w:rsid w:val="004D6DE0"/>
    <w:rsid w:val="004D6F59"/>
    <w:rsid w:val="004D6FF7"/>
    <w:rsid w:val="004D70D1"/>
    <w:rsid w:val="004D711C"/>
    <w:rsid w:val="004D712A"/>
    <w:rsid w:val="004D712D"/>
    <w:rsid w:val="004D7149"/>
    <w:rsid w:val="004D717B"/>
    <w:rsid w:val="004D74CD"/>
    <w:rsid w:val="004D76F2"/>
    <w:rsid w:val="004D7E23"/>
    <w:rsid w:val="004D7F6B"/>
    <w:rsid w:val="004D7FD3"/>
    <w:rsid w:val="004E0515"/>
    <w:rsid w:val="004E0577"/>
    <w:rsid w:val="004E07E2"/>
    <w:rsid w:val="004E0B2D"/>
    <w:rsid w:val="004E0C46"/>
    <w:rsid w:val="004E0CC8"/>
    <w:rsid w:val="004E0F5E"/>
    <w:rsid w:val="004E10E2"/>
    <w:rsid w:val="004E13A8"/>
    <w:rsid w:val="004E13F6"/>
    <w:rsid w:val="004E146A"/>
    <w:rsid w:val="004E171B"/>
    <w:rsid w:val="004E174C"/>
    <w:rsid w:val="004E1991"/>
    <w:rsid w:val="004E1AB5"/>
    <w:rsid w:val="004E1CD9"/>
    <w:rsid w:val="004E1DA3"/>
    <w:rsid w:val="004E2069"/>
    <w:rsid w:val="004E20CB"/>
    <w:rsid w:val="004E20FD"/>
    <w:rsid w:val="004E22B9"/>
    <w:rsid w:val="004E23B6"/>
    <w:rsid w:val="004E2403"/>
    <w:rsid w:val="004E26AC"/>
    <w:rsid w:val="004E26FF"/>
    <w:rsid w:val="004E28DF"/>
    <w:rsid w:val="004E2940"/>
    <w:rsid w:val="004E2A21"/>
    <w:rsid w:val="004E2A95"/>
    <w:rsid w:val="004E2C4B"/>
    <w:rsid w:val="004E2C58"/>
    <w:rsid w:val="004E3430"/>
    <w:rsid w:val="004E364E"/>
    <w:rsid w:val="004E36F5"/>
    <w:rsid w:val="004E370C"/>
    <w:rsid w:val="004E378B"/>
    <w:rsid w:val="004E379B"/>
    <w:rsid w:val="004E37B3"/>
    <w:rsid w:val="004E38F8"/>
    <w:rsid w:val="004E3A4D"/>
    <w:rsid w:val="004E3A67"/>
    <w:rsid w:val="004E3B75"/>
    <w:rsid w:val="004E3BAC"/>
    <w:rsid w:val="004E3D41"/>
    <w:rsid w:val="004E3D73"/>
    <w:rsid w:val="004E3DC4"/>
    <w:rsid w:val="004E3FCE"/>
    <w:rsid w:val="004E4265"/>
    <w:rsid w:val="004E49FD"/>
    <w:rsid w:val="004E4EA8"/>
    <w:rsid w:val="004E5072"/>
    <w:rsid w:val="004E53CB"/>
    <w:rsid w:val="004E54B1"/>
    <w:rsid w:val="004E556A"/>
    <w:rsid w:val="004E5724"/>
    <w:rsid w:val="004E590C"/>
    <w:rsid w:val="004E6329"/>
    <w:rsid w:val="004E679D"/>
    <w:rsid w:val="004E67AC"/>
    <w:rsid w:val="004E6E87"/>
    <w:rsid w:val="004E6FE0"/>
    <w:rsid w:val="004E71C6"/>
    <w:rsid w:val="004E786A"/>
    <w:rsid w:val="004E787F"/>
    <w:rsid w:val="004F002D"/>
    <w:rsid w:val="004F0240"/>
    <w:rsid w:val="004F0246"/>
    <w:rsid w:val="004F0770"/>
    <w:rsid w:val="004F08B3"/>
    <w:rsid w:val="004F098F"/>
    <w:rsid w:val="004F0B60"/>
    <w:rsid w:val="004F0CE1"/>
    <w:rsid w:val="004F0D3C"/>
    <w:rsid w:val="004F0D54"/>
    <w:rsid w:val="004F0D6E"/>
    <w:rsid w:val="004F0E1D"/>
    <w:rsid w:val="004F10C2"/>
    <w:rsid w:val="004F1273"/>
    <w:rsid w:val="004F1764"/>
    <w:rsid w:val="004F1888"/>
    <w:rsid w:val="004F1925"/>
    <w:rsid w:val="004F1CFE"/>
    <w:rsid w:val="004F23D1"/>
    <w:rsid w:val="004F258F"/>
    <w:rsid w:val="004F290D"/>
    <w:rsid w:val="004F3015"/>
    <w:rsid w:val="004F3366"/>
    <w:rsid w:val="004F36B9"/>
    <w:rsid w:val="004F3C85"/>
    <w:rsid w:val="004F3D12"/>
    <w:rsid w:val="004F3F2B"/>
    <w:rsid w:val="004F40BA"/>
    <w:rsid w:val="004F42FC"/>
    <w:rsid w:val="004F4508"/>
    <w:rsid w:val="004F4F45"/>
    <w:rsid w:val="004F5069"/>
    <w:rsid w:val="004F50FD"/>
    <w:rsid w:val="004F5575"/>
    <w:rsid w:val="004F5B73"/>
    <w:rsid w:val="004F6322"/>
    <w:rsid w:val="004F63F5"/>
    <w:rsid w:val="004F65F6"/>
    <w:rsid w:val="004F6976"/>
    <w:rsid w:val="004F6997"/>
    <w:rsid w:val="004F6AE8"/>
    <w:rsid w:val="004F6BC5"/>
    <w:rsid w:val="004F6E42"/>
    <w:rsid w:val="004F6F47"/>
    <w:rsid w:val="004F70DC"/>
    <w:rsid w:val="004F736B"/>
    <w:rsid w:val="004F73AB"/>
    <w:rsid w:val="004F750D"/>
    <w:rsid w:val="004F7625"/>
    <w:rsid w:val="004F78FA"/>
    <w:rsid w:val="004F7D20"/>
    <w:rsid w:val="004F7D2E"/>
    <w:rsid w:val="004F7D3A"/>
    <w:rsid w:val="004F7D97"/>
    <w:rsid w:val="004F7F53"/>
    <w:rsid w:val="00500657"/>
    <w:rsid w:val="00500AE5"/>
    <w:rsid w:val="00500B00"/>
    <w:rsid w:val="00500DE8"/>
    <w:rsid w:val="00500EB9"/>
    <w:rsid w:val="00501032"/>
    <w:rsid w:val="00501057"/>
    <w:rsid w:val="00501380"/>
    <w:rsid w:val="005014C1"/>
    <w:rsid w:val="0050164A"/>
    <w:rsid w:val="00501D4B"/>
    <w:rsid w:val="00501D61"/>
    <w:rsid w:val="00501E8E"/>
    <w:rsid w:val="00502077"/>
    <w:rsid w:val="005022C9"/>
    <w:rsid w:val="005023A6"/>
    <w:rsid w:val="00502753"/>
    <w:rsid w:val="00502947"/>
    <w:rsid w:val="00502B48"/>
    <w:rsid w:val="00502C84"/>
    <w:rsid w:val="00502CF3"/>
    <w:rsid w:val="00502F09"/>
    <w:rsid w:val="00503267"/>
    <w:rsid w:val="005033BA"/>
    <w:rsid w:val="005033E7"/>
    <w:rsid w:val="005033EE"/>
    <w:rsid w:val="00503450"/>
    <w:rsid w:val="005035C1"/>
    <w:rsid w:val="005037AA"/>
    <w:rsid w:val="005037B5"/>
    <w:rsid w:val="00503CB7"/>
    <w:rsid w:val="00503D15"/>
    <w:rsid w:val="00503D56"/>
    <w:rsid w:val="00504039"/>
    <w:rsid w:val="00504101"/>
    <w:rsid w:val="0050434B"/>
    <w:rsid w:val="005043A8"/>
    <w:rsid w:val="00504B3A"/>
    <w:rsid w:val="0050515D"/>
    <w:rsid w:val="005051FB"/>
    <w:rsid w:val="005055DF"/>
    <w:rsid w:val="00505729"/>
    <w:rsid w:val="00505850"/>
    <w:rsid w:val="005058E0"/>
    <w:rsid w:val="005059A5"/>
    <w:rsid w:val="00505C1E"/>
    <w:rsid w:val="00505F2D"/>
    <w:rsid w:val="00505F9B"/>
    <w:rsid w:val="005060AB"/>
    <w:rsid w:val="0050616C"/>
    <w:rsid w:val="005062A2"/>
    <w:rsid w:val="005063CB"/>
    <w:rsid w:val="005065A6"/>
    <w:rsid w:val="00506632"/>
    <w:rsid w:val="0050675E"/>
    <w:rsid w:val="00506859"/>
    <w:rsid w:val="00506B59"/>
    <w:rsid w:val="00506C73"/>
    <w:rsid w:val="00506E07"/>
    <w:rsid w:val="00506E36"/>
    <w:rsid w:val="00506F1E"/>
    <w:rsid w:val="00506F4D"/>
    <w:rsid w:val="005070CB"/>
    <w:rsid w:val="005073F5"/>
    <w:rsid w:val="00507444"/>
    <w:rsid w:val="0050762A"/>
    <w:rsid w:val="00507802"/>
    <w:rsid w:val="0050788C"/>
    <w:rsid w:val="00507A8B"/>
    <w:rsid w:val="00507BE0"/>
    <w:rsid w:val="00507BEC"/>
    <w:rsid w:val="00507D84"/>
    <w:rsid w:val="00507E13"/>
    <w:rsid w:val="00510422"/>
    <w:rsid w:val="005104CC"/>
    <w:rsid w:val="00510A75"/>
    <w:rsid w:val="00510C77"/>
    <w:rsid w:val="00510DED"/>
    <w:rsid w:val="00510FA6"/>
    <w:rsid w:val="005111D7"/>
    <w:rsid w:val="00511216"/>
    <w:rsid w:val="005112CE"/>
    <w:rsid w:val="0051141E"/>
    <w:rsid w:val="0051188F"/>
    <w:rsid w:val="005119FB"/>
    <w:rsid w:val="00511A03"/>
    <w:rsid w:val="00511CA6"/>
    <w:rsid w:val="00511DA7"/>
    <w:rsid w:val="00511ED8"/>
    <w:rsid w:val="00511F52"/>
    <w:rsid w:val="00512125"/>
    <w:rsid w:val="0051213B"/>
    <w:rsid w:val="00512731"/>
    <w:rsid w:val="00512991"/>
    <w:rsid w:val="00512AD8"/>
    <w:rsid w:val="00512D28"/>
    <w:rsid w:val="00512D30"/>
    <w:rsid w:val="00512DFD"/>
    <w:rsid w:val="00513226"/>
    <w:rsid w:val="00513540"/>
    <w:rsid w:val="00513575"/>
    <w:rsid w:val="00513810"/>
    <w:rsid w:val="0051396D"/>
    <w:rsid w:val="00513A52"/>
    <w:rsid w:val="00513F2C"/>
    <w:rsid w:val="0051446E"/>
    <w:rsid w:val="0051469E"/>
    <w:rsid w:val="00514A74"/>
    <w:rsid w:val="00514AE5"/>
    <w:rsid w:val="00514AEE"/>
    <w:rsid w:val="00514BCC"/>
    <w:rsid w:val="00514E24"/>
    <w:rsid w:val="00514F2C"/>
    <w:rsid w:val="00514F89"/>
    <w:rsid w:val="005150AF"/>
    <w:rsid w:val="005151A7"/>
    <w:rsid w:val="005151DD"/>
    <w:rsid w:val="00515B6C"/>
    <w:rsid w:val="00515C31"/>
    <w:rsid w:val="005160FA"/>
    <w:rsid w:val="0051651F"/>
    <w:rsid w:val="0051660A"/>
    <w:rsid w:val="00516813"/>
    <w:rsid w:val="0051688B"/>
    <w:rsid w:val="00516895"/>
    <w:rsid w:val="00516906"/>
    <w:rsid w:val="00516DAA"/>
    <w:rsid w:val="00516E41"/>
    <w:rsid w:val="00516F2A"/>
    <w:rsid w:val="00517206"/>
    <w:rsid w:val="0051728B"/>
    <w:rsid w:val="00517429"/>
    <w:rsid w:val="0051756E"/>
    <w:rsid w:val="00517715"/>
    <w:rsid w:val="00517743"/>
    <w:rsid w:val="0051775A"/>
    <w:rsid w:val="005177D8"/>
    <w:rsid w:val="005178D1"/>
    <w:rsid w:val="00517A29"/>
    <w:rsid w:val="00517AF8"/>
    <w:rsid w:val="00517CE7"/>
    <w:rsid w:val="0052036B"/>
    <w:rsid w:val="005208FC"/>
    <w:rsid w:val="00520C3E"/>
    <w:rsid w:val="00520C49"/>
    <w:rsid w:val="00520E78"/>
    <w:rsid w:val="005211B1"/>
    <w:rsid w:val="005213F6"/>
    <w:rsid w:val="00521628"/>
    <w:rsid w:val="005217A2"/>
    <w:rsid w:val="0052183E"/>
    <w:rsid w:val="00521A46"/>
    <w:rsid w:val="00521C44"/>
    <w:rsid w:val="00521CA4"/>
    <w:rsid w:val="00521E2C"/>
    <w:rsid w:val="00521E4A"/>
    <w:rsid w:val="00521F0D"/>
    <w:rsid w:val="00521F22"/>
    <w:rsid w:val="00522360"/>
    <w:rsid w:val="00522478"/>
    <w:rsid w:val="005224C1"/>
    <w:rsid w:val="0052258B"/>
    <w:rsid w:val="0052295C"/>
    <w:rsid w:val="00522A4E"/>
    <w:rsid w:val="00522AC3"/>
    <w:rsid w:val="00522B42"/>
    <w:rsid w:val="0052324D"/>
    <w:rsid w:val="005232BF"/>
    <w:rsid w:val="0052364B"/>
    <w:rsid w:val="005236BA"/>
    <w:rsid w:val="00523AEE"/>
    <w:rsid w:val="00524309"/>
    <w:rsid w:val="00524459"/>
    <w:rsid w:val="00524553"/>
    <w:rsid w:val="0052465B"/>
    <w:rsid w:val="005249E4"/>
    <w:rsid w:val="00524B02"/>
    <w:rsid w:val="00524E1A"/>
    <w:rsid w:val="00525173"/>
    <w:rsid w:val="005251A6"/>
    <w:rsid w:val="005251CF"/>
    <w:rsid w:val="0052530C"/>
    <w:rsid w:val="0052547D"/>
    <w:rsid w:val="00525AAB"/>
    <w:rsid w:val="00525C5C"/>
    <w:rsid w:val="0052693B"/>
    <w:rsid w:val="00526B95"/>
    <w:rsid w:val="00526C33"/>
    <w:rsid w:val="00526F48"/>
    <w:rsid w:val="005270A4"/>
    <w:rsid w:val="00527105"/>
    <w:rsid w:val="005275D2"/>
    <w:rsid w:val="00527755"/>
    <w:rsid w:val="005278B3"/>
    <w:rsid w:val="00527F02"/>
    <w:rsid w:val="005303F8"/>
    <w:rsid w:val="00530591"/>
    <w:rsid w:val="00530D8F"/>
    <w:rsid w:val="00530DE8"/>
    <w:rsid w:val="00531048"/>
    <w:rsid w:val="00531087"/>
    <w:rsid w:val="005312D4"/>
    <w:rsid w:val="005312DF"/>
    <w:rsid w:val="0053130B"/>
    <w:rsid w:val="005315EC"/>
    <w:rsid w:val="0053163D"/>
    <w:rsid w:val="00531A73"/>
    <w:rsid w:val="00531C5D"/>
    <w:rsid w:val="005322C8"/>
    <w:rsid w:val="005327BB"/>
    <w:rsid w:val="00532870"/>
    <w:rsid w:val="005328E2"/>
    <w:rsid w:val="00532A06"/>
    <w:rsid w:val="00532A1B"/>
    <w:rsid w:val="00532B8F"/>
    <w:rsid w:val="00532BB2"/>
    <w:rsid w:val="00532BF4"/>
    <w:rsid w:val="00532FD5"/>
    <w:rsid w:val="00533420"/>
    <w:rsid w:val="0053348C"/>
    <w:rsid w:val="005337C6"/>
    <w:rsid w:val="00533F84"/>
    <w:rsid w:val="005343DB"/>
    <w:rsid w:val="00534BE8"/>
    <w:rsid w:val="00535055"/>
    <w:rsid w:val="00535212"/>
    <w:rsid w:val="005352B4"/>
    <w:rsid w:val="005352F6"/>
    <w:rsid w:val="005353DB"/>
    <w:rsid w:val="00535687"/>
    <w:rsid w:val="00535696"/>
    <w:rsid w:val="00535772"/>
    <w:rsid w:val="00535C53"/>
    <w:rsid w:val="00535C71"/>
    <w:rsid w:val="00535E6D"/>
    <w:rsid w:val="00536504"/>
    <w:rsid w:val="005366E5"/>
    <w:rsid w:val="00536AE1"/>
    <w:rsid w:val="00536B1E"/>
    <w:rsid w:val="00536D1D"/>
    <w:rsid w:val="00536D29"/>
    <w:rsid w:val="00536DDA"/>
    <w:rsid w:val="00536F46"/>
    <w:rsid w:val="00537130"/>
    <w:rsid w:val="00537350"/>
    <w:rsid w:val="005379B4"/>
    <w:rsid w:val="00537B70"/>
    <w:rsid w:val="00537D4B"/>
    <w:rsid w:val="00537EB1"/>
    <w:rsid w:val="00537ED4"/>
    <w:rsid w:val="00537FA8"/>
    <w:rsid w:val="00540195"/>
    <w:rsid w:val="00540321"/>
    <w:rsid w:val="0054065A"/>
    <w:rsid w:val="0054077E"/>
    <w:rsid w:val="00540786"/>
    <w:rsid w:val="005408EA"/>
    <w:rsid w:val="00540BAF"/>
    <w:rsid w:val="00540D70"/>
    <w:rsid w:val="00540EAB"/>
    <w:rsid w:val="0054114B"/>
    <w:rsid w:val="005411D5"/>
    <w:rsid w:val="0054132A"/>
    <w:rsid w:val="0054155C"/>
    <w:rsid w:val="005417B8"/>
    <w:rsid w:val="00541A0B"/>
    <w:rsid w:val="00541E83"/>
    <w:rsid w:val="00542119"/>
    <w:rsid w:val="0054217F"/>
    <w:rsid w:val="00542359"/>
    <w:rsid w:val="0054256A"/>
    <w:rsid w:val="00542884"/>
    <w:rsid w:val="00542CF7"/>
    <w:rsid w:val="005431D5"/>
    <w:rsid w:val="0054354D"/>
    <w:rsid w:val="00543555"/>
    <w:rsid w:val="005437AD"/>
    <w:rsid w:val="0054390B"/>
    <w:rsid w:val="00543F62"/>
    <w:rsid w:val="00543FFD"/>
    <w:rsid w:val="00544011"/>
    <w:rsid w:val="005442DE"/>
    <w:rsid w:val="00544FD0"/>
    <w:rsid w:val="00545013"/>
    <w:rsid w:val="00545196"/>
    <w:rsid w:val="005453EE"/>
    <w:rsid w:val="005455C6"/>
    <w:rsid w:val="00545ACF"/>
    <w:rsid w:val="00545BB2"/>
    <w:rsid w:val="00545D42"/>
    <w:rsid w:val="00545D72"/>
    <w:rsid w:val="00545E25"/>
    <w:rsid w:val="00545F53"/>
    <w:rsid w:val="00546137"/>
    <w:rsid w:val="0054616A"/>
    <w:rsid w:val="0054638B"/>
    <w:rsid w:val="005465F8"/>
    <w:rsid w:val="0054693F"/>
    <w:rsid w:val="005469EB"/>
    <w:rsid w:val="00546C64"/>
    <w:rsid w:val="00546D67"/>
    <w:rsid w:val="00546DD5"/>
    <w:rsid w:val="00547274"/>
    <w:rsid w:val="0054740B"/>
    <w:rsid w:val="00547419"/>
    <w:rsid w:val="0054795B"/>
    <w:rsid w:val="00547C76"/>
    <w:rsid w:val="00547DEF"/>
    <w:rsid w:val="00550136"/>
    <w:rsid w:val="0055013F"/>
    <w:rsid w:val="0055035F"/>
    <w:rsid w:val="005504AC"/>
    <w:rsid w:val="005504FD"/>
    <w:rsid w:val="005509FE"/>
    <w:rsid w:val="00550AE8"/>
    <w:rsid w:val="00550E1F"/>
    <w:rsid w:val="00550F73"/>
    <w:rsid w:val="0055110D"/>
    <w:rsid w:val="00551300"/>
    <w:rsid w:val="00551360"/>
    <w:rsid w:val="005517FE"/>
    <w:rsid w:val="005518BD"/>
    <w:rsid w:val="0055194A"/>
    <w:rsid w:val="00551BA3"/>
    <w:rsid w:val="00552201"/>
    <w:rsid w:val="00552421"/>
    <w:rsid w:val="0055278A"/>
    <w:rsid w:val="005528C3"/>
    <w:rsid w:val="00552C6F"/>
    <w:rsid w:val="00552C84"/>
    <w:rsid w:val="00552CA7"/>
    <w:rsid w:val="0055319F"/>
    <w:rsid w:val="00553415"/>
    <w:rsid w:val="00553482"/>
    <w:rsid w:val="0055371B"/>
    <w:rsid w:val="00553741"/>
    <w:rsid w:val="005537CF"/>
    <w:rsid w:val="00553B0C"/>
    <w:rsid w:val="005540E1"/>
    <w:rsid w:val="0055438C"/>
    <w:rsid w:val="005544CF"/>
    <w:rsid w:val="00554AB1"/>
    <w:rsid w:val="00554CB1"/>
    <w:rsid w:val="00554E19"/>
    <w:rsid w:val="005550CF"/>
    <w:rsid w:val="00555215"/>
    <w:rsid w:val="005552FE"/>
    <w:rsid w:val="00555348"/>
    <w:rsid w:val="0055543F"/>
    <w:rsid w:val="005554D2"/>
    <w:rsid w:val="005557A6"/>
    <w:rsid w:val="00555846"/>
    <w:rsid w:val="005559ED"/>
    <w:rsid w:val="00555B1A"/>
    <w:rsid w:val="00555DFE"/>
    <w:rsid w:val="005560CA"/>
    <w:rsid w:val="00556116"/>
    <w:rsid w:val="00556310"/>
    <w:rsid w:val="005563FA"/>
    <w:rsid w:val="005565C6"/>
    <w:rsid w:val="0055663F"/>
    <w:rsid w:val="00556C29"/>
    <w:rsid w:val="00556E1D"/>
    <w:rsid w:val="005570EE"/>
    <w:rsid w:val="0055740A"/>
    <w:rsid w:val="00557AEA"/>
    <w:rsid w:val="00557B1B"/>
    <w:rsid w:val="0056004C"/>
    <w:rsid w:val="005602A5"/>
    <w:rsid w:val="00560623"/>
    <w:rsid w:val="005609BF"/>
    <w:rsid w:val="005609F6"/>
    <w:rsid w:val="00560BE3"/>
    <w:rsid w:val="00560CF7"/>
    <w:rsid w:val="0056145F"/>
    <w:rsid w:val="00561851"/>
    <w:rsid w:val="005619A5"/>
    <w:rsid w:val="00561AE3"/>
    <w:rsid w:val="00561BFB"/>
    <w:rsid w:val="00561CC4"/>
    <w:rsid w:val="00561CC9"/>
    <w:rsid w:val="00561E0B"/>
    <w:rsid w:val="00562257"/>
    <w:rsid w:val="005624BB"/>
    <w:rsid w:val="005624C2"/>
    <w:rsid w:val="00562566"/>
    <w:rsid w:val="00562786"/>
    <w:rsid w:val="00562919"/>
    <w:rsid w:val="0056297B"/>
    <w:rsid w:val="00562A01"/>
    <w:rsid w:val="00562A97"/>
    <w:rsid w:val="00563585"/>
    <w:rsid w:val="005637E4"/>
    <w:rsid w:val="005639D0"/>
    <w:rsid w:val="00563AE5"/>
    <w:rsid w:val="00563D5B"/>
    <w:rsid w:val="00563E06"/>
    <w:rsid w:val="005641F4"/>
    <w:rsid w:val="005641FC"/>
    <w:rsid w:val="0056479B"/>
    <w:rsid w:val="005647BB"/>
    <w:rsid w:val="005648FF"/>
    <w:rsid w:val="00564946"/>
    <w:rsid w:val="005649F6"/>
    <w:rsid w:val="00564D93"/>
    <w:rsid w:val="00564F80"/>
    <w:rsid w:val="00564FE5"/>
    <w:rsid w:val="005654E7"/>
    <w:rsid w:val="00565725"/>
    <w:rsid w:val="00565739"/>
    <w:rsid w:val="00565B05"/>
    <w:rsid w:val="00565CB6"/>
    <w:rsid w:val="00565F42"/>
    <w:rsid w:val="00565FEA"/>
    <w:rsid w:val="0056613C"/>
    <w:rsid w:val="005661C7"/>
    <w:rsid w:val="00566740"/>
    <w:rsid w:val="00566787"/>
    <w:rsid w:val="005668D2"/>
    <w:rsid w:val="00566993"/>
    <w:rsid w:val="005669AD"/>
    <w:rsid w:val="00566BA1"/>
    <w:rsid w:val="0056717F"/>
    <w:rsid w:val="0056738C"/>
    <w:rsid w:val="00567962"/>
    <w:rsid w:val="00567AC4"/>
    <w:rsid w:val="00567C29"/>
    <w:rsid w:val="00570194"/>
    <w:rsid w:val="005701DB"/>
    <w:rsid w:val="00570266"/>
    <w:rsid w:val="005704D1"/>
    <w:rsid w:val="005705B5"/>
    <w:rsid w:val="005706F6"/>
    <w:rsid w:val="0057071E"/>
    <w:rsid w:val="005708A7"/>
    <w:rsid w:val="00570C03"/>
    <w:rsid w:val="00570C92"/>
    <w:rsid w:val="00570E57"/>
    <w:rsid w:val="00570EA7"/>
    <w:rsid w:val="0057193F"/>
    <w:rsid w:val="00571B16"/>
    <w:rsid w:val="00571B4F"/>
    <w:rsid w:val="00571D69"/>
    <w:rsid w:val="00571D96"/>
    <w:rsid w:val="00571E64"/>
    <w:rsid w:val="005721E2"/>
    <w:rsid w:val="005722BE"/>
    <w:rsid w:val="00572336"/>
    <w:rsid w:val="00572367"/>
    <w:rsid w:val="00572470"/>
    <w:rsid w:val="0057263E"/>
    <w:rsid w:val="00572D2B"/>
    <w:rsid w:val="00572ECC"/>
    <w:rsid w:val="00573213"/>
    <w:rsid w:val="005732D6"/>
    <w:rsid w:val="00573543"/>
    <w:rsid w:val="005735D5"/>
    <w:rsid w:val="0057362E"/>
    <w:rsid w:val="0057398C"/>
    <w:rsid w:val="00573AA9"/>
    <w:rsid w:val="00573B1C"/>
    <w:rsid w:val="00573B32"/>
    <w:rsid w:val="00573B8A"/>
    <w:rsid w:val="00573F06"/>
    <w:rsid w:val="005741E9"/>
    <w:rsid w:val="00574430"/>
    <w:rsid w:val="005747A2"/>
    <w:rsid w:val="005747B8"/>
    <w:rsid w:val="005748D0"/>
    <w:rsid w:val="005749C5"/>
    <w:rsid w:val="00574B79"/>
    <w:rsid w:val="00574E23"/>
    <w:rsid w:val="00574E5F"/>
    <w:rsid w:val="00574FC1"/>
    <w:rsid w:val="00575233"/>
    <w:rsid w:val="00575329"/>
    <w:rsid w:val="005755AA"/>
    <w:rsid w:val="00575643"/>
    <w:rsid w:val="0057588A"/>
    <w:rsid w:val="005758A2"/>
    <w:rsid w:val="00575D03"/>
    <w:rsid w:val="00575E61"/>
    <w:rsid w:val="0057627D"/>
    <w:rsid w:val="005765CA"/>
    <w:rsid w:val="00576778"/>
    <w:rsid w:val="00576C55"/>
    <w:rsid w:val="00576C98"/>
    <w:rsid w:val="00576E0D"/>
    <w:rsid w:val="00576F99"/>
    <w:rsid w:val="005770EC"/>
    <w:rsid w:val="005774ED"/>
    <w:rsid w:val="00577520"/>
    <w:rsid w:val="005775E4"/>
    <w:rsid w:val="00577828"/>
    <w:rsid w:val="00577855"/>
    <w:rsid w:val="00577B94"/>
    <w:rsid w:val="00577BCC"/>
    <w:rsid w:val="00577F3E"/>
    <w:rsid w:val="00577F79"/>
    <w:rsid w:val="00580126"/>
    <w:rsid w:val="0058029F"/>
    <w:rsid w:val="00580460"/>
    <w:rsid w:val="0058077D"/>
    <w:rsid w:val="005809B5"/>
    <w:rsid w:val="00580AF3"/>
    <w:rsid w:val="00580F1A"/>
    <w:rsid w:val="0058102B"/>
    <w:rsid w:val="00581222"/>
    <w:rsid w:val="0058122A"/>
    <w:rsid w:val="00581631"/>
    <w:rsid w:val="0058172B"/>
    <w:rsid w:val="00581CC4"/>
    <w:rsid w:val="00581D2A"/>
    <w:rsid w:val="00581D8C"/>
    <w:rsid w:val="00582374"/>
    <w:rsid w:val="00582559"/>
    <w:rsid w:val="0058257B"/>
    <w:rsid w:val="0058258F"/>
    <w:rsid w:val="0058259E"/>
    <w:rsid w:val="0058267A"/>
    <w:rsid w:val="005826B0"/>
    <w:rsid w:val="005826D6"/>
    <w:rsid w:val="00582726"/>
    <w:rsid w:val="00582830"/>
    <w:rsid w:val="005833F7"/>
    <w:rsid w:val="00583402"/>
    <w:rsid w:val="00583BF6"/>
    <w:rsid w:val="00583CBB"/>
    <w:rsid w:val="005841CF"/>
    <w:rsid w:val="00584260"/>
    <w:rsid w:val="00584518"/>
    <w:rsid w:val="00584569"/>
    <w:rsid w:val="00584932"/>
    <w:rsid w:val="00584A3A"/>
    <w:rsid w:val="00584A40"/>
    <w:rsid w:val="00584D92"/>
    <w:rsid w:val="00584F00"/>
    <w:rsid w:val="00585618"/>
    <w:rsid w:val="00585697"/>
    <w:rsid w:val="005856E9"/>
    <w:rsid w:val="00585949"/>
    <w:rsid w:val="00585C91"/>
    <w:rsid w:val="00585F11"/>
    <w:rsid w:val="00585F35"/>
    <w:rsid w:val="00586140"/>
    <w:rsid w:val="00586195"/>
    <w:rsid w:val="005863D4"/>
    <w:rsid w:val="0058669F"/>
    <w:rsid w:val="00586781"/>
    <w:rsid w:val="005867E4"/>
    <w:rsid w:val="0058699C"/>
    <w:rsid w:val="00586A1B"/>
    <w:rsid w:val="00586A67"/>
    <w:rsid w:val="00586B91"/>
    <w:rsid w:val="00586F89"/>
    <w:rsid w:val="005873C5"/>
    <w:rsid w:val="005875D1"/>
    <w:rsid w:val="005876FB"/>
    <w:rsid w:val="00587854"/>
    <w:rsid w:val="005879A3"/>
    <w:rsid w:val="00587A7E"/>
    <w:rsid w:val="00587A96"/>
    <w:rsid w:val="00587AD7"/>
    <w:rsid w:val="00587BD3"/>
    <w:rsid w:val="00587D3D"/>
    <w:rsid w:val="00587F10"/>
    <w:rsid w:val="00590285"/>
    <w:rsid w:val="005902C1"/>
    <w:rsid w:val="00590401"/>
    <w:rsid w:val="00590454"/>
    <w:rsid w:val="0059072F"/>
    <w:rsid w:val="0059077F"/>
    <w:rsid w:val="00590920"/>
    <w:rsid w:val="00590948"/>
    <w:rsid w:val="00590A0F"/>
    <w:rsid w:val="0059101B"/>
    <w:rsid w:val="00591387"/>
    <w:rsid w:val="00591394"/>
    <w:rsid w:val="00591468"/>
    <w:rsid w:val="005916C5"/>
    <w:rsid w:val="00591CE3"/>
    <w:rsid w:val="005920EC"/>
    <w:rsid w:val="00592142"/>
    <w:rsid w:val="005921FC"/>
    <w:rsid w:val="00592302"/>
    <w:rsid w:val="00592372"/>
    <w:rsid w:val="005923F1"/>
    <w:rsid w:val="00592401"/>
    <w:rsid w:val="005924BB"/>
    <w:rsid w:val="0059264B"/>
    <w:rsid w:val="0059269E"/>
    <w:rsid w:val="00592897"/>
    <w:rsid w:val="00592B0E"/>
    <w:rsid w:val="00592D20"/>
    <w:rsid w:val="00592D88"/>
    <w:rsid w:val="00592FB7"/>
    <w:rsid w:val="005931A6"/>
    <w:rsid w:val="005931B3"/>
    <w:rsid w:val="00593274"/>
    <w:rsid w:val="00593A65"/>
    <w:rsid w:val="00593A71"/>
    <w:rsid w:val="00593DED"/>
    <w:rsid w:val="00593E88"/>
    <w:rsid w:val="005942BC"/>
    <w:rsid w:val="00594362"/>
    <w:rsid w:val="0059444B"/>
    <w:rsid w:val="00594773"/>
    <w:rsid w:val="00594FEA"/>
    <w:rsid w:val="0059500B"/>
    <w:rsid w:val="00595120"/>
    <w:rsid w:val="005952AC"/>
    <w:rsid w:val="005952FC"/>
    <w:rsid w:val="00595351"/>
    <w:rsid w:val="0059546D"/>
    <w:rsid w:val="005954F8"/>
    <w:rsid w:val="00595711"/>
    <w:rsid w:val="0059577A"/>
    <w:rsid w:val="005957C8"/>
    <w:rsid w:val="00595FE7"/>
    <w:rsid w:val="00596371"/>
    <w:rsid w:val="005965C7"/>
    <w:rsid w:val="005966E6"/>
    <w:rsid w:val="00596ADC"/>
    <w:rsid w:val="00596DB7"/>
    <w:rsid w:val="00597582"/>
    <w:rsid w:val="00597D06"/>
    <w:rsid w:val="00597F71"/>
    <w:rsid w:val="00597FC1"/>
    <w:rsid w:val="00597FF8"/>
    <w:rsid w:val="005A045D"/>
    <w:rsid w:val="005A046F"/>
    <w:rsid w:val="005A04B4"/>
    <w:rsid w:val="005A050E"/>
    <w:rsid w:val="005A063A"/>
    <w:rsid w:val="005A082D"/>
    <w:rsid w:val="005A0A06"/>
    <w:rsid w:val="005A0A7B"/>
    <w:rsid w:val="005A0C1E"/>
    <w:rsid w:val="005A0EEA"/>
    <w:rsid w:val="005A10DC"/>
    <w:rsid w:val="005A11C1"/>
    <w:rsid w:val="005A1353"/>
    <w:rsid w:val="005A15BA"/>
    <w:rsid w:val="005A1A2A"/>
    <w:rsid w:val="005A1B10"/>
    <w:rsid w:val="005A1D69"/>
    <w:rsid w:val="005A1F3E"/>
    <w:rsid w:val="005A23C8"/>
    <w:rsid w:val="005A2575"/>
    <w:rsid w:val="005A27DA"/>
    <w:rsid w:val="005A2910"/>
    <w:rsid w:val="005A2B26"/>
    <w:rsid w:val="005A2E8D"/>
    <w:rsid w:val="005A3092"/>
    <w:rsid w:val="005A31ED"/>
    <w:rsid w:val="005A3250"/>
    <w:rsid w:val="005A349E"/>
    <w:rsid w:val="005A34A1"/>
    <w:rsid w:val="005A36E2"/>
    <w:rsid w:val="005A3805"/>
    <w:rsid w:val="005A380A"/>
    <w:rsid w:val="005A38DA"/>
    <w:rsid w:val="005A3C5C"/>
    <w:rsid w:val="005A3DA0"/>
    <w:rsid w:val="005A3E28"/>
    <w:rsid w:val="005A4291"/>
    <w:rsid w:val="005A42CB"/>
    <w:rsid w:val="005A4420"/>
    <w:rsid w:val="005A4761"/>
    <w:rsid w:val="005A4CE8"/>
    <w:rsid w:val="005A4F14"/>
    <w:rsid w:val="005A55A9"/>
    <w:rsid w:val="005A5622"/>
    <w:rsid w:val="005A56E1"/>
    <w:rsid w:val="005A58B1"/>
    <w:rsid w:val="005A5FBC"/>
    <w:rsid w:val="005A6283"/>
    <w:rsid w:val="005A6322"/>
    <w:rsid w:val="005A636C"/>
    <w:rsid w:val="005A63B8"/>
    <w:rsid w:val="005A660F"/>
    <w:rsid w:val="005A671E"/>
    <w:rsid w:val="005A69C4"/>
    <w:rsid w:val="005A6B1A"/>
    <w:rsid w:val="005A6D20"/>
    <w:rsid w:val="005A76A4"/>
    <w:rsid w:val="005A76F6"/>
    <w:rsid w:val="005A78D2"/>
    <w:rsid w:val="005A7B33"/>
    <w:rsid w:val="005A7C0A"/>
    <w:rsid w:val="005A7D1D"/>
    <w:rsid w:val="005B0127"/>
    <w:rsid w:val="005B0631"/>
    <w:rsid w:val="005B0D0B"/>
    <w:rsid w:val="005B103C"/>
    <w:rsid w:val="005B1065"/>
    <w:rsid w:val="005B1264"/>
    <w:rsid w:val="005B175B"/>
    <w:rsid w:val="005B1786"/>
    <w:rsid w:val="005B185B"/>
    <w:rsid w:val="005B18AF"/>
    <w:rsid w:val="005B1B9D"/>
    <w:rsid w:val="005B297B"/>
    <w:rsid w:val="005B29F6"/>
    <w:rsid w:val="005B2D0D"/>
    <w:rsid w:val="005B2E19"/>
    <w:rsid w:val="005B2FA3"/>
    <w:rsid w:val="005B300A"/>
    <w:rsid w:val="005B30F9"/>
    <w:rsid w:val="005B31E0"/>
    <w:rsid w:val="005B3389"/>
    <w:rsid w:val="005B3623"/>
    <w:rsid w:val="005B36DA"/>
    <w:rsid w:val="005B38A4"/>
    <w:rsid w:val="005B396C"/>
    <w:rsid w:val="005B3C0D"/>
    <w:rsid w:val="005B4117"/>
    <w:rsid w:val="005B41D4"/>
    <w:rsid w:val="005B455C"/>
    <w:rsid w:val="005B4698"/>
    <w:rsid w:val="005B475D"/>
    <w:rsid w:val="005B4C0A"/>
    <w:rsid w:val="005B5059"/>
    <w:rsid w:val="005B5396"/>
    <w:rsid w:val="005B56C9"/>
    <w:rsid w:val="005B5824"/>
    <w:rsid w:val="005B5915"/>
    <w:rsid w:val="005B5A02"/>
    <w:rsid w:val="005B604F"/>
    <w:rsid w:val="005B6B36"/>
    <w:rsid w:val="005B6D02"/>
    <w:rsid w:val="005B6D47"/>
    <w:rsid w:val="005B7079"/>
    <w:rsid w:val="005B7308"/>
    <w:rsid w:val="005B73AC"/>
    <w:rsid w:val="005B7C18"/>
    <w:rsid w:val="005C0033"/>
    <w:rsid w:val="005C0034"/>
    <w:rsid w:val="005C0042"/>
    <w:rsid w:val="005C03AB"/>
    <w:rsid w:val="005C046F"/>
    <w:rsid w:val="005C04AE"/>
    <w:rsid w:val="005C0568"/>
    <w:rsid w:val="005C08B8"/>
    <w:rsid w:val="005C090A"/>
    <w:rsid w:val="005C0A2E"/>
    <w:rsid w:val="005C0D0F"/>
    <w:rsid w:val="005C174F"/>
    <w:rsid w:val="005C1795"/>
    <w:rsid w:val="005C199A"/>
    <w:rsid w:val="005C1B08"/>
    <w:rsid w:val="005C1B86"/>
    <w:rsid w:val="005C1F95"/>
    <w:rsid w:val="005C1FC7"/>
    <w:rsid w:val="005C20C7"/>
    <w:rsid w:val="005C2166"/>
    <w:rsid w:val="005C22C4"/>
    <w:rsid w:val="005C2888"/>
    <w:rsid w:val="005C2A75"/>
    <w:rsid w:val="005C30B4"/>
    <w:rsid w:val="005C3434"/>
    <w:rsid w:val="005C34F2"/>
    <w:rsid w:val="005C36D4"/>
    <w:rsid w:val="005C386E"/>
    <w:rsid w:val="005C397A"/>
    <w:rsid w:val="005C39BD"/>
    <w:rsid w:val="005C409A"/>
    <w:rsid w:val="005C4120"/>
    <w:rsid w:val="005C413A"/>
    <w:rsid w:val="005C4153"/>
    <w:rsid w:val="005C4196"/>
    <w:rsid w:val="005C45F7"/>
    <w:rsid w:val="005C467C"/>
    <w:rsid w:val="005C4837"/>
    <w:rsid w:val="005C4851"/>
    <w:rsid w:val="005C48E6"/>
    <w:rsid w:val="005C48F5"/>
    <w:rsid w:val="005C48FF"/>
    <w:rsid w:val="005C4B9B"/>
    <w:rsid w:val="005C4BFB"/>
    <w:rsid w:val="005C4DC7"/>
    <w:rsid w:val="005C4E59"/>
    <w:rsid w:val="005C4EA4"/>
    <w:rsid w:val="005C51AB"/>
    <w:rsid w:val="005C5219"/>
    <w:rsid w:val="005C54F6"/>
    <w:rsid w:val="005C5819"/>
    <w:rsid w:val="005C5877"/>
    <w:rsid w:val="005C5978"/>
    <w:rsid w:val="005C59DB"/>
    <w:rsid w:val="005C5C32"/>
    <w:rsid w:val="005C5D2A"/>
    <w:rsid w:val="005C641F"/>
    <w:rsid w:val="005C649E"/>
    <w:rsid w:val="005C6508"/>
    <w:rsid w:val="005C65EA"/>
    <w:rsid w:val="005C663F"/>
    <w:rsid w:val="005C682F"/>
    <w:rsid w:val="005C7735"/>
    <w:rsid w:val="005C7986"/>
    <w:rsid w:val="005C7C4A"/>
    <w:rsid w:val="005C7D26"/>
    <w:rsid w:val="005C7E7F"/>
    <w:rsid w:val="005C7F69"/>
    <w:rsid w:val="005C7FC6"/>
    <w:rsid w:val="005D02D8"/>
    <w:rsid w:val="005D0831"/>
    <w:rsid w:val="005D0CFB"/>
    <w:rsid w:val="005D0DC8"/>
    <w:rsid w:val="005D114F"/>
    <w:rsid w:val="005D117F"/>
    <w:rsid w:val="005D1838"/>
    <w:rsid w:val="005D19E6"/>
    <w:rsid w:val="005D1C55"/>
    <w:rsid w:val="005D1CD3"/>
    <w:rsid w:val="005D201B"/>
    <w:rsid w:val="005D2157"/>
    <w:rsid w:val="005D2898"/>
    <w:rsid w:val="005D2A7A"/>
    <w:rsid w:val="005D2B5B"/>
    <w:rsid w:val="005D2E0F"/>
    <w:rsid w:val="005D3038"/>
    <w:rsid w:val="005D30AB"/>
    <w:rsid w:val="005D30DE"/>
    <w:rsid w:val="005D311F"/>
    <w:rsid w:val="005D334F"/>
    <w:rsid w:val="005D349F"/>
    <w:rsid w:val="005D36AF"/>
    <w:rsid w:val="005D3700"/>
    <w:rsid w:val="005D38B7"/>
    <w:rsid w:val="005D3C51"/>
    <w:rsid w:val="005D3CA0"/>
    <w:rsid w:val="005D3CE9"/>
    <w:rsid w:val="005D3EE9"/>
    <w:rsid w:val="005D4120"/>
    <w:rsid w:val="005D4296"/>
    <w:rsid w:val="005D434C"/>
    <w:rsid w:val="005D471E"/>
    <w:rsid w:val="005D4ACC"/>
    <w:rsid w:val="005D4BC2"/>
    <w:rsid w:val="005D4D9B"/>
    <w:rsid w:val="005D4E76"/>
    <w:rsid w:val="005D50B1"/>
    <w:rsid w:val="005D50C4"/>
    <w:rsid w:val="005D51F6"/>
    <w:rsid w:val="005D53EA"/>
    <w:rsid w:val="005D54B4"/>
    <w:rsid w:val="005D54F2"/>
    <w:rsid w:val="005D560F"/>
    <w:rsid w:val="005D5662"/>
    <w:rsid w:val="005D5ADA"/>
    <w:rsid w:val="005D5B73"/>
    <w:rsid w:val="005D5E97"/>
    <w:rsid w:val="005D5EF4"/>
    <w:rsid w:val="005D65CE"/>
    <w:rsid w:val="005D6837"/>
    <w:rsid w:val="005D6B74"/>
    <w:rsid w:val="005D6B7A"/>
    <w:rsid w:val="005D739B"/>
    <w:rsid w:val="005D771A"/>
    <w:rsid w:val="005D7760"/>
    <w:rsid w:val="005D776C"/>
    <w:rsid w:val="005D78A9"/>
    <w:rsid w:val="005D79D6"/>
    <w:rsid w:val="005D7A5C"/>
    <w:rsid w:val="005D7A82"/>
    <w:rsid w:val="005D7AA8"/>
    <w:rsid w:val="005D7AB3"/>
    <w:rsid w:val="005E05CB"/>
    <w:rsid w:val="005E05F8"/>
    <w:rsid w:val="005E08DE"/>
    <w:rsid w:val="005E09A4"/>
    <w:rsid w:val="005E0AEA"/>
    <w:rsid w:val="005E0F0B"/>
    <w:rsid w:val="005E0FA4"/>
    <w:rsid w:val="005E1034"/>
    <w:rsid w:val="005E10BE"/>
    <w:rsid w:val="005E1181"/>
    <w:rsid w:val="005E14C1"/>
    <w:rsid w:val="005E16E8"/>
    <w:rsid w:val="005E18C0"/>
    <w:rsid w:val="005E18FF"/>
    <w:rsid w:val="005E1936"/>
    <w:rsid w:val="005E1BAB"/>
    <w:rsid w:val="005E2380"/>
    <w:rsid w:val="005E2767"/>
    <w:rsid w:val="005E29AF"/>
    <w:rsid w:val="005E2A0D"/>
    <w:rsid w:val="005E2FC4"/>
    <w:rsid w:val="005E3118"/>
    <w:rsid w:val="005E332A"/>
    <w:rsid w:val="005E372B"/>
    <w:rsid w:val="005E3BEB"/>
    <w:rsid w:val="005E3C7E"/>
    <w:rsid w:val="005E417F"/>
    <w:rsid w:val="005E42FD"/>
    <w:rsid w:val="005E4354"/>
    <w:rsid w:val="005E43F3"/>
    <w:rsid w:val="005E4594"/>
    <w:rsid w:val="005E46D7"/>
    <w:rsid w:val="005E4C19"/>
    <w:rsid w:val="005E4C72"/>
    <w:rsid w:val="005E4CEE"/>
    <w:rsid w:val="005E4E76"/>
    <w:rsid w:val="005E4F62"/>
    <w:rsid w:val="005E50C4"/>
    <w:rsid w:val="005E521F"/>
    <w:rsid w:val="005E5942"/>
    <w:rsid w:val="005E5AC3"/>
    <w:rsid w:val="005E5B73"/>
    <w:rsid w:val="005E6359"/>
    <w:rsid w:val="005E64CF"/>
    <w:rsid w:val="005E6885"/>
    <w:rsid w:val="005E695F"/>
    <w:rsid w:val="005E6B59"/>
    <w:rsid w:val="005E6CA8"/>
    <w:rsid w:val="005E6FC4"/>
    <w:rsid w:val="005E71FF"/>
    <w:rsid w:val="005E72E5"/>
    <w:rsid w:val="005E7359"/>
    <w:rsid w:val="005E7433"/>
    <w:rsid w:val="005E757C"/>
    <w:rsid w:val="005E7583"/>
    <w:rsid w:val="005E77EE"/>
    <w:rsid w:val="005E79A5"/>
    <w:rsid w:val="005E7A9F"/>
    <w:rsid w:val="005E7DFB"/>
    <w:rsid w:val="005E7E0B"/>
    <w:rsid w:val="005F002F"/>
    <w:rsid w:val="005F024A"/>
    <w:rsid w:val="005F034D"/>
    <w:rsid w:val="005F058B"/>
    <w:rsid w:val="005F077B"/>
    <w:rsid w:val="005F0929"/>
    <w:rsid w:val="005F0E5A"/>
    <w:rsid w:val="005F0E67"/>
    <w:rsid w:val="005F10F7"/>
    <w:rsid w:val="005F12EF"/>
    <w:rsid w:val="005F1808"/>
    <w:rsid w:val="005F1B87"/>
    <w:rsid w:val="005F1DD6"/>
    <w:rsid w:val="005F1E30"/>
    <w:rsid w:val="005F2375"/>
    <w:rsid w:val="005F245B"/>
    <w:rsid w:val="005F25F9"/>
    <w:rsid w:val="005F2806"/>
    <w:rsid w:val="005F2AED"/>
    <w:rsid w:val="005F2D2F"/>
    <w:rsid w:val="005F2F47"/>
    <w:rsid w:val="005F31CF"/>
    <w:rsid w:val="005F3235"/>
    <w:rsid w:val="005F3353"/>
    <w:rsid w:val="005F34CC"/>
    <w:rsid w:val="005F358E"/>
    <w:rsid w:val="005F37A4"/>
    <w:rsid w:val="005F38E7"/>
    <w:rsid w:val="005F3BC7"/>
    <w:rsid w:val="005F3CDA"/>
    <w:rsid w:val="005F3E75"/>
    <w:rsid w:val="005F3EDF"/>
    <w:rsid w:val="005F40FB"/>
    <w:rsid w:val="005F4132"/>
    <w:rsid w:val="005F416C"/>
    <w:rsid w:val="005F439A"/>
    <w:rsid w:val="005F4439"/>
    <w:rsid w:val="005F4738"/>
    <w:rsid w:val="005F493F"/>
    <w:rsid w:val="005F4965"/>
    <w:rsid w:val="005F4AD9"/>
    <w:rsid w:val="005F5248"/>
    <w:rsid w:val="005F584C"/>
    <w:rsid w:val="005F5B4B"/>
    <w:rsid w:val="005F5C3F"/>
    <w:rsid w:val="005F5D89"/>
    <w:rsid w:val="005F5E49"/>
    <w:rsid w:val="005F604A"/>
    <w:rsid w:val="005F617C"/>
    <w:rsid w:val="005F6524"/>
    <w:rsid w:val="005F68CD"/>
    <w:rsid w:val="005F69A5"/>
    <w:rsid w:val="005F6AE9"/>
    <w:rsid w:val="005F6F11"/>
    <w:rsid w:val="005F6FD6"/>
    <w:rsid w:val="005F712C"/>
    <w:rsid w:val="005F723F"/>
    <w:rsid w:val="005F7406"/>
    <w:rsid w:val="005F7501"/>
    <w:rsid w:val="005F7556"/>
    <w:rsid w:val="005F75F2"/>
    <w:rsid w:val="005F78AA"/>
    <w:rsid w:val="005F7B5E"/>
    <w:rsid w:val="005F7B8C"/>
    <w:rsid w:val="005F7C31"/>
    <w:rsid w:val="005F7DCF"/>
    <w:rsid w:val="005F7EC7"/>
    <w:rsid w:val="0060008E"/>
    <w:rsid w:val="0060029E"/>
    <w:rsid w:val="0060037E"/>
    <w:rsid w:val="0060042A"/>
    <w:rsid w:val="006004B9"/>
    <w:rsid w:val="00600776"/>
    <w:rsid w:val="006009CF"/>
    <w:rsid w:val="00600A3A"/>
    <w:rsid w:val="00600A63"/>
    <w:rsid w:val="00600AE3"/>
    <w:rsid w:val="00600B35"/>
    <w:rsid w:val="00600C00"/>
    <w:rsid w:val="00600D13"/>
    <w:rsid w:val="00600ECF"/>
    <w:rsid w:val="00600FF6"/>
    <w:rsid w:val="00601153"/>
    <w:rsid w:val="0060126C"/>
    <w:rsid w:val="00601355"/>
    <w:rsid w:val="006013CA"/>
    <w:rsid w:val="006013D1"/>
    <w:rsid w:val="00601772"/>
    <w:rsid w:val="006018B6"/>
    <w:rsid w:val="00601AA6"/>
    <w:rsid w:val="00601B85"/>
    <w:rsid w:val="00601D88"/>
    <w:rsid w:val="00602099"/>
    <w:rsid w:val="0060292C"/>
    <w:rsid w:val="00602A0E"/>
    <w:rsid w:val="00602EB9"/>
    <w:rsid w:val="00602ED4"/>
    <w:rsid w:val="006030EA"/>
    <w:rsid w:val="0060311E"/>
    <w:rsid w:val="006031ED"/>
    <w:rsid w:val="006036F8"/>
    <w:rsid w:val="006037D4"/>
    <w:rsid w:val="006037DD"/>
    <w:rsid w:val="006038E8"/>
    <w:rsid w:val="00603AEB"/>
    <w:rsid w:val="00603B24"/>
    <w:rsid w:val="006040AF"/>
    <w:rsid w:val="00604168"/>
    <w:rsid w:val="00604202"/>
    <w:rsid w:val="00604532"/>
    <w:rsid w:val="006047FA"/>
    <w:rsid w:val="006048D4"/>
    <w:rsid w:val="00604999"/>
    <w:rsid w:val="00604C74"/>
    <w:rsid w:val="00604CC8"/>
    <w:rsid w:val="00604DBA"/>
    <w:rsid w:val="00605280"/>
    <w:rsid w:val="006052D3"/>
    <w:rsid w:val="006053D4"/>
    <w:rsid w:val="00605456"/>
    <w:rsid w:val="00605681"/>
    <w:rsid w:val="00605856"/>
    <w:rsid w:val="00605875"/>
    <w:rsid w:val="006058E1"/>
    <w:rsid w:val="00605A72"/>
    <w:rsid w:val="00606050"/>
    <w:rsid w:val="0060607F"/>
    <w:rsid w:val="00606173"/>
    <w:rsid w:val="0060644E"/>
    <w:rsid w:val="00606457"/>
    <w:rsid w:val="006064AF"/>
    <w:rsid w:val="00606537"/>
    <w:rsid w:val="006066B6"/>
    <w:rsid w:val="00606BCD"/>
    <w:rsid w:val="00606EC7"/>
    <w:rsid w:val="006070D4"/>
    <w:rsid w:val="00607142"/>
    <w:rsid w:val="0060721F"/>
    <w:rsid w:val="006073A7"/>
    <w:rsid w:val="0060786E"/>
    <w:rsid w:val="00607BAA"/>
    <w:rsid w:val="00607E3D"/>
    <w:rsid w:val="00607F3E"/>
    <w:rsid w:val="00610148"/>
    <w:rsid w:val="00610556"/>
    <w:rsid w:val="006105E7"/>
    <w:rsid w:val="0061084F"/>
    <w:rsid w:val="006108DD"/>
    <w:rsid w:val="00610D43"/>
    <w:rsid w:val="00610D47"/>
    <w:rsid w:val="006115FC"/>
    <w:rsid w:val="00611852"/>
    <w:rsid w:val="006119AC"/>
    <w:rsid w:val="00611BB0"/>
    <w:rsid w:val="00611E0F"/>
    <w:rsid w:val="00611EAA"/>
    <w:rsid w:val="0061217F"/>
    <w:rsid w:val="0061220A"/>
    <w:rsid w:val="0061290D"/>
    <w:rsid w:val="006129BD"/>
    <w:rsid w:val="00612BCA"/>
    <w:rsid w:val="00612F31"/>
    <w:rsid w:val="00612F76"/>
    <w:rsid w:val="00612F9D"/>
    <w:rsid w:val="006131A7"/>
    <w:rsid w:val="00613965"/>
    <w:rsid w:val="00613B80"/>
    <w:rsid w:val="00613D09"/>
    <w:rsid w:val="00614029"/>
    <w:rsid w:val="006142B0"/>
    <w:rsid w:val="006143A2"/>
    <w:rsid w:val="0061473D"/>
    <w:rsid w:val="006147C0"/>
    <w:rsid w:val="006148B7"/>
    <w:rsid w:val="00614E3B"/>
    <w:rsid w:val="00615227"/>
    <w:rsid w:val="00615241"/>
    <w:rsid w:val="00615718"/>
    <w:rsid w:val="006158E9"/>
    <w:rsid w:val="00615CDF"/>
    <w:rsid w:val="00616292"/>
    <w:rsid w:val="006162B4"/>
    <w:rsid w:val="00616717"/>
    <w:rsid w:val="006169CE"/>
    <w:rsid w:val="006169DC"/>
    <w:rsid w:val="00616B10"/>
    <w:rsid w:val="00616CE3"/>
    <w:rsid w:val="00616CF4"/>
    <w:rsid w:val="00616D69"/>
    <w:rsid w:val="00616E2F"/>
    <w:rsid w:val="0061740C"/>
    <w:rsid w:val="006175C0"/>
    <w:rsid w:val="0061774C"/>
    <w:rsid w:val="006177B2"/>
    <w:rsid w:val="00617884"/>
    <w:rsid w:val="006179DE"/>
    <w:rsid w:val="00617F2E"/>
    <w:rsid w:val="00617F99"/>
    <w:rsid w:val="00620009"/>
    <w:rsid w:val="0062003E"/>
    <w:rsid w:val="006200CE"/>
    <w:rsid w:val="006200F6"/>
    <w:rsid w:val="0062012E"/>
    <w:rsid w:val="0062050B"/>
    <w:rsid w:val="006206C6"/>
    <w:rsid w:val="00620C39"/>
    <w:rsid w:val="00620D6A"/>
    <w:rsid w:val="00620F77"/>
    <w:rsid w:val="006210A4"/>
    <w:rsid w:val="0062118D"/>
    <w:rsid w:val="006211EC"/>
    <w:rsid w:val="0062164B"/>
    <w:rsid w:val="00621CEE"/>
    <w:rsid w:val="00621FF4"/>
    <w:rsid w:val="00622004"/>
    <w:rsid w:val="006221CA"/>
    <w:rsid w:val="006221DC"/>
    <w:rsid w:val="0062235E"/>
    <w:rsid w:val="0062251E"/>
    <w:rsid w:val="006229F1"/>
    <w:rsid w:val="00622A9E"/>
    <w:rsid w:val="00622D5C"/>
    <w:rsid w:val="00622D73"/>
    <w:rsid w:val="00622F90"/>
    <w:rsid w:val="00623082"/>
    <w:rsid w:val="006239E8"/>
    <w:rsid w:val="00623B3B"/>
    <w:rsid w:val="00623B92"/>
    <w:rsid w:val="00623BCA"/>
    <w:rsid w:val="00623C56"/>
    <w:rsid w:val="00624544"/>
    <w:rsid w:val="0062455D"/>
    <w:rsid w:val="006245E5"/>
    <w:rsid w:val="0062462A"/>
    <w:rsid w:val="0062469D"/>
    <w:rsid w:val="00624B31"/>
    <w:rsid w:val="00624BC0"/>
    <w:rsid w:val="00624D5E"/>
    <w:rsid w:val="00624EDF"/>
    <w:rsid w:val="00625046"/>
    <w:rsid w:val="006252E6"/>
    <w:rsid w:val="006252FD"/>
    <w:rsid w:val="00625326"/>
    <w:rsid w:val="0062543C"/>
    <w:rsid w:val="0062550D"/>
    <w:rsid w:val="0062584F"/>
    <w:rsid w:val="00625B3D"/>
    <w:rsid w:val="00625C79"/>
    <w:rsid w:val="00625CBD"/>
    <w:rsid w:val="00625CF2"/>
    <w:rsid w:val="00626544"/>
    <w:rsid w:val="006268C9"/>
    <w:rsid w:val="0062691A"/>
    <w:rsid w:val="00626AF8"/>
    <w:rsid w:val="00626CBF"/>
    <w:rsid w:val="0062721E"/>
    <w:rsid w:val="0062729D"/>
    <w:rsid w:val="0062736B"/>
    <w:rsid w:val="00627408"/>
    <w:rsid w:val="006277A2"/>
    <w:rsid w:val="0062792B"/>
    <w:rsid w:val="00627B1E"/>
    <w:rsid w:val="00627C31"/>
    <w:rsid w:val="00627D70"/>
    <w:rsid w:val="0063046A"/>
    <w:rsid w:val="006305CF"/>
    <w:rsid w:val="00630946"/>
    <w:rsid w:val="00630CF7"/>
    <w:rsid w:val="00630E27"/>
    <w:rsid w:val="006311BF"/>
    <w:rsid w:val="00631291"/>
    <w:rsid w:val="006312BD"/>
    <w:rsid w:val="006319CF"/>
    <w:rsid w:val="00631CF2"/>
    <w:rsid w:val="00631D32"/>
    <w:rsid w:val="00631F2D"/>
    <w:rsid w:val="006324AB"/>
    <w:rsid w:val="00632617"/>
    <w:rsid w:val="006327B8"/>
    <w:rsid w:val="0063287F"/>
    <w:rsid w:val="006328B4"/>
    <w:rsid w:val="00632A1F"/>
    <w:rsid w:val="00632EC7"/>
    <w:rsid w:val="00632FA3"/>
    <w:rsid w:val="0063305E"/>
    <w:rsid w:val="0063323E"/>
    <w:rsid w:val="00633248"/>
    <w:rsid w:val="006333ED"/>
    <w:rsid w:val="00633571"/>
    <w:rsid w:val="006338D8"/>
    <w:rsid w:val="00633C91"/>
    <w:rsid w:val="00633E50"/>
    <w:rsid w:val="00634071"/>
    <w:rsid w:val="006342CF"/>
    <w:rsid w:val="0063439D"/>
    <w:rsid w:val="00634409"/>
    <w:rsid w:val="00634411"/>
    <w:rsid w:val="00634757"/>
    <w:rsid w:val="00634A11"/>
    <w:rsid w:val="00634C50"/>
    <w:rsid w:val="00634ED0"/>
    <w:rsid w:val="00634F3D"/>
    <w:rsid w:val="00635023"/>
    <w:rsid w:val="006351E5"/>
    <w:rsid w:val="006351ED"/>
    <w:rsid w:val="006352D3"/>
    <w:rsid w:val="006353F6"/>
    <w:rsid w:val="0063578F"/>
    <w:rsid w:val="006357D6"/>
    <w:rsid w:val="006359AF"/>
    <w:rsid w:val="006359E8"/>
    <w:rsid w:val="006359F8"/>
    <w:rsid w:val="00635A15"/>
    <w:rsid w:val="00635CAB"/>
    <w:rsid w:val="00635F32"/>
    <w:rsid w:val="00636266"/>
    <w:rsid w:val="00636278"/>
    <w:rsid w:val="006362B2"/>
    <w:rsid w:val="00636362"/>
    <w:rsid w:val="00636450"/>
    <w:rsid w:val="00636463"/>
    <w:rsid w:val="006365DA"/>
    <w:rsid w:val="00636781"/>
    <w:rsid w:val="0063679B"/>
    <w:rsid w:val="006367B6"/>
    <w:rsid w:val="006367BE"/>
    <w:rsid w:val="006368C3"/>
    <w:rsid w:val="0063691F"/>
    <w:rsid w:val="00636CD8"/>
    <w:rsid w:val="006370CA"/>
    <w:rsid w:val="0063733E"/>
    <w:rsid w:val="006375A3"/>
    <w:rsid w:val="0063788F"/>
    <w:rsid w:val="00637948"/>
    <w:rsid w:val="0063799E"/>
    <w:rsid w:val="00637C33"/>
    <w:rsid w:val="00637D79"/>
    <w:rsid w:val="00637D8E"/>
    <w:rsid w:val="00637DFA"/>
    <w:rsid w:val="00640065"/>
    <w:rsid w:val="006401BF"/>
    <w:rsid w:val="0064034E"/>
    <w:rsid w:val="006406A8"/>
    <w:rsid w:val="00640960"/>
    <w:rsid w:val="006409E1"/>
    <w:rsid w:val="00640A70"/>
    <w:rsid w:val="00640BC9"/>
    <w:rsid w:val="00640C4C"/>
    <w:rsid w:val="0064129A"/>
    <w:rsid w:val="006413C1"/>
    <w:rsid w:val="006414F1"/>
    <w:rsid w:val="006416C2"/>
    <w:rsid w:val="006417FE"/>
    <w:rsid w:val="00641941"/>
    <w:rsid w:val="0064199E"/>
    <w:rsid w:val="00641C1C"/>
    <w:rsid w:val="00641D93"/>
    <w:rsid w:val="00641E74"/>
    <w:rsid w:val="00641F4A"/>
    <w:rsid w:val="00642187"/>
    <w:rsid w:val="00642198"/>
    <w:rsid w:val="0064226D"/>
    <w:rsid w:val="00642B6E"/>
    <w:rsid w:val="00642E53"/>
    <w:rsid w:val="006431D4"/>
    <w:rsid w:val="006433A0"/>
    <w:rsid w:val="00643440"/>
    <w:rsid w:val="00643528"/>
    <w:rsid w:val="006436CE"/>
    <w:rsid w:val="00643784"/>
    <w:rsid w:val="006439FC"/>
    <w:rsid w:val="00643AB7"/>
    <w:rsid w:val="00643ABF"/>
    <w:rsid w:val="00643AC3"/>
    <w:rsid w:val="00643E7B"/>
    <w:rsid w:val="00643F2A"/>
    <w:rsid w:val="00643F58"/>
    <w:rsid w:val="006441BD"/>
    <w:rsid w:val="00644308"/>
    <w:rsid w:val="006443BA"/>
    <w:rsid w:val="00644517"/>
    <w:rsid w:val="0064477A"/>
    <w:rsid w:val="00644B38"/>
    <w:rsid w:val="00644C41"/>
    <w:rsid w:val="00644E4E"/>
    <w:rsid w:val="00645041"/>
    <w:rsid w:val="00645147"/>
    <w:rsid w:val="0064543F"/>
    <w:rsid w:val="0064552C"/>
    <w:rsid w:val="00645668"/>
    <w:rsid w:val="006456CA"/>
    <w:rsid w:val="00645922"/>
    <w:rsid w:val="006459C7"/>
    <w:rsid w:val="00645A21"/>
    <w:rsid w:val="00645CA0"/>
    <w:rsid w:val="006460A3"/>
    <w:rsid w:val="006461E9"/>
    <w:rsid w:val="006470A1"/>
    <w:rsid w:val="00647247"/>
    <w:rsid w:val="006472BD"/>
    <w:rsid w:val="00647ACE"/>
    <w:rsid w:val="00647B01"/>
    <w:rsid w:val="00647C70"/>
    <w:rsid w:val="00647C73"/>
    <w:rsid w:val="00647F13"/>
    <w:rsid w:val="00647FF5"/>
    <w:rsid w:val="006501BC"/>
    <w:rsid w:val="006502CE"/>
    <w:rsid w:val="00650422"/>
    <w:rsid w:val="00650647"/>
    <w:rsid w:val="00650A6E"/>
    <w:rsid w:val="00650B7E"/>
    <w:rsid w:val="00650DF4"/>
    <w:rsid w:val="00651042"/>
    <w:rsid w:val="0065136A"/>
    <w:rsid w:val="006516F6"/>
    <w:rsid w:val="006516F7"/>
    <w:rsid w:val="00651B51"/>
    <w:rsid w:val="00651D1B"/>
    <w:rsid w:val="00651DCE"/>
    <w:rsid w:val="00651E4E"/>
    <w:rsid w:val="00652214"/>
    <w:rsid w:val="0065274A"/>
    <w:rsid w:val="0065279D"/>
    <w:rsid w:val="00652C0C"/>
    <w:rsid w:val="00652CC7"/>
    <w:rsid w:val="00653161"/>
    <w:rsid w:val="00653191"/>
    <w:rsid w:val="006533CE"/>
    <w:rsid w:val="00653497"/>
    <w:rsid w:val="0065349D"/>
    <w:rsid w:val="00653623"/>
    <w:rsid w:val="00653662"/>
    <w:rsid w:val="00653876"/>
    <w:rsid w:val="00653887"/>
    <w:rsid w:val="00653B55"/>
    <w:rsid w:val="00653DF6"/>
    <w:rsid w:val="00653DFD"/>
    <w:rsid w:val="00653E24"/>
    <w:rsid w:val="00654102"/>
    <w:rsid w:val="006543B0"/>
    <w:rsid w:val="006544EA"/>
    <w:rsid w:val="0065470F"/>
    <w:rsid w:val="00654E94"/>
    <w:rsid w:val="006550C7"/>
    <w:rsid w:val="006552E0"/>
    <w:rsid w:val="00655535"/>
    <w:rsid w:val="00655A4F"/>
    <w:rsid w:val="00655F29"/>
    <w:rsid w:val="00655FCA"/>
    <w:rsid w:val="0065605A"/>
    <w:rsid w:val="0065645A"/>
    <w:rsid w:val="00656512"/>
    <w:rsid w:val="00656517"/>
    <w:rsid w:val="006565F0"/>
    <w:rsid w:val="00656698"/>
    <w:rsid w:val="00656932"/>
    <w:rsid w:val="00656944"/>
    <w:rsid w:val="006569C1"/>
    <w:rsid w:val="00656A1E"/>
    <w:rsid w:val="00656B87"/>
    <w:rsid w:val="00656B98"/>
    <w:rsid w:val="00656C0E"/>
    <w:rsid w:val="00656EA7"/>
    <w:rsid w:val="00656F0C"/>
    <w:rsid w:val="00656F8B"/>
    <w:rsid w:val="006572DA"/>
    <w:rsid w:val="00657685"/>
    <w:rsid w:val="006577CE"/>
    <w:rsid w:val="00657817"/>
    <w:rsid w:val="00657C70"/>
    <w:rsid w:val="00657E73"/>
    <w:rsid w:val="00657EE5"/>
    <w:rsid w:val="00660155"/>
    <w:rsid w:val="0066065C"/>
    <w:rsid w:val="00660809"/>
    <w:rsid w:val="00660840"/>
    <w:rsid w:val="00660943"/>
    <w:rsid w:val="00660BA7"/>
    <w:rsid w:val="00660F57"/>
    <w:rsid w:val="00661260"/>
    <w:rsid w:val="00661323"/>
    <w:rsid w:val="006615D2"/>
    <w:rsid w:val="0066176A"/>
    <w:rsid w:val="006618D2"/>
    <w:rsid w:val="0066195B"/>
    <w:rsid w:val="00661961"/>
    <w:rsid w:val="00661EA1"/>
    <w:rsid w:val="00662002"/>
    <w:rsid w:val="0066240E"/>
    <w:rsid w:val="00662783"/>
    <w:rsid w:val="0066279E"/>
    <w:rsid w:val="00662B25"/>
    <w:rsid w:val="00662D6E"/>
    <w:rsid w:val="006630FE"/>
    <w:rsid w:val="0066310A"/>
    <w:rsid w:val="00663200"/>
    <w:rsid w:val="006632A4"/>
    <w:rsid w:val="00663483"/>
    <w:rsid w:val="006635C3"/>
    <w:rsid w:val="00663C6D"/>
    <w:rsid w:val="00663EA1"/>
    <w:rsid w:val="00663F3F"/>
    <w:rsid w:val="006641D2"/>
    <w:rsid w:val="00664726"/>
    <w:rsid w:val="00664837"/>
    <w:rsid w:val="006648AD"/>
    <w:rsid w:val="00664BE7"/>
    <w:rsid w:val="00664BE9"/>
    <w:rsid w:val="00664CC4"/>
    <w:rsid w:val="00664EBC"/>
    <w:rsid w:val="0066504D"/>
    <w:rsid w:val="006651CC"/>
    <w:rsid w:val="00665486"/>
    <w:rsid w:val="006657A1"/>
    <w:rsid w:val="006657AD"/>
    <w:rsid w:val="00665AFA"/>
    <w:rsid w:val="00666144"/>
    <w:rsid w:val="00666EF7"/>
    <w:rsid w:val="0066706B"/>
    <w:rsid w:val="00667347"/>
    <w:rsid w:val="00667453"/>
    <w:rsid w:val="00667535"/>
    <w:rsid w:val="006676D3"/>
    <w:rsid w:val="0066772C"/>
    <w:rsid w:val="00667A48"/>
    <w:rsid w:val="00667AF3"/>
    <w:rsid w:val="00667FDC"/>
    <w:rsid w:val="00670407"/>
    <w:rsid w:val="0067061E"/>
    <w:rsid w:val="00670883"/>
    <w:rsid w:val="006710CB"/>
    <w:rsid w:val="0067144C"/>
    <w:rsid w:val="0067151B"/>
    <w:rsid w:val="006718E5"/>
    <w:rsid w:val="0067192A"/>
    <w:rsid w:val="00671A09"/>
    <w:rsid w:val="00671A39"/>
    <w:rsid w:val="00671A75"/>
    <w:rsid w:val="00671CAD"/>
    <w:rsid w:val="00671D95"/>
    <w:rsid w:val="00671E12"/>
    <w:rsid w:val="0067216E"/>
    <w:rsid w:val="006722CB"/>
    <w:rsid w:val="006723B6"/>
    <w:rsid w:val="0067277D"/>
    <w:rsid w:val="00672E35"/>
    <w:rsid w:val="00673047"/>
    <w:rsid w:val="00673071"/>
    <w:rsid w:val="006731E0"/>
    <w:rsid w:val="00673289"/>
    <w:rsid w:val="0067351A"/>
    <w:rsid w:val="0067384D"/>
    <w:rsid w:val="006739F6"/>
    <w:rsid w:val="00673AF3"/>
    <w:rsid w:val="00673B43"/>
    <w:rsid w:val="00673B5F"/>
    <w:rsid w:val="00673C6F"/>
    <w:rsid w:val="00673CD2"/>
    <w:rsid w:val="00673DF5"/>
    <w:rsid w:val="00674057"/>
    <w:rsid w:val="006741AF"/>
    <w:rsid w:val="00674527"/>
    <w:rsid w:val="00674677"/>
    <w:rsid w:val="0067486B"/>
    <w:rsid w:val="00674970"/>
    <w:rsid w:val="0067501E"/>
    <w:rsid w:val="006752C2"/>
    <w:rsid w:val="0067547C"/>
    <w:rsid w:val="00675631"/>
    <w:rsid w:val="006759BA"/>
    <w:rsid w:val="00675CD9"/>
    <w:rsid w:val="006765ED"/>
    <w:rsid w:val="006765FB"/>
    <w:rsid w:val="00676B82"/>
    <w:rsid w:val="00676ED8"/>
    <w:rsid w:val="00676F19"/>
    <w:rsid w:val="0067731A"/>
    <w:rsid w:val="0067772C"/>
    <w:rsid w:val="00677ADB"/>
    <w:rsid w:val="00677F39"/>
    <w:rsid w:val="00677FA2"/>
    <w:rsid w:val="00680174"/>
    <w:rsid w:val="00680399"/>
    <w:rsid w:val="006804E9"/>
    <w:rsid w:val="00680B13"/>
    <w:rsid w:val="00680B54"/>
    <w:rsid w:val="00680E5F"/>
    <w:rsid w:val="00680E64"/>
    <w:rsid w:val="0068120E"/>
    <w:rsid w:val="0068136C"/>
    <w:rsid w:val="0068138D"/>
    <w:rsid w:val="0068143D"/>
    <w:rsid w:val="00681568"/>
    <w:rsid w:val="00681701"/>
    <w:rsid w:val="00681AAE"/>
    <w:rsid w:val="00681B04"/>
    <w:rsid w:val="00681E76"/>
    <w:rsid w:val="00682043"/>
    <w:rsid w:val="0068207E"/>
    <w:rsid w:val="00682125"/>
    <w:rsid w:val="006822CA"/>
    <w:rsid w:val="00682313"/>
    <w:rsid w:val="00683072"/>
    <w:rsid w:val="00683283"/>
    <w:rsid w:val="006833A7"/>
    <w:rsid w:val="00683533"/>
    <w:rsid w:val="006837D1"/>
    <w:rsid w:val="00683861"/>
    <w:rsid w:val="006838F9"/>
    <w:rsid w:val="0068398A"/>
    <w:rsid w:val="00683CDD"/>
    <w:rsid w:val="00683F16"/>
    <w:rsid w:val="00683FD6"/>
    <w:rsid w:val="0068422B"/>
    <w:rsid w:val="0068463B"/>
    <w:rsid w:val="006846F0"/>
    <w:rsid w:val="0068482A"/>
    <w:rsid w:val="006848F4"/>
    <w:rsid w:val="00684AC5"/>
    <w:rsid w:val="00684ADD"/>
    <w:rsid w:val="0068528E"/>
    <w:rsid w:val="00685338"/>
    <w:rsid w:val="0068543A"/>
    <w:rsid w:val="00685630"/>
    <w:rsid w:val="0068585C"/>
    <w:rsid w:val="006858BC"/>
    <w:rsid w:val="006859A4"/>
    <w:rsid w:val="00685D7F"/>
    <w:rsid w:val="00685FDC"/>
    <w:rsid w:val="00686198"/>
    <w:rsid w:val="0068622E"/>
    <w:rsid w:val="00686816"/>
    <w:rsid w:val="00686A24"/>
    <w:rsid w:val="00686A3C"/>
    <w:rsid w:val="00686AC8"/>
    <w:rsid w:val="00686BF6"/>
    <w:rsid w:val="00686DE5"/>
    <w:rsid w:val="006870F7"/>
    <w:rsid w:val="0068717F"/>
    <w:rsid w:val="00687516"/>
    <w:rsid w:val="00687952"/>
    <w:rsid w:val="00687988"/>
    <w:rsid w:val="00687B13"/>
    <w:rsid w:val="00687F81"/>
    <w:rsid w:val="00690080"/>
    <w:rsid w:val="00690953"/>
    <w:rsid w:val="00690962"/>
    <w:rsid w:val="00690C47"/>
    <w:rsid w:val="00690DC7"/>
    <w:rsid w:val="0069118F"/>
    <w:rsid w:val="006911EF"/>
    <w:rsid w:val="006911F0"/>
    <w:rsid w:val="006911FD"/>
    <w:rsid w:val="0069139D"/>
    <w:rsid w:val="0069147B"/>
    <w:rsid w:val="006917AF"/>
    <w:rsid w:val="00691AF6"/>
    <w:rsid w:val="00691D7C"/>
    <w:rsid w:val="006922C5"/>
    <w:rsid w:val="0069251A"/>
    <w:rsid w:val="0069253F"/>
    <w:rsid w:val="006926A8"/>
    <w:rsid w:val="00692815"/>
    <w:rsid w:val="00692C7B"/>
    <w:rsid w:val="00692CE2"/>
    <w:rsid w:val="006931D8"/>
    <w:rsid w:val="0069369B"/>
    <w:rsid w:val="00693795"/>
    <w:rsid w:val="00693836"/>
    <w:rsid w:val="00693A3C"/>
    <w:rsid w:val="00693AD8"/>
    <w:rsid w:val="00693AF6"/>
    <w:rsid w:val="00693D66"/>
    <w:rsid w:val="00693E59"/>
    <w:rsid w:val="00693F17"/>
    <w:rsid w:val="0069410E"/>
    <w:rsid w:val="0069424A"/>
    <w:rsid w:val="006946E2"/>
    <w:rsid w:val="006946F0"/>
    <w:rsid w:val="0069480C"/>
    <w:rsid w:val="00694885"/>
    <w:rsid w:val="00694A58"/>
    <w:rsid w:val="00694E67"/>
    <w:rsid w:val="00694F60"/>
    <w:rsid w:val="006951E3"/>
    <w:rsid w:val="00695403"/>
    <w:rsid w:val="00695471"/>
    <w:rsid w:val="00695496"/>
    <w:rsid w:val="006957FF"/>
    <w:rsid w:val="00695873"/>
    <w:rsid w:val="006958DB"/>
    <w:rsid w:val="00695AF5"/>
    <w:rsid w:val="00696087"/>
    <w:rsid w:val="00696093"/>
    <w:rsid w:val="006960A1"/>
    <w:rsid w:val="00696258"/>
    <w:rsid w:val="00696606"/>
    <w:rsid w:val="006966B9"/>
    <w:rsid w:val="0069693C"/>
    <w:rsid w:val="00696FE2"/>
    <w:rsid w:val="006970A6"/>
    <w:rsid w:val="006972A4"/>
    <w:rsid w:val="0069737E"/>
    <w:rsid w:val="006973B5"/>
    <w:rsid w:val="0069783C"/>
    <w:rsid w:val="006A01A7"/>
    <w:rsid w:val="006A01F1"/>
    <w:rsid w:val="006A01FC"/>
    <w:rsid w:val="006A05C0"/>
    <w:rsid w:val="006A05E1"/>
    <w:rsid w:val="006A05EA"/>
    <w:rsid w:val="006A0884"/>
    <w:rsid w:val="006A0C77"/>
    <w:rsid w:val="006A0E90"/>
    <w:rsid w:val="006A0F6E"/>
    <w:rsid w:val="006A116B"/>
    <w:rsid w:val="006A162C"/>
    <w:rsid w:val="006A178D"/>
    <w:rsid w:val="006A1A17"/>
    <w:rsid w:val="006A2BCF"/>
    <w:rsid w:val="006A2C80"/>
    <w:rsid w:val="006A2C99"/>
    <w:rsid w:val="006A2F11"/>
    <w:rsid w:val="006A307F"/>
    <w:rsid w:val="006A333E"/>
    <w:rsid w:val="006A335B"/>
    <w:rsid w:val="006A34B7"/>
    <w:rsid w:val="006A36DC"/>
    <w:rsid w:val="006A370A"/>
    <w:rsid w:val="006A374A"/>
    <w:rsid w:val="006A3E4F"/>
    <w:rsid w:val="006A4150"/>
    <w:rsid w:val="006A4314"/>
    <w:rsid w:val="006A4377"/>
    <w:rsid w:val="006A445A"/>
    <w:rsid w:val="006A4610"/>
    <w:rsid w:val="006A463B"/>
    <w:rsid w:val="006A4669"/>
    <w:rsid w:val="006A47AC"/>
    <w:rsid w:val="006A49EA"/>
    <w:rsid w:val="006A4C00"/>
    <w:rsid w:val="006A4D8C"/>
    <w:rsid w:val="006A4DB9"/>
    <w:rsid w:val="006A5231"/>
    <w:rsid w:val="006A523A"/>
    <w:rsid w:val="006A559F"/>
    <w:rsid w:val="006A5713"/>
    <w:rsid w:val="006A5856"/>
    <w:rsid w:val="006A5C45"/>
    <w:rsid w:val="006A5C6E"/>
    <w:rsid w:val="006A602F"/>
    <w:rsid w:val="006A6031"/>
    <w:rsid w:val="006A61DC"/>
    <w:rsid w:val="006A650A"/>
    <w:rsid w:val="006A6643"/>
    <w:rsid w:val="006A66BC"/>
    <w:rsid w:val="006A6C64"/>
    <w:rsid w:val="006A6D03"/>
    <w:rsid w:val="006A6D61"/>
    <w:rsid w:val="006A70DE"/>
    <w:rsid w:val="006A7166"/>
    <w:rsid w:val="006A73C1"/>
    <w:rsid w:val="006A771A"/>
    <w:rsid w:val="006A78A0"/>
    <w:rsid w:val="006A79B2"/>
    <w:rsid w:val="006B00D2"/>
    <w:rsid w:val="006B013F"/>
    <w:rsid w:val="006B022D"/>
    <w:rsid w:val="006B04BC"/>
    <w:rsid w:val="006B0D2A"/>
    <w:rsid w:val="006B0D9B"/>
    <w:rsid w:val="006B0F71"/>
    <w:rsid w:val="006B0FFB"/>
    <w:rsid w:val="006B1399"/>
    <w:rsid w:val="006B14F0"/>
    <w:rsid w:val="006B1536"/>
    <w:rsid w:val="006B19DF"/>
    <w:rsid w:val="006B1B7E"/>
    <w:rsid w:val="006B1C7E"/>
    <w:rsid w:val="006B1CF1"/>
    <w:rsid w:val="006B2192"/>
    <w:rsid w:val="006B21C0"/>
    <w:rsid w:val="006B22AF"/>
    <w:rsid w:val="006B23C1"/>
    <w:rsid w:val="006B2C90"/>
    <w:rsid w:val="006B3429"/>
    <w:rsid w:val="006B3449"/>
    <w:rsid w:val="006B3551"/>
    <w:rsid w:val="006B3621"/>
    <w:rsid w:val="006B36B7"/>
    <w:rsid w:val="006B389F"/>
    <w:rsid w:val="006B390D"/>
    <w:rsid w:val="006B3AA3"/>
    <w:rsid w:val="006B3B65"/>
    <w:rsid w:val="006B3BAB"/>
    <w:rsid w:val="006B3C5A"/>
    <w:rsid w:val="006B3DF1"/>
    <w:rsid w:val="006B47D6"/>
    <w:rsid w:val="006B4A57"/>
    <w:rsid w:val="006B4A74"/>
    <w:rsid w:val="006B4A9A"/>
    <w:rsid w:val="006B503C"/>
    <w:rsid w:val="006B5094"/>
    <w:rsid w:val="006B50AD"/>
    <w:rsid w:val="006B5530"/>
    <w:rsid w:val="006B5A32"/>
    <w:rsid w:val="006B5DED"/>
    <w:rsid w:val="006B64C1"/>
    <w:rsid w:val="006B6861"/>
    <w:rsid w:val="006B6D3A"/>
    <w:rsid w:val="006B6D58"/>
    <w:rsid w:val="006B7079"/>
    <w:rsid w:val="006B7770"/>
    <w:rsid w:val="006C0025"/>
    <w:rsid w:val="006C0283"/>
    <w:rsid w:val="006C0494"/>
    <w:rsid w:val="006C0531"/>
    <w:rsid w:val="006C05A9"/>
    <w:rsid w:val="006C06E2"/>
    <w:rsid w:val="006C0745"/>
    <w:rsid w:val="006C097C"/>
    <w:rsid w:val="006C0B6A"/>
    <w:rsid w:val="006C0C0A"/>
    <w:rsid w:val="006C0CFF"/>
    <w:rsid w:val="006C0F81"/>
    <w:rsid w:val="006C1040"/>
    <w:rsid w:val="006C111F"/>
    <w:rsid w:val="006C1627"/>
    <w:rsid w:val="006C1770"/>
    <w:rsid w:val="006C1969"/>
    <w:rsid w:val="006C1AC3"/>
    <w:rsid w:val="006C1E8B"/>
    <w:rsid w:val="006C1E93"/>
    <w:rsid w:val="006C1EF0"/>
    <w:rsid w:val="006C21EF"/>
    <w:rsid w:val="006C292D"/>
    <w:rsid w:val="006C3282"/>
    <w:rsid w:val="006C32AC"/>
    <w:rsid w:val="006C3358"/>
    <w:rsid w:val="006C3382"/>
    <w:rsid w:val="006C36C8"/>
    <w:rsid w:val="006C36DA"/>
    <w:rsid w:val="006C3812"/>
    <w:rsid w:val="006C3885"/>
    <w:rsid w:val="006C3962"/>
    <w:rsid w:val="006C39E8"/>
    <w:rsid w:val="006C3C32"/>
    <w:rsid w:val="006C3EC2"/>
    <w:rsid w:val="006C3FF3"/>
    <w:rsid w:val="006C407B"/>
    <w:rsid w:val="006C42BC"/>
    <w:rsid w:val="006C4341"/>
    <w:rsid w:val="006C4747"/>
    <w:rsid w:val="006C4810"/>
    <w:rsid w:val="006C498D"/>
    <w:rsid w:val="006C4B3B"/>
    <w:rsid w:val="006C51AE"/>
    <w:rsid w:val="006C5374"/>
    <w:rsid w:val="006C565D"/>
    <w:rsid w:val="006C57E0"/>
    <w:rsid w:val="006C5802"/>
    <w:rsid w:val="006C58FC"/>
    <w:rsid w:val="006C5AE5"/>
    <w:rsid w:val="006C5BE2"/>
    <w:rsid w:val="006C5C7A"/>
    <w:rsid w:val="006C5C80"/>
    <w:rsid w:val="006C5E00"/>
    <w:rsid w:val="006C65B2"/>
    <w:rsid w:val="006C66F1"/>
    <w:rsid w:val="006C6701"/>
    <w:rsid w:val="006C686C"/>
    <w:rsid w:val="006C689C"/>
    <w:rsid w:val="006C6928"/>
    <w:rsid w:val="006C699E"/>
    <w:rsid w:val="006C6DC2"/>
    <w:rsid w:val="006C6F46"/>
    <w:rsid w:val="006C7122"/>
    <w:rsid w:val="006C7146"/>
    <w:rsid w:val="006C7435"/>
    <w:rsid w:val="006C7516"/>
    <w:rsid w:val="006C76B4"/>
    <w:rsid w:val="006C784F"/>
    <w:rsid w:val="006C7BC8"/>
    <w:rsid w:val="006C7E6A"/>
    <w:rsid w:val="006C7F98"/>
    <w:rsid w:val="006D014E"/>
    <w:rsid w:val="006D0230"/>
    <w:rsid w:val="006D04C6"/>
    <w:rsid w:val="006D0521"/>
    <w:rsid w:val="006D0596"/>
    <w:rsid w:val="006D0C73"/>
    <w:rsid w:val="006D0D7C"/>
    <w:rsid w:val="006D1336"/>
    <w:rsid w:val="006D1499"/>
    <w:rsid w:val="006D14BE"/>
    <w:rsid w:val="006D14DD"/>
    <w:rsid w:val="006D1511"/>
    <w:rsid w:val="006D174D"/>
    <w:rsid w:val="006D1913"/>
    <w:rsid w:val="006D1947"/>
    <w:rsid w:val="006D2011"/>
    <w:rsid w:val="006D2016"/>
    <w:rsid w:val="006D21A7"/>
    <w:rsid w:val="006D251D"/>
    <w:rsid w:val="006D26D3"/>
    <w:rsid w:val="006D284F"/>
    <w:rsid w:val="006D29DB"/>
    <w:rsid w:val="006D2A61"/>
    <w:rsid w:val="006D3026"/>
    <w:rsid w:val="006D3130"/>
    <w:rsid w:val="006D331F"/>
    <w:rsid w:val="006D3332"/>
    <w:rsid w:val="006D33D9"/>
    <w:rsid w:val="006D346F"/>
    <w:rsid w:val="006D348D"/>
    <w:rsid w:val="006D37E5"/>
    <w:rsid w:val="006D3C08"/>
    <w:rsid w:val="006D3C40"/>
    <w:rsid w:val="006D3FB5"/>
    <w:rsid w:val="006D4011"/>
    <w:rsid w:val="006D4654"/>
    <w:rsid w:val="006D4BE2"/>
    <w:rsid w:val="006D4CCA"/>
    <w:rsid w:val="006D4DDB"/>
    <w:rsid w:val="006D50C6"/>
    <w:rsid w:val="006D5247"/>
    <w:rsid w:val="006D5484"/>
    <w:rsid w:val="006D54B1"/>
    <w:rsid w:val="006D553E"/>
    <w:rsid w:val="006D55CE"/>
    <w:rsid w:val="006D5959"/>
    <w:rsid w:val="006D5AAF"/>
    <w:rsid w:val="006D5AD7"/>
    <w:rsid w:val="006D626B"/>
    <w:rsid w:val="006D647D"/>
    <w:rsid w:val="006D6BEE"/>
    <w:rsid w:val="006D6D99"/>
    <w:rsid w:val="006D7415"/>
    <w:rsid w:val="006D789B"/>
    <w:rsid w:val="006D7A83"/>
    <w:rsid w:val="006D7B36"/>
    <w:rsid w:val="006D7FCE"/>
    <w:rsid w:val="006E0011"/>
    <w:rsid w:val="006E00E4"/>
    <w:rsid w:val="006E0E31"/>
    <w:rsid w:val="006E1010"/>
    <w:rsid w:val="006E1119"/>
    <w:rsid w:val="006E1170"/>
    <w:rsid w:val="006E11CF"/>
    <w:rsid w:val="006E12BC"/>
    <w:rsid w:val="006E14CD"/>
    <w:rsid w:val="006E1932"/>
    <w:rsid w:val="006E1A63"/>
    <w:rsid w:val="006E1C5B"/>
    <w:rsid w:val="006E1C5D"/>
    <w:rsid w:val="006E1E76"/>
    <w:rsid w:val="006E2270"/>
    <w:rsid w:val="006E23C6"/>
    <w:rsid w:val="006E28B8"/>
    <w:rsid w:val="006E2904"/>
    <w:rsid w:val="006E2B59"/>
    <w:rsid w:val="006E2E20"/>
    <w:rsid w:val="006E310A"/>
    <w:rsid w:val="006E315D"/>
    <w:rsid w:val="006E3330"/>
    <w:rsid w:val="006E35BF"/>
    <w:rsid w:val="006E3CC5"/>
    <w:rsid w:val="006E3D29"/>
    <w:rsid w:val="006E3F4C"/>
    <w:rsid w:val="006E441E"/>
    <w:rsid w:val="006E4734"/>
    <w:rsid w:val="006E48D1"/>
    <w:rsid w:val="006E4A29"/>
    <w:rsid w:val="006E4C8C"/>
    <w:rsid w:val="006E4D1E"/>
    <w:rsid w:val="006E4F2F"/>
    <w:rsid w:val="006E5341"/>
    <w:rsid w:val="006E567A"/>
    <w:rsid w:val="006E5809"/>
    <w:rsid w:val="006E58B6"/>
    <w:rsid w:val="006E5C3D"/>
    <w:rsid w:val="006E5EF0"/>
    <w:rsid w:val="006E6306"/>
    <w:rsid w:val="006E638E"/>
    <w:rsid w:val="006E63FD"/>
    <w:rsid w:val="006E65C6"/>
    <w:rsid w:val="006E6637"/>
    <w:rsid w:val="006E6644"/>
    <w:rsid w:val="006E6928"/>
    <w:rsid w:val="006E6AF8"/>
    <w:rsid w:val="006E6C9F"/>
    <w:rsid w:val="006E6E47"/>
    <w:rsid w:val="006E6E7A"/>
    <w:rsid w:val="006E6F73"/>
    <w:rsid w:val="006E7095"/>
    <w:rsid w:val="006E72AC"/>
    <w:rsid w:val="006E72B9"/>
    <w:rsid w:val="006E73E8"/>
    <w:rsid w:val="006E75D3"/>
    <w:rsid w:val="006E7771"/>
    <w:rsid w:val="006E7780"/>
    <w:rsid w:val="006E7782"/>
    <w:rsid w:val="006E791B"/>
    <w:rsid w:val="006E79BC"/>
    <w:rsid w:val="006E7A93"/>
    <w:rsid w:val="006E7BA3"/>
    <w:rsid w:val="006E7D7E"/>
    <w:rsid w:val="006E7F73"/>
    <w:rsid w:val="006F033F"/>
    <w:rsid w:val="006F078C"/>
    <w:rsid w:val="006F0B6F"/>
    <w:rsid w:val="006F0D0D"/>
    <w:rsid w:val="006F0ED3"/>
    <w:rsid w:val="006F13AA"/>
    <w:rsid w:val="006F164D"/>
    <w:rsid w:val="006F171C"/>
    <w:rsid w:val="006F1BE9"/>
    <w:rsid w:val="006F2323"/>
    <w:rsid w:val="006F2437"/>
    <w:rsid w:val="006F25BC"/>
    <w:rsid w:val="006F2C5A"/>
    <w:rsid w:val="006F306E"/>
    <w:rsid w:val="006F30B1"/>
    <w:rsid w:val="006F341F"/>
    <w:rsid w:val="006F34E6"/>
    <w:rsid w:val="006F3670"/>
    <w:rsid w:val="006F37D8"/>
    <w:rsid w:val="006F38AA"/>
    <w:rsid w:val="006F3BD0"/>
    <w:rsid w:val="006F3F0C"/>
    <w:rsid w:val="006F418B"/>
    <w:rsid w:val="006F4A69"/>
    <w:rsid w:val="006F4B83"/>
    <w:rsid w:val="006F4B84"/>
    <w:rsid w:val="006F4D9D"/>
    <w:rsid w:val="006F4F06"/>
    <w:rsid w:val="006F4F49"/>
    <w:rsid w:val="006F4FAC"/>
    <w:rsid w:val="006F5185"/>
    <w:rsid w:val="006F51C2"/>
    <w:rsid w:val="006F5257"/>
    <w:rsid w:val="006F5297"/>
    <w:rsid w:val="006F54AE"/>
    <w:rsid w:val="006F5B20"/>
    <w:rsid w:val="006F6071"/>
    <w:rsid w:val="006F60A4"/>
    <w:rsid w:val="006F6140"/>
    <w:rsid w:val="006F63F7"/>
    <w:rsid w:val="006F6499"/>
    <w:rsid w:val="006F66A0"/>
    <w:rsid w:val="006F675E"/>
    <w:rsid w:val="006F6B0D"/>
    <w:rsid w:val="006F6B54"/>
    <w:rsid w:val="006F6E09"/>
    <w:rsid w:val="006F73A1"/>
    <w:rsid w:val="006F7532"/>
    <w:rsid w:val="006F7652"/>
    <w:rsid w:val="006F7E28"/>
    <w:rsid w:val="006F7EA6"/>
    <w:rsid w:val="006F7EB0"/>
    <w:rsid w:val="006F7EE1"/>
    <w:rsid w:val="0070047B"/>
    <w:rsid w:val="007007FB"/>
    <w:rsid w:val="00700809"/>
    <w:rsid w:val="00700909"/>
    <w:rsid w:val="0070107B"/>
    <w:rsid w:val="0070145A"/>
    <w:rsid w:val="0070161C"/>
    <w:rsid w:val="007016B8"/>
    <w:rsid w:val="007018D6"/>
    <w:rsid w:val="00701A16"/>
    <w:rsid w:val="00701A70"/>
    <w:rsid w:val="00701B18"/>
    <w:rsid w:val="00701CA4"/>
    <w:rsid w:val="00702467"/>
    <w:rsid w:val="00702628"/>
    <w:rsid w:val="00702CA7"/>
    <w:rsid w:val="0070319C"/>
    <w:rsid w:val="00703397"/>
    <w:rsid w:val="007036C5"/>
    <w:rsid w:val="00703787"/>
    <w:rsid w:val="00703BA6"/>
    <w:rsid w:val="007041FF"/>
    <w:rsid w:val="007043FF"/>
    <w:rsid w:val="0070449A"/>
    <w:rsid w:val="0070458F"/>
    <w:rsid w:val="007045E6"/>
    <w:rsid w:val="007046B2"/>
    <w:rsid w:val="0070478D"/>
    <w:rsid w:val="00704804"/>
    <w:rsid w:val="007048BC"/>
    <w:rsid w:val="007049FF"/>
    <w:rsid w:val="00704ED6"/>
    <w:rsid w:val="007050ED"/>
    <w:rsid w:val="00705201"/>
    <w:rsid w:val="00705295"/>
    <w:rsid w:val="00705372"/>
    <w:rsid w:val="0070557A"/>
    <w:rsid w:val="007057ED"/>
    <w:rsid w:val="00705ABC"/>
    <w:rsid w:val="00705C51"/>
    <w:rsid w:val="00705EAF"/>
    <w:rsid w:val="007060DF"/>
    <w:rsid w:val="00706138"/>
    <w:rsid w:val="007066A7"/>
    <w:rsid w:val="00706BE4"/>
    <w:rsid w:val="00706F01"/>
    <w:rsid w:val="00707208"/>
    <w:rsid w:val="00707524"/>
    <w:rsid w:val="00707655"/>
    <w:rsid w:val="007077AE"/>
    <w:rsid w:val="00707873"/>
    <w:rsid w:val="007078AB"/>
    <w:rsid w:val="007078C1"/>
    <w:rsid w:val="00707BEC"/>
    <w:rsid w:val="00707F9D"/>
    <w:rsid w:val="0071029D"/>
    <w:rsid w:val="00710665"/>
    <w:rsid w:val="00710B1D"/>
    <w:rsid w:val="00710C6B"/>
    <w:rsid w:val="007110E3"/>
    <w:rsid w:val="0071170A"/>
    <w:rsid w:val="00711B75"/>
    <w:rsid w:val="00711C39"/>
    <w:rsid w:val="00711D91"/>
    <w:rsid w:val="00711DEC"/>
    <w:rsid w:val="00711EE1"/>
    <w:rsid w:val="0071206E"/>
    <w:rsid w:val="00712415"/>
    <w:rsid w:val="007124D1"/>
    <w:rsid w:val="0071277F"/>
    <w:rsid w:val="007127CF"/>
    <w:rsid w:val="00712E8E"/>
    <w:rsid w:val="007130F9"/>
    <w:rsid w:val="007130FB"/>
    <w:rsid w:val="0071312F"/>
    <w:rsid w:val="00713282"/>
    <w:rsid w:val="00713292"/>
    <w:rsid w:val="00713339"/>
    <w:rsid w:val="0071350B"/>
    <w:rsid w:val="007137EC"/>
    <w:rsid w:val="00713B24"/>
    <w:rsid w:val="00713CA6"/>
    <w:rsid w:val="0071433D"/>
    <w:rsid w:val="00714352"/>
    <w:rsid w:val="0071454E"/>
    <w:rsid w:val="00714635"/>
    <w:rsid w:val="00714666"/>
    <w:rsid w:val="0071496E"/>
    <w:rsid w:val="00714AA4"/>
    <w:rsid w:val="00714B7D"/>
    <w:rsid w:val="00714E24"/>
    <w:rsid w:val="00714F3F"/>
    <w:rsid w:val="0071540B"/>
    <w:rsid w:val="00715462"/>
    <w:rsid w:val="00715580"/>
    <w:rsid w:val="00715876"/>
    <w:rsid w:val="00715936"/>
    <w:rsid w:val="00715ABC"/>
    <w:rsid w:val="00715B8D"/>
    <w:rsid w:val="007161A2"/>
    <w:rsid w:val="0071633C"/>
    <w:rsid w:val="007165BC"/>
    <w:rsid w:val="0071685D"/>
    <w:rsid w:val="007169F0"/>
    <w:rsid w:val="00716A3E"/>
    <w:rsid w:val="00716AC5"/>
    <w:rsid w:val="00716C4A"/>
    <w:rsid w:val="00716D77"/>
    <w:rsid w:val="00716ED2"/>
    <w:rsid w:val="00716F89"/>
    <w:rsid w:val="007170F2"/>
    <w:rsid w:val="007172FA"/>
    <w:rsid w:val="007177BE"/>
    <w:rsid w:val="00717CF9"/>
    <w:rsid w:val="00717D0A"/>
    <w:rsid w:val="00717DC6"/>
    <w:rsid w:val="00717F02"/>
    <w:rsid w:val="00717FDA"/>
    <w:rsid w:val="007202A7"/>
    <w:rsid w:val="007203ED"/>
    <w:rsid w:val="007204EE"/>
    <w:rsid w:val="00720CE3"/>
    <w:rsid w:val="00720E47"/>
    <w:rsid w:val="00720E6F"/>
    <w:rsid w:val="00721126"/>
    <w:rsid w:val="00721299"/>
    <w:rsid w:val="007213FC"/>
    <w:rsid w:val="0072186C"/>
    <w:rsid w:val="007219E4"/>
    <w:rsid w:val="00721C24"/>
    <w:rsid w:val="00721D30"/>
    <w:rsid w:val="00721F89"/>
    <w:rsid w:val="00722100"/>
    <w:rsid w:val="0072217A"/>
    <w:rsid w:val="00722443"/>
    <w:rsid w:val="007226D6"/>
    <w:rsid w:val="007229DF"/>
    <w:rsid w:val="00722A72"/>
    <w:rsid w:val="00722ADC"/>
    <w:rsid w:val="00722BE0"/>
    <w:rsid w:val="00722C36"/>
    <w:rsid w:val="00722DBB"/>
    <w:rsid w:val="00722F6E"/>
    <w:rsid w:val="007230CE"/>
    <w:rsid w:val="00723232"/>
    <w:rsid w:val="0072327C"/>
    <w:rsid w:val="007233F0"/>
    <w:rsid w:val="0072376A"/>
    <w:rsid w:val="0072384C"/>
    <w:rsid w:val="007238B3"/>
    <w:rsid w:val="0072429D"/>
    <w:rsid w:val="007244F2"/>
    <w:rsid w:val="007245B9"/>
    <w:rsid w:val="00724647"/>
    <w:rsid w:val="007247FE"/>
    <w:rsid w:val="00724889"/>
    <w:rsid w:val="00724AEC"/>
    <w:rsid w:val="007250F4"/>
    <w:rsid w:val="00725146"/>
    <w:rsid w:val="007253F7"/>
    <w:rsid w:val="007254F2"/>
    <w:rsid w:val="00725C51"/>
    <w:rsid w:val="00725F86"/>
    <w:rsid w:val="00726238"/>
    <w:rsid w:val="00726618"/>
    <w:rsid w:val="007267AD"/>
    <w:rsid w:val="00726C98"/>
    <w:rsid w:val="00726D67"/>
    <w:rsid w:val="00726EDD"/>
    <w:rsid w:val="007270B1"/>
    <w:rsid w:val="007271AD"/>
    <w:rsid w:val="00727666"/>
    <w:rsid w:val="00727AD7"/>
    <w:rsid w:val="00727B62"/>
    <w:rsid w:val="00727BAE"/>
    <w:rsid w:val="00730023"/>
    <w:rsid w:val="00730174"/>
    <w:rsid w:val="007301D0"/>
    <w:rsid w:val="00730306"/>
    <w:rsid w:val="007309A3"/>
    <w:rsid w:val="0073108D"/>
    <w:rsid w:val="007311B3"/>
    <w:rsid w:val="00731439"/>
    <w:rsid w:val="0073149A"/>
    <w:rsid w:val="00731BC2"/>
    <w:rsid w:val="00731D33"/>
    <w:rsid w:val="00731D59"/>
    <w:rsid w:val="00731F6C"/>
    <w:rsid w:val="00732078"/>
    <w:rsid w:val="007321B5"/>
    <w:rsid w:val="0073236B"/>
    <w:rsid w:val="007323C8"/>
    <w:rsid w:val="007327AA"/>
    <w:rsid w:val="00732B13"/>
    <w:rsid w:val="00732C5C"/>
    <w:rsid w:val="00732D1D"/>
    <w:rsid w:val="00732F9F"/>
    <w:rsid w:val="007330CE"/>
    <w:rsid w:val="007338B0"/>
    <w:rsid w:val="00733C99"/>
    <w:rsid w:val="00733E62"/>
    <w:rsid w:val="00733ECA"/>
    <w:rsid w:val="007340BE"/>
    <w:rsid w:val="00734332"/>
    <w:rsid w:val="00734367"/>
    <w:rsid w:val="0073479A"/>
    <w:rsid w:val="00734EBE"/>
    <w:rsid w:val="00734FC1"/>
    <w:rsid w:val="00735066"/>
    <w:rsid w:val="0073515B"/>
    <w:rsid w:val="00735490"/>
    <w:rsid w:val="007354CC"/>
    <w:rsid w:val="0073577E"/>
    <w:rsid w:val="00735795"/>
    <w:rsid w:val="007357A9"/>
    <w:rsid w:val="0073593F"/>
    <w:rsid w:val="0073613E"/>
    <w:rsid w:val="0073629C"/>
    <w:rsid w:val="00736305"/>
    <w:rsid w:val="00736556"/>
    <w:rsid w:val="00736A32"/>
    <w:rsid w:val="00736C06"/>
    <w:rsid w:val="00736EB1"/>
    <w:rsid w:val="0073736B"/>
    <w:rsid w:val="00737709"/>
    <w:rsid w:val="00737730"/>
    <w:rsid w:val="00737884"/>
    <w:rsid w:val="00737F12"/>
    <w:rsid w:val="00740056"/>
    <w:rsid w:val="00740121"/>
    <w:rsid w:val="00740301"/>
    <w:rsid w:val="00740513"/>
    <w:rsid w:val="00740627"/>
    <w:rsid w:val="007408C5"/>
    <w:rsid w:val="00740A55"/>
    <w:rsid w:val="00740D25"/>
    <w:rsid w:val="00740D66"/>
    <w:rsid w:val="00740D94"/>
    <w:rsid w:val="007411FE"/>
    <w:rsid w:val="00741400"/>
    <w:rsid w:val="007414F3"/>
    <w:rsid w:val="007417DD"/>
    <w:rsid w:val="007418B2"/>
    <w:rsid w:val="007419E1"/>
    <w:rsid w:val="00741B69"/>
    <w:rsid w:val="00741DC6"/>
    <w:rsid w:val="00741FA2"/>
    <w:rsid w:val="00742106"/>
    <w:rsid w:val="007422F8"/>
    <w:rsid w:val="0074245C"/>
    <w:rsid w:val="00742557"/>
    <w:rsid w:val="007427A8"/>
    <w:rsid w:val="00742AC5"/>
    <w:rsid w:val="00742B9B"/>
    <w:rsid w:val="00742C07"/>
    <w:rsid w:val="00742DDD"/>
    <w:rsid w:val="00742DEC"/>
    <w:rsid w:val="0074302E"/>
    <w:rsid w:val="007431AF"/>
    <w:rsid w:val="0074333A"/>
    <w:rsid w:val="007434B7"/>
    <w:rsid w:val="00743504"/>
    <w:rsid w:val="00743659"/>
    <w:rsid w:val="00743749"/>
    <w:rsid w:val="00743870"/>
    <w:rsid w:val="007439C1"/>
    <w:rsid w:val="00743AAE"/>
    <w:rsid w:val="00743AC5"/>
    <w:rsid w:val="00743F58"/>
    <w:rsid w:val="007441D3"/>
    <w:rsid w:val="00744300"/>
    <w:rsid w:val="007448BE"/>
    <w:rsid w:val="007449B4"/>
    <w:rsid w:val="007449FF"/>
    <w:rsid w:val="00744C11"/>
    <w:rsid w:val="007450A2"/>
    <w:rsid w:val="00745463"/>
    <w:rsid w:val="00745588"/>
    <w:rsid w:val="00745862"/>
    <w:rsid w:val="0074637C"/>
    <w:rsid w:val="0074666A"/>
    <w:rsid w:val="00746878"/>
    <w:rsid w:val="00746A12"/>
    <w:rsid w:val="00746A79"/>
    <w:rsid w:val="007471A1"/>
    <w:rsid w:val="007471B7"/>
    <w:rsid w:val="0074734F"/>
    <w:rsid w:val="00747529"/>
    <w:rsid w:val="007477A4"/>
    <w:rsid w:val="0074796E"/>
    <w:rsid w:val="00747A06"/>
    <w:rsid w:val="00747B70"/>
    <w:rsid w:val="00747C60"/>
    <w:rsid w:val="00747CAC"/>
    <w:rsid w:val="00747DEB"/>
    <w:rsid w:val="007501F2"/>
    <w:rsid w:val="0075036C"/>
    <w:rsid w:val="007503E3"/>
    <w:rsid w:val="00750423"/>
    <w:rsid w:val="00750438"/>
    <w:rsid w:val="00750A25"/>
    <w:rsid w:val="00750C18"/>
    <w:rsid w:val="00751072"/>
    <w:rsid w:val="00751201"/>
    <w:rsid w:val="007516AE"/>
    <w:rsid w:val="00751949"/>
    <w:rsid w:val="00751CCD"/>
    <w:rsid w:val="0075208B"/>
    <w:rsid w:val="007522D2"/>
    <w:rsid w:val="0075231F"/>
    <w:rsid w:val="00752354"/>
    <w:rsid w:val="00752E35"/>
    <w:rsid w:val="00753169"/>
    <w:rsid w:val="007536D4"/>
    <w:rsid w:val="00753D4F"/>
    <w:rsid w:val="00753D6F"/>
    <w:rsid w:val="00753E64"/>
    <w:rsid w:val="007541FD"/>
    <w:rsid w:val="0075435F"/>
    <w:rsid w:val="00754586"/>
    <w:rsid w:val="007546B6"/>
    <w:rsid w:val="00754700"/>
    <w:rsid w:val="00754711"/>
    <w:rsid w:val="007549F8"/>
    <w:rsid w:val="00754EA5"/>
    <w:rsid w:val="00755054"/>
    <w:rsid w:val="0075509A"/>
    <w:rsid w:val="007551CD"/>
    <w:rsid w:val="0075538B"/>
    <w:rsid w:val="00755450"/>
    <w:rsid w:val="00755461"/>
    <w:rsid w:val="00755528"/>
    <w:rsid w:val="00755721"/>
    <w:rsid w:val="00755841"/>
    <w:rsid w:val="007558F2"/>
    <w:rsid w:val="007560A8"/>
    <w:rsid w:val="007560D2"/>
    <w:rsid w:val="00756122"/>
    <w:rsid w:val="007564D7"/>
    <w:rsid w:val="00756789"/>
    <w:rsid w:val="00756930"/>
    <w:rsid w:val="00756B3D"/>
    <w:rsid w:val="00756C54"/>
    <w:rsid w:val="00756EA2"/>
    <w:rsid w:val="00756EC0"/>
    <w:rsid w:val="0075722C"/>
    <w:rsid w:val="00757245"/>
    <w:rsid w:val="00757292"/>
    <w:rsid w:val="00757338"/>
    <w:rsid w:val="00757339"/>
    <w:rsid w:val="007575FA"/>
    <w:rsid w:val="00757735"/>
    <w:rsid w:val="00757B06"/>
    <w:rsid w:val="00757C6A"/>
    <w:rsid w:val="00757CA4"/>
    <w:rsid w:val="00757E31"/>
    <w:rsid w:val="00757FBB"/>
    <w:rsid w:val="007600FC"/>
    <w:rsid w:val="007605A1"/>
    <w:rsid w:val="00760ACC"/>
    <w:rsid w:val="00760B00"/>
    <w:rsid w:val="00760C41"/>
    <w:rsid w:val="00760F2F"/>
    <w:rsid w:val="00761369"/>
    <w:rsid w:val="007619DE"/>
    <w:rsid w:val="00761A6A"/>
    <w:rsid w:val="00761A91"/>
    <w:rsid w:val="00761CA4"/>
    <w:rsid w:val="00761FDE"/>
    <w:rsid w:val="0076210B"/>
    <w:rsid w:val="0076214B"/>
    <w:rsid w:val="0076215C"/>
    <w:rsid w:val="00762164"/>
    <w:rsid w:val="007623B8"/>
    <w:rsid w:val="00762D77"/>
    <w:rsid w:val="00762E94"/>
    <w:rsid w:val="00762F73"/>
    <w:rsid w:val="00763679"/>
    <w:rsid w:val="00763C8D"/>
    <w:rsid w:val="00763CDD"/>
    <w:rsid w:val="00763CEC"/>
    <w:rsid w:val="00764347"/>
    <w:rsid w:val="00764BB8"/>
    <w:rsid w:val="00764BC3"/>
    <w:rsid w:val="00764D87"/>
    <w:rsid w:val="00764E5C"/>
    <w:rsid w:val="00764E84"/>
    <w:rsid w:val="00764F8B"/>
    <w:rsid w:val="00765013"/>
    <w:rsid w:val="0076510C"/>
    <w:rsid w:val="007658F6"/>
    <w:rsid w:val="00765AFC"/>
    <w:rsid w:val="00766050"/>
    <w:rsid w:val="0076619F"/>
    <w:rsid w:val="007662B5"/>
    <w:rsid w:val="0076677E"/>
    <w:rsid w:val="00766A58"/>
    <w:rsid w:val="00766A6B"/>
    <w:rsid w:val="00766B9F"/>
    <w:rsid w:val="00766C30"/>
    <w:rsid w:val="00766D1A"/>
    <w:rsid w:val="00766D85"/>
    <w:rsid w:val="007678AE"/>
    <w:rsid w:val="00767C62"/>
    <w:rsid w:val="007700BC"/>
    <w:rsid w:val="007702DD"/>
    <w:rsid w:val="007704D0"/>
    <w:rsid w:val="0077061B"/>
    <w:rsid w:val="007707E6"/>
    <w:rsid w:val="00770B74"/>
    <w:rsid w:val="00770C78"/>
    <w:rsid w:val="00770CD4"/>
    <w:rsid w:val="00770D82"/>
    <w:rsid w:val="00770EAD"/>
    <w:rsid w:val="00770F9E"/>
    <w:rsid w:val="007712AB"/>
    <w:rsid w:val="0077170D"/>
    <w:rsid w:val="00771720"/>
    <w:rsid w:val="007719B0"/>
    <w:rsid w:val="00771A8F"/>
    <w:rsid w:val="00771AF8"/>
    <w:rsid w:val="0077238D"/>
    <w:rsid w:val="00772393"/>
    <w:rsid w:val="007724AB"/>
    <w:rsid w:val="00772613"/>
    <w:rsid w:val="0077274C"/>
    <w:rsid w:val="00772875"/>
    <w:rsid w:val="0077290F"/>
    <w:rsid w:val="0077294E"/>
    <w:rsid w:val="00772BAC"/>
    <w:rsid w:val="00772D89"/>
    <w:rsid w:val="00772EEB"/>
    <w:rsid w:val="00773060"/>
    <w:rsid w:val="007732FC"/>
    <w:rsid w:val="007733A9"/>
    <w:rsid w:val="007734CD"/>
    <w:rsid w:val="0077368A"/>
    <w:rsid w:val="007736BC"/>
    <w:rsid w:val="007737DB"/>
    <w:rsid w:val="00773C3F"/>
    <w:rsid w:val="00773EC0"/>
    <w:rsid w:val="00773F61"/>
    <w:rsid w:val="007740AE"/>
    <w:rsid w:val="0077429D"/>
    <w:rsid w:val="007742EB"/>
    <w:rsid w:val="00774423"/>
    <w:rsid w:val="00774503"/>
    <w:rsid w:val="00774604"/>
    <w:rsid w:val="00774648"/>
    <w:rsid w:val="00774662"/>
    <w:rsid w:val="007747A9"/>
    <w:rsid w:val="00774C6C"/>
    <w:rsid w:val="00774C6F"/>
    <w:rsid w:val="007751B1"/>
    <w:rsid w:val="007753C4"/>
    <w:rsid w:val="007755B7"/>
    <w:rsid w:val="007755CE"/>
    <w:rsid w:val="007758C0"/>
    <w:rsid w:val="00775A54"/>
    <w:rsid w:val="00775A8F"/>
    <w:rsid w:val="00776537"/>
    <w:rsid w:val="007766C0"/>
    <w:rsid w:val="00776A53"/>
    <w:rsid w:val="00776B95"/>
    <w:rsid w:val="00776C1C"/>
    <w:rsid w:val="00776D87"/>
    <w:rsid w:val="0077707B"/>
    <w:rsid w:val="007776C5"/>
    <w:rsid w:val="007776F6"/>
    <w:rsid w:val="00777C57"/>
    <w:rsid w:val="00777D10"/>
    <w:rsid w:val="00777D57"/>
    <w:rsid w:val="007804E8"/>
    <w:rsid w:val="0078062E"/>
    <w:rsid w:val="00780710"/>
    <w:rsid w:val="00780818"/>
    <w:rsid w:val="00780D5C"/>
    <w:rsid w:val="00780D73"/>
    <w:rsid w:val="00780DC8"/>
    <w:rsid w:val="00781280"/>
    <w:rsid w:val="00781315"/>
    <w:rsid w:val="007813A2"/>
    <w:rsid w:val="007814B2"/>
    <w:rsid w:val="007815CD"/>
    <w:rsid w:val="0078185E"/>
    <w:rsid w:val="007818FB"/>
    <w:rsid w:val="0078197E"/>
    <w:rsid w:val="00781B7F"/>
    <w:rsid w:val="00781CB7"/>
    <w:rsid w:val="007820F1"/>
    <w:rsid w:val="00782180"/>
    <w:rsid w:val="007821D9"/>
    <w:rsid w:val="0078238C"/>
    <w:rsid w:val="0078240B"/>
    <w:rsid w:val="007826A8"/>
    <w:rsid w:val="00782817"/>
    <w:rsid w:val="00782853"/>
    <w:rsid w:val="007828B9"/>
    <w:rsid w:val="00782964"/>
    <w:rsid w:val="00782E6C"/>
    <w:rsid w:val="00783A20"/>
    <w:rsid w:val="00783B2A"/>
    <w:rsid w:val="00783EB0"/>
    <w:rsid w:val="00783FB5"/>
    <w:rsid w:val="00784080"/>
    <w:rsid w:val="00784189"/>
    <w:rsid w:val="00784658"/>
    <w:rsid w:val="00784726"/>
    <w:rsid w:val="007847A0"/>
    <w:rsid w:val="007848EF"/>
    <w:rsid w:val="00784F6C"/>
    <w:rsid w:val="0078504E"/>
    <w:rsid w:val="00785071"/>
    <w:rsid w:val="00785207"/>
    <w:rsid w:val="00785251"/>
    <w:rsid w:val="00785335"/>
    <w:rsid w:val="007853FF"/>
    <w:rsid w:val="00785477"/>
    <w:rsid w:val="00785CD2"/>
    <w:rsid w:val="0078639A"/>
    <w:rsid w:val="00786B9D"/>
    <w:rsid w:val="00786C03"/>
    <w:rsid w:val="007870CF"/>
    <w:rsid w:val="00787642"/>
    <w:rsid w:val="00787692"/>
    <w:rsid w:val="00787916"/>
    <w:rsid w:val="00787D75"/>
    <w:rsid w:val="00790069"/>
    <w:rsid w:val="0079033C"/>
    <w:rsid w:val="00790369"/>
    <w:rsid w:val="00790446"/>
    <w:rsid w:val="00790487"/>
    <w:rsid w:val="00790491"/>
    <w:rsid w:val="007904E6"/>
    <w:rsid w:val="00790832"/>
    <w:rsid w:val="00790909"/>
    <w:rsid w:val="00790D8A"/>
    <w:rsid w:val="007910C7"/>
    <w:rsid w:val="00791307"/>
    <w:rsid w:val="00791417"/>
    <w:rsid w:val="0079156E"/>
    <w:rsid w:val="00791640"/>
    <w:rsid w:val="00791B06"/>
    <w:rsid w:val="00791E17"/>
    <w:rsid w:val="00792439"/>
    <w:rsid w:val="0079244A"/>
    <w:rsid w:val="007924F5"/>
    <w:rsid w:val="00792619"/>
    <w:rsid w:val="0079285B"/>
    <w:rsid w:val="007928B6"/>
    <w:rsid w:val="00792BD6"/>
    <w:rsid w:val="00792F39"/>
    <w:rsid w:val="007932E0"/>
    <w:rsid w:val="007932EE"/>
    <w:rsid w:val="00793388"/>
    <w:rsid w:val="007933FA"/>
    <w:rsid w:val="007934DA"/>
    <w:rsid w:val="0079352A"/>
    <w:rsid w:val="007935BA"/>
    <w:rsid w:val="0079367A"/>
    <w:rsid w:val="00793686"/>
    <w:rsid w:val="00793709"/>
    <w:rsid w:val="0079390E"/>
    <w:rsid w:val="00793A78"/>
    <w:rsid w:val="00793AB9"/>
    <w:rsid w:val="00793CE4"/>
    <w:rsid w:val="0079415F"/>
    <w:rsid w:val="007941DF"/>
    <w:rsid w:val="00794285"/>
    <w:rsid w:val="007942D8"/>
    <w:rsid w:val="00794380"/>
    <w:rsid w:val="007944A5"/>
    <w:rsid w:val="00794A04"/>
    <w:rsid w:val="00794B18"/>
    <w:rsid w:val="00794B54"/>
    <w:rsid w:val="00794C42"/>
    <w:rsid w:val="00794CB1"/>
    <w:rsid w:val="00794D08"/>
    <w:rsid w:val="00794D23"/>
    <w:rsid w:val="00794D4A"/>
    <w:rsid w:val="00794F0A"/>
    <w:rsid w:val="00795039"/>
    <w:rsid w:val="00795798"/>
    <w:rsid w:val="00795956"/>
    <w:rsid w:val="007959C1"/>
    <w:rsid w:val="007959D6"/>
    <w:rsid w:val="00795C74"/>
    <w:rsid w:val="00795E17"/>
    <w:rsid w:val="00796242"/>
    <w:rsid w:val="00796253"/>
    <w:rsid w:val="00796488"/>
    <w:rsid w:val="0079674B"/>
    <w:rsid w:val="007967D1"/>
    <w:rsid w:val="00796AF6"/>
    <w:rsid w:val="00796FF2"/>
    <w:rsid w:val="007971DA"/>
    <w:rsid w:val="00797645"/>
    <w:rsid w:val="007976BD"/>
    <w:rsid w:val="00797ADF"/>
    <w:rsid w:val="00797B11"/>
    <w:rsid w:val="00797B3C"/>
    <w:rsid w:val="007A0236"/>
    <w:rsid w:val="007A0252"/>
    <w:rsid w:val="007A0459"/>
    <w:rsid w:val="007A0614"/>
    <w:rsid w:val="007A0C11"/>
    <w:rsid w:val="007A1302"/>
    <w:rsid w:val="007A153C"/>
    <w:rsid w:val="007A1BE8"/>
    <w:rsid w:val="007A1DCF"/>
    <w:rsid w:val="007A232D"/>
    <w:rsid w:val="007A23AF"/>
    <w:rsid w:val="007A2486"/>
    <w:rsid w:val="007A2582"/>
    <w:rsid w:val="007A2858"/>
    <w:rsid w:val="007A2880"/>
    <w:rsid w:val="007A3318"/>
    <w:rsid w:val="007A342E"/>
    <w:rsid w:val="007A3649"/>
    <w:rsid w:val="007A3AB2"/>
    <w:rsid w:val="007A3EAA"/>
    <w:rsid w:val="007A43AD"/>
    <w:rsid w:val="007A44BA"/>
    <w:rsid w:val="007A470E"/>
    <w:rsid w:val="007A4761"/>
    <w:rsid w:val="007A4951"/>
    <w:rsid w:val="007A4B22"/>
    <w:rsid w:val="007A4B4E"/>
    <w:rsid w:val="007A4B70"/>
    <w:rsid w:val="007A4B98"/>
    <w:rsid w:val="007A4D8B"/>
    <w:rsid w:val="007A4E9C"/>
    <w:rsid w:val="007A5008"/>
    <w:rsid w:val="007A50EF"/>
    <w:rsid w:val="007A52CA"/>
    <w:rsid w:val="007A5467"/>
    <w:rsid w:val="007A54D7"/>
    <w:rsid w:val="007A5598"/>
    <w:rsid w:val="007A587A"/>
    <w:rsid w:val="007A5909"/>
    <w:rsid w:val="007A59B0"/>
    <w:rsid w:val="007A5BA1"/>
    <w:rsid w:val="007A5CA6"/>
    <w:rsid w:val="007A5D4C"/>
    <w:rsid w:val="007A621D"/>
    <w:rsid w:val="007A6313"/>
    <w:rsid w:val="007A63E0"/>
    <w:rsid w:val="007A645C"/>
    <w:rsid w:val="007A6830"/>
    <w:rsid w:val="007A6F2E"/>
    <w:rsid w:val="007A6F39"/>
    <w:rsid w:val="007A7190"/>
    <w:rsid w:val="007A722C"/>
    <w:rsid w:val="007A7991"/>
    <w:rsid w:val="007A7B3A"/>
    <w:rsid w:val="007A7B69"/>
    <w:rsid w:val="007A7D0A"/>
    <w:rsid w:val="007B0010"/>
    <w:rsid w:val="007B032E"/>
    <w:rsid w:val="007B0394"/>
    <w:rsid w:val="007B0658"/>
    <w:rsid w:val="007B078A"/>
    <w:rsid w:val="007B07AD"/>
    <w:rsid w:val="007B07D2"/>
    <w:rsid w:val="007B0BA0"/>
    <w:rsid w:val="007B1057"/>
    <w:rsid w:val="007B106A"/>
    <w:rsid w:val="007B1229"/>
    <w:rsid w:val="007B1258"/>
    <w:rsid w:val="007B12BD"/>
    <w:rsid w:val="007B1311"/>
    <w:rsid w:val="007B134E"/>
    <w:rsid w:val="007B1538"/>
    <w:rsid w:val="007B15FE"/>
    <w:rsid w:val="007B1B79"/>
    <w:rsid w:val="007B1CB4"/>
    <w:rsid w:val="007B2207"/>
    <w:rsid w:val="007B22EA"/>
    <w:rsid w:val="007B2520"/>
    <w:rsid w:val="007B26BD"/>
    <w:rsid w:val="007B2771"/>
    <w:rsid w:val="007B2B59"/>
    <w:rsid w:val="007B2C34"/>
    <w:rsid w:val="007B2DDC"/>
    <w:rsid w:val="007B32AB"/>
    <w:rsid w:val="007B32DB"/>
    <w:rsid w:val="007B36ED"/>
    <w:rsid w:val="007B3768"/>
    <w:rsid w:val="007B37A4"/>
    <w:rsid w:val="007B37D0"/>
    <w:rsid w:val="007B407E"/>
    <w:rsid w:val="007B41D0"/>
    <w:rsid w:val="007B42CC"/>
    <w:rsid w:val="007B4468"/>
    <w:rsid w:val="007B47EC"/>
    <w:rsid w:val="007B4940"/>
    <w:rsid w:val="007B4BE0"/>
    <w:rsid w:val="007B4E51"/>
    <w:rsid w:val="007B5027"/>
    <w:rsid w:val="007B51EC"/>
    <w:rsid w:val="007B5A98"/>
    <w:rsid w:val="007B5CEE"/>
    <w:rsid w:val="007B6138"/>
    <w:rsid w:val="007B6193"/>
    <w:rsid w:val="007B61A2"/>
    <w:rsid w:val="007B64B9"/>
    <w:rsid w:val="007B64CE"/>
    <w:rsid w:val="007B65DA"/>
    <w:rsid w:val="007B65E1"/>
    <w:rsid w:val="007B6851"/>
    <w:rsid w:val="007B6A10"/>
    <w:rsid w:val="007B6AC2"/>
    <w:rsid w:val="007B6B44"/>
    <w:rsid w:val="007B6B81"/>
    <w:rsid w:val="007B6C31"/>
    <w:rsid w:val="007B6D5D"/>
    <w:rsid w:val="007B6DFF"/>
    <w:rsid w:val="007B70F3"/>
    <w:rsid w:val="007B746C"/>
    <w:rsid w:val="007B7736"/>
    <w:rsid w:val="007B7764"/>
    <w:rsid w:val="007B78D3"/>
    <w:rsid w:val="007B7902"/>
    <w:rsid w:val="007B79B8"/>
    <w:rsid w:val="007B7A7D"/>
    <w:rsid w:val="007B7D13"/>
    <w:rsid w:val="007C040A"/>
    <w:rsid w:val="007C0431"/>
    <w:rsid w:val="007C0526"/>
    <w:rsid w:val="007C094A"/>
    <w:rsid w:val="007C0A75"/>
    <w:rsid w:val="007C0CA9"/>
    <w:rsid w:val="007C0EDC"/>
    <w:rsid w:val="007C0F9E"/>
    <w:rsid w:val="007C17EB"/>
    <w:rsid w:val="007C190A"/>
    <w:rsid w:val="007C1AB5"/>
    <w:rsid w:val="007C1C32"/>
    <w:rsid w:val="007C1CDA"/>
    <w:rsid w:val="007C20EA"/>
    <w:rsid w:val="007C21E8"/>
    <w:rsid w:val="007C235F"/>
    <w:rsid w:val="007C23FD"/>
    <w:rsid w:val="007C2467"/>
    <w:rsid w:val="007C24BD"/>
    <w:rsid w:val="007C265B"/>
    <w:rsid w:val="007C2CE7"/>
    <w:rsid w:val="007C314D"/>
    <w:rsid w:val="007C3157"/>
    <w:rsid w:val="007C33AA"/>
    <w:rsid w:val="007C3446"/>
    <w:rsid w:val="007C3715"/>
    <w:rsid w:val="007C39F9"/>
    <w:rsid w:val="007C3B0F"/>
    <w:rsid w:val="007C3D31"/>
    <w:rsid w:val="007C3DD1"/>
    <w:rsid w:val="007C41B7"/>
    <w:rsid w:val="007C4342"/>
    <w:rsid w:val="007C4536"/>
    <w:rsid w:val="007C457F"/>
    <w:rsid w:val="007C4586"/>
    <w:rsid w:val="007C49B3"/>
    <w:rsid w:val="007C4A19"/>
    <w:rsid w:val="007C4C75"/>
    <w:rsid w:val="007C53E4"/>
    <w:rsid w:val="007C558B"/>
    <w:rsid w:val="007C56DC"/>
    <w:rsid w:val="007C5887"/>
    <w:rsid w:val="007C5A58"/>
    <w:rsid w:val="007C5A6B"/>
    <w:rsid w:val="007C5B71"/>
    <w:rsid w:val="007C5BAF"/>
    <w:rsid w:val="007C5BB6"/>
    <w:rsid w:val="007C5BBC"/>
    <w:rsid w:val="007C5E15"/>
    <w:rsid w:val="007C5E4E"/>
    <w:rsid w:val="007C5ECF"/>
    <w:rsid w:val="007C6023"/>
    <w:rsid w:val="007C6212"/>
    <w:rsid w:val="007C66FD"/>
    <w:rsid w:val="007C6852"/>
    <w:rsid w:val="007C6974"/>
    <w:rsid w:val="007C6B6D"/>
    <w:rsid w:val="007C6C25"/>
    <w:rsid w:val="007C6C69"/>
    <w:rsid w:val="007C6D52"/>
    <w:rsid w:val="007C7219"/>
    <w:rsid w:val="007C72B7"/>
    <w:rsid w:val="007C7431"/>
    <w:rsid w:val="007C75E4"/>
    <w:rsid w:val="007C76A3"/>
    <w:rsid w:val="007C7922"/>
    <w:rsid w:val="007C7957"/>
    <w:rsid w:val="007C7960"/>
    <w:rsid w:val="007C7C52"/>
    <w:rsid w:val="007C7D36"/>
    <w:rsid w:val="007C7D5E"/>
    <w:rsid w:val="007C7F47"/>
    <w:rsid w:val="007D009E"/>
    <w:rsid w:val="007D0118"/>
    <w:rsid w:val="007D02E8"/>
    <w:rsid w:val="007D05E1"/>
    <w:rsid w:val="007D0961"/>
    <w:rsid w:val="007D0BC8"/>
    <w:rsid w:val="007D1395"/>
    <w:rsid w:val="007D162A"/>
    <w:rsid w:val="007D18AF"/>
    <w:rsid w:val="007D1A0A"/>
    <w:rsid w:val="007D1C02"/>
    <w:rsid w:val="007D1EEC"/>
    <w:rsid w:val="007D20C3"/>
    <w:rsid w:val="007D22DF"/>
    <w:rsid w:val="007D2311"/>
    <w:rsid w:val="007D2883"/>
    <w:rsid w:val="007D29D9"/>
    <w:rsid w:val="007D2B85"/>
    <w:rsid w:val="007D2F57"/>
    <w:rsid w:val="007D2F74"/>
    <w:rsid w:val="007D323B"/>
    <w:rsid w:val="007D34D3"/>
    <w:rsid w:val="007D3832"/>
    <w:rsid w:val="007D3918"/>
    <w:rsid w:val="007D3AD4"/>
    <w:rsid w:val="007D3AE0"/>
    <w:rsid w:val="007D3AE8"/>
    <w:rsid w:val="007D3AEB"/>
    <w:rsid w:val="007D3C9F"/>
    <w:rsid w:val="007D4194"/>
    <w:rsid w:val="007D4308"/>
    <w:rsid w:val="007D4380"/>
    <w:rsid w:val="007D450B"/>
    <w:rsid w:val="007D456A"/>
    <w:rsid w:val="007D4D0C"/>
    <w:rsid w:val="007D4E82"/>
    <w:rsid w:val="007D536F"/>
    <w:rsid w:val="007D55BA"/>
    <w:rsid w:val="007D5689"/>
    <w:rsid w:val="007D585D"/>
    <w:rsid w:val="007D58D2"/>
    <w:rsid w:val="007D5D6F"/>
    <w:rsid w:val="007D5D7E"/>
    <w:rsid w:val="007D5F6C"/>
    <w:rsid w:val="007D60BB"/>
    <w:rsid w:val="007D62CC"/>
    <w:rsid w:val="007D62F7"/>
    <w:rsid w:val="007D689D"/>
    <w:rsid w:val="007D6C01"/>
    <w:rsid w:val="007D6C11"/>
    <w:rsid w:val="007D710B"/>
    <w:rsid w:val="007D7496"/>
    <w:rsid w:val="007D74ED"/>
    <w:rsid w:val="007D777A"/>
    <w:rsid w:val="007D79B2"/>
    <w:rsid w:val="007D79C7"/>
    <w:rsid w:val="007D7D24"/>
    <w:rsid w:val="007E0056"/>
    <w:rsid w:val="007E025A"/>
    <w:rsid w:val="007E029B"/>
    <w:rsid w:val="007E0414"/>
    <w:rsid w:val="007E0506"/>
    <w:rsid w:val="007E0A59"/>
    <w:rsid w:val="007E0E0E"/>
    <w:rsid w:val="007E160C"/>
    <w:rsid w:val="007E16BC"/>
    <w:rsid w:val="007E1B2D"/>
    <w:rsid w:val="007E1B34"/>
    <w:rsid w:val="007E1D9D"/>
    <w:rsid w:val="007E1F0E"/>
    <w:rsid w:val="007E1F17"/>
    <w:rsid w:val="007E2156"/>
    <w:rsid w:val="007E21BE"/>
    <w:rsid w:val="007E21DB"/>
    <w:rsid w:val="007E312D"/>
    <w:rsid w:val="007E319A"/>
    <w:rsid w:val="007E32F1"/>
    <w:rsid w:val="007E34EC"/>
    <w:rsid w:val="007E356A"/>
    <w:rsid w:val="007E3762"/>
    <w:rsid w:val="007E3773"/>
    <w:rsid w:val="007E37C0"/>
    <w:rsid w:val="007E3990"/>
    <w:rsid w:val="007E3A3F"/>
    <w:rsid w:val="007E4128"/>
    <w:rsid w:val="007E4395"/>
    <w:rsid w:val="007E44FC"/>
    <w:rsid w:val="007E45E4"/>
    <w:rsid w:val="007E46B0"/>
    <w:rsid w:val="007E4789"/>
    <w:rsid w:val="007E4895"/>
    <w:rsid w:val="007E4C84"/>
    <w:rsid w:val="007E4E59"/>
    <w:rsid w:val="007E4FF8"/>
    <w:rsid w:val="007E501C"/>
    <w:rsid w:val="007E52DF"/>
    <w:rsid w:val="007E530E"/>
    <w:rsid w:val="007E5442"/>
    <w:rsid w:val="007E56EA"/>
    <w:rsid w:val="007E5A90"/>
    <w:rsid w:val="007E5AB2"/>
    <w:rsid w:val="007E5D5B"/>
    <w:rsid w:val="007E626C"/>
    <w:rsid w:val="007E62F0"/>
    <w:rsid w:val="007E6336"/>
    <w:rsid w:val="007E6420"/>
    <w:rsid w:val="007E69D1"/>
    <w:rsid w:val="007E6C09"/>
    <w:rsid w:val="007E6FBB"/>
    <w:rsid w:val="007E6FE1"/>
    <w:rsid w:val="007E7448"/>
    <w:rsid w:val="007E75FA"/>
    <w:rsid w:val="007E7991"/>
    <w:rsid w:val="007E7C17"/>
    <w:rsid w:val="007E7C61"/>
    <w:rsid w:val="007E7CD8"/>
    <w:rsid w:val="007E7D4D"/>
    <w:rsid w:val="007F0052"/>
    <w:rsid w:val="007F06BA"/>
    <w:rsid w:val="007F0931"/>
    <w:rsid w:val="007F0957"/>
    <w:rsid w:val="007F0B76"/>
    <w:rsid w:val="007F0CD8"/>
    <w:rsid w:val="007F0F28"/>
    <w:rsid w:val="007F0FB5"/>
    <w:rsid w:val="007F12EA"/>
    <w:rsid w:val="007F1586"/>
    <w:rsid w:val="007F1680"/>
    <w:rsid w:val="007F19E6"/>
    <w:rsid w:val="007F1D7E"/>
    <w:rsid w:val="007F1DBC"/>
    <w:rsid w:val="007F1DED"/>
    <w:rsid w:val="007F22CE"/>
    <w:rsid w:val="007F2803"/>
    <w:rsid w:val="007F287D"/>
    <w:rsid w:val="007F2964"/>
    <w:rsid w:val="007F29F1"/>
    <w:rsid w:val="007F2A58"/>
    <w:rsid w:val="007F2C1A"/>
    <w:rsid w:val="007F2F5A"/>
    <w:rsid w:val="007F31C9"/>
    <w:rsid w:val="007F3229"/>
    <w:rsid w:val="007F32DB"/>
    <w:rsid w:val="007F34C7"/>
    <w:rsid w:val="007F363C"/>
    <w:rsid w:val="007F3879"/>
    <w:rsid w:val="007F3C2E"/>
    <w:rsid w:val="007F3E4A"/>
    <w:rsid w:val="007F44FF"/>
    <w:rsid w:val="007F4A7B"/>
    <w:rsid w:val="007F4D0C"/>
    <w:rsid w:val="007F4DAB"/>
    <w:rsid w:val="007F4DF9"/>
    <w:rsid w:val="007F5052"/>
    <w:rsid w:val="007F55AD"/>
    <w:rsid w:val="007F5A4F"/>
    <w:rsid w:val="007F5B44"/>
    <w:rsid w:val="007F6769"/>
    <w:rsid w:val="007F6790"/>
    <w:rsid w:val="007F67FB"/>
    <w:rsid w:val="007F71F4"/>
    <w:rsid w:val="007F72E4"/>
    <w:rsid w:val="007F744E"/>
    <w:rsid w:val="007F7885"/>
    <w:rsid w:val="007F7908"/>
    <w:rsid w:val="007F7916"/>
    <w:rsid w:val="007F7956"/>
    <w:rsid w:val="007F7A97"/>
    <w:rsid w:val="007F7E33"/>
    <w:rsid w:val="007F7EC5"/>
    <w:rsid w:val="00800016"/>
    <w:rsid w:val="00800254"/>
    <w:rsid w:val="00800A46"/>
    <w:rsid w:val="00800B08"/>
    <w:rsid w:val="00800B93"/>
    <w:rsid w:val="00800E71"/>
    <w:rsid w:val="008010A2"/>
    <w:rsid w:val="0080144F"/>
    <w:rsid w:val="008018D8"/>
    <w:rsid w:val="00801904"/>
    <w:rsid w:val="00801C67"/>
    <w:rsid w:val="00801E37"/>
    <w:rsid w:val="00802170"/>
    <w:rsid w:val="00802231"/>
    <w:rsid w:val="00802445"/>
    <w:rsid w:val="00802546"/>
    <w:rsid w:val="008028E4"/>
    <w:rsid w:val="00802C98"/>
    <w:rsid w:val="00802D26"/>
    <w:rsid w:val="0080307C"/>
    <w:rsid w:val="00803412"/>
    <w:rsid w:val="0080356E"/>
    <w:rsid w:val="008039DD"/>
    <w:rsid w:val="00803AC4"/>
    <w:rsid w:val="00803CA5"/>
    <w:rsid w:val="0080413F"/>
    <w:rsid w:val="008044BB"/>
    <w:rsid w:val="00804531"/>
    <w:rsid w:val="0080459C"/>
    <w:rsid w:val="00804815"/>
    <w:rsid w:val="00804931"/>
    <w:rsid w:val="00804FA3"/>
    <w:rsid w:val="008050EB"/>
    <w:rsid w:val="008056DD"/>
    <w:rsid w:val="00805C64"/>
    <w:rsid w:val="00805D31"/>
    <w:rsid w:val="00805E7A"/>
    <w:rsid w:val="00805FEF"/>
    <w:rsid w:val="008062D6"/>
    <w:rsid w:val="0080639A"/>
    <w:rsid w:val="008066DB"/>
    <w:rsid w:val="008066E5"/>
    <w:rsid w:val="00806740"/>
    <w:rsid w:val="00806900"/>
    <w:rsid w:val="00806B44"/>
    <w:rsid w:val="00806B79"/>
    <w:rsid w:val="008070E3"/>
    <w:rsid w:val="00807102"/>
    <w:rsid w:val="00807154"/>
    <w:rsid w:val="008072DE"/>
    <w:rsid w:val="00807371"/>
    <w:rsid w:val="008075D9"/>
    <w:rsid w:val="00807948"/>
    <w:rsid w:val="00807A96"/>
    <w:rsid w:val="00807E82"/>
    <w:rsid w:val="00807FF8"/>
    <w:rsid w:val="00810284"/>
    <w:rsid w:val="008103D5"/>
    <w:rsid w:val="008103EA"/>
    <w:rsid w:val="008104F3"/>
    <w:rsid w:val="0081068F"/>
    <w:rsid w:val="0081092A"/>
    <w:rsid w:val="00810A58"/>
    <w:rsid w:val="00810B0F"/>
    <w:rsid w:val="00810C7A"/>
    <w:rsid w:val="00810CBF"/>
    <w:rsid w:val="00810DF1"/>
    <w:rsid w:val="00810EA8"/>
    <w:rsid w:val="0081107B"/>
    <w:rsid w:val="00811328"/>
    <w:rsid w:val="0081152F"/>
    <w:rsid w:val="0081169E"/>
    <w:rsid w:val="0081175C"/>
    <w:rsid w:val="0081186A"/>
    <w:rsid w:val="008118CE"/>
    <w:rsid w:val="0081198F"/>
    <w:rsid w:val="008119EA"/>
    <w:rsid w:val="00811AC8"/>
    <w:rsid w:val="00811B10"/>
    <w:rsid w:val="00811B24"/>
    <w:rsid w:val="00811B4A"/>
    <w:rsid w:val="00811BD0"/>
    <w:rsid w:val="00811F53"/>
    <w:rsid w:val="008126A3"/>
    <w:rsid w:val="008128F4"/>
    <w:rsid w:val="0081295E"/>
    <w:rsid w:val="00812B9E"/>
    <w:rsid w:val="00812BDD"/>
    <w:rsid w:val="00812D5D"/>
    <w:rsid w:val="008130AC"/>
    <w:rsid w:val="00813195"/>
    <w:rsid w:val="008131BC"/>
    <w:rsid w:val="0081323B"/>
    <w:rsid w:val="00813386"/>
    <w:rsid w:val="00813739"/>
    <w:rsid w:val="00813B5C"/>
    <w:rsid w:val="00813C51"/>
    <w:rsid w:val="00814097"/>
    <w:rsid w:val="008140C7"/>
    <w:rsid w:val="00814437"/>
    <w:rsid w:val="008144AF"/>
    <w:rsid w:val="0081455D"/>
    <w:rsid w:val="0081467C"/>
    <w:rsid w:val="008146F8"/>
    <w:rsid w:val="0081499C"/>
    <w:rsid w:val="00814A30"/>
    <w:rsid w:val="00814C85"/>
    <w:rsid w:val="00814D79"/>
    <w:rsid w:val="00814E6A"/>
    <w:rsid w:val="00815061"/>
    <w:rsid w:val="0081510C"/>
    <w:rsid w:val="008151F5"/>
    <w:rsid w:val="00815315"/>
    <w:rsid w:val="0081555C"/>
    <w:rsid w:val="00815717"/>
    <w:rsid w:val="008158FE"/>
    <w:rsid w:val="008160EB"/>
    <w:rsid w:val="0081635D"/>
    <w:rsid w:val="008166AC"/>
    <w:rsid w:val="00816D22"/>
    <w:rsid w:val="00817113"/>
    <w:rsid w:val="0081712C"/>
    <w:rsid w:val="0081715E"/>
    <w:rsid w:val="008171EB"/>
    <w:rsid w:val="00817451"/>
    <w:rsid w:val="0081777D"/>
    <w:rsid w:val="0082021D"/>
    <w:rsid w:val="00820397"/>
    <w:rsid w:val="008203F4"/>
    <w:rsid w:val="00820518"/>
    <w:rsid w:val="008205E6"/>
    <w:rsid w:val="00820824"/>
    <w:rsid w:val="008212A4"/>
    <w:rsid w:val="008214D1"/>
    <w:rsid w:val="00821B00"/>
    <w:rsid w:val="00821EDC"/>
    <w:rsid w:val="0082218D"/>
    <w:rsid w:val="008221A0"/>
    <w:rsid w:val="008224CE"/>
    <w:rsid w:val="0082256B"/>
    <w:rsid w:val="0082260B"/>
    <w:rsid w:val="008227A1"/>
    <w:rsid w:val="00822821"/>
    <w:rsid w:val="00822AB4"/>
    <w:rsid w:val="00822ACC"/>
    <w:rsid w:val="00822B2C"/>
    <w:rsid w:val="00822CBC"/>
    <w:rsid w:val="00822DC4"/>
    <w:rsid w:val="00822E03"/>
    <w:rsid w:val="00822E0E"/>
    <w:rsid w:val="008230C3"/>
    <w:rsid w:val="00823218"/>
    <w:rsid w:val="0082330B"/>
    <w:rsid w:val="00823365"/>
    <w:rsid w:val="008233DD"/>
    <w:rsid w:val="0082343C"/>
    <w:rsid w:val="0082345A"/>
    <w:rsid w:val="008235CA"/>
    <w:rsid w:val="00823844"/>
    <w:rsid w:val="00823C5D"/>
    <w:rsid w:val="00823F29"/>
    <w:rsid w:val="00824769"/>
    <w:rsid w:val="00824833"/>
    <w:rsid w:val="00824946"/>
    <w:rsid w:val="00824D4E"/>
    <w:rsid w:val="0082519D"/>
    <w:rsid w:val="008252F1"/>
    <w:rsid w:val="00825521"/>
    <w:rsid w:val="00825622"/>
    <w:rsid w:val="00825627"/>
    <w:rsid w:val="0082588D"/>
    <w:rsid w:val="008258AB"/>
    <w:rsid w:val="008258E5"/>
    <w:rsid w:val="00825C58"/>
    <w:rsid w:val="00825F63"/>
    <w:rsid w:val="00826467"/>
    <w:rsid w:val="00826900"/>
    <w:rsid w:val="00826ACD"/>
    <w:rsid w:val="00826D96"/>
    <w:rsid w:val="008273A2"/>
    <w:rsid w:val="008273C4"/>
    <w:rsid w:val="00827419"/>
    <w:rsid w:val="0082745D"/>
    <w:rsid w:val="00827961"/>
    <w:rsid w:val="008279EA"/>
    <w:rsid w:val="00827B6A"/>
    <w:rsid w:val="00827E8A"/>
    <w:rsid w:val="00830015"/>
    <w:rsid w:val="0083030C"/>
    <w:rsid w:val="0083034B"/>
    <w:rsid w:val="008303B3"/>
    <w:rsid w:val="008303E6"/>
    <w:rsid w:val="008305AE"/>
    <w:rsid w:val="00830605"/>
    <w:rsid w:val="00830619"/>
    <w:rsid w:val="00830638"/>
    <w:rsid w:val="00830AD6"/>
    <w:rsid w:val="00830E4A"/>
    <w:rsid w:val="0083122F"/>
    <w:rsid w:val="00831310"/>
    <w:rsid w:val="0083153A"/>
    <w:rsid w:val="00831558"/>
    <w:rsid w:val="008315BD"/>
    <w:rsid w:val="0083160A"/>
    <w:rsid w:val="008316A9"/>
    <w:rsid w:val="008316E8"/>
    <w:rsid w:val="00831958"/>
    <w:rsid w:val="00831968"/>
    <w:rsid w:val="008319B6"/>
    <w:rsid w:val="00831B96"/>
    <w:rsid w:val="00831BB2"/>
    <w:rsid w:val="00831C58"/>
    <w:rsid w:val="00831E22"/>
    <w:rsid w:val="00832028"/>
    <w:rsid w:val="0083216E"/>
    <w:rsid w:val="0083264A"/>
    <w:rsid w:val="00832815"/>
    <w:rsid w:val="00832C40"/>
    <w:rsid w:val="00832E63"/>
    <w:rsid w:val="008330E2"/>
    <w:rsid w:val="008336BD"/>
    <w:rsid w:val="00833823"/>
    <w:rsid w:val="00833B61"/>
    <w:rsid w:val="00833D45"/>
    <w:rsid w:val="00833FAD"/>
    <w:rsid w:val="0083407F"/>
    <w:rsid w:val="008340F2"/>
    <w:rsid w:val="008344E6"/>
    <w:rsid w:val="00834617"/>
    <w:rsid w:val="00834A70"/>
    <w:rsid w:val="00834BF0"/>
    <w:rsid w:val="00834C3B"/>
    <w:rsid w:val="00835166"/>
    <w:rsid w:val="008352FC"/>
    <w:rsid w:val="008353F0"/>
    <w:rsid w:val="00835576"/>
    <w:rsid w:val="008355F5"/>
    <w:rsid w:val="00835792"/>
    <w:rsid w:val="0083586D"/>
    <w:rsid w:val="00835931"/>
    <w:rsid w:val="00835A4D"/>
    <w:rsid w:val="00835F2F"/>
    <w:rsid w:val="0083639C"/>
    <w:rsid w:val="00836555"/>
    <w:rsid w:val="00836563"/>
    <w:rsid w:val="008366B0"/>
    <w:rsid w:val="0083677D"/>
    <w:rsid w:val="00836A03"/>
    <w:rsid w:val="00836EFA"/>
    <w:rsid w:val="0083772F"/>
    <w:rsid w:val="00837744"/>
    <w:rsid w:val="00837ACC"/>
    <w:rsid w:val="00837D3B"/>
    <w:rsid w:val="00837F16"/>
    <w:rsid w:val="00840190"/>
    <w:rsid w:val="0084030B"/>
    <w:rsid w:val="00840498"/>
    <w:rsid w:val="0084069A"/>
    <w:rsid w:val="00840FBC"/>
    <w:rsid w:val="008411F4"/>
    <w:rsid w:val="00841263"/>
    <w:rsid w:val="0084126F"/>
    <w:rsid w:val="0084137F"/>
    <w:rsid w:val="00841727"/>
    <w:rsid w:val="00841894"/>
    <w:rsid w:val="00841D03"/>
    <w:rsid w:val="00841D7F"/>
    <w:rsid w:val="00842334"/>
    <w:rsid w:val="00842448"/>
    <w:rsid w:val="00842627"/>
    <w:rsid w:val="0084292A"/>
    <w:rsid w:val="00842973"/>
    <w:rsid w:val="00842C0F"/>
    <w:rsid w:val="00842CBC"/>
    <w:rsid w:val="00842E2F"/>
    <w:rsid w:val="00842E3B"/>
    <w:rsid w:val="0084349B"/>
    <w:rsid w:val="0084353C"/>
    <w:rsid w:val="0084387D"/>
    <w:rsid w:val="008438FD"/>
    <w:rsid w:val="00843CC1"/>
    <w:rsid w:val="00843D72"/>
    <w:rsid w:val="00843FEE"/>
    <w:rsid w:val="00844200"/>
    <w:rsid w:val="00844474"/>
    <w:rsid w:val="00844C05"/>
    <w:rsid w:val="00844CF3"/>
    <w:rsid w:val="00844F51"/>
    <w:rsid w:val="00844FD5"/>
    <w:rsid w:val="008450BA"/>
    <w:rsid w:val="00845126"/>
    <w:rsid w:val="008451C7"/>
    <w:rsid w:val="008451D7"/>
    <w:rsid w:val="00845471"/>
    <w:rsid w:val="008456EF"/>
    <w:rsid w:val="00845806"/>
    <w:rsid w:val="00846027"/>
    <w:rsid w:val="00846108"/>
    <w:rsid w:val="00846142"/>
    <w:rsid w:val="008461CF"/>
    <w:rsid w:val="00846201"/>
    <w:rsid w:val="00846228"/>
    <w:rsid w:val="008463C6"/>
    <w:rsid w:val="00846567"/>
    <w:rsid w:val="008469B2"/>
    <w:rsid w:val="00846A1D"/>
    <w:rsid w:val="00846C72"/>
    <w:rsid w:val="00846EAE"/>
    <w:rsid w:val="00847029"/>
    <w:rsid w:val="0084705E"/>
    <w:rsid w:val="00847314"/>
    <w:rsid w:val="00847344"/>
    <w:rsid w:val="008473D3"/>
    <w:rsid w:val="008474A1"/>
    <w:rsid w:val="008478E9"/>
    <w:rsid w:val="00847A6D"/>
    <w:rsid w:val="00847B05"/>
    <w:rsid w:val="00847B47"/>
    <w:rsid w:val="00847D9F"/>
    <w:rsid w:val="00847DED"/>
    <w:rsid w:val="0085036A"/>
    <w:rsid w:val="008504E0"/>
    <w:rsid w:val="0085058D"/>
    <w:rsid w:val="00850806"/>
    <w:rsid w:val="008509A0"/>
    <w:rsid w:val="00850B8F"/>
    <w:rsid w:val="00850DFD"/>
    <w:rsid w:val="00850F68"/>
    <w:rsid w:val="00851155"/>
    <w:rsid w:val="00851408"/>
    <w:rsid w:val="00851430"/>
    <w:rsid w:val="00851970"/>
    <w:rsid w:val="0085202C"/>
    <w:rsid w:val="00852364"/>
    <w:rsid w:val="00852554"/>
    <w:rsid w:val="008525DC"/>
    <w:rsid w:val="00852622"/>
    <w:rsid w:val="00852800"/>
    <w:rsid w:val="0085298B"/>
    <w:rsid w:val="00852A21"/>
    <w:rsid w:val="00852C87"/>
    <w:rsid w:val="00852CA7"/>
    <w:rsid w:val="00852CC6"/>
    <w:rsid w:val="00852D42"/>
    <w:rsid w:val="00852D60"/>
    <w:rsid w:val="00852EB4"/>
    <w:rsid w:val="00852F96"/>
    <w:rsid w:val="008534C5"/>
    <w:rsid w:val="008534D1"/>
    <w:rsid w:val="008538B5"/>
    <w:rsid w:val="008539D1"/>
    <w:rsid w:val="00853A37"/>
    <w:rsid w:val="00853E58"/>
    <w:rsid w:val="0085413A"/>
    <w:rsid w:val="00854179"/>
    <w:rsid w:val="008542EE"/>
    <w:rsid w:val="008546FE"/>
    <w:rsid w:val="008547B2"/>
    <w:rsid w:val="00854803"/>
    <w:rsid w:val="00854A99"/>
    <w:rsid w:val="00854B0C"/>
    <w:rsid w:val="00854B58"/>
    <w:rsid w:val="00854B60"/>
    <w:rsid w:val="00854CBF"/>
    <w:rsid w:val="00854FBA"/>
    <w:rsid w:val="0085501B"/>
    <w:rsid w:val="008551F5"/>
    <w:rsid w:val="00855322"/>
    <w:rsid w:val="00855475"/>
    <w:rsid w:val="0085594D"/>
    <w:rsid w:val="00855C7D"/>
    <w:rsid w:val="00855CA9"/>
    <w:rsid w:val="00855E1B"/>
    <w:rsid w:val="00855F90"/>
    <w:rsid w:val="0085612F"/>
    <w:rsid w:val="00856177"/>
    <w:rsid w:val="0085618B"/>
    <w:rsid w:val="008562D0"/>
    <w:rsid w:val="00856658"/>
    <w:rsid w:val="00856771"/>
    <w:rsid w:val="0085686F"/>
    <w:rsid w:val="00856950"/>
    <w:rsid w:val="00856980"/>
    <w:rsid w:val="00856A26"/>
    <w:rsid w:val="00856A6B"/>
    <w:rsid w:val="00856BC7"/>
    <w:rsid w:val="00856CCD"/>
    <w:rsid w:val="00856EBF"/>
    <w:rsid w:val="0085710B"/>
    <w:rsid w:val="008572E8"/>
    <w:rsid w:val="00857607"/>
    <w:rsid w:val="008576A1"/>
    <w:rsid w:val="00857733"/>
    <w:rsid w:val="00857B81"/>
    <w:rsid w:val="00857BBB"/>
    <w:rsid w:val="00857EAC"/>
    <w:rsid w:val="00860147"/>
    <w:rsid w:val="0086014E"/>
    <w:rsid w:val="00860322"/>
    <w:rsid w:val="00860950"/>
    <w:rsid w:val="00860B52"/>
    <w:rsid w:val="00860B7E"/>
    <w:rsid w:val="00860EE7"/>
    <w:rsid w:val="00860F3F"/>
    <w:rsid w:val="008610F8"/>
    <w:rsid w:val="008611D6"/>
    <w:rsid w:val="0086126E"/>
    <w:rsid w:val="008617D5"/>
    <w:rsid w:val="00861EFB"/>
    <w:rsid w:val="00862043"/>
    <w:rsid w:val="0086222B"/>
    <w:rsid w:val="008623C2"/>
    <w:rsid w:val="00862478"/>
    <w:rsid w:val="0086273F"/>
    <w:rsid w:val="00862759"/>
    <w:rsid w:val="00862870"/>
    <w:rsid w:val="008628D5"/>
    <w:rsid w:val="00862D8C"/>
    <w:rsid w:val="00862F8F"/>
    <w:rsid w:val="008630B9"/>
    <w:rsid w:val="008632FD"/>
    <w:rsid w:val="00863375"/>
    <w:rsid w:val="008633D2"/>
    <w:rsid w:val="00863458"/>
    <w:rsid w:val="00863555"/>
    <w:rsid w:val="00863673"/>
    <w:rsid w:val="00863945"/>
    <w:rsid w:val="0086396D"/>
    <w:rsid w:val="00863B42"/>
    <w:rsid w:val="00863FF1"/>
    <w:rsid w:val="00864303"/>
    <w:rsid w:val="00864397"/>
    <w:rsid w:val="00864435"/>
    <w:rsid w:val="00864525"/>
    <w:rsid w:val="00864535"/>
    <w:rsid w:val="00864581"/>
    <w:rsid w:val="00864900"/>
    <w:rsid w:val="00864BF5"/>
    <w:rsid w:val="00864C8A"/>
    <w:rsid w:val="00864FED"/>
    <w:rsid w:val="008652F0"/>
    <w:rsid w:val="00865695"/>
    <w:rsid w:val="00865769"/>
    <w:rsid w:val="008659FC"/>
    <w:rsid w:val="008660C7"/>
    <w:rsid w:val="00866AE5"/>
    <w:rsid w:val="00867042"/>
    <w:rsid w:val="008674E7"/>
    <w:rsid w:val="008676FB"/>
    <w:rsid w:val="00867B87"/>
    <w:rsid w:val="00870016"/>
    <w:rsid w:val="0087035A"/>
    <w:rsid w:val="0087039A"/>
    <w:rsid w:val="008703F2"/>
    <w:rsid w:val="00870894"/>
    <w:rsid w:val="0087099C"/>
    <w:rsid w:val="00870A1D"/>
    <w:rsid w:val="00870B90"/>
    <w:rsid w:val="00870D8C"/>
    <w:rsid w:val="00870EF1"/>
    <w:rsid w:val="00871125"/>
    <w:rsid w:val="00871155"/>
    <w:rsid w:val="008713B2"/>
    <w:rsid w:val="008713E0"/>
    <w:rsid w:val="00871488"/>
    <w:rsid w:val="0087190A"/>
    <w:rsid w:val="00871B5B"/>
    <w:rsid w:val="00871CBC"/>
    <w:rsid w:val="00871D06"/>
    <w:rsid w:val="00871E1E"/>
    <w:rsid w:val="00871FCC"/>
    <w:rsid w:val="008723C5"/>
    <w:rsid w:val="00872714"/>
    <w:rsid w:val="008729E2"/>
    <w:rsid w:val="00872B70"/>
    <w:rsid w:val="00872BC3"/>
    <w:rsid w:val="00872CD3"/>
    <w:rsid w:val="00872CEA"/>
    <w:rsid w:val="00872EE4"/>
    <w:rsid w:val="008730FA"/>
    <w:rsid w:val="0087320F"/>
    <w:rsid w:val="00873343"/>
    <w:rsid w:val="00873532"/>
    <w:rsid w:val="00873584"/>
    <w:rsid w:val="00873653"/>
    <w:rsid w:val="00873914"/>
    <w:rsid w:val="00873CA1"/>
    <w:rsid w:val="00873CDE"/>
    <w:rsid w:val="00873D22"/>
    <w:rsid w:val="00873D2F"/>
    <w:rsid w:val="008743AB"/>
    <w:rsid w:val="008744A3"/>
    <w:rsid w:val="0087475E"/>
    <w:rsid w:val="008747D8"/>
    <w:rsid w:val="0087489B"/>
    <w:rsid w:val="00874CEB"/>
    <w:rsid w:val="00874F17"/>
    <w:rsid w:val="008751C1"/>
    <w:rsid w:val="0087547C"/>
    <w:rsid w:val="008756C0"/>
    <w:rsid w:val="008757B4"/>
    <w:rsid w:val="00875932"/>
    <w:rsid w:val="00875C46"/>
    <w:rsid w:val="00875C47"/>
    <w:rsid w:val="00875E6B"/>
    <w:rsid w:val="00875FDB"/>
    <w:rsid w:val="0087608B"/>
    <w:rsid w:val="008763DA"/>
    <w:rsid w:val="0087660A"/>
    <w:rsid w:val="0087668C"/>
    <w:rsid w:val="00876848"/>
    <w:rsid w:val="00876E5E"/>
    <w:rsid w:val="00876F6E"/>
    <w:rsid w:val="0087700F"/>
    <w:rsid w:val="008774C6"/>
    <w:rsid w:val="008777BD"/>
    <w:rsid w:val="00877B10"/>
    <w:rsid w:val="00877C0C"/>
    <w:rsid w:val="00877CDE"/>
    <w:rsid w:val="00877D48"/>
    <w:rsid w:val="00877D51"/>
    <w:rsid w:val="00877F9F"/>
    <w:rsid w:val="00880535"/>
    <w:rsid w:val="008805A7"/>
    <w:rsid w:val="0088073C"/>
    <w:rsid w:val="00880821"/>
    <w:rsid w:val="00880A41"/>
    <w:rsid w:val="00880B3F"/>
    <w:rsid w:val="00880D61"/>
    <w:rsid w:val="00880D66"/>
    <w:rsid w:val="0088162B"/>
    <w:rsid w:val="00881787"/>
    <w:rsid w:val="008818E2"/>
    <w:rsid w:val="0088197A"/>
    <w:rsid w:val="00881B4A"/>
    <w:rsid w:val="00881E5E"/>
    <w:rsid w:val="00882143"/>
    <w:rsid w:val="00882345"/>
    <w:rsid w:val="0088256A"/>
    <w:rsid w:val="008829A7"/>
    <w:rsid w:val="008829CB"/>
    <w:rsid w:val="00882D9C"/>
    <w:rsid w:val="00882E7D"/>
    <w:rsid w:val="00882E81"/>
    <w:rsid w:val="00882ED6"/>
    <w:rsid w:val="00882FDF"/>
    <w:rsid w:val="008831AF"/>
    <w:rsid w:val="00883291"/>
    <w:rsid w:val="00883360"/>
    <w:rsid w:val="00883595"/>
    <w:rsid w:val="0088397D"/>
    <w:rsid w:val="00883CA3"/>
    <w:rsid w:val="00883DAC"/>
    <w:rsid w:val="00883E2B"/>
    <w:rsid w:val="00883E5F"/>
    <w:rsid w:val="00883FFD"/>
    <w:rsid w:val="00884392"/>
    <w:rsid w:val="0088463B"/>
    <w:rsid w:val="00884647"/>
    <w:rsid w:val="008848FA"/>
    <w:rsid w:val="00884B1D"/>
    <w:rsid w:val="00884B97"/>
    <w:rsid w:val="00884EBE"/>
    <w:rsid w:val="00885062"/>
    <w:rsid w:val="00885112"/>
    <w:rsid w:val="00885239"/>
    <w:rsid w:val="0088576B"/>
    <w:rsid w:val="00885DB2"/>
    <w:rsid w:val="00885EAB"/>
    <w:rsid w:val="00885FB2"/>
    <w:rsid w:val="008861C8"/>
    <w:rsid w:val="008862AB"/>
    <w:rsid w:val="008864CC"/>
    <w:rsid w:val="00886627"/>
    <w:rsid w:val="008866E6"/>
    <w:rsid w:val="00886761"/>
    <w:rsid w:val="00886798"/>
    <w:rsid w:val="008868FA"/>
    <w:rsid w:val="00886A01"/>
    <w:rsid w:val="00886A0F"/>
    <w:rsid w:val="00886B3B"/>
    <w:rsid w:val="0088712F"/>
    <w:rsid w:val="00887438"/>
    <w:rsid w:val="008874B9"/>
    <w:rsid w:val="00887536"/>
    <w:rsid w:val="008876A6"/>
    <w:rsid w:val="00887A1C"/>
    <w:rsid w:val="00887A80"/>
    <w:rsid w:val="00887B02"/>
    <w:rsid w:val="00887C36"/>
    <w:rsid w:val="0088F878"/>
    <w:rsid w:val="00890038"/>
    <w:rsid w:val="0089066F"/>
    <w:rsid w:val="0089087F"/>
    <w:rsid w:val="00890A69"/>
    <w:rsid w:val="00890A6D"/>
    <w:rsid w:val="00890E07"/>
    <w:rsid w:val="008910D4"/>
    <w:rsid w:val="00891157"/>
    <w:rsid w:val="008915AF"/>
    <w:rsid w:val="00891B6F"/>
    <w:rsid w:val="00891F03"/>
    <w:rsid w:val="00892271"/>
    <w:rsid w:val="00892374"/>
    <w:rsid w:val="00892604"/>
    <w:rsid w:val="0089267F"/>
    <w:rsid w:val="00892CA4"/>
    <w:rsid w:val="00892F58"/>
    <w:rsid w:val="00892F7F"/>
    <w:rsid w:val="00892FA6"/>
    <w:rsid w:val="008936D8"/>
    <w:rsid w:val="00893917"/>
    <w:rsid w:val="00893B2A"/>
    <w:rsid w:val="00893CEB"/>
    <w:rsid w:val="00894717"/>
    <w:rsid w:val="008947E4"/>
    <w:rsid w:val="008949B8"/>
    <w:rsid w:val="00894B09"/>
    <w:rsid w:val="00894E6A"/>
    <w:rsid w:val="00895156"/>
    <w:rsid w:val="00895299"/>
    <w:rsid w:val="0089533C"/>
    <w:rsid w:val="00895840"/>
    <w:rsid w:val="00895A4A"/>
    <w:rsid w:val="00895E4F"/>
    <w:rsid w:val="00895E6E"/>
    <w:rsid w:val="00895E93"/>
    <w:rsid w:val="0089614B"/>
    <w:rsid w:val="008961C6"/>
    <w:rsid w:val="0089625F"/>
    <w:rsid w:val="008962AB"/>
    <w:rsid w:val="00896884"/>
    <w:rsid w:val="00896A20"/>
    <w:rsid w:val="00896AD3"/>
    <w:rsid w:val="00896C4C"/>
    <w:rsid w:val="00896E37"/>
    <w:rsid w:val="00896ED2"/>
    <w:rsid w:val="008975DC"/>
    <w:rsid w:val="0089789D"/>
    <w:rsid w:val="00897A33"/>
    <w:rsid w:val="00897BB4"/>
    <w:rsid w:val="00897CE0"/>
    <w:rsid w:val="00897DF3"/>
    <w:rsid w:val="00897E0C"/>
    <w:rsid w:val="00897E7D"/>
    <w:rsid w:val="008A054A"/>
    <w:rsid w:val="008A0632"/>
    <w:rsid w:val="008A0649"/>
    <w:rsid w:val="008A06A0"/>
    <w:rsid w:val="008A0882"/>
    <w:rsid w:val="008A09D8"/>
    <w:rsid w:val="008A0E0C"/>
    <w:rsid w:val="008A19D6"/>
    <w:rsid w:val="008A1A63"/>
    <w:rsid w:val="008A1EE2"/>
    <w:rsid w:val="008A2387"/>
    <w:rsid w:val="008A2E6A"/>
    <w:rsid w:val="008A2FF9"/>
    <w:rsid w:val="008A34EF"/>
    <w:rsid w:val="008A35FF"/>
    <w:rsid w:val="008A36D6"/>
    <w:rsid w:val="008A3756"/>
    <w:rsid w:val="008A37CB"/>
    <w:rsid w:val="008A3996"/>
    <w:rsid w:val="008A3A94"/>
    <w:rsid w:val="008A3CC5"/>
    <w:rsid w:val="008A4007"/>
    <w:rsid w:val="008A4280"/>
    <w:rsid w:val="008A448B"/>
    <w:rsid w:val="008A48DC"/>
    <w:rsid w:val="008A4B87"/>
    <w:rsid w:val="008A4CC1"/>
    <w:rsid w:val="008A4D9C"/>
    <w:rsid w:val="008A4E20"/>
    <w:rsid w:val="008A4EAE"/>
    <w:rsid w:val="008A50C5"/>
    <w:rsid w:val="008A564B"/>
    <w:rsid w:val="008A5955"/>
    <w:rsid w:val="008A5B39"/>
    <w:rsid w:val="008A5BC9"/>
    <w:rsid w:val="008A5F14"/>
    <w:rsid w:val="008A6192"/>
    <w:rsid w:val="008A668F"/>
    <w:rsid w:val="008A6A6B"/>
    <w:rsid w:val="008A6B3B"/>
    <w:rsid w:val="008A6C3B"/>
    <w:rsid w:val="008A6D72"/>
    <w:rsid w:val="008A744B"/>
    <w:rsid w:val="008A779E"/>
    <w:rsid w:val="008A77D8"/>
    <w:rsid w:val="008A7CE6"/>
    <w:rsid w:val="008A7D01"/>
    <w:rsid w:val="008B0181"/>
    <w:rsid w:val="008B0319"/>
    <w:rsid w:val="008B0527"/>
    <w:rsid w:val="008B064A"/>
    <w:rsid w:val="008B080D"/>
    <w:rsid w:val="008B0990"/>
    <w:rsid w:val="008B09DE"/>
    <w:rsid w:val="008B0BAD"/>
    <w:rsid w:val="008B0D95"/>
    <w:rsid w:val="008B0E8E"/>
    <w:rsid w:val="008B0FB1"/>
    <w:rsid w:val="008B11C2"/>
    <w:rsid w:val="008B1549"/>
    <w:rsid w:val="008B1554"/>
    <w:rsid w:val="008B18CF"/>
    <w:rsid w:val="008B1C0F"/>
    <w:rsid w:val="008B1F20"/>
    <w:rsid w:val="008B2117"/>
    <w:rsid w:val="008B24E9"/>
    <w:rsid w:val="008B256A"/>
    <w:rsid w:val="008B2807"/>
    <w:rsid w:val="008B292A"/>
    <w:rsid w:val="008B2AA6"/>
    <w:rsid w:val="008B2F15"/>
    <w:rsid w:val="008B3026"/>
    <w:rsid w:val="008B30CD"/>
    <w:rsid w:val="008B31B9"/>
    <w:rsid w:val="008B32F8"/>
    <w:rsid w:val="008B337A"/>
    <w:rsid w:val="008B3451"/>
    <w:rsid w:val="008B38C5"/>
    <w:rsid w:val="008B3A06"/>
    <w:rsid w:val="008B3D0E"/>
    <w:rsid w:val="008B3F16"/>
    <w:rsid w:val="008B3F4C"/>
    <w:rsid w:val="008B3F72"/>
    <w:rsid w:val="008B400E"/>
    <w:rsid w:val="008B40EF"/>
    <w:rsid w:val="008B4202"/>
    <w:rsid w:val="008B43C8"/>
    <w:rsid w:val="008B43CC"/>
    <w:rsid w:val="008B44CD"/>
    <w:rsid w:val="008B44ED"/>
    <w:rsid w:val="008B46E3"/>
    <w:rsid w:val="008B4804"/>
    <w:rsid w:val="008B49BA"/>
    <w:rsid w:val="008B4A39"/>
    <w:rsid w:val="008B4B36"/>
    <w:rsid w:val="008B4CAE"/>
    <w:rsid w:val="008B4D76"/>
    <w:rsid w:val="008B4EC1"/>
    <w:rsid w:val="008B4ED1"/>
    <w:rsid w:val="008B4FC3"/>
    <w:rsid w:val="008B533F"/>
    <w:rsid w:val="008B538D"/>
    <w:rsid w:val="008B53C1"/>
    <w:rsid w:val="008B5408"/>
    <w:rsid w:val="008B550D"/>
    <w:rsid w:val="008B576E"/>
    <w:rsid w:val="008B576F"/>
    <w:rsid w:val="008B5A25"/>
    <w:rsid w:val="008B5B28"/>
    <w:rsid w:val="008B5B4D"/>
    <w:rsid w:val="008B5FF4"/>
    <w:rsid w:val="008B6787"/>
    <w:rsid w:val="008B67E8"/>
    <w:rsid w:val="008B68F4"/>
    <w:rsid w:val="008B6905"/>
    <w:rsid w:val="008B697B"/>
    <w:rsid w:val="008B6C4E"/>
    <w:rsid w:val="008B6C8F"/>
    <w:rsid w:val="008B6EFD"/>
    <w:rsid w:val="008B6F22"/>
    <w:rsid w:val="008B6F7F"/>
    <w:rsid w:val="008B70BB"/>
    <w:rsid w:val="008B7372"/>
    <w:rsid w:val="008B74C4"/>
    <w:rsid w:val="008B74DC"/>
    <w:rsid w:val="008B7E43"/>
    <w:rsid w:val="008C020B"/>
    <w:rsid w:val="008C0484"/>
    <w:rsid w:val="008C05AD"/>
    <w:rsid w:val="008C088A"/>
    <w:rsid w:val="008C0A28"/>
    <w:rsid w:val="008C0CF3"/>
    <w:rsid w:val="008C1258"/>
    <w:rsid w:val="008C12B6"/>
    <w:rsid w:val="008C159A"/>
    <w:rsid w:val="008C1A4F"/>
    <w:rsid w:val="008C1B10"/>
    <w:rsid w:val="008C1DBB"/>
    <w:rsid w:val="008C1E00"/>
    <w:rsid w:val="008C1EC6"/>
    <w:rsid w:val="008C207E"/>
    <w:rsid w:val="008C210F"/>
    <w:rsid w:val="008C21AD"/>
    <w:rsid w:val="008C2421"/>
    <w:rsid w:val="008C2C2A"/>
    <w:rsid w:val="008C2E21"/>
    <w:rsid w:val="008C2FAB"/>
    <w:rsid w:val="008C31D2"/>
    <w:rsid w:val="008C3263"/>
    <w:rsid w:val="008C336F"/>
    <w:rsid w:val="008C34CF"/>
    <w:rsid w:val="008C362D"/>
    <w:rsid w:val="008C3B99"/>
    <w:rsid w:val="008C3BCF"/>
    <w:rsid w:val="008C3E3C"/>
    <w:rsid w:val="008C3E5A"/>
    <w:rsid w:val="008C4055"/>
    <w:rsid w:val="008C40EA"/>
    <w:rsid w:val="008C41DC"/>
    <w:rsid w:val="008C4A39"/>
    <w:rsid w:val="008C4BF3"/>
    <w:rsid w:val="008C4C35"/>
    <w:rsid w:val="008C4D35"/>
    <w:rsid w:val="008C4F09"/>
    <w:rsid w:val="008C4F45"/>
    <w:rsid w:val="008C504F"/>
    <w:rsid w:val="008C50AD"/>
    <w:rsid w:val="008C517C"/>
    <w:rsid w:val="008C51E9"/>
    <w:rsid w:val="008C5252"/>
    <w:rsid w:val="008C53CC"/>
    <w:rsid w:val="008C53DB"/>
    <w:rsid w:val="008C5600"/>
    <w:rsid w:val="008C5742"/>
    <w:rsid w:val="008C5AA0"/>
    <w:rsid w:val="008C5FEE"/>
    <w:rsid w:val="008C62D0"/>
    <w:rsid w:val="008C6429"/>
    <w:rsid w:val="008C67AD"/>
    <w:rsid w:val="008C6A00"/>
    <w:rsid w:val="008C6A6D"/>
    <w:rsid w:val="008C6FC1"/>
    <w:rsid w:val="008C711C"/>
    <w:rsid w:val="008C71E1"/>
    <w:rsid w:val="008C7216"/>
    <w:rsid w:val="008C75ED"/>
    <w:rsid w:val="008C7696"/>
    <w:rsid w:val="008C76CB"/>
    <w:rsid w:val="008C770E"/>
    <w:rsid w:val="008C7A64"/>
    <w:rsid w:val="008C7AC7"/>
    <w:rsid w:val="008C7ACF"/>
    <w:rsid w:val="008C7DBA"/>
    <w:rsid w:val="008C7DC3"/>
    <w:rsid w:val="008C7E4E"/>
    <w:rsid w:val="008D00C8"/>
    <w:rsid w:val="008D00E0"/>
    <w:rsid w:val="008D00F0"/>
    <w:rsid w:val="008D0120"/>
    <w:rsid w:val="008D0375"/>
    <w:rsid w:val="008D0688"/>
    <w:rsid w:val="008D06BE"/>
    <w:rsid w:val="008D0971"/>
    <w:rsid w:val="008D1006"/>
    <w:rsid w:val="008D1014"/>
    <w:rsid w:val="008D139C"/>
    <w:rsid w:val="008D1C67"/>
    <w:rsid w:val="008D1DF3"/>
    <w:rsid w:val="008D1FB9"/>
    <w:rsid w:val="008D250A"/>
    <w:rsid w:val="008D26EF"/>
    <w:rsid w:val="008D274B"/>
    <w:rsid w:val="008D2C5E"/>
    <w:rsid w:val="008D2DA7"/>
    <w:rsid w:val="008D2DDF"/>
    <w:rsid w:val="008D2EF5"/>
    <w:rsid w:val="008D2FF1"/>
    <w:rsid w:val="008D3427"/>
    <w:rsid w:val="008D34E3"/>
    <w:rsid w:val="008D3539"/>
    <w:rsid w:val="008D3D02"/>
    <w:rsid w:val="008D3E62"/>
    <w:rsid w:val="008D4506"/>
    <w:rsid w:val="008D4677"/>
    <w:rsid w:val="008D477E"/>
    <w:rsid w:val="008D478E"/>
    <w:rsid w:val="008D4805"/>
    <w:rsid w:val="008D4AC0"/>
    <w:rsid w:val="008D4ACE"/>
    <w:rsid w:val="008D4B43"/>
    <w:rsid w:val="008D4CDB"/>
    <w:rsid w:val="008D4DE0"/>
    <w:rsid w:val="008D5007"/>
    <w:rsid w:val="008D527F"/>
    <w:rsid w:val="008D536D"/>
    <w:rsid w:val="008D570A"/>
    <w:rsid w:val="008D5719"/>
    <w:rsid w:val="008D5730"/>
    <w:rsid w:val="008D5964"/>
    <w:rsid w:val="008D5ED2"/>
    <w:rsid w:val="008D61E7"/>
    <w:rsid w:val="008D62E0"/>
    <w:rsid w:val="008D68D2"/>
    <w:rsid w:val="008D6A62"/>
    <w:rsid w:val="008D6C93"/>
    <w:rsid w:val="008D6DCE"/>
    <w:rsid w:val="008D77C1"/>
    <w:rsid w:val="008D7856"/>
    <w:rsid w:val="008D7DC1"/>
    <w:rsid w:val="008E0063"/>
    <w:rsid w:val="008E071C"/>
    <w:rsid w:val="008E0745"/>
    <w:rsid w:val="008E0891"/>
    <w:rsid w:val="008E092A"/>
    <w:rsid w:val="008E0B7B"/>
    <w:rsid w:val="008E0B91"/>
    <w:rsid w:val="008E0D91"/>
    <w:rsid w:val="008E0DE1"/>
    <w:rsid w:val="008E0DFF"/>
    <w:rsid w:val="008E1027"/>
    <w:rsid w:val="008E12F9"/>
    <w:rsid w:val="008E1374"/>
    <w:rsid w:val="008E1C3E"/>
    <w:rsid w:val="008E21A0"/>
    <w:rsid w:val="008E2244"/>
    <w:rsid w:val="008E2304"/>
    <w:rsid w:val="008E2441"/>
    <w:rsid w:val="008E24C4"/>
    <w:rsid w:val="008E24D6"/>
    <w:rsid w:val="008E26C1"/>
    <w:rsid w:val="008E2990"/>
    <w:rsid w:val="008E2F22"/>
    <w:rsid w:val="008E3182"/>
    <w:rsid w:val="008E31D0"/>
    <w:rsid w:val="008E3441"/>
    <w:rsid w:val="008E34B0"/>
    <w:rsid w:val="008E34F7"/>
    <w:rsid w:val="008E354D"/>
    <w:rsid w:val="008E3569"/>
    <w:rsid w:val="008E3758"/>
    <w:rsid w:val="008E3832"/>
    <w:rsid w:val="008E38CF"/>
    <w:rsid w:val="008E3960"/>
    <w:rsid w:val="008E3B87"/>
    <w:rsid w:val="008E3CA3"/>
    <w:rsid w:val="008E4140"/>
    <w:rsid w:val="008E414A"/>
    <w:rsid w:val="008E41A9"/>
    <w:rsid w:val="008E4236"/>
    <w:rsid w:val="008E4269"/>
    <w:rsid w:val="008E4305"/>
    <w:rsid w:val="008E44A2"/>
    <w:rsid w:val="008E461A"/>
    <w:rsid w:val="008E4671"/>
    <w:rsid w:val="008E4676"/>
    <w:rsid w:val="008E4684"/>
    <w:rsid w:val="008E47D9"/>
    <w:rsid w:val="008E4CC1"/>
    <w:rsid w:val="008E4CE5"/>
    <w:rsid w:val="008E4D18"/>
    <w:rsid w:val="008E4E5F"/>
    <w:rsid w:val="008E5296"/>
    <w:rsid w:val="008E5377"/>
    <w:rsid w:val="008E5483"/>
    <w:rsid w:val="008E5658"/>
    <w:rsid w:val="008E5849"/>
    <w:rsid w:val="008E58A6"/>
    <w:rsid w:val="008E59A1"/>
    <w:rsid w:val="008E5CD1"/>
    <w:rsid w:val="008E613D"/>
    <w:rsid w:val="008E6272"/>
    <w:rsid w:val="008E646A"/>
    <w:rsid w:val="008E6552"/>
    <w:rsid w:val="008E6576"/>
    <w:rsid w:val="008E6A3E"/>
    <w:rsid w:val="008E6FA0"/>
    <w:rsid w:val="008E6FD1"/>
    <w:rsid w:val="008E7030"/>
    <w:rsid w:val="008E70D4"/>
    <w:rsid w:val="008E73DC"/>
    <w:rsid w:val="008E7403"/>
    <w:rsid w:val="008E7766"/>
    <w:rsid w:val="008E789E"/>
    <w:rsid w:val="008E79DD"/>
    <w:rsid w:val="008E7ADE"/>
    <w:rsid w:val="008E7BC0"/>
    <w:rsid w:val="008E7D27"/>
    <w:rsid w:val="008F001E"/>
    <w:rsid w:val="008F0091"/>
    <w:rsid w:val="008F00D9"/>
    <w:rsid w:val="008F029A"/>
    <w:rsid w:val="008F02DC"/>
    <w:rsid w:val="008F0613"/>
    <w:rsid w:val="008F0762"/>
    <w:rsid w:val="008F0F20"/>
    <w:rsid w:val="008F0FFA"/>
    <w:rsid w:val="008F1268"/>
    <w:rsid w:val="008F16B1"/>
    <w:rsid w:val="008F1785"/>
    <w:rsid w:val="008F1C96"/>
    <w:rsid w:val="008F1CD8"/>
    <w:rsid w:val="008F1D5B"/>
    <w:rsid w:val="008F2231"/>
    <w:rsid w:val="008F2497"/>
    <w:rsid w:val="008F24CD"/>
    <w:rsid w:val="008F2725"/>
    <w:rsid w:val="008F27AC"/>
    <w:rsid w:val="008F294D"/>
    <w:rsid w:val="008F2B05"/>
    <w:rsid w:val="008F3032"/>
    <w:rsid w:val="008F344A"/>
    <w:rsid w:val="008F3B05"/>
    <w:rsid w:val="008F3B98"/>
    <w:rsid w:val="008F3C4E"/>
    <w:rsid w:val="008F3C6E"/>
    <w:rsid w:val="008F3D42"/>
    <w:rsid w:val="008F3F2B"/>
    <w:rsid w:val="008F4317"/>
    <w:rsid w:val="008F43FE"/>
    <w:rsid w:val="008F4694"/>
    <w:rsid w:val="008F4700"/>
    <w:rsid w:val="008F47A2"/>
    <w:rsid w:val="008F4967"/>
    <w:rsid w:val="008F4A19"/>
    <w:rsid w:val="008F4BF0"/>
    <w:rsid w:val="008F4E08"/>
    <w:rsid w:val="008F4FC8"/>
    <w:rsid w:val="008F5050"/>
    <w:rsid w:val="008F5393"/>
    <w:rsid w:val="008F54DC"/>
    <w:rsid w:val="008F5517"/>
    <w:rsid w:val="008F551C"/>
    <w:rsid w:val="008F5530"/>
    <w:rsid w:val="008F5552"/>
    <w:rsid w:val="008F5657"/>
    <w:rsid w:val="008F568E"/>
    <w:rsid w:val="008F5794"/>
    <w:rsid w:val="008F5C51"/>
    <w:rsid w:val="008F5D89"/>
    <w:rsid w:val="008F5EFE"/>
    <w:rsid w:val="008F5FBE"/>
    <w:rsid w:val="008F6031"/>
    <w:rsid w:val="008F6084"/>
    <w:rsid w:val="008F62ED"/>
    <w:rsid w:val="008F652D"/>
    <w:rsid w:val="008F66DA"/>
    <w:rsid w:val="008F6702"/>
    <w:rsid w:val="008F69A8"/>
    <w:rsid w:val="008F6C8D"/>
    <w:rsid w:val="008F710A"/>
    <w:rsid w:val="008F724C"/>
    <w:rsid w:val="008F7429"/>
    <w:rsid w:val="008F7538"/>
    <w:rsid w:val="008F769C"/>
    <w:rsid w:val="008F785D"/>
    <w:rsid w:val="008F7928"/>
    <w:rsid w:val="008F7F18"/>
    <w:rsid w:val="008F7FAE"/>
    <w:rsid w:val="0090002E"/>
    <w:rsid w:val="009000CD"/>
    <w:rsid w:val="00900122"/>
    <w:rsid w:val="00900158"/>
    <w:rsid w:val="00900799"/>
    <w:rsid w:val="00900836"/>
    <w:rsid w:val="00900A17"/>
    <w:rsid w:val="00900CCC"/>
    <w:rsid w:val="00900D84"/>
    <w:rsid w:val="00900FC5"/>
    <w:rsid w:val="009012EF"/>
    <w:rsid w:val="0090130B"/>
    <w:rsid w:val="009013C3"/>
    <w:rsid w:val="009015FA"/>
    <w:rsid w:val="00901680"/>
    <w:rsid w:val="00901C1B"/>
    <w:rsid w:val="00901E11"/>
    <w:rsid w:val="00902261"/>
    <w:rsid w:val="009023B5"/>
    <w:rsid w:val="00902B58"/>
    <w:rsid w:val="00902C14"/>
    <w:rsid w:val="0090346D"/>
    <w:rsid w:val="009035AD"/>
    <w:rsid w:val="009036A1"/>
    <w:rsid w:val="00903844"/>
    <w:rsid w:val="00903BB9"/>
    <w:rsid w:val="00903CA2"/>
    <w:rsid w:val="00903CE9"/>
    <w:rsid w:val="00903E57"/>
    <w:rsid w:val="00903FB4"/>
    <w:rsid w:val="009040FC"/>
    <w:rsid w:val="009041C8"/>
    <w:rsid w:val="009043B2"/>
    <w:rsid w:val="009045A3"/>
    <w:rsid w:val="00904658"/>
    <w:rsid w:val="009046B8"/>
    <w:rsid w:val="009048F0"/>
    <w:rsid w:val="00904A17"/>
    <w:rsid w:val="00904B92"/>
    <w:rsid w:val="00904C2B"/>
    <w:rsid w:val="00905020"/>
    <w:rsid w:val="00905291"/>
    <w:rsid w:val="009055DF"/>
    <w:rsid w:val="0090574A"/>
    <w:rsid w:val="00905C73"/>
    <w:rsid w:val="00905EC6"/>
    <w:rsid w:val="0090610D"/>
    <w:rsid w:val="009061E7"/>
    <w:rsid w:val="0090629D"/>
    <w:rsid w:val="00906774"/>
    <w:rsid w:val="009067C3"/>
    <w:rsid w:val="00906A7F"/>
    <w:rsid w:val="00906C1B"/>
    <w:rsid w:val="00906C87"/>
    <w:rsid w:val="00906D37"/>
    <w:rsid w:val="00907645"/>
    <w:rsid w:val="009078FF"/>
    <w:rsid w:val="00907C5D"/>
    <w:rsid w:val="00907CEC"/>
    <w:rsid w:val="00907E56"/>
    <w:rsid w:val="00907FFE"/>
    <w:rsid w:val="009101B3"/>
    <w:rsid w:val="0091042D"/>
    <w:rsid w:val="00910675"/>
    <w:rsid w:val="009106EC"/>
    <w:rsid w:val="0091073D"/>
    <w:rsid w:val="00910852"/>
    <w:rsid w:val="009109C5"/>
    <w:rsid w:val="009109F3"/>
    <w:rsid w:val="00910A01"/>
    <w:rsid w:val="00910B96"/>
    <w:rsid w:val="009110BA"/>
    <w:rsid w:val="009111ED"/>
    <w:rsid w:val="009117F8"/>
    <w:rsid w:val="00911A24"/>
    <w:rsid w:val="00911AB3"/>
    <w:rsid w:val="00911BF9"/>
    <w:rsid w:val="00911FF2"/>
    <w:rsid w:val="00912244"/>
    <w:rsid w:val="00912426"/>
    <w:rsid w:val="00912548"/>
    <w:rsid w:val="0091256B"/>
    <w:rsid w:val="0091271C"/>
    <w:rsid w:val="00912A00"/>
    <w:rsid w:val="00912B3A"/>
    <w:rsid w:val="00912BEA"/>
    <w:rsid w:val="00912C0C"/>
    <w:rsid w:val="00912E62"/>
    <w:rsid w:val="00912FC8"/>
    <w:rsid w:val="00912FCD"/>
    <w:rsid w:val="00913171"/>
    <w:rsid w:val="00913221"/>
    <w:rsid w:val="00913235"/>
    <w:rsid w:val="009137CF"/>
    <w:rsid w:val="00913989"/>
    <w:rsid w:val="00913ABF"/>
    <w:rsid w:val="00913AC1"/>
    <w:rsid w:val="00913CDB"/>
    <w:rsid w:val="00913EB7"/>
    <w:rsid w:val="0091436A"/>
    <w:rsid w:val="00914B42"/>
    <w:rsid w:val="00914F97"/>
    <w:rsid w:val="0091504C"/>
    <w:rsid w:val="009150C7"/>
    <w:rsid w:val="009154E6"/>
    <w:rsid w:val="0091563B"/>
    <w:rsid w:val="00915784"/>
    <w:rsid w:val="00915819"/>
    <w:rsid w:val="009159DA"/>
    <w:rsid w:val="00915A64"/>
    <w:rsid w:val="00915C4B"/>
    <w:rsid w:val="00915D3F"/>
    <w:rsid w:val="00915D7B"/>
    <w:rsid w:val="00915EB1"/>
    <w:rsid w:val="009163FA"/>
    <w:rsid w:val="00916643"/>
    <w:rsid w:val="00916800"/>
    <w:rsid w:val="0091680D"/>
    <w:rsid w:val="009168C3"/>
    <w:rsid w:val="00916BEC"/>
    <w:rsid w:val="009170F6"/>
    <w:rsid w:val="009173B6"/>
    <w:rsid w:val="0091768B"/>
    <w:rsid w:val="00917F2C"/>
    <w:rsid w:val="00917FE2"/>
    <w:rsid w:val="009204B7"/>
    <w:rsid w:val="00920844"/>
    <w:rsid w:val="00920D71"/>
    <w:rsid w:val="00920FF1"/>
    <w:rsid w:val="009211DB"/>
    <w:rsid w:val="00921265"/>
    <w:rsid w:val="0092128B"/>
    <w:rsid w:val="009212DB"/>
    <w:rsid w:val="0092130F"/>
    <w:rsid w:val="009213CA"/>
    <w:rsid w:val="00921463"/>
    <w:rsid w:val="0092159E"/>
    <w:rsid w:val="00921C3C"/>
    <w:rsid w:val="00921CEF"/>
    <w:rsid w:val="00921DEE"/>
    <w:rsid w:val="00921E4E"/>
    <w:rsid w:val="00921E96"/>
    <w:rsid w:val="00921FC8"/>
    <w:rsid w:val="0092221D"/>
    <w:rsid w:val="00922308"/>
    <w:rsid w:val="00922476"/>
    <w:rsid w:val="0092247F"/>
    <w:rsid w:val="0092279F"/>
    <w:rsid w:val="00922827"/>
    <w:rsid w:val="00922990"/>
    <w:rsid w:val="00922A17"/>
    <w:rsid w:val="00922A36"/>
    <w:rsid w:val="00922BB2"/>
    <w:rsid w:val="009230D3"/>
    <w:rsid w:val="00923179"/>
    <w:rsid w:val="009231FA"/>
    <w:rsid w:val="009232F0"/>
    <w:rsid w:val="0092354D"/>
    <w:rsid w:val="009235E6"/>
    <w:rsid w:val="009235EF"/>
    <w:rsid w:val="009238A8"/>
    <w:rsid w:val="00923B27"/>
    <w:rsid w:val="00923C60"/>
    <w:rsid w:val="00923DDF"/>
    <w:rsid w:val="00923E64"/>
    <w:rsid w:val="00923EF1"/>
    <w:rsid w:val="00924105"/>
    <w:rsid w:val="00924129"/>
    <w:rsid w:val="009245B8"/>
    <w:rsid w:val="00924B01"/>
    <w:rsid w:val="00924CE1"/>
    <w:rsid w:val="00925187"/>
    <w:rsid w:val="009252F8"/>
    <w:rsid w:val="009253CF"/>
    <w:rsid w:val="0092579A"/>
    <w:rsid w:val="00925A45"/>
    <w:rsid w:val="00925ABB"/>
    <w:rsid w:val="00925B43"/>
    <w:rsid w:val="00925B75"/>
    <w:rsid w:val="00925D47"/>
    <w:rsid w:val="00925E0A"/>
    <w:rsid w:val="009262AD"/>
    <w:rsid w:val="00926336"/>
    <w:rsid w:val="009268E7"/>
    <w:rsid w:val="00926A02"/>
    <w:rsid w:val="00926D12"/>
    <w:rsid w:val="00926D7C"/>
    <w:rsid w:val="00926E8A"/>
    <w:rsid w:val="00926E96"/>
    <w:rsid w:val="00926F60"/>
    <w:rsid w:val="00927025"/>
    <w:rsid w:val="009273DD"/>
    <w:rsid w:val="0092768A"/>
    <w:rsid w:val="0092778F"/>
    <w:rsid w:val="00927A46"/>
    <w:rsid w:val="00927C53"/>
    <w:rsid w:val="00927F45"/>
    <w:rsid w:val="009302C8"/>
    <w:rsid w:val="009305C2"/>
    <w:rsid w:val="00930710"/>
    <w:rsid w:val="00930BF9"/>
    <w:rsid w:val="00930C75"/>
    <w:rsid w:val="00930CEC"/>
    <w:rsid w:val="00930EB5"/>
    <w:rsid w:val="00930F06"/>
    <w:rsid w:val="009311AA"/>
    <w:rsid w:val="009314F6"/>
    <w:rsid w:val="00931659"/>
    <w:rsid w:val="009316D8"/>
    <w:rsid w:val="00931896"/>
    <w:rsid w:val="009318E1"/>
    <w:rsid w:val="00931A5A"/>
    <w:rsid w:val="00931B33"/>
    <w:rsid w:val="00931D60"/>
    <w:rsid w:val="00931FC2"/>
    <w:rsid w:val="00932016"/>
    <w:rsid w:val="009321BF"/>
    <w:rsid w:val="0093242F"/>
    <w:rsid w:val="009324D0"/>
    <w:rsid w:val="00932522"/>
    <w:rsid w:val="009325C7"/>
    <w:rsid w:val="00932B2B"/>
    <w:rsid w:val="00932EC6"/>
    <w:rsid w:val="0093316A"/>
    <w:rsid w:val="00933312"/>
    <w:rsid w:val="00933367"/>
    <w:rsid w:val="0093343F"/>
    <w:rsid w:val="00933521"/>
    <w:rsid w:val="009335E7"/>
    <w:rsid w:val="0093362E"/>
    <w:rsid w:val="009337A7"/>
    <w:rsid w:val="00933817"/>
    <w:rsid w:val="00933A35"/>
    <w:rsid w:val="00933B50"/>
    <w:rsid w:val="00933DC6"/>
    <w:rsid w:val="00933E47"/>
    <w:rsid w:val="009340D3"/>
    <w:rsid w:val="00934148"/>
    <w:rsid w:val="0093436E"/>
    <w:rsid w:val="0093442E"/>
    <w:rsid w:val="0093501D"/>
    <w:rsid w:val="009352B5"/>
    <w:rsid w:val="0093558E"/>
    <w:rsid w:val="009355D8"/>
    <w:rsid w:val="009357B0"/>
    <w:rsid w:val="009358B5"/>
    <w:rsid w:val="00935D83"/>
    <w:rsid w:val="00935DD1"/>
    <w:rsid w:val="00936072"/>
    <w:rsid w:val="0093611C"/>
    <w:rsid w:val="0093623C"/>
    <w:rsid w:val="00937167"/>
    <w:rsid w:val="009372BA"/>
    <w:rsid w:val="00937385"/>
    <w:rsid w:val="00937691"/>
    <w:rsid w:val="00937796"/>
    <w:rsid w:val="009377A9"/>
    <w:rsid w:val="009377C8"/>
    <w:rsid w:val="00937821"/>
    <w:rsid w:val="00937833"/>
    <w:rsid w:val="009400ED"/>
    <w:rsid w:val="0094057D"/>
    <w:rsid w:val="00940A46"/>
    <w:rsid w:val="00940CC9"/>
    <w:rsid w:val="00940CDF"/>
    <w:rsid w:val="00940E88"/>
    <w:rsid w:val="00940F72"/>
    <w:rsid w:val="00940FF5"/>
    <w:rsid w:val="00941145"/>
    <w:rsid w:val="00941488"/>
    <w:rsid w:val="009415E5"/>
    <w:rsid w:val="00941659"/>
    <w:rsid w:val="009418B4"/>
    <w:rsid w:val="00941A73"/>
    <w:rsid w:val="00941D36"/>
    <w:rsid w:val="00942055"/>
    <w:rsid w:val="00942216"/>
    <w:rsid w:val="0094221F"/>
    <w:rsid w:val="0094231D"/>
    <w:rsid w:val="0094252C"/>
    <w:rsid w:val="0094277C"/>
    <w:rsid w:val="0094277F"/>
    <w:rsid w:val="009427C7"/>
    <w:rsid w:val="009428CB"/>
    <w:rsid w:val="00942947"/>
    <w:rsid w:val="00942977"/>
    <w:rsid w:val="0094301A"/>
    <w:rsid w:val="009434BB"/>
    <w:rsid w:val="0094357C"/>
    <w:rsid w:val="00943739"/>
    <w:rsid w:val="00943948"/>
    <w:rsid w:val="00943A3A"/>
    <w:rsid w:val="00944521"/>
    <w:rsid w:val="00944569"/>
    <w:rsid w:val="00944B6B"/>
    <w:rsid w:val="00944D03"/>
    <w:rsid w:val="00944D20"/>
    <w:rsid w:val="00944D3F"/>
    <w:rsid w:val="00944DDB"/>
    <w:rsid w:val="0094505D"/>
    <w:rsid w:val="00945283"/>
    <w:rsid w:val="009452CA"/>
    <w:rsid w:val="00945329"/>
    <w:rsid w:val="00945654"/>
    <w:rsid w:val="0094580C"/>
    <w:rsid w:val="00945A3B"/>
    <w:rsid w:val="00945ADC"/>
    <w:rsid w:val="00945F8C"/>
    <w:rsid w:val="00946230"/>
    <w:rsid w:val="0094647C"/>
    <w:rsid w:val="0094669D"/>
    <w:rsid w:val="00946776"/>
    <w:rsid w:val="0094689C"/>
    <w:rsid w:val="00946D69"/>
    <w:rsid w:val="00946DB9"/>
    <w:rsid w:val="00947367"/>
    <w:rsid w:val="00947975"/>
    <w:rsid w:val="009479D9"/>
    <w:rsid w:val="00947A13"/>
    <w:rsid w:val="00947CFE"/>
    <w:rsid w:val="0095006A"/>
    <w:rsid w:val="00950101"/>
    <w:rsid w:val="00950339"/>
    <w:rsid w:val="00950414"/>
    <w:rsid w:val="0095041B"/>
    <w:rsid w:val="0095057B"/>
    <w:rsid w:val="009507D2"/>
    <w:rsid w:val="00950AC3"/>
    <w:rsid w:val="00950C99"/>
    <w:rsid w:val="00950F55"/>
    <w:rsid w:val="009512BA"/>
    <w:rsid w:val="0095143D"/>
    <w:rsid w:val="0095191B"/>
    <w:rsid w:val="00951A03"/>
    <w:rsid w:val="00951BC4"/>
    <w:rsid w:val="00951C60"/>
    <w:rsid w:val="00951DE5"/>
    <w:rsid w:val="00951EDF"/>
    <w:rsid w:val="0095203A"/>
    <w:rsid w:val="0095213F"/>
    <w:rsid w:val="009522FF"/>
    <w:rsid w:val="0095234E"/>
    <w:rsid w:val="0095235C"/>
    <w:rsid w:val="00952537"/>
    <w:rsid w:val="0095271F"/>
    <w:rsid w:val="009527F0"/>
    <w:rsid w:val="009528F8"/>
    <w:rsid w:val="00952958"/>
    <w:rsid w:val="00952C1E"/>
    <w:rsid w:val="00952C51"/>
    <w:rsid w:val="00952D05"/>
    <w:rsid w:val="0095312D"/>
    <w:rsid w:val="0095330E"/>
    <w:rsid w:val="009538E7"/>
    <w:rsid w:val="00953971"/>
    <w:rsid w:val="00953A17"/>
    <w:rsid w:val="00953B05"/>
    <w:rsid w:val="00953F23"/>
    <w:rsid w:val="0095408B"/>
    <w:rsid w:val="00954438"/>
    <w:rsid w:val="00954644"/>
    <w:rsid w:val="00954B52"/>
    <w:rsid w:val="00954B74"/>
    <w:rsid w:val="00954C07"/>
    <w:rsid w:val="00954E45"/>
    <w:rsid w:val="00954FC3"/>
    <w:rsid w:val="0095557E"/>
    <w:rsid w:val="00955B8B"/>
    <w:rsid w:val="00955C6E"/>
    <w:rsid w:val="00955EC7"/>
    <w:rsid w:val="00955F06"/>
    <w:rsid w:val="00955FF1"/>
    <w:rsid w:val="0095617B"/>
    <w:rsid w:val="0095633D"/>
    <w:rsid w:val="00956431"/>
    <w:rsid w:val="009564EB"/>
    <w:rsid w:val="0095664B"/>
    <w:rsid w:val="0095678D"/>
    <w:rsid w:val="009567DF"/>
    <w:rsid w:val="00956951"/>
    <w:rsid w:val="00956ACB"/>
    <w:rsid w:val="00956D49"/>
    <w:rsid w:val="009572E4"/>
    <w:rsid w:val="00957306"/>
    <w:rsid w:val="009573E2"/>
    <w:rsid w:val="0095752E"/>
    <w:rsid w:val="00957D70"/>
    <w:rsid w:val="00957F45"/>
    <w:rsid w:val="00960183"/>
    <w:rsid w:val="00960357"/>
    <w:rsid w:val="00960587"/>
    <w:rsid w:val="00960920"/>
    <w:rsid w:val="009609AA"/>
    <w:rsid w:val="009609C6"/>
    <w:rsid w:val="00960CB2"/>
    <w:rsid w:val="00960D59"/>
    <w:rsid w:val="009610E0"/>
    <w:rsid w:val="00961230"/>
    <w:rsid w:val="00961483"/>
    <w:rsid w:val="009615D3"/>
    <w:rsid w:val="00961650"/>
    <w:rsid w:val="009618A3"/>
    <w:rsid w:val="009618C1"/>
    <w:rsid w:val="00961A23"/>
    <w:rsid w:val="00961A5A"/>
    <w:rsid w:val="00961A60"/>
    <w:rsid w:val="00961AAC"/>
    <w:rsid w:val="00961C59"/>
    <w:rsid w:val="00961E26"/>
    <w:rsid w:val="00961EC2"/>
    <w:rsid w:val="00961F97"/>
    <w:rsid w:val="00962025"/>
    <w:rsid w:val="009621F2"/>
    <w:rsid w:val="0096223C"/>
    <w:rsid w:val="0096231B"/>
    <w:rsid w:val="0096234E"/>
    <w:rsid w:val="009623DA"/>
    <w:rsid w:val="009623F6"/>
    <w:rsid w:val="0096298F"/>
    <w:rsid w:val="00962B99"/>
    <w:rsid w:val="00962BAC"/>
    <w:rsid w:val="00962BD0"/>
    <w:rsid w:val="00962CF1"/>
    <w:rsid w:val="00963055"/>
    <w:rsid w:val="009630F3"/>
    <w:rsid w:val="00963121"/>
    <w:rsid w:val="00963130"/>
    <w:rsid w:val="0096339C"/>
    <w:rsid w:val="0096344B"/>
    <w:rsid w:val="00963535"/>
    <w:rsid w:val="009635DC"/>
    <w:rsid w:val="00963798"/>
    <w:rsid w:val="009637CE"/>
    <w:rsid w:val="009638FB"/>
    <w:rsid w:val="009638FC"/>
    <w:rsid w:val="009639C1"/>
    <w:rsid w:val="00963CCA"/>
    <w:rsid w:val="00963ED1"/>
    <w:rsid w:val="00963F9D"/>
    <w:rsid w:val="00963FE7"/>
    <w:rsid w:val="009646CB"/>
    <w:rsid w:val="009646D4"/>
    <w:rsid w:val="0096477A"/>
    <w:rsid w:val="00964B16"/>
    <w:rsid w:val="00964C4B"/>
    <w:rsid w:val="00964E56"/>
    <w:rsid w:val="00965084"/>
    <w:rsid w:val="0096523C"/>
    <w:rsid w:val="009652CB"/>
    <w:rsid w:val="0096539D"/>
    <w:rsid w:val="0096554D"/>
    <w:rsid w:val="00965791"/>
    <w:rsid w:val="00965A7A"/>
    <w:rsid w:val="00965AB1"/>
    <w:rsid w:val="00965D20"/>
    <w:rsid w:val="00965EC8"/>
    <w:rsid w:val="00965F52"/>
    <w:rsid w:val="00965F8F"/>
    <w:rsid w:val="00966678"/>
    <w:rsid w:val="0096673D"/>
    <w:rsid w:val="0096676F"/>
    <w:rsid w:val="009668C2"/>
    <w:rsid w:val="00966A4C"/>
    <w:rsid w:val="00966B7E"/>
    <w:rsid w:val="00966E1C"/>
    <w:rsid w:val="00966F84"/>
    <w:rsid w:val="009670BF"/>
    <w:rsid w:val="0096717B"/>
    <w:rsid w:val="009676EA"/>
    <w:rsid w:val="009677D9"/>
    <w:rsid w:val="00967AD4"/>
    <w:rsid w:val="00967DDD"/>
    <w:rsid w:val="00967F57"/>
    <w:rsid w:val="009700C1"/>
    <w:rsid w:val="0097021E"/>
    <w:rsid w:val="00970298"/>
    <w:rsid w:val="009702A9"/>
    <w:rsid w:val="009702C7"/>
    <w:rsid w:val="00970527"/>
    <w:rsid w:val="009705B1"/>
    <w:rsid w:val="00970A18"/>
    <w:rsid w:val="00970BBA"/>
    <w:rsid w:val="00970BED"/>
    <w:rsid w:val="0097120E"/>
    <w:rsid w:val="009712D9"/>
    <w:rsid w:val="0097130F"/>
    <w:rsid w:val="009717CC"/>
    <w:rsid w:val="009717DF"/>
    <w:rsid w:val="00971D32"/>
    <w:rsid w:val="00971EB2"/>
    <w:rsid w:val="00971EE2"/>
    <w:rsid w:val="00971F49"/>
    <w:rsid w:val="00971FE8"/>
    <w:rsid w:val="00971FFB"/>
    <w:rsid w:val="00972035"/>
    <w:rsid w:val="0097222A"/>
    <w:rsid w:val="00972263"/>
    <w:rsid w:val="009722B3"/>
    <w:rsid w:val="0097244D"/>
    <w:rsid w:val="009724FC"/>
    <w:rsid w:val="009727E2"/>
    <w:rsid w:val="00972A9E"/>
    <w:rsid w:val="00972B7B"/>
    <w:rsid w:val="00972C52"/>
    <w:rsid w:val="00972C89"/>
    <w:rsid w:val="00972DCB"/>
    <w:rsid w:val="00972E56"/>
    <w:rsid w:val="00972E89"/>
    <w:rsid w:val="0097339D"/>
    <w:rsid w:val="009734C8"/>
    <w:rsid w:val="00973E3F"/>
    <w:rsid w:val="00973E9C"/>
    <w:rsid w:val="00974183"/>
    <w:rsid w:val="009741E3"/>
    <w:rsid w:val="0097421E"/>
    <w:rsid w:val="009744CB"/>
    <w:rsid w:val="00974B52"/>
    <w:rsid w:val="00974C5F"/>
    <w:rsid w:val="00974DEC"/>
    <w:rsid w:val="00974E76"/>
    <w:rsid w:val="00975104"/>
    <w:rsid w:val="009753E3"/>
    <w:rsid w:val="00975461"/>
    <w:rsid w:val="009755BB"/>
    <w:rsid w:val="009758DE"/>
    <w:rsid w:val="00975D30"/>
    <w:rsid w:val="00976260"/>
    <w:rsid w:val="00976722"/>
    <w:rsid w:val="00976C64"/>
    <w:rsid w:val="00976D2F"/>
    <w:rsid w:val="00976D6D"/>
    <w:rsid w:val="00976F9B"/>
    <w:rsid w:val="009770BC"/>
    <w:rsid w:val="00977122"/>
    <w:rsid w:val="009779EC"/>
    <w:rsid w:val="00977B5C"/>
    <w:rsid w:val="00980147"/>
    <w:rsid w:val="009801CA"/>
    <w:rsid w:val="00980275"/>
    <w:rsid w:val="009804A8"/>
    <w:rsid w:val="009805B3"/>
    <w:rsid w:val="009807BC"/>
    <w:rsid w:val="00980805"/>
    <w:rsid w:val="0098080B"/>
    <w:rsid w:val="00980859"/>
    <w:rsid w:val="009809B8"/>
    <w:rsid w:val="00980A31"/>
    <w:rsid w:val="00981066"/>
    <w:rsid w:val="009810A6"/>
    <w:rsid w:val="00981611"/>
    <w:rsid w:val="0098166B"/>
    <w:rsid w:val="00981678"/>
    <w:rsid w:val="00981765"/>
    <w:rsid w:val="009817D6"/>
    <w:rsid w:val="00981812"/>
    <w:rsid w:val="0098193B"/>
    <w:rsid w:val="00981A40"/>
    <w:rsid w:val="00981C29"/>
    <w:rsid w:val="00981FB6"/>
    <w:rsid w:val="009820FF"/>
    <w:rsid w:val="009821A9"/>
    <w:rsid w:val="009821BA"/>
    <w:rsid w:val="00982249"/>
    <w:rsid w:val="00982411"/>
    <w:rsid w:val="0098247B"/>
    <w:rsid w:val="009825F6"/>
    <w:rsid w:val="0098268D"/>
    <w:rsid w:val="00982757"/>
    <w:rsid w:val="00982A83"/>
    <w:rsid w:val="00982ED2"/>
    <w:rsid w:val="00982F5B"/>
    <w:rsid w:val="0098301C"/>
    <w:rsid w:val="00983108"/>
    <w:rsid w:val="0098310F"/>
    <w:rsid w:val="0098323C"/>
    <w:rsid w:val="009833F4"/>
    <w:rsid w:val="0098364C"/>
    <w:rsid w:val="009837B2"/>
    <w:rsid w:val="0098390D"/>
    <w:rsid w:val="00983977"/>
    <w:rsid w:val="009839A7"/>
    <w:rsid w:val="009839EB"/>
    <w:rsid w:val="00983C03"/>
    <w:rsid w:val="00983EEA"/>
    <w:rsid w:val="00984107"/>
    <w:rsid w:val="00984247"/>
    <w:rsid w:val="00984354"/>
    <w:rsid w:val="0098445E"/>
    <w:rsid w:val="009847A8"/>
    <w:rsid w:val="00984820"/>
    <w:rsid w:val="00984980"/>
    <w:rsid w:val="00984BBD"/>
    <w:rsid w:val="00984DFE"/>
    <w:rsid w:val="009850A3"/>
    <w:rsid w:val="0098520E"/>
    <w:rsid w:val="00985580"/>
    <w:rsid w:val="00985AED"/>
    <w:rsid w:val="00985B0D"/>
    <w:rsid w:val="00986125"/>
    <w:rsid w:val="0098619D"/>
    <w:rsid w:val="00986523"/>
    <w:rsid w:val="00986887"/>
    <w:rsid w:val="00986A9F"/>
    <w:rsid w:val="00987179"/>
    <w:rsid w:val="0098730B"/>
    <w:rsid w:val="00987537"/>
    <w:rsid w:val="00987AAF"/>
    <w:rsid w:val="00987EA7"/>
    <w:rsid w:val="009900D0"/>
    <w:rsid w:val="009900E7"/>
    <w:rsid w:val="0099014C"/>
    <w:rsid w:val="00990630"/>
    <w:rsid w:val="00990833"/>
    <w:rsid w:val="00990B32"/>
    <w:rsid w:val="00990F53"/>
    <w:rsid w:val="0099106B"/>
    <w:rsid w:val="009910C9"/>
    <w:rsid w:val="009911F7"/>
    <w:rsid w:val="0099120A"/>
    <w:rsid w:val="009917E0"/>
    <w:rsid w:val="0099196C"/>
    <w:rsid w:val="00991D34"/>
    <w:rsid w:val="00991DF1"/>
    <w:rsid w:val="00991DFB"/>
    <w:rsid w:val="00991E8A"/>
    <w:rsid w:val="00991EDD"/>
    <w:rsid w:val="00991F62"/>
    <w:rsid w:val="00991FAA"/>
    <w:rsid w:val="0099230A"/>
    <w:rsid w:val="00992542"/>
    <w:rsid w:val="00992749"/>
    <w:rsid w:val="00992A52"/>
    <w:rsid w:val="00992CA8"/>
    <w:rsid w:val="00992E3A"/>
    <w:rsid w:val="009930E2"/>
    <w:rsid w:val="0099324D"/>
    <w:rsid w:val="00993266"/>
    <w:rsid w:val="0099355E"/>
    <w:rsid w:val="0099394A"/>
    <w:rsid w:val="00993A25"/>
    <w:rsid w:val="00993AD3"/>
    <w:rsid w:val="00993C13"/>
    <w:rsid w:val="00993C6A"/>
    <w:rsid w:val="00993E02"/>
    <w:rsid w:val="00993E45"/>
    <w:rsid w:val="00993E8F"/>
    <w:rsid w:val="00993F92"/>
    <w:rsid w:val="0099428D"/>
    <w:rsid w:val="009944CC"/>
    <w:rsid w:val="00994687"/>
    <w:rsid w:val="009947C3"/>
    <w:rsid w:val="00995081"/>
    <w:rsid w:val="009951F1"/>
    <w:rsid w:val="009952DE"/>
    <w:rsid w:val="0099533D"/>
    <w:rsid w:val="0099557B"/>
    <w:rsid w:val="00995949"/>
    <w:rsid w:val="00995EB7"/>
    <w:rsid w:val="00996286"/>
    <w:rsid w:val="0099634E"/>
    <w:rsid w:val="00996363"/>
    <w:rsid w:val="0099656F"/>
    <w:rsid w:val="00996606"/>
    <w:rsid w:val="0099679F"/>
    <w:rsid w:val="00996C32"/>
    <w:rsid w:val="00997025"/>
    <w:rsid w:val="00997230"/>
    <w:rsid w:val="0099735B"/>
    <w:rsid w:val="009974D5"/>
    <w:rsid w:val="00997819"/>
    <w:rsid w:val="0099788F"/>
    <w:rsid w:val="009A00CA"/>
    <w:rsid w:val="009A0562"/>
    <w:rsid w:val="009A08D0"/>
    <w:rsid w:val="009A0B60"/>
    <w:rsid w:val="009A0C98"/>
    <w:rsid w:val="009A1074"/>
    <w:rsid w:val="009A1301"/>
    <w:rsid w:val="009A13F7"/>
    <w:rsid w:val="009A1585"/>
    <w:rsid w:val="009A167E"/>
    <w:rsid w:val="009A17D3"/>
    <w:rsid w:val="009A18C5"/>
    <w:rsid w:val="009A1E34"/>
    <w:rsid w:val="009A1EA3"/>
    <w:rsid w:val="009A2195"/>
    <w:rsid w:val="009A2358"/>
    <w:rsid w:val="009A24B0"/>
    <w:rsid w:val="009A24EF"/>
    <w:rsid w:val="009A2648"/>
    <w:rsid w:val="009A28BB"/>
    <w:rsid w:val="009A29D8"/>
    <w:rsid w:val="009A2BAD"/>
    <w:rsid w:val="009A2BE6"/>
    <w:rsid w:val="009A2EF3"/>
    <w:rsid w:val="009A3148"/>
    <w:rsid w:val="009A31A4"/>
    <w:rsid w:val="009A33DA"/>
    <w:rsid w:val="009A356C"/>
    <w:rsid w:val="009A37AD"/>
    <w:rsid w:val="009A38E6"/>
    <w:rsid w:val="009A3FD4"/>
    <w:rsid w:val="009A4041"/>
    <w:rsid w:val="009A41BA"/>
    <w:rsid w:val="009A4380"/>
    <w:rsid w:val="009A446D"/>
    <w:rsid w:val="009A45DE"/>
    <w:rsid w:val="009A4D5F"/>
    <w:rsid w:val="009A4DA7"/>
    <w:rsid w:val="009A4E09"/>
    <w:rsid w:val="009A4FB7"/>
    <w:rsid w:val="009A5094"/>
    <w:rsid w:val="009A5136"/>
    <w:rsid w:val="009A5199"/>
    <w:rsid w:val="009A52CF"/>
    <w:rsid w:val="009A53FC"/>
    <w:rsid w:val="009A59DB"/>
    <w:rsid w:val="009A59E6"/>
    <w:rsid w:val="009A5A9C"/>
    <w:rsid w:val="009A5BEE"/>
    <w:rsid w:val="009A5E6C"/>
    <w:rsid w:val="009A5EA8"/>
    <w:rsid w:val="009A5F8B"/>
    <w:rsid w:val="009A6556"/>
    <w:rsid w:val="009A676D"/>
    <w:rsid w:val="009A686E"/>
    <w:rsid w:val="009A6994"/>
    <w:rsid w:val="009A6E17"/>
    <w:rsid w:val="009A6FA8"/>
    <w:rsid w:val="009A7085"/>
    <w:rsid w:val="009A70FA"/>
    <w:rsid w:val="009A7125"/>
    <w:rsid w:val="009A7327"/>
    <w:rsid w:val="009A73A7"/>
    <w:rsid w:val="009A73D7"/>
    <w:rsid w:val="009A7858"/>
    <w:rsid w:val="009A7A70"/>
    <w:rsid w:val="009A7E7F"/>
    <w:rsid w:val="009B006B"/>
    <w:rsid w:val="009B0766"/>
    <w:rsid w:val="009B090C"/>
    <w:rsid w:val="009B0BC1"/>
    <w:rsid w:val="009B0E00"/>
    <w:rsid w:val="009B10F8"/>
    <w:rsid w:val="009B163B"/>
    <w:rsid w:val="009B183F"/>
    <w:rsid w:val="009B1C30"/>
    <w:rsid w:val="009B1D33"/>
    <w:rsid w:val="009B1D9F"/>
    <w:rsid w:val="009B1EC2"/>
    <w:rsid w:val="009B1ECB"/>
    <w:rsid w:val="009B21D2"/>
    <w:rsid w:val="009B2710"/>
    <w:rsid w:val="009B2848"/>
    <w:rsid w:val="009B29E5"/>
    <w:rsid w:val="009B2CBD"/>
    <w:rsid w:val="009B3389"/>
    <w:rsid w:val="009B35DB"/>
    <w:rsid w:val="009B36B2"/>
    <w:rsid w:val="009B36E1"/>
    <w:rsid w:val="009B39C9"/>
    <w:rsid w:val="009B3AB3"/>
    <w:rsid w:val="009B3C84"/>
    <w:rsid w:val="009B4407"/>
    <w:rsid w:val="009B46BA"/>
    <w:rsid w:val="009B4754"/>
    <w:rsid w:val="009B47A2"/>
    <w:rsid w:val="009B4A81"/>
    <w:rsid w:val="009B4C48"/>
    <w:rsid w:val="009B514E"/>
    <w:rsid w:val="009B51B6"/>
    <w:rsid w:val="009B51C8"/>
    <w:rsid w:val="009B54AE"/>
    <w:rsid w:val="009B571C"/>
    <w:rsid w:val="009B5A4E"/>
    <w:rsid w:val="009B5A83"/>
    <w:rsid w:val="009B5CCE"/>
    <w:rsid w:val="009B61A0"/>
    <w:rsid w:val="009B6614"/>
    <w:rsid w:val="009B66DC"/>
    <w:rsid w:val="009B6916"/>
    <w:rsid w:val="009B69C6"/>
    <w:rsid w:val="009B6A9D"/>
    <w:rsid w:val="009B6AAF"/>
    <w:rsid w:val="009B6B61"/>
    <w:rsid w:val="009B6FDA"/>
    <w:rsid w:val="009B7020"/>
    <w:rsid w:val="009B715E"/>
    <w:rsid w:val="009B7434"/>
    <w:rsid w:val="009B74B7"/>
    <w:rsid w:val="009B7628"/>
    <w:rsid w:val="009B782C"/>
    <w:rsid w:val="009B7A43"/>
    <w:rsid w:val="009B7C4C"/>
    <w:rsid w:val="009B7C59"/>
    <w:rsid w:val="009B7C88"/>
    <w:rsid w:val="009C0046"/>
    <w:rsid w:val="009C0822"/>
    <w:rsid w:val="009C0A19"/>
    <w:rsid w:val="009C0B20"/>
    <w:rsid w:val="009C0F01"/>
    <w:rsid w:val="009C0F9F"/>
    <w:rsid w:val="009C11E2"/>
    <w:rsid w:val="009C1469"/>
    <w:rsid w:val="009C19E2"/>
    <w:rsid w:val="009C1C6B"/>
    <w:rsid w:val="009C1F52"/>
    <w:rsid w:val="009C2069"/>
    <w:rsid w:val="009C23A7"/>
    <w:rsid w:val="009C23BD"/>
    <w:rsid w:val="009C26E4"/>
    <w:rsid w:val="009C2722"/>
    <w:rsid w:val="009C27D7"/>
    <w:rsid w:val="009C294A"/>
    <w:rsid w:val="009C2FD8"/>
    <w:rsid w:val="009C33EC"/>
    <w:rsid w:val="009C3439"/>
    <w:rsid w:val="009C37A3"/>
    <w:rsid w:val="009C3BE5"/>
    <w:rsid w:val="009C3C43"/>
    <w:rsid w:val="009C408A"/>
    <w:rsid w:val="009C408B"/>
    <w:rsid w:val="009C417B"/>
    <w:rsid w:val="009C4597"/>
    <w:rsid w:val="009C46B5"/>
    <w:rsid w:val="009C482F"/>
    <w:rsid w:val="009C4C4D"/>
    <w:rsid w:val="009C4D72"/>
    <w:rsid w:val="009C4F20"/>
    <w:rsid w:val="009C526B"/>
    <w:rsid w:val="009C52C1"/>
    <w:rsid w:val="009C5353"/>
    <w:rsid w:val="009C5708"/>
    <w:rsid w:val="009C5942"/>
    <w:rsid w:val="009C5AD2"/>
    <w:rsid w:val="009C5BEB"/>
    <w:rsid w:val="009C5CD5"/>
    <w:rsid w:val="009C5E57"/>
    <w:rsid w:val="009C6175"/>
    <w:rsid w:val="009C6633"/>
    <w:rsid w:val="009C6648"/>
    <w:rsid w:val="009C6706"/>
    <w:rsid w:val="009C6A09"/>
    <w:rsid w:val="009C6E57"/>
    <w:rsid w:val="009C6F3C"/>
    <w:rsid w:val="009C6FCA"/>
    <w:rsid w:val="009C7001"/>
    <w:rsid w:val="009C71EE"/>
    <w:rsid w:val="009C72B0"/>
    <w:rsid w:val="009C7809"/>
    <w:rsid w:val="009C7844"/>
    <w:rsid w:val="009C7F97"/>
    <w:rsid w:val="009D07CF"/>
    <w:rsid w:val="009D096A"/>
    <w:rsid w:val="009D0D60"/>
    <w:rsid w:val="009D0D66"/>
    <w:rsid w:val="009D0EAB"/>
    <w:rsid w:val="009D1636"/>
    <w:rsid w:val="009D1C33"/>
    <w:rsid w:val="009D2238"/>
    <w:rsid w:val="009D2309"/>
    <w:rsid w:val="009D2340"/>
    <w:rsid w:val="009D298B"/>
    <w:rsid w:val="009D2A1A"/>
    <w:rsid w:val="009D32B5"/>
    <w:rsid w:val="009D33D7"/>
    <w:rsid w:val="009D424D"/>
    <w:rsid w:val="009D4287"/>
    <w:rsid w:val="009D438F"/>
    <w:rsid w:val="009D43BE"/>
    <w:rsid w:val="009D465E"/>
    <w:rsid w:val="009D4A6C"/>
    <w:rsid w:val="009D4D02"/>
    <w:rsid w:val="009D4F36"/>
    <w:rsid w:val="009D548E"/>
    <w:rsid w:val="009D5556"/>
    <w:rsid w:val="009D5CB9"/>
    <w:rsid w:val="009D61C0"/>
    <w:rsid w:val="009D62B2"/>
    <w:rsid w:val="009D6352"/>
    <w:rsid w:val="009D6A5A"/>
    <w:rsid w:val="009D6D08"/>
    <w:rsid w:val="009D6D23"/>
    <w:rsid w:val="009D6F38"/>
    <w:rsid w:val="009D72A0"/>
    <w:rsid w:val="009D73C9"/>
    <w:rsid w:val="009D73EA"/>
    <w:rsid w:val="009D787A"/>
    <w:rsid w:val="009D7AF6"/>
    <w:rsid w:val="009D7CE4"/>
    <w:rsid w:val="009E007B"/>
    <w:rsid w:val="009E01D4"/>
    <w:rsid w:val="009E042C"/>
    <w:rsid w:val="009E08E3"/>
    <w:rsid w:val="009E0A4E"/>
    <w:rsid w:val="009E0AEA"/>
    <w:rsid w:val="009E0C10"/>
    <w:rsid w:val="009E0E67"/>
    <w:rsid w:val="009E12B5"/>
    <w:rsid w:val="009E1465"/>
    <w:rsid w:val="009E152B"/>
    <w:rsid w:val="009E161A"/>
    <w:rsid w:val="009E1ACF"/>
    <w:rsid w:val="009E1AD0"/>
    <w:rsid w:val="009E1AE9"/>
    <w:rsid w:val="009E20F7"/>
    <w:rsid w:val="009E2121"/>
    <w:rsid w:val="009E2267"/>
    <w:rsid w:val="009E24A2"/>
    <w:rsid w:val="009E2A45"/>
    <w:rsid w:val="009E2B39"/>
    <w:rsid w:val="009E2E15"/>
    <w:rsid w:val="009E2F32"/>
    <w:rsid w:val="009E31BB"/>
    <w:rsid w:val="009E3334"/>
    <w:rsid w:val="009E34B5"/>
    <w:rsid w:val="009E3954"/>
    <w:rsid w:val="009E39C2"/>
    <w:rsid w:val="009E39E3"/>
    <w:rsid w:val="009E3A68"/>
    <w:rsid w:val="009E3B6B"/>
    <w:rsid w:val="009E3B6D"/>
    <w:rsid w:val="009E3B75"/>
    <w:rsid w:val="009E3E35"/>
    <w:rsid w:val="009E3FFF"/>
    <w:rsid w:val="009E423F"/>
    <w:rsid w:val="009E4701"/>
    <w:rsid w:val="009E493A"/>
    <w:rsid w:val="009E4BFA"/>
    <w:rsid w:val="009E4CDE"/>
    <w:rsid w:val="009E4DAD"/>
    <w:rsid w:val="009E4DCC"/>
    <w:rsid w:val="009E4E24"/>
    <w:rsid w:val="009E51E9"/>
    <w:rsid w:val="009E5284"/>
    <w:rsid w:val="009E5486"/>
    <w:rsid w:val="009E54E6"/>
    <w:rsid w:val="009E569E"/>
    <w:rsid w:val="009E56BD"/>
    <w:rsid w:val="009E5863"/>
    <w:rsid w:val="009E5926"/>
    <w:rsid w:val="009E5A41"/>
    <w:rsid w:val="009E5BB2"/>
    <w:rsid w:val="009E6081"/>
    <w:rsid w:val="009E6254"/>
    <w:rsid w:val="009E6501"/>
    <w:rsid w:val="009E6A31"/>
    <w:rsid w:val="009E6A5C"/>
    <w:rsid w:val="009E6C81"/>
    <w:rsid w:val="009E6E0A"/>
    <w:rsid w:val="009E6F20"/>
    <w:rsid w:val="009E70D8"/>
    <w:rsid w:val="009E716B"/>
    <w:rsid w:val="009E756E"/>
    <w:rsid w:val="009E7730"/>
    <w:rsid w:val="009E7A07"/>
    <w:rsid w:val="009E7D4E"/>
    <w:rsid w:val="009E7E3A"/>
    <w:rsid w:val="009E7F21"/>
    <w:rsid w:val="009F0029"/>
    <w:rsid w:val="009F005C"/>
    <w:rsid w:val="009F00F2"/>
    <w:rsid w:val="009F04B2"/>
    <w:rsid w:val="009F070A"/>
    <w:rsid w:val="009F0763"/>
    <w:rsid w:val="009F0872"/>
    <w:rsid w:val="009F0897"/>
    <w:rsid w:val="009F089F"/>
    <w:rsid w:val="009F0A7D"/>
    <w:rsid w:val="009F0B2D"/>
    <w:rsid w:val="009F0B70"/>
    <w:rsid w:val="009F1105"/>
    <w:rsid w:val="009F1112"/>
    <w:rsid w:val="009F11A9"/>
    <w:rsid w:val="009F1571"/>
    <w:rsid w:val="009F15EE"/>
    <w:rsid w:val="009F177B"/>
    <w:rsid w:val="009F197D"/>
    <w:rsid w:val="009F1CA4"/>
    <w:rsid w:val="009F1D67"/>
    <w:rsid w:val="009F1FA8"/>
    <w:rsid w:val="009F2029"/>
    <w:rsid w:val="009F24B0"/>
    <w:rsid w:val="009F286D"/>
    <w:rsid w:val="009F2A30"/>
    <w:rsid w:val="009F2A7F"/>
    <w:rsid w:val="009F2CF5"/>
    <w:rsid w:val="009F2EF8"/>
    <w:rsid w:val="009F314E"/>
    <w:rsid w:val="009F3212"/>
    <w:rsid w:val="009F3563"/>
    <w:rsid w:val="009F3A5A"/>
    <w:rsid w:val="009F3A9C"/>
    <w:rsid w:val="009F3B92"/>
    <w:rsid w:val="009F3C5D"/>
    <w:rsid w:val="009F3EA0"/>
    <w:rsid w:val="009F40D5"/>
    <w:rsid w:val="009F4198"/>
    <w:rsid w:val="009F42F3"/>
    <w:rsid w:val="009F43A8"/>
    <w:rsid w:val="009F45F4"/>
    <w:rsid w:val="009F48F1"/>
    <w:rsid w:val="009F495B"/>
    <w:rsid w:val="009F4B68"/>
    <w:rsid w:val="009F50D6"/>
    <w:rsid w:val="009F52FA"/>
    <w:rsid w:val="009F5341"/>
    <w:rsid w:val="009F5837"/>
    <w:rsid w:val="009F5878"/>
    <w:rsid w:val="009F5A74"/>
    <w:rsid w:val="009F5ADA"/>
    <w:rsid w:val="009F5B22"/>
    <w:rsid w:val="009F5B7F"/>
    <w:rsid w:val="009F5BAB"/>
    <w:rsid w:val="009F64FD"/>
    <w:rsid w:val="009F6517"/>
    <w:rsid w:val="009F669E"/>
    <w:rsid w:val="009F673F"/>
    <w:rsid w:val="009F67EA"/>
    <w:rsid w:val="009F6852"/>
    <w:rsid w:val="009F685F"/>
    <w:rsid w:val="009F694F"/>
    <w:rsid w:val="009F6A71"/>
    <w:rsid w:val="009F6ACB"/>
    <w:rsid w:val="009F6FA0"/>
    <w:rsid w:val="009F738D"/>
    <w:rsid w:val="009F750D"/>
    <w:rsid w:val="009F756F"/>
    <w:rsid w:val="009F7589"/>
    <w:rsid w:val="009F78C9"/>
    <w:rsid w:val="009F7ADE"/>
    <w:rsid w:val="009F7DBD"/>
    <w:rsid w:val="009F7DD3"/>
    <w:rsid w:val="009F7FD8"/>
    <w:rsid w:val="00A0079F"/>
    <w:rsid w:val="00A00B74"/>
    <w:rsid w:val="00A00D54"/>
    <w:rsid w:val="00A010EF"/>
    <w:rsid w:val="00A011A1"/>
    <w:rsid w:val="00A017E6"/>
    <w:rsid w:val="00A0181A"/>
    <w:rsid w:val="00A01AFD"/>
    <w:rsid w:val="00A01C6D"/>
    <w:rsid w:val="00A01C74"/>
    <w:rsid w:val="00A01E46"/>
    <w:rsid w:val="00A01F3B"/>
    <w:rsid w:val="00A02078"/>
    <w:rsid w:val="00A0213C"/>
    <w:rsid w:val="00A02297"/>
    <w:rsid w:val="00A024C9"/>
    <w:rsid w:val="00A0271F"/>
    <w:rsid w:val="00A028CA"/>
    <w:rsid w:val="00A02905"/>
    <w:rsid w:val="00A02A9B"/>
    <w:rsid w:val="00A02B42"/>
    <w:rsid w:val="00A02CA1"/>
    <w:rsid w:val="00A02CC2"/>
    <w:rsid w:val="00A02DBC"/>
    <w:rsid w:val="00A02EAE"/>
    <w:rsid w:val="00A02EB6"/>
    <w:rsid w:val="00A031DB"/>
    <w:rsid w:val="00A031DD"/>
    <w:rsid w:val="00A03233"/>
    <w:rsid w:val="00A033AD"/>
    <w:rsid w:val="00A03476"/>
    <w:rsid w:val="00A03531"/>
    <w:rsid w:val="00A0353C"/>
    <w:rsid w:val="00A03568"/>
    <w:rsid w:val="00A0356C"/>
    <w:rsid w:val="00A03703"/>
    <w:rsid w:val="00A0384F"/>
    <w:rsid w:val="00A03A09"/>
    <w:rsid w:val="00A03A70"/>
    <w:rsid w:val="00A03AE1"/>
    <w:rsid w:val="00A03B6A"/>
    <w:rsid w:val="00A03CCF"/>
    <w:rsid w:val="00A03D26"/>
    <w:rsid w:val="00A04166"/>
    <w:rsid w:val="00A0458E"/>
    <w:rsid w:val="00A0469B"/>
    <w:rsid w:val="00A04980"/>
    <w:rsid w:val="00A0528C"/>
    <w:rsid w:val="00A053A4"/>
    <w:rsid w:val="00A05585"/>
    <w:rsid w:val="00A05AFC"/>
    <w:rsid w:val="00A05E17"/>
    <w:rsid w:val="00A060DD"/>
    <w:rsid w:val="00A06140"/>
    <w:rsid w:val="00A06490"/>
    <w:rsid w:val="00A065F9"/>
    <w:rsid w:val="00A069E9"/>
    <w:rsid w:val="00A069F7"/>
    <w:rsid w:val="00A07089"/>
    <w:rsid w:val="00A07407"/>
    <w:rsid w:val="00A077D8"/>
    <w:rsid w:val="00A077EB"/>
    <w:rsid w:val="00A0788E"/>
    <w:rsid w:val="00A078A9"/>
    <w:rsid w:val="00A07DD8"/>
    <w:rsid w:val="00A1000B"/>
    <w:rsid w:val="00A1005F"/>
    <w:rsid w:val="00A10141"/>
    <w:rsid w:val="00A103F1"/>
    <w:rsid w:val="00A107B1"/>
    <w:rsid w:val="00A10880"/>
    <w:rsid w:val="00A1088E"/>
    <w:rsid w:val="00A1098F"/>
    <w:rsid w:val="00A10B2D"/>
    <w:rsid w:val="00A10B68"/>
    <w:rsid w:val="00A10D6E"/>
    <w:rsid w:val="00A111C5"/>
    <w:rsid w:val="00A111EF"/>
    <w:rsid w:val="00A1122C"/>
    <w:rsid w:val="00A114EB"/>
    <w:rsid w:val="00A115B2"/>
    <w:rsid w:val="00A115D8"/>
    <w:rsid w:val="00A11A96"/>
    <w:rsid w:val="00A11B68"/>
    <w:rsid w:val="00A11C56"/>
    <w:rsid w:val="00A11EFF"/>
    <w:rsid w:val="00A11FD6"/>
    <w:rsid w:val="00A123ED"/>
    <w:rsid w:val="00A12521"/>
    <w:rsid w:val="00A12590"/>
    <w:rsid w:val="00A127B1"/>
    <w:rsid w:val="00A13076"/>
    <w:rsid w:val="00A131E8"/>
    <w:rsid w:val="00A136EC"/>
    <w:rsid w:val="00A138BA"/>
    <w:rsid w:val="00A13A32"/>
    <w:rsid w:val="00A13C95"/>
    <w:rsid w:val="00A13FCB"/>
    <w:rsid w:val="00A140E7"/>
    <w:rsid w:val="00A141BA"/>
    <w:rsid w:val="00A1422B"/>
    <w:rsid w:val="00A14289"/>
    <w:rsid w:val="00A1442E"/>
    <w:rsid w:val="00A145A0"/>
    <w:rsid w:val="00A146F6"/>
    <w:rsid w:val="00A14A1B"/>
    <w:rsid w:val="00A14CD1"/>
    <w:rsid w:val="00A14CF4"/>
    <w:rsid w:val="00A14E00"/>
    <w:rsid w:val="00A1562B"/>
    <w:rsid w:val="00A156CB"/>
    <w:rsid w:val="00A158F3"/>
    <w:rsid w:val="00A15967"/>
    <w:rsid w:val="00A159C8"/>
    <w:rsid w:val="00A15C22"/>
    <w:rsid w:val="00A15DF4"/>
    <w:rsid w:val="00A15E94"/>
    <w:rsid w:val="00A15F20"/>
    <w:rsid w:val="00A16128"/>
    <w:rsid w:val="00A161C9"/>
    <w:rsid w:val="00A16C1A"/>
    <w:rsid w:val="00A16E6C"/>
    <w:rsid w:val="00A17029"/>
    <w:rsid w:val="00A174A2"/>
    <w:rsid w:val="00A17564"/>
    <w:rsid w:val="00A1758C"/>
    <w:rsid w:val="00A17A2E"/>
    <w:rsid w:val="00A17C70"/>
    <w:rsid w:val="00A17D62"/>
    <w:rsid w:val="00A17D75"/>
    <w:rsid w:val="00A17FEA"/>
    <w:rsid w:val="00A20263"/>
    <w:rsid w:val="00A205B5"/>
    <w:rsid w:val="00A205E8"/>
    <w:rsid w:val="00A20674"/>
    <w:rsid w:val="00A209C4"/>
    <w:rsid w:val="00A20C86"/>
    <w:rsid w:val="00A20DD8"/>
    <w:rsid w:val="00A20E43"/>
    <w:rsid w:val="00A20E73"/>
    <w:rsid w:val="00A214AB"/>
    <w:rsid w:val="00A21505"/>
    <w:rsid w:val="00A2168B"/>
    <w:rsid w:val="00A2184B"/>
    <w:rsid w:val="00A218B5"/>
    <w:rsid w:val="00A21CA9"/>
    <w:rsid w:val="00A21E2F"/>
    <w:rsid w:val="00A21E51"/>
    <w:rsid w:val="00A21EFC"/>
    <w:rsid w:val="00A21FF9"/>
    <w:rsid w:val="00A221D0"/>
    <w:rsid w:val="00A22219"/>
    <w:rsid w:val="00A222C5"/>
    <w:rsid w:val="00A224EE"/>
    <w:rsid w:val="00A22625"/>
    <w:rsid w:val="00A22772"/>
    <w:rsid w:val="00A22982"/>
    <w:rsid w:val="00A22C42"/>
    <w:rsid w:val="00A22EBD"/>
    <w:rsid w:val="00A22EF5"/>
    <w:rsid w:val="00A22F40"/>
    <w:rsid w:val="00A235AF"/>
    <w:rsid w:val="00A23878"/>
    <w:rsid w:val="00A23B6F"/>
    <w:rsid w:val="00A23BE3"/>
    <w:rsid w:val="00A23F14"/>
    <w:rsid w:val="00A23F3C"/>
    <w:rsid w:val="00A24245"/>
    <w:rsid w:val="00A24531"/>
    <w:rsid w:val="00A247E9"/>
    <w:rsid w:val="00A2491E"/>
    <w:rsid w:val="00A24942"/>
    <w:rsid w:val="00A24E06"/>
    <w:rsid w:val="00A2559C"/>
    <w:rsid w:val="00A25A96"/>
    <w:rsid w:val="00A25B49"/>
    <w:rsid w:val="00A25E91"/>
    <w:rsid w:val="00A25FC2"/>
    <w:rsid w:val="00A262B0"/>
    <w:rsid w:val="00A262F4"/>
    <w:rsid w:val="00A263B8"/>
    <w:rsid w:val="00A26411"/>
    <w:rsid w:val="00A267CE"/>
    <w:rsid w:val="00A269ED"/>
    <w:rsid w:val="00A26BE2"/>
    <w:rsid w:val="00A26E85"/>
    <w:rsid w:val="00A27097"/>
    <w:rsid w:val="00A27A50"/>
    <w:rsid w:val="00A27BDC"/>
    <w:rsid w:val="00A27D0C"/>
    <w:rsid w:val="00A303A0"/>
    <w:rsid w:val="00A30913"/>
    <w:rsid w:val="00A31168"/>
    <w:rsid w:val="00A31269"/>
    <w:rsid w:val="00A312B8"/>
    <w:rsid w:val="00A316BB"/>
    <w:rsid w:val="00A317D6"/>
    <w:rsid w:val="00A318F2"/>
    <w:rsid w:val="00A31AD3"/>
    <w:rsid w:val="00A31E56"/>
    <w:rsid w:val="00A31E61"/>
    <w:rsid w:val="00A31ECD"/>
    <w:rsid w:val="00A32198"/>
    <w:rsid w:val="00A3263F"/>
    <w:rsid w:val="00A32715"/>
    <w:rsid w:val="00A32860"/>
    <w:rsid w:val="00A32913"/>
    <w:rsid w:val="00A32F7B"/>
    <w:rsid w:val="00A334ED"/>
    <w:rsid w:val="00A33546"/>
    <w:rsid w:val="00A33672"/>
    <w:rsid w:val="00A337EC"/>
    <w:rsid w:val="00A33BF9"/>
    <w:rsid w:val="00A33F40"/>
    <w:rsid w:val="00A33FB4"/>
    <w:rsid w:val="00A34E7B"/>
    <w:rsid w:val="00A34EC7"/>
    <w:rsid w:val="00A34FA3"/>
    <w:rsid w:val="00A3521E"/>
    <w:rsid w:val="00A35731"/>
    <w:rsid w:val="00A35C71"/>
    <w:rsid w:val="00A35CC6"/>
    <w:rsid w:val="00A35E43"/>
    <w:rsid w:val="00A35F01"/>
    <w:rsid w:val="00A35F0C"/>
    <w:rsid w:val="00A35FC1"/>
    <w:rsid w:val="00A363B5"/>
    <w:rsid w:val="00A36474"/>
    <w:rsid w:val="00A364F1"/>
    <w:rsid w:val="00A367F8"/>
    <w:rsid w:val="00A369DD"/>
    <w:rsid w:val="00A36ABA"/>
    <w:rsid w:val="00A36B06"/>
    <w:rsid w:val="00A36B0E"/>
    <w:rsid w:val="00A36BFE"/>
    <w:rsid w:val="00A36E10"/>
    <w:rsid w:val="00A36E2C"/>
    <w:rsid w:val="00A3702C"/>
    <w:rsid w:val="00A37512"/>
    <w:rsid w:val="00A375A0"/>
    <w:rsid w:val="00A37612"/>
    <w:rsid w:val="00A376A0"/>
    <w:rsid w:val="00A37B62"/>
    <w:rsid w:val="00A37B74"/>
    <w:rsid w:val="00A37B98"/>
    <w:rsid w:val="00A37C87"/>
    <w:rsid w:val="00A4006C"/>
    <w:rsid w:val="00A4025B"/>
    <w:rsid w:val="00A405FA"/>
    <w:rsid w:val="00A4067E"/>
    <w:rsid w:val="00A406A0"/>
    <w:rsid w:val="00A4080B"/>
    <w:rsid w:val="00A40916"/>
    <w:rsid w:val="00A4095E"/>
    <w:rsid w:val="00A409BE"/>
    <w:rsid w:val="00A40B05"/>
    <w:rsid w:val="00A40DE4"/>
    <w:rsid w:val="00A41300"/>
    <w:rsid w:val="00A415DD"/>
    <w:rsid w:val="00A417F5"/>
    <w:rsid w:val="00A41AF8"/>
    <w:rsid w:val="00A41CEF"/>
    <w:rsid w:val="00A41E68"/>
    <w:rsid w:val="00A41F72"/>
    <w:rsid w:val="00A42209"/>
    <w:rsid w:val="00A42449"/>
    <w:rsid w:val="00A42598"/>
    <w:rsid w:val="00A4272D"/>
    <w:rsid w:val="00A428A4"/>
    <w:rsid w:val="00A42901"/>
    <w:rsid w:val="00A42BE6"/>
    <w:rsid w:val="00A42CA8"/>
    <w:rsid w:val="00A42DCC"/>
    <w:rsid w:val="00A42EA3"/>
    <w:rsid w:val="00A42F38"/>
    <w:rsid w:val="00A4305D"/>
    <w:rsid w:val="00A4323D"/>
    <w:rsid w:val="00A432E0"/>
    <w:rsid w:val="00A432E8"/>
    <w:rsid w:val="00A4353D"/>
    <w:rsid w:val="00A43616"/>
    <w:rsid w:val="00A4361B"/>
    <w:rsid w:val="00A43C7A"/>
    <w:rsid w:val="00A43CEA"/>
    <w:rsid w:val="00A43DF4"/>
    <w:rsid w:val="00A43E06"/>
    <w:rsid w:val="00A43E7D"/>
    <w:rsid w:val="00A4400B"/>
    <w:rsid w:val="00A44018"/>
    <w:rsid w:val="00A44044"/>
    <w:rsid w:val="00A44071"/>
    <w:rsid w:val="00A448EF"/>
    <w:rsid w:val="00A45097"/>
    <w:rsid w:val="00A451EC"/>
    <w:rsid w:val="00A452D0"/>
    <w:rsid w:val="00A458E3"/>
    <w:rsid w:val="00A458FF"/>
    <w:rsid w:val="00A45FA2"/>
    <w:rsid w:val="00A45FA5"/>
    <w:rsid w:val="00A4603B"/>
    <w:rsid w:val="00A46243"/>
    <w:rsid w:val="00A462A7"/>
    <w:rsid w:val="00A46438"/>
    <w:rsid w:val="00A46596"/>
    <w:rsid w:val="00A46626"/>
    <w:rsid w:val="00A466E2"/>
    <w:rsid w:val="00A46B11"/>
    <w:rsid w:val="00A46BAD"/>
    <w:rsid w:val="00A47013"/>
    <w:rsid w:val="00A470CB"/>
    <w:rsid w:val="00A4761F"/>
    <w:rsid w:val="00A47653"/>
    <w:rsid w:val="00A476D6"/>
    <w:rsid w:val="00A477F9"/>
    <w:rsid w:val="00A478AB"/>
    <w:rsid w:val="00A47B49"/>
    <w:rsid w:val="00A47DE7"/>
    <w:rsid w:val="00A47E90"/>
    <w:rsid w:val="00A5028B"/>
    <w:rsid w:val="00A50365"/>
    <w:rsid w:val="00A50490"/>
    <w:rsid w:val="00A5095F"/>
    <w:rsid w:val="00A5098A"/>
    <w:rsid w:val="00A50B6E"/>
    <w:rsid w:val="00A50C02"/>
    <w:rsid w:val="00A51328"/>
    <w:rsid w:val="00A51549"/>
    <w:rsid w:val="00A51558"/>
    <w:rsid w:val="00A5164B"/>
    <w:rsid w:val="00A5166D"/>
    <w:rsid w:val="00A51792"/>
    <w:rsid w:val="00A517FE"/>
    <w:rsid w:val="00A51E2F"/>
    <w:rsid w:val="00A51FF5"/>
    <w:rsid w:val="00A520CD"/>
    <w:rsid w:val="00A52423"/>
    <w:rsid w:val="00A524B7"/>
    <w:rsid w:val="00A52778"/>
    <w:rsid w:val="00A5282D"/>
    <w:rsid w:val="00A52A34"/>
    <w:rsid w:val="00A52C9B"/>
    <w:rsid w:val="00A52EC1"/>
    <w:rsid w:val="00A52F8E"/>
    <w:rsid w:val="00A53159"/>
    <w:rsid w:val="00A533A3"/>
    <w:rsid w:val="00A533E1"/>
    <w:rsid w:val="00A5343B"/>
    <w:rsid w:val="00A53494"/>
    <w:rsid w:val="00A5358D"/>
    <w:rsid w:val="00A53627"/>
    <w:rsid w:val="00A53642"/>
    <w:rsid w:val="00A537BB"/>
    <w:rsid w:val="00A53A11"/>
    <w:rsid w:val="00A53DAD"/>
    <w:rsid w:val="00A53EDF"/>
    <w:rsid w:val="00A5435A"/>
    <w:rsid w:val="00A54372"/>
    <w:rsid w:val="00A5438D"/>
    <w:rsid w:val="00A54540"/>
    <w:rsid w:val="00A54572"/>
    <w:rsid w:val="00A5461E"/>
    <w:rsid w:val="00A54976"/>
    <w:rsid w:val="00A5498B"/>
    <w:rsid w:val="00A54E23"/>
    <w:rsid w:val="00A5537C"/>
    <w:rsid w:val="00A55584"/>
    <w:rsid w:val="00A55630"/>
    <w:rsid w:val="00A55C14"/>
    <w:rsid w:val="00A55D2A"/>
    <w:rsid w:val="00A55D92"/>
    <w:rsid w:val="00A56047"/>
    <w:rsid w:val="00A5605F"/>
    <w:rsid w:val="00A560C9"/>
    <w:rsid w:val="00A564B6"/>
    <w:rsid w:val="00A5669A"/>
    <w:rsid w:val="00A567ED"/>
    <w:rsid w:val="00A56E26"/>
    <w:rsid w:val="00A56EDA"/>
    <w:rsid w:val="00A56FA6"/>
    <w:rsid w:val="00A57283"/>
    <w:rsid w:val="00A57661"/>
    <w:rsid w:val="00A57868"/>
    <w:rsid w:val="00A579DE"/>
    <w:rsid w:val="00A57A8D"/>
    <w:rsid w:val="00A57BDD"/>
    <w:rsid w:val="00A57C5E"/>
    <w:rsid w:val="00A57CB1"/>
    <w:rsid w:val="00A60294"/>
    <w:rsid w:val="00A602FA"/>
    <w:rsid w:val="00A60533"/>
    <w:rsid w:val="00A60C45"/>
    <w:rsid w:val="00A60F17"/>
    <w:rsid w:val="00A6145E"/>
    <w:rsid w:val="00A6165E"/>
    <w:rsid w:val="00A617BB"/>
    <w:rsid w:val="00A617F7"/>
    <w:rsid w:val="00A61919"/>
    <w:rsid w:val="00A6195A"/>
    <w:rsid w:val="00A6197B"/>
    <w:rsid w:val="00A61A59"/>
    <w:rsid w:val="00A61B1B"/>
    <w:rsid w:val="00A61BBA"/>
    <w:rsid w:val="00A61EC5"/>
    <w:rsid w:val="00A621E1"/>
    <w:rsid w:val="00A6224B"/>
    <w:rsid w:val="00A622EA"/>
    <w:rsid w:val="00A6233D"/>
    <w:rsid w:val="00A623AE"/>
    <w:rsid w:val="00A623D1"/>
    <w:rsid w:val="00A6272F"/>
    <w:rsid w:val="00A62878"/>
    <w:rsid w:val="00A62AC5"/>
    <w:rsid w:val="00A62B72"/>
    <w:rsid w:val="00A62D85"/>
    <w:rsid w:val="00A62EF7"/>
    <w:rsid w:val="00A6334B"/>
    <w:rsid w:val="00A63877"/>
    <w:rsid w:val="00A63B73"/>
    <w:rsid w:val="00A63DE3"/>
    <w:rsid w:val="00A645F0"/>
    <w:rsid w:val="00A64766"/>
    <w:rsid w:val="00A64A5B"/>
    <w:rsid w:val="00A64B91"/>
    <w:rsid w:val="00A64CCA"/>
    <w:rsid w:val="00A64F2A"/>
    <w:rsid w:val="00A651DE"/>
    <w:rsid w:val="00A65250"/>
    <w:rsid w:val="00A65334"/>
    <w:rsid w:val="00A653DB"/>
    <w:rsid w:val="00A65498"/>
    <w:rsid w:val="00A6587E"/>
    <w:rsid w:val="00A65B9B"/>
    <w:rsid w:val="00A660C1"/>
    <w:rsid w:val="00A66286"/>
    <w:rsid w:val="00A663D0"/>
    <w:rsid w:val="00A66528"/>
    <w:rsid w:val="00A66774"/>
    <w:rsid w:val="00A6683F"/>
    <w:rsid w:val="00A6694F"/>
    <w:rsid w:val="00A66AA7"/>
    <w:rsid w:val="00A66B3C"/>
    <w:rsid w:val="00A66BE8"/>
    <w:rsid w:val="00A66DE8"/>
    <w:rsid w:val="00A66DEB"/>
    <w:rsid w:val="00A670DC"/>
    <w:rsid w:val="00A67742"/>
    <w:rsid w:val="00A7010B"/>
    <w:rsid w:val="00A70271"/>
    <w:rsid w:val="00A702BC"/>
    <w:rsid w:val="00A70393"/>
    <w:rsid w:val="00A703F8"/>
    <w:rsid w:val="00A705DC"/>
    <w:rsid w:val="00A706E3"/>
    <w:rsid w:val="00A706E7"/>
    <w:rsid w:val="00A707F9"/>
    <w:rsid w:val="00A70816"/>
    <w:rsid w:val="00A70B31"/>
    <w:rsid w:val="00A70C6B"/>
    <w:rsid w:val="00A70DE1"/>
    <w:rsid w:val="00A7106E"/>
    <w:rsid w:val="00A7197E"/>
    <w:rsid w:val="00A71A9B"/>
    <w:rsid w:val="00A71B4D"/>
    <w:rsid w:val="00A72120"/>
    <w:rsid w:val="00A7239B"/>
    <w:rsid w:val="00A72403"/>
    <w:rsid w:val="00A72840"/>
    <w:rsid w:val="00A728D1"/>
    <w:rsid w:val="00A72C28"/>
    <w:rsid w:val="00A72C38"/>
    <w:rsid w:val="00A72CC2"/>
    <w:rsid w:val="00A73144"/>
    <w:rsid w:val="00A7336D"/>
    <w:rsid w:val="00A734C1"/>
    <w:rsid w:val="00A7358B"/>
    <w:rsid w:val="00A73743"/>
    <w:rsid w:val="00A73E4A"/>
    <w:rsid w:val="00A743B3"/>
    <w:rsid w:val="00A7457F"/>
    <w:rsid w:val="00A749D3"/>
    <w:rsid w:val="00A74ACD"/>
    <w:rsid w:val="00A74B66"/>
    <w:rsid w:val="00A74C6A"/>
    <w:rsid w:val="00A74CD7"/>
    <w:rsid w:val="00A74D63"/>
    <w:rsid w:val="00A74F36"/>
    <w:rsid w:val="00A75253"/>
    <w:rsid w:val="00A75612"/>
    <w:rsid w:val="00A75BA3"/>
    <w:rsid w:val="00A75E8E"/>
    <w:rsid w:val="00A76051"/>
    <w:rsid w:val="00A7606B"/>
    <w:rsid w:val="00A7655E"/>
    <w:rsid w:val="00A76926"/>
    <w:rsid w:val="00A769BA"/>
    <w:rsid w:val="00A76B54"/>
    <w:rsid w:val="00A76E5A"/>
    <w:rsid w:val="00A77067"/>
    <w:rsid w:val="00A77494"/>
    <w:rsid w:val="00A77510"/>
    <w:rsid w:val="00A7757C"/>
    <w:rsid w:val="00A7767A"/>
    <w:rsid w:val="00A776CF"/>
    <w:rsid w:val="00A77746"/>
    <w:rsid w:val="00A77848"/>
    <w:rsid w:val="00A77F56"/>
    <w:rsid w:val="00A77FDB"/>
    <w:rsid w:val="00A8022B"/>
    <w:rsid w:val="00A80230"/>
    <w:rsid w:val="00A804FA"/>
    <w:rsid w:val="00A80632"/>
    <w:rsid w:val="00A807A0"/>
    <w:rsid w:val="00A80A53"/>
    <w:rsid w:val="00A80D02"/>
    <w:rsid w:val="00A80D89"/>
    <w:rsid w:val="00A80DBA"/>
    <w:rsid w:val="00A80FDE"/>
    <w:rsid w:val="00A8103F"/>
    <w:rsid w:val="00A81107"/>
    <w:rsid w:val="00A81350"/>
    <w:rsid w:val="00A81863"/>
    <w:rsid w:val="00A81988"/>
    <w:rsid w:val="00A81BA1"/>
    <w:rsid w:val="00A81CF3"/>
    <w:rsid w:val="00A81FD8"/>
    <w:rsid w:val="00A82027"/>
    <w:rsid w:val="00A82144"/>
    <w:rsid w:val="00A82879"/>
    <w:rsid w:val="00A829D7"/>
    <w:rsid w:val="00A82AFF"/>
    <w:rsid w:val="00A82D3C"/>
    <w:rsid w:val="00A82D9F"/>
    <w:rsid w:val="00A82F48"/>
    <w:rsid w:val="00A8321B"/>
    <w:rsid w:val="00A83319"/>
    <w:rsid w:val="00A83463"/>
    <w:rsid w:val="00A83A06"/>
    <w:rsid w:val="00A83C7D"/>
    <w:rsid w:val="00A83DD2"/>
    <w:rsid w:val="00A840C5"/>
    <w:rsid w:val="00A84240"/>
    <w:rsid w:val="00A84368"/>
    <w:rsid w:val="00A844D8"/>
    <w:rsid w:val="00A847F9"/>
    <w:rsid w:val="00A8482F"/>
    <w:rsid w:val="00A84971"/>
    <w:rsid w:val="00A8497A"/>
    <w:rsid w:val="00A84A76"/>
    <w:rsid w:val="00A84D1E"/>
    <w:rsid w:val="00A84D55"/>
    <w:rsid w:val="00A84E5D"/>
    <w:rsid w:val="00A84F16"/>
    <w:rsid w:val="00A850F0"/>
    <w:rsid w:val="00A85114"/>
    <w:rsid w:val="00A85209"/>
    <w:rsid w:val="00A85634"/>
    <w:rsid w:val="00A85820"/>
    <w:rsid w:val="00A8584E"/>
    <w:rsid w:val="00A8590F"/>
    <w:rsid w:val="00A85A37"/>
    <w:rsid w:val="00A85B30"/>
    <w:rsid w:val="00A85D39"/>
    <w:rsid w:val="00A85EB9"/>
    <w:rsid w:val="00A85F01"/>
    <w:rsid w:val="00A8665D"/>
    <w:rsid w:val="00A86873"/>
    <w:rsid w:val="00A86A92"/>
    <w:rsid w:val="00A86EDA"/>
    <w:rsid w:val="00A87238"/>
    <w:rsid w:val="00A87276"/>
    <w:rsid w:val="00A87532"/>
    <w:rsid w:val="00A87591"/>
    <w:rsid w:val="00A875F1"/>
    <w:rsid w:val="00A875FB"/>
    <w:rsid w:val="00A878AC"/>
    <w:rsid w:val="00A90498"/>
    <w:rsid w:val="00A907A9"/>
    <w:rsid w:val="00A91128"/>
    <w:rsid w:val="00A91206"/>
    <w:rsid w:val="00A915B8"/>
    <w:rsid w:val="00A91936"/>
    <w:rsid w:val="00A919A7"/>
    <w:rsid w:val="00A91F36"/>
    <w:rsid w:val="00A92094"/>
    <w:rsid w:val="00A92245"/>
    <w:rsid w:val="00A92556"/>
    <w:rsid w:val="00A92682"/>
    <w:rsid w:val="00A9269C"/>
    <w:rsid w:val="00A9276A"/>
    <w:rsid w:val="00A92848"/>
    <w:rsid w:val="00A9294B"/>
    <w:rsid w:val="00A92F15"/>
    <w:rsid w:val="00A93504"/>
    <w:rsid w:val="00A937EC"/>
    <w:rsid w:val="00A93F76"/>
    <w:rsid w:val="00A94381"/>
    <w:rsid w:val="00A94C07"/>
    <w:rsid w:val="00A9512E"/>
    <w:rsid w:val="00A951A1"/>
    <w:rsid w:val="00A955D6"/>
    <w:rsid w:val="00A9578E"/>
    <w:rsid w:val="00A957E8"/>
    <w:rsid w:val="00A9590C"/>
    <w:rsid w:val="00A95928"/>
    <w:rsid w:val="00A959B5"/>
    <w:rsid w:val="00A95B2D"/>
    <w:rsid w:val="00A95C17"/>
    <w:rsid w:val="00A95C3B"/>
    <w:rsid w:val="00A95FB6"/>
    <w:rsid w:val="00A961F0"/>
    <w:rsid w:val="00A965E6"/>
    <w:rsid w:val="00A966DB"/>
    <w:rsid w:val="00A9672B"/>
    <w:rsid w:val="00A968A5"/>
    <w:rsid w:val="00A9692F"/>
    <w:rsid w:val="00A96F7C"/>
    <w:rsid w:val="00A96FC8"/>
    <w:rsid w:val="00A970B0"/>
    <w:rsid w:val="00A9714C"/>
    <w:rsid w:val="00A972C2"/>
    <w:rsid w:val="00A97497"/>
    <w:rsid w:val="00A975B2"/>
    <w:rsid w:val="00A9794C"/>
    <w:rsid w:val="00A97B6F"/>
    <w:rsid w:val="00A97CC9"/>
    <w:rsid w:val="00AA0631"/>
    <w:rsid w:val="00AA0AF0"/>
    <w:rsid w:val="00AA14B8"/>
    <w:rsid w:val="00AA152B"/>
    <w:rsid w:val="00AA184A"/>
    <w:rsid w:val="00AA18B1"/>
    <w:rsid w:val="00AA2113"/>
    <w:rsid w:val="00AA22EF"/>
    <w:rsid w:val="00AA23F4"/>
    <w:rsid w:val="00AA2599"/>
    <w:rsid w:val="00AA26CF"/>
    <w:rsid w:val="00AA2781"/>
    <w:rsid w:val="00AA2CC1"/>
    <w:rsid w:val="00AA2D64"/>
    <w:rsid w:val="00AA2DA7"/>
    <w:rsid w:val="00AA2F7F"/>
    <w:rsid w:val="00AA3367"/>
    <w:rsid w:val="00AA36C4"/>
    <w:rsid w:val="00AA3759"/>
    <w:rsid w:val="00AA3A17"/>
    <w:rsid w:val="00AA3AD3"/>
    <w:rsid w:val="00AA3C88"/>
    <w:rsid w:val="00AA3D5E"/>
    <w:rsid w:val="00AA3E88"/>
    <w:rsid w:val="00AA423A"/>
    <w:rsid w:val="00AA426B"/>
    <w:rsid w:val="00AA42F3"/>
    <w:rsid w:val="00AA4589"/>
    <w:rsid w:val="00AA485E"/>
    <w:rsid w:val="00AA4C1F"/>
    <w:rsid w:val="00AA5070"/>
    <w:rsid w:val="00AA51D4"/>
    <w:rsid w:val="00AA5400"/>
    <w:rsid w:val="00AA5BB3"/>
    <w:rsid w:val="00AA5DD8"/>
    <w:rsid w:val="00AA60EA"/>
    <w:rsid w:val="00AA6576"/>
    <w:rsid w:val="00AA65D5"/>
    <w:rsid w:val="00AA6851"/>
    <w:rsid w:val="00AA687F"/>
    <w:rsid w:val="00AA6A5D"/>
    <w:rsid w:val="00AA6AA0"/>
    <w:rsid w:val="00AA6D52"/>
    <w:rsid w:val="00AA6E88"/>
    <w:rsid w:val="00AA6EFA"/>
    <w:rsid w:val="00AA7192"/>
    <w:rsid w:val="00AA740F"/>
    <w:rsid w:val="00AA7E10"/>
    <w:rsid w:val="00AA7FF6"/>
    <w:rsid w:val="00AB039D"/>
    <w:rsid w:val="00AB0740"/>
    <w:rsid w:val="00AB09D9"/>
    <w:rsid w:val="00AB0C85"/>
    <w:rsid w:val="00AB0F50"/>
    <w:rsid w:val="00AB0FE0"/>
    <w:rsid w:val="00AB14FE"/>
    <w:rsid w:val="00AB1512"/>
    <w:rsid w:val="00AB16BF"/>
    <w:rsid w:val="00AB19A1"/>
    <w:rsid w:val="00AB1D9C"/>
    <w:rsid w:val="00AB1E24"/>
    <w:rsid w:val="00AB266B"/>
    <w:rsid w:val="00AB285C"/>
    <w:rsid w:val="00AB28F4"/>
    <w:rsid w:val="00AB2AEA"/>
    <w:rsid w:val="00AB2D59"/>
    <w:rsid w:val="00AB2E67"/>
    <w:rsid w:val="00AB2EE9"/>
    <w:rsid w:val="00AB2F40"/>
    <w:rsid w:val="00AB3E00"/>
    <w:rsid w:val="00AB40FE"/>
    <w:rsid w:val="00AB459F"/>
    <w:rsid w:val="00AB462A"/>
    <w:rsid w:val="00AB4AD8"/>
    <w:rsid w:val="00AB4DAB"/>
    <w:rsid w:val="00AB4E99"/>
    <w:rsid w:val="00AB5150"/>
    <w:rsid w:val="00AB53DD"/>
    <w:rsid w:val="00AB5674"/>
    <w:rsid w:val="00AB57E0"/>
    <w:rsid w:val="00AB58AB"/>
    <w:rsid w:val="00AB61AE"/>
    <w:rsid w:val="00AB61C8"/>
    <w:rsid w:val="00AB63DE"/>
    <w:rsid w:val="00AB668B"/>
    <w:rsid w:val="00AB681F"/>
    <w:rsid w:val="00AB6876"/>
    <w:rsid w:val="00AB69D4"/>
    <w:rsid w:val="00AB6A28"/>
    <w:rsid w:val="00AB6C5B"/>
    <w:rsid w:val="00AB6C99"/>
    <w:rsid w:val="00AB6D85"/>
    <w:rsid w:val="00AB7019"/>
    <w:rsid w:val="00AB710A"/>
    <w:rsid w:val="00AB7160"/>
    <w:rsid w:val="00AB7438"/>
    <w:rsid w:val="00AB7475"/>
    <w:rsid w:val="00AB7482"/>
    <w:rsid w:val="00AB772E"/>
    <w:rsid w:val="00AB7841"/>
    <w:rsid w:val="00AB7D59"/>
    <w:rsid w:val="00AC00DC"/>
    <w:rsid w:val="00AC01AB"/>
    <w:rsid w:val="00AC064A"/>
    <w:rsid w:val="00AC0A52"/>
    <w:rsid w:val="00AC0B8E"/>
    <w:rsid w:val="00AC0BEA"/>
    <w:rsid w:val="00AC0C4F"/>
    <w:rsid w:val="00AC0E80"/>
    <w:rsid w:val="00AC0EE0"/>
    <w:rsid w:val="00AC14E9"/>
    <w:rsid w:val="00AC17A6"/>
    <w:rsid w:val="00AC1928"/>
    <w:rsid w:val="00AC1965"/>
    <w:rsid w:val="00AC1A5B"/>
    <w:rsid w:val="00AC1E76"/>
    <w:rsid w:val="00AC1FB1"/>
    <w:rsid w:val="00AC1FE0"/>
    <w:rsid w:val="00AC2260"/>
    <w:rsid w:val="00AC22E8"/>
    <w:rsid w:val="00AC2492"/>
    <w:rsid w:val="00AC24BD"/>
    <w:rsid w:val="00AC253A"/>
    <w:rsid w:val="00AC27DB"/>
    <w:rsid w:val="00AC2A35"/>
    <w:rsid w:val="00AC2BE6"/>
    <w:rsid w:val="00AC2E8A"/>
    <w:rsid w:val="00AC2EBF"/>
    <w:rsid w:val="00AC3433"/>
    <w:rsid w:val="00AC35F3"/>
    <w:rsid w:val="00AC36A3"/>
    <w:rsid w:val="00AC373F"/>
    <w:rsid w:val="00AC37E5"/>
    <w:rsid w:val="00AC3AD5"/>
    <w:rsid w:val="00AC3BAB"/>
    <w:rsid w:val="00AC3BDE"/>
    <w:rsid w:val="00AC3C0F"/>
    <w:rsid w:val="00AC3E9C"/>
    <w:rsid w:val="00AC4341"/>
    <w:rsid w:val="00AC4914"/>
    <w:rsid w:val="00AC4953"/>
    <w:rsid w:val="00AC4C64"/>
    <w:rsid w:val="00AC4DF8"/>
    <w:rsid w:val="00AC53F0"/>
    <w:rsid w:val="00AC5549"/>
    <w:rsid w:val="00AC5A41"/>
    <w:rsid w:val="00AC5B30"/>
    <w:rsid w:val="00AC60B1"/>
    <w:rsid w:val="00AC64A9"/>
    <w:rsid w:val="00AC6B36"/>
    <w:rsid w:val="00AC6B43"/>
    <w:rsid w:val="00AC6B6E"/>
    <w:rsid w:val="00AC6D67"/>
    <w:rsid w:val="00AC6DDB"/>
    <w:rsid w:val="00AC70A5"/>
    <w:rsid w:val="00AC7205"/>
    <w:rsid w:val="00AC7325"/>
    <w:rsid w:val="00AC738B"/>
    <w:rsid w:val="00AC7A3A"/>
    <w:rsid w:val="00AC7B5A"/>
    <w:rsid w:val="00AC7BCF"/>
    <w:rsid w:val="00AC7C5E"/>
    <w:rsid w:val="00AC7D55"/>
    <w:rsid w:val="00AD0160"/>
    <w:rsid w:val="00AD01C8"/>
    <w:rsid w:val="00AD0200"/>
    <w:rsid w:val="00AD02D3"/>
    <w:rsid w:val="00AD032B"/>
    <w:rsid w:val="00AD049C"/>
    <w:rsid w:val="00AD063C"/>
    <w:rsid w:val="00AD0813"/>
    <w:rsid w:val="00AD0AB1"/>
    <w:rsid w:val="00AD0ABD"/>
    <w:rsid w:val="00AD0B47"/>
    <w:rsid w:val="00AD0BA0"/>
    <w:rsid w:val="00AD0D6D"/>
    <w:rsid w:val="00AD112C"/>
    <w:rsid w:val="00AD1163"/>
    <w:rsid w:val="00AD12D9"/>
    <w:rsid w:val="00AD149F"/>
    <w:rsid w:val="00AD1550"/>
    <w:rsid w:val="00AD1A1C"/>
    <w:rsid w:val="00AD1AC5"/>
    <w:rsid w:val="00AD1C6C"/>
    <w:rsid w:val="00AD1D0E"/>
    <w:rsid w:val="00AD1EAF"/>
    <w:rsid w:val="00AD2258"/>
    <w:rsid w:val="00AD2322"/>
    <w:rsid w:val="00AD24CD"/>
    <w:rsid w:val="00AD2625"/>
    <w:rsid w:val="00AD273B"/>
    <w:rsid w:val="00AD2966"/>
    <w:rsid w:val="00AD2C5F"/>
    <w:rsid w:val="00AD2D7E"/>
    <w:rsid w:val="00AD2F9B"/>
    <w:rsid w:val="00AD2FE4"/>
    <w:rsid w:val="00AD30F0"/>
    <w:rsid w:val="00AD32AB"/>
    <w:rsid w:val="00AD38A3"/>
    <w:rsid w:val="00AD393D"/>
    <w:rsid w:val="00AD3A09"/>
    <w:rsid w:val="00AD3CDD"/>
    <w:rsid w:val="00AD3DC3"/>
    <w:rsid w:val="00AD3FB2"/>
    <w:rsid w:val="00AD3FB4"/>
    <w:rsid w:val="00AD41E8"/>
    <w:rsid w:val="00AD4229"/>
    <w:rsid w:val="00AD4350"/>
    <w:rsid w:val="00AD45BA"/>
    <w:rsid w:val="00AD45C9"/>
    <w:rsid w:val="00AD4718"/>
    <w:rsid w:val="00AD4B69"/>
    <w:rsid w:val="00AD4BC3"/>
    <w:rsid w:val="00AD4C89"/>
    <w:rsid w:val="00AD501B"/>
    <w:rsid w:val="00AD5027"/>
    <w:rsid w:val="00AD518E"/>
    <w:rsid w:val="00AD51EB"/>
    <w:rsid w:val="00AD52D7"/>
    <w:rsid w:val="00AD52F1"/>
    <w:rsid w:val="00AD55A7"/>
    <w:rsid w:val="00AD59A4"/>
    <w:rsid w:val="00AD5D1D"/>
    <w:rsid w:val="00AD5E9A"/>
    <w:rsid w:val="00AD608C"/>
    <w:rsid w:val="00AD6271"/>
    <w:rsid w:val="00AD6442"/>
    <w:rsid w:val="00AD6AD2"/>
    <w:rsid w:val="00AD6BC0"/>
    <w:rsid w:val="00AD6DC0"/>
    <w:rsid w:val="00AD6DDF"/>
    <w:rsid w:val="00AD6F60"/>
    <w:rsid w:val="00AD7215"/>
    <w:rsid w:val="00AD7395"/>
    <w:rsid w:val="00AD742E"/>
    <w:rsid w:val="00AD7466"/>
    <w:rsid w:val="00AD761B"/>
    <w:rsid w:val="00AD773B"/>
    <w:rsid w:val="00AD78B6"/>
    <w:rsid w:val="00AD7968"/>
    <w:rsid w:val="00AD7A09"/>
    <w:rsid w:val="00AD7AC4"/>
    <w:rsid w:val="00AD7B13"/>
    <w:rsid w:val="00AD7B73"/>
    <w:rsid w:val="00AE01CE"/>
    <w:rsid w:val="00AE0295"/>
    <w:rsid w:val="00AE03DF"/>
    <w:rsid w:val="00AE04F6"/>
    <w:rsid w:val="00AE0781"/>
    <w:rsid w:val="00AE0A4E"/>
    <w:rsid w:val="00AE0CA8"/>
    <w:rsid w:val="00AE0D98"/>
    <w:rsid w:val="00AE0E87"/>
    <w:rsid w:val="00AE0F02"/>
    <w:rsid w:val="00AE10F5"/>
    <w:rsid w:val="00AE1959"/>
    <w:rsid w:val="00AE1B02"/>
    <w:rsid w:val="00AE1C83"/>
    <w:rsid w:val="00AE1D3B"/>
    <w:rsid w:val="00AE1E15"/>
    <w:rsid w:val="00AE1EA3"/>
    <w:rsid w:val="00AE202D"/>
    <w:rsid w:val="00AE2210"/>
    <w:rsid w:val="00AE231E"/>
    <w:rsid w:val="00AE27D3"/>
    <w:rsid w:val="00AE2951"/>
    <w:rsid w:val="00AE2DD3"/>
    <w:rsid w:val="00AE2E76"/>
    <w:rsid w:val="00AE3062"/>
    <w:rsid w:val="00AE3650"/>
    <w:rsid w:val="00AE3863"/>
    <w:rsid w:val="00AE3985"/>
    <w:rsid w:val="00AE3C2F"/>
    <w:rsid w:val="00AE424C"/>
    <w:rsid w:val="00AE4341"/>
    <w:rsid w:val="00AE4457"/>
    <w:rsid w:val="00AE4480"/>
    <w:rsid w:val="00AE4630"/>
    <w:rsid w:val="00AE4641"/>
    <w:rsid w:val="00AE46DD"/>
    <w:rsid w:val="00AE49E4"/>
    <w:rsid w:val="00AE4B65"/>
    <w:rsid w:val="00AE4CAC"/>
    <w:rsid w:val="00AE4CBF"/>
    <w:rsid w:val="00AE4D40"/>
    <w:rsid w:val="00AE4DA6"/>
    <w:rsid w:val="00AE4E1D"/>
    <w:rsid w:val="00AE507E"/>
    <w:rsid w:val="00AE520F"/>
    <w:rsid w:val="00AE54ED"/>
    <w:rsid w:val="00AE55BC"/>
    <w:rsid w:val="00AE59A9"/>
    <w:rsid w:val="00AE5E01"/>
    <w:rsid w:val="00AE5E05"/>
    <w:rsid w:val="00AE5E3D"/>
    <w:rsid w:val="00AE5EA5"/>
    <w:rsid w:val="00AE5F39"/>
    <w:rsid w:val="00AE61DD"/>
    <w:rsid w:val="00AE624D"/>
    <w:rsid w:val="00AE6385"/>
    <w:rsid w:val="00AE6406"/>
    <w:rsid w:val="00AE64B4"/>
    <w:rsid w:val="00AE65E9"/>
    <w:rsid w:val="00AE65F1"/>
    <w:rsid w:val="00AE670A"/>
    <w:rsid w:val="00AE6AC1"/>
    <w:rsid w:val="00AE6BF5"/>
    <w:rsid w:val="00AE6CC6"/>
    <w:rsid w:val="00AE6CD2"/>
    <w:rsid w:val="00AE6D30"/>
    <w:rsid w:val="00AE7321"/>
    <w:rsid w:val="00AE740D"/>
    <w:rsid w:val="00AE7493"/>
    <w:rsid w:val="00AE7776"/>
    <w:rsid w:val="00AE7A5C"/>
    <w:rsid w:val="00AF04FF"/>
    <w:rsid w:val="00AF0945"/>
    <w:rsid w:val="00AF0954"/>
    <w:rsid w:val="00AF0A8F"/>
    <w:rsid w:val="00AF0CAF"/>
    <w:rsid w:val="00AF1520"/>
    <w:rsid w:val="00AF1529"/>
    <w:rsid w:val="00AF16DD"/>
    <w:rsid w:val="00AF1993"/>
    <w:rsid w:val="00AF1CFE"/>
    <w:rsid w:val="00AF1FE8"/>
    <w:rsid w:val="00AF21CA"/>
    <w:rsid w:val="00AF26E3"/>
    <w:rsid w:val="00AF2952"/>
    <w:rsid w:val="00AF29BD"/>
    <w:rsid w:val="00AF2B9A"/>
    <w:rsid w:val="00AF2E59"/>
    <w:rsid w:val="00AF2F8D"/>
    <w:rsid w:val="00AF30F2"/>
    <w:rsid w:val="00AF3228"/>
    <w:rsid w:val="00AF3596"/>
    <w:rsid w:val="00AF3815"/>
    <w:rsid w:val="00AF3A94"/>
    <w:rsid w:val="00AF3C36"/>
    <w:rsid w:val="00AF3EA6"/>
    <w:rsid w:val="00AF42FB"/>
    <w:rsid w:val="00AF433B"/>
    <w:rsid w:val="00AF43C5"/>
    <w:rsid w:val="00AF4474"/>
    <w:rsid w:val="00AF44BD"/>
    <w:rsid w:val="00AF4965"/>
    <w:rsid w:val="00AF496F"/>
    <w:rsid w:val="00AF4BA3"/>
    <w:rsid w:val="00AF4DE3"/>
    <w:rsid w:val="00AF52F1"/>
    <w:rsid w:val="00AF52F8"/>
    <w:rsid w:val="00AF53A0"/>
    <w:rsid w:val="00AF553C"/>
    <w:rsid w:val="00AF5C4C"/>
    <w:rsid w:val="00AF5C96"/>
    <w:rsid w:val="00AF5EC7"/>
    <w:rsid w:val="00AF5FF8"/>
    <w:rsid w:val="00AF6140"/>
    <w:rsid w:val="00AF693C"/>
    <w:rsid w:val="00AF6A9E"/>
    <w:rsid w:val="00AF72C1"/>
    <w:rsid w:val="00AF7309"/>
    <w:rsid w:val="00AF7ACE"/>
    <w:rsid w:val="00AF7B60"/>
    <w:rsid w:val="00AF7DF3"/>
    <w:rsid w:val="00AF7E61"/>
    <w:rsid w:val="00B005B9"/>
    <w:rsid w:val="00B0069C"/>
    <w:rsid w:val="00B0077D"/>
    <w:rsid w:val="00B008F0"/>
    <w:rsid w:val="00B00948"/>
    <w:rsid w:val="00B00957"/>
    <w:rsid w:val="00B00D56"/>
    <w:rsid w:val="00B00E95"/>
    <w:rsid w:val="00B011D3"/>
    <w:rsid w:val="00B01232"/>
    <w:rsid w:val="00B013BD"/>
    <w:rsid w:val="00B01431"/>
    <w:rsid w:val="00B01787"/>
    <w:rsid w:val="00B01923"/>
    <w:rsid w:val="00B0197F"/>
    <w:rsid w:val="00B01AFE"/>
    <w:rsid w:val="00B02079"/>
    <w:rsid w:val="00B02374"/>
    <w:rsid w:val="00B0252D"/>
    <w:rsid w:val="00B02E2F"/>
    <w:rsid w:val="00B02F79"/>
    <w:rsid w:val="00B0310E"/>
    <w:rsid w:val="00B03224"/>
    <w:rsid w:val="00B03299"/>
    <w:rsid w:val="00B036EA"/>
    <w:rsid w:val="00B03827"/>
    <w:rsid w:val="00B038BF"/>
    <w:rsid w:val="00B03A50"/>
    <w:rsid w:val="00B04039"/>
    <w:rsid w:val="00B04064"/>
    <w:rsid w:val="00B0418E"/>
    <w:rsid w:val="00B041E6"/>
    <w:rsid w:val="00B044D9"/>
    <w:rsid w:val="00B0459B"/>
    <w:rsid w:val="00B04746"/>
    <w:rsid w:val="00B0494E"/>
    <w:rsid w:val="00B04A25"/>
    <w:rsid w:val="00B04B46"/>
    <w:rsid w:val="00B04DF4"/>
    <w:rsid w:val="00B04E31"/>
    <w:rsid w:val="00B04EB3"/>
    <w:rsid w:val="00B053EB"/>
    <w:rsid w:val="00B05878"/>
    <w:rsid w:val="00B05BAB"/>
    <w:rsid w:val="00B05D12"/>
    <w:rsid w:val="00B05D55"/>
    <w:rsid w:val="00B05F1F"/>
    <w:rsid w:val="00B05F57"/>
    <w:rsid w:val="00B060E2"/>
    <w:rsid w:val="00B063C9"/>
    <w:rsid w:val="00B06475"/>
    <w:rsid w:val="00B06728"/>
    <w:rsid w:val="00B06A9A"/>
    <w:rsid w:val="00B06CB5"/>
    <w:rsid w:val="00B06F1A"/>
    <w:rsid w:val="00B06F77"/>
    <w:rsid w:val="00B074FF"/>
    <w:rsid w:val="00B07EB6"/>
    <w:rsid w:val="00B07F7B"/>
    <w:rsid w:val="00B10547"/>
    <w:rsid w:val="00B10655"/>
    <w:rsid w:val="00B10DA7"/>
    <w:rsid w:val="00B10DBE"/>
    <w:rsid w:val="00B10E49"/>
    <w:rsid w:val="00B10FFC"/>
    <w:rsid w:val="00B1105B"/>
    <w:rsid w:val="00B111D0"/>
    <w:rsid w:val="00B1188F"/>
    <w:rsid w:val="00B11CD7"/>
    <w:rsid w:val="00B11FD0"/>
    <w:rsid w:val="00B1230B"/>
    <w:rsid w:val="00B12693"/>
    <w:rsid w:val="00B12902"/>
    <w:rsid w:val="00B129C4"/>
    <w:rsid w:val="00B12AF6"/>
    <w:rsid w:val="00B12D16"/>
    <w:rsid w:val="00B12D70"/>
    <w:rsid w:val="00B12DF5"/>
    <w:rsid w:val="00B12F05"/>
    <w:rsid w:val="00B12FD0"/>
    <w:rsid w:val="00B12FE0"/>
    <w:rsid w:val="00B13020"/>
    <w:rsid w:val="00B13085"/>
    <w:rsid w:val="00B13314"/>
    <w:rsid w:val="00B13386"/>
    <w:rsid w:val="00B1339E"/>
    <w:rsid w:val="00B133C1"/>
    <w:rsid w:val="00B134C7"/>
    <w:rsid w:val="00B136F3"/>
    <w:rsid w:val="00B13A4F"/>
    <w:rsid w:val="00B14014"/>
    <w:rsid w:val="00B14400"/>
    <w:rsid w:val="00B14481"/>
    <w:rsid w:val="00B14664"/>
    <w:rsid w:val="00B14798"/>
    <w:rsid w:val="00B147B8"/>
    <w:rsid w:val="00B1497C"/>
    <w:rsid w:val="00B14CEE"/>
    <w:rsid w:val="00B14D11"/>
    <w:rsid w:val="00B14DDE"/>
    <w:rsid w:val="00B15352"/>
    <w:rsid w:val="00B15444"/>
    <w:rsid w:val="00B15467"/>
    <w:rsid w:val="00B159E4"/>
    <w:rsid w:val="00B15D1F"/>
    <w:rsid w:val="00B15EDA"/>
    <w:rsid w:val="00B161B5"/>
    <w:rsid w:val="00B165FF"/>
    <w:rsid w:val="00B16AC3"/>
    <w:rsid w:val="00B16D85"/>
    <w:rsid w:val="00B16F9A"/>
    <w:rsid w:val="00B17353"/>
    <w:rsid w:val="00B173C5"/>
    <w:rsid w:val="00B17674"/>
    <w:rsid w:val="00B17834"/>
    <w:rsid w:val="00B17967"/>
    <w:rsid w:val="00B20101"/>
    <w:rsid w:val="00B201CE"/>
    <w:rsid w:val="00B20400"/>
    <w:rsid w:val="00B20692"/>
    <w:rsid w:val="00B207B0"/>
    <w:rsid w:val="00B2091F"/>
    <w:rsid w:val="00B20955"/>
    <w:rsid w:val="00B20A15"/>
    <w:rsid w:val="00B20A59"/>
    <w:rsid w:val="00B20ECD"/>
    <w:rsid w:val="00B20EEA"/>
    <w:rsid w:val="00B21040"/>
    <w:rsid w:val="00B21055"/>
    <w:rsid w:val="00B212CF"/>
    <w:rsid w:val="00B2150B"/>
    <w:rsid w:val="00B21A01"/>
    <w:rsid w:val="00B21B11"/>
    <w:rsid w:val="00B21B9D"/>
    <w:rsid w:val="00B21C03"/>
    <w:rsid w:val="00B21D2C"/>
    <w:rsid w:val="00B21DE7"/>
    <w:rsid w:val="00B2224F"/>
    <w:rsid w:val="00B223B3"/>
    <w:rsid w:val="00B22430"/>
    <w:rsid w:val="00B2249F"/>
    <w:rsid w:val="00B22A6B"/>
    <w:rsid w:val="00B22E1B"/>
    <w:rsid w:val="00B22FAC"/>
    <w:rsid w:val="00B22FFA"/>
    <w:rsid w:val="00B2322C"/>
    <w:rsid w:val="00B2330D"/>
    <w:rsid w:val="00B23432"/>
    <w:rsid w:val="00B234E0"/>
    <w:rsid w:val="00B23989"/>
    <w:rsid w:val="00B23AF2"/>
    <w:rsid w:val="00B23B41"/>
    <w:rsid w:val="00B23D97"/>
    <w:rsid w:val="00B24059"/>
    <w:rsid w:val="00B24236"/>
    <w:rsid w:val="00B243C4"/>
    <w:rsid w:val="00B243F1"/>
    <w:rsid w:val="00B243F5"/>
    <w:rsid w:val="00B244AB"/>
    <w:rsid w:val="00B244EC"/>
    <w:rsid w:val="00B24808"/>
    <w:rsid w:val="00B24A74"/>
    <w:rsid w:val="00B24B61"/>
    <w:rsid w:val="00B24C69"/>
    <w:rsid w:val="00B24DFF"/>
    <w:rsid w:val="00B24F2F"/>
    <w:rsid w:val="00B24F6C"/>
    <w:rsid w:val="00B2517C"/>
    <w:rsid w:val="00B25A61"/>
    <w:rsid w:val="00B26056"/>
    <w:rsid w:val="00B26089"/>
    <w:rsid w:val="00B26375"/>
    <w:rsid w:val="00B267A0"/>
    <w:rsid w:val="00B267A5"/>
    <w:rsid w:val="00B26EA2"/>
    <w:rsid w:val="00B26ED9"/>
    <w:rsid w:val="00B272A6"/>
    <w:rsid w:val="00B275A9"/>
    <w:rsid w:val="00B275BD"/>
    <w:rsid w:val="00B275DF"/>
    <w:rsid w:val="00B2767E"/>
    <w:rsid w:val="00B277A3"/>
    <w:rsid w:val="00B279B0"/>
    <w:rsid w:val="00B27AEF"/>
    <w:rsid w:val="00B27BA8"/>
    <w:rsid w:val="00B27D3A"/>
    <w:rsid w:val="00B3044F"/>
    <w:rsid w:val="00B309A2"/>
    <w:rsid w:val="00B30A78"/>
    <w:rsid w:val="00B30DE8"/>
    <w:rsid w:val="00B30E78"/>
    <w:rsid w:val="00B3109C"/>
    <w:rsid w:val="00B313C7"/>
    <w:rsid w:val="00B313F9"/>
    <w:rsid w:val="00B3143B"/>
    <w:rsid w:val="00B314EC"/>
    <w:rsid w:val="00B318D1"/>
    <w:rsid w:val="00B31F1B"/>
    <w:rsid w:val="00B31F66"/>
    <w:rsid w:val="00B31F95"/>
    <w:rsid w:val="00B31FF3"/>
    <w:rsid w:val="00B324AD"/>
    <w:rsid w:val="00B326E1"/>
    <w:rsid w:val="00B3275D"/>
    <w:rsid w:val="00B327EB"/>
    <w:rsid w:val="00B328CF"/>
    <w:rsid w:val="00B32A2A"/>
    <w:rsid w:val="00B32E2A"/>
    <w:rsid w:val="00B330E5"/>
    <w:rsid w:val="00B331C9"/>
    <w:rsid w:val="00B33285"/>
    <w:rsid w:val="00B332D6"/>
    <w:rsid w:val="00B334B5"/>
    <w:rsid w:val="00B335A9"/>
    <w:rsid w:val="00B338E3"/>
    <w:rsid w:val="00B33AB0"/>
    <w:rsid w:val="00B33B49"/>
    <w:rsid w:val="00B33C4C"/>
    <w:rsid w:val="00B33C4E"/>
    <w:rsid w:val="00B33EBF"/>
    <w:rsid w:val="00B33EEE"/>
    <w:rsid w:val="00B33F5B"/>
    <w:rsid w:val="00B34051"/>
    <w:rsid w:val="00B341C8"/>
    <w:rsid w:val="00B34281"/>
    <w:rsid w:val="00B344C9"/>
    <w:rsid w:val="00B3479D"/>
    <w:rsid w:val="00B34836"/>
    <w:rsid w:val="00B34912"/>
    <w:rsid w:val="00B34A89"/>
    <w:rsid w:val="00B34ADA"/>
    <w:rsid w:val="00B35020"/>
    <w:rsid w:val="00B353D5"/>
    <w:rsid w:val="00B353DC"/>
    <w:rsid w:val="00B355A2"/>
    <w:rsid w:val="00B35873"/>
    <w:rsid w:val="00B358C3"/>
    <w:rsid w:val="00B35E75"/>
    <w:rsid w:val="00B361C0"/>
    <w:rsid w:val="00B362EB"/>
    <w:rsid w:val="00B3646A"/>
    <w:rsid w:val="00B364C0"/>
    <w:rsid w:val="00B364C1"/>
    <w:rsid w:val="00B366B0"/>
    <w:rsid w:val="00B36703"/>
    <w:rsid w:val="00B367EB"/>
    <w:rsid w:val="00B36960"/>
    <w:rsid w:val="00B36FCC"/>
    <w:rsid w:val="00B3737E"/>
    <w:rsid w:val="00B37429"/>
    <w:rsid w:val="00B3743E"/>
    <w:rsid w:val="00B379DB"/>
    <w:rsid w:val="00B37B2F"/>
    <w:rsid w:val="00B37C11"/>
    <w:rsid w:val="00B37CFC"/>
    <w:rsid w:val="00B37F65"/>
    <w:rsid w:val="00B40362"/>
    <w:rsid w:val="00B4064C"/>
    <w:rsid w:val="00B41286"/>
    <w:rsid w:val="00B417F8"/>
    <w:rsid w:val="00B41BEB"/>
    <w:rsid w:val="00B41CAA"/>
    <w:rsid w:val="00B41D26"/>
    <w:rsid w:val="00B41E0D"/>
    <w:rsid w:val="00B41EFA"/>
    <w:rsid w:val="00B41FA4"/>
    <w:rsid w:val="00B4204A"/>
    <w:rsid w:val="00B421F7"/>
    <w:rsid w:val="00B42254"/>
    <w:rsid w:val="00B423E2"/>
    <w:rsid w:val="00B42513"/>
    <w:rsid w:val="00B425A3"/>
    <w:rsid w:val="00B42BC9"/>
    <w:rsid w:val="00B42DD2"/>
    <w:rsid w:val="00B42F98"/>
    <w:rsid w:val="00B4322E"/>
    <w:rsid w:val="00B4334A"/>
    <w:rsid w:val="00B43558"/>
    <w:rsid w:val="00B4373B"/>
    <w:rsid w:val="00B43748"/>
    <w:rsid w:val="00B43955"/>
    <w:rsid w:val="00B43971"/>
    <w:rsid w:val="00B43A1A"/>
    <w:rsid w:val="00B43A6D"/>
    <w:rsid w:val="00B43B58"/>
    <w:rsid w:val="00B43B6A"/>
    <w:rsid w:val="00B43B80"/>
    <w:rsid w:val="00B43ED7"/>
    <w:rsid w:val="00B43F54"/>
    <w:rsid w:val="00B44381"/>
    <w:rsid w:val="00B44689"/>
    <w:rsid w:val="00B44756"/>
    <w:rsid w:val="00B447D3"/>
    <w:rsid w:val="00B447DF"/>
    <w:rsid w:val="00B44DE1"/>
    <w:rsid w:val="00B45121"/>
    <w:rsid w:val="00B4512B"/>
    <w:rsid w:val="00B453C8"/>
    <w:rsid w:val="00B4555A"/>
    <w:rsid w:val="00B455AD"/>
    <w:rsid w:val="00B455D3"/>
    <w:rsid w:val="00B455E6"/>
    <w:rsid w:val="00B458F6"/>
    <w:rsid w:val="00B4592C"/>
    <w:rsid w:val="00B45DAE"/>
    <w:rsid w:val="00B45E44"/>
    <w:rsid w:val="00B45EA8"/>
    <w:rsid w:val="00B46084"/>
    <w:rsid w:val="00B4611B"/>
    <w:rsid w:val="00B461ED"/>
    <w:rsid w:val="00B46289"/>
    <w:rsid w:val="00B4633C"/>
    <w:rsid w:val="00B4659F"/>
    <w:rsid w:val="00B465BA"/>
    <w:rsid w:val="00B465E5"/>
    <w:rsid w:val="00B4660D"/>
    <w:rsid w:val="00B4670E"/>
    <w:rsid w:val="00B468D4"/>
    <w:rsid w:val="00B46A92"/>
    <w:rsid w:val="00B46AFF"/>
    <w:rsid w:val="00B47161"/>
    <w:rsid w:val="00B47294"/>
    <w:rsid w:val="00B47320"/>
    <w:rsid w:val="00B4740B"/>
    <w:rsid w:val="00B474CE"/>
    <w:rsid w:val="00B474E4"/>
    <w:rsid w:val="00B47597"/>
    <w:rsid w:val="00B47775"/>
    <w:rsid w:val="00B47798"/>
    <w:rsid w:val="00B47BC6"/>
    <w:rsid w:val="00B47C6D"/>
    <w:rsid w:val="00B47EA9"/>
    <w:rsid w:val="00B47EF1"/>
    <w:rsid w:val="00B502F9"/>
    <w:rsid w:val="00B5057F"/>
    <w:rsid w:val="00B50634"/>
    <w:rsid w:val="00B506BB"/>
    <w:rsid w:val="00B50B57"/>
    <w:rsid w:val="00B50DF1"/>
    <w:rsid w:val="00B5109E"/>
    <w:rsid w:val="00B510AA"/>
    <w:rsid w:val="00B5141E"/>
    <w:rsid w:val="00B51804"/>
    <w:rsid w:val="00B51ABE"/>
    <w:rsid w:val="00B51F11"/>
    <w:rsid w:val="00B520A7"/>
    <w:rsid w:val="00B521A0"/>
    <w:rsid w:val="00B52643"/>
    <w:rsid w:val="00B52AFB"/>
    <w:rsid w:val="00B52D94"/>
    <w:rsid w:val="00B52DF4"/>
    <w:rsid w:val="00B52EB7"/>
    <w:rsid w:val="00B52F1F"/>
    <w:rsid w:val="00B53028"/>
    <w:rsid w:val="00B53063"/>
    <w:rsid w:val="00B53199"/>
    <w:rsid w:val="00B53624"/>
    <w:rsid w:val="00B53CB0"/>
    <w:rsid w:val="00B53D00"/>
    <w:rsid w:val="00B53D0E"/>
    <w:rsid w:val="00B54112"/>
    <w:rsid w:val="00B54436"/>
    <w:rsid w:val="00B54FA5"/>
    <w:rsid w:val="00B550A7"/>
    <w:rsid w:val="00B55187"/>
    <w:rsid w:val="00B5523D"/>
    <w:rsid w:val="00B5552C"/>
    <w:rsid w:val="00B5567B"/>
    <w:rsid w:val="00B556AA"/>
    <w:rsid w:val="00B55838"/>
    <w:rsid w:val="00B55BCD"/>
    <w:rsid w:val="00B55DCD"/>
    <w:rsid w:val="00B55E15"/>
    <w:rsid w:val="00B56098"/>
    <w:rsid w:val="00B56518"/>
    <w:rsid w:val="00B5665D"/>
    <w:rsid w:val="00B56728"/>
    <w:rsid w:val="00B56CFE"/>
    <w:rsid w:val="00B56EBC"/>
    <w:rsid w:val="00B57154"/>
    <w:rsid w:val="00B57431"/>
    <w:rsid w:val="00B574FD"/>
    <w:rsid w:val="00B57512"/>
    <w:rsid w:val="00B578B0"/>
    <w:rsid w:val="00B57D5B"/>
    <w:rsid w:val="00B57F64"/>
    <w:rsid w:val="00B601F7"/>
    <w:rsid w:val="00B60237"/>
    <w:rsid w:val="00B6033F"/>
    <w:rsid w:val="00B60659"/>
    <w:rsid w:val="00B606CA"/>
    <w:rsid w:val="00B60701"/>
    <w:rsid w:val="00B60798"/>
    <w:rsid w:val="00B609DA"/>
    <w:rsid w:val="00B611F2"/>
    <w:rsid w:val="00B613CA"/>
    <w:rsid w:val="00B6140C"/>
    <w:rsid w:val="00B6144F"/>
    <w:rsid w:val="00B6159C"/>
    <w:rsid w:val="00B61A15"/>
    <w:rsid w:val="00B6203A"/>
    <w:rsid w:val="00B6210F"/>
    <w:rsid w:val="00B622DB"/>
    <w:rsid w:val="00B62697"/>
    <w:rsid w:val="00B628A7"/>
    <w:rsid w:val="00B62A1E"/>
    <w:rsid w:val="00B62A50"/>
    <w:rsid w:val="00B62BD3"/>
    <w:rsid w:val="00B62D2E"/>
    <w:rsid w:val="00B62D84"/>
    <w:rsid w:val="00B62DFF"/>
    <w:rsid w:val="00B63460"/>
    <w:rsid w:val="00B63478"/>
    <w:rsid w:val="00B63505"/>
    <w:rsid w:val="00B63589"/>
    <w:rsid w:val="00B63A04"/>
    <w:rsid w:val="00B63B23"/>
    <w:rsid w:val="00B640EC"/>
    <w:rsid w:val="00B64647"/>
    <w:rsid w:val="00B646B7"/>
    <w:rsid w:val="00B646BC"/>
    <w:rsid w:val="00B64827"/>
    <w:rsid w:val="00B648E0"/>
    <w:rsid w:val="00B64A17"/>
    <w:rsid w:val="00B64B06"/>
    <w:rsid w:val="00B64CE4"/>
    <w:rsid w:val="00B64EC7"/>
    <w:rsid w:val="00B652DD"/>
    <w:rsid w:val="00B65627"/>
    <w:rsid w:val="00B65726"/>
    <w:rsid w:val="00B6586A"/>
    <w:rsid w:val="00B659ED"/>
    <w:rsid w:val="00B65D71"/>
    <w:rsid w:val="00B66305"/>
    <w:rsid w:val="00B66402"/>
    <w:rsid w:val="00B66A4C"/>
    <w:rsid w:val="00B66C84"/>
    <w:rsid w:val="00B67612"/>
    <w:rsid w:val="00B6762E"/>
    <w:rsid w:val="00B67BF1"/>
    <w:rsid w:val="00B67E26"/>
    <w:rsid w:val="00B67FEF"/>
    <w:rsid w:val="00B70177"/>
    <w:rsid w:val="00B70223"/>
    <w:rsid w:val="00B702C9"/>
    <w:rsid w:val="00B7038A"/>
    <w:rsid w:val="00B7051C"/>
    <w:rsid w:val="00B705AB"/>
    <w:rsid w:val="00B707B9"/>
    <w:rsid w:val="00B707EB"/>
    <w:rsid w:val="00B70F7A"/>
    <w:rsid w:val="00B71057"/>
    <w:rsid w:val="00B712D4"/>
    <w:rsid w:val="00B71679"/>
    <w:rsid w:val="00B716EF"/>
    <w:rsid w:val="00B71915"/>
    <w:rsid w:val="00B71B38"/>
    <w:rsid w:val="00B72097"/>
    <w:rsid w:val="00B720BE"/>
    <w:rsid w:val="00B72272"/>
    <w:rsid w:val="00B722DA"/>
    <w:rsid w:val="00B72317"/>
    <w:rsid w:val="00B72710"/>
    <w:rsid w:val="00B72962"/>
    <w:rsid w:val="00B729AE"/>
    <w:rsid w:val="00B72CCE"/>
    <w:rsid w:val="00B72E17"/>
    <w:rsid w:val="00B7309A"/>
    <w:rsid w:val="00B730B9"/>
    <w:rsid w:val="00B7316B"/>
    <w:rsid w:val="00B731D8"/>
    <w:rsid w:val="00B733A5"/>
    <w:rsid w:val="00B733B3"/>
    <w:rsid w:val="00B7370A"/>
    <w:rsid w:val="00B738F8"/>
    <w:rsid w:val="00B73BB0"/>
    <w:rsid w:val="00B73C06"/>
    <w:rsid w:val="00B73DCD"/>
    <w:rsid w:val="00B73F64"/>
    <w:rsid w:val="00B74472"/>
    <w:rsid w:val="00B745B9"/>
    <w:rsid w:val="00B7486E"/>
    <w:rsid w:val="00B74D1A"/>
    <w:rsid w:val="00B74EA9"/>
    <w:rsid w:val="00B74FEC"/>
    <w:rsid w:val="00B75187"/>
    <w:rsid w:val="00B754F4"/>
    <w:rsid w:val="00B75781"/>
    <w:rsid w:val="00B75833"/>
    <w:rsid w:val="00B7588E"/>
    <w:rsid w:val="00B75AAC"/>
    <w:rsid w:val="00B75BE9"/>
    <w:rsid w:val="00B75C6F"/>
    <w:rsid w:val="00B75CE8"/>
    <w:rsid w:val="00B75DDE"/>
    <w:rsid w:val="00B75E1C"/>
    <w:rsid w:val="00B75F38"/>
    <w:rsid w:val="00B7638F"/>
    <w:rsid w:val="00B76A05"/>
    <w:rsid w:val="00B76EF2"/>
    <w:rsid w:val="00B76FD1"/>
    <w:rsid w:val="00B77010"/>
    <w:rsid w:val="00B770C3"/>
    <w:rsid w:val="00B7711C"/>
    <w:rsid w:val="00B77241"/>
    <w:rsid w:val="00B7738B"/>
    <w:rsid w:val="00B77C16"/>
    <w:rsid w:val="00B77E3C"/>
    <w:rsid w:val="00B77FEC"/>
    <w:rsid w:val="00B80092"/>
    <w:rsid w:val="00B8012F"/>
    <w:rsid w:val="00B801DA"/>
    <w:rsid w:val="00B80492"/>
    <w:rsid w:val="00B809C6"/>
    <w:rsid w:val="00B80DE8"/>
    <w:rsid w:val="00B81134"/>
    <w:rsid w:val="00B81142"/>
    <w:rsid w:val="00B8136B"/>
    <w:rsid w:val="00B814F4"/>
    <w:rsid w:val="00B81AF3"/>
    <w:rsid w:val="00B81B23"/>
    <w:rsid w:val="00B81B71"/>
    <w:rsid w:val="00B81BAE"/>
    <w:rsid w:val="00B81D00"/>
    <w:rsid w:val="00B81D7C"/>
    <w:rsid w:val="00B81FCF"/>
    <w:rsid w:val="00B8208D"/>
    <w:rsid w:val="00B82242"/>
    <w:rsid w:val="00B822D6"/>
    <w:rsid w:val="00B8234F"/>
    <w:rsid w:val="00B82439"/>
    <w:rsid w:val="00B826A3"/>
    <w:rsid w:val="00B8270F"/>
    <w:rsid w:val="00B82932"/>
    <w:rsid w:val="00B82A86"/>
    <w:rsid w:val="00B82CC5"/>
    <w:rsid w:val="00B82CE7"/>
    <w:rsid w:val="00B82DA8"/>
    <w:rsid w:val="00B82DD3"/>
    <w:rsid w:val="00B8301A"/>
    <w:rsid w:val="00B83112"/>
    <w:rsid w:val="00B8347F"/>
    <w:rsid w:val="00B83753"/>
    <w:rsid w:val="00B83952"/>
    <w:rsid w:val="00B83C7F"/>
    <w:rsid w:val="00B83C85"/>
    <w:rsid w:val="00B83DC5"/>
    <w:rsid w:val="00B83E61"/>
    <w:rsid w:val="00B83EAB"/>
    <w:rsid w:val="00B840D9"/>
    <w:rsid w:val="00B840F5"/>
    <w:rsid w:val="00B8446C"/>
    <w:rsid w:val="00B84ACA"/>
    <w:rsid w:val="00B84B45"/>
    <w:rsid w:val="00B84C5A"/>
    <w:rsid w:val="00B851B4"/>
    <w:rsid w:val="00B85890"/>
    <w:rsid w:val="00B858B9"/>
    <w:rsid w:val="00B85A87"/>
    <w:rsid w:val="00B85EDA"/>
    <w:rsid w:val="00B86024"/>
    <w:rsid w:val="00B86300"/>
    <w:rsid w:val="00B864A2"/>
    <w:rsid w:val="00B8675F"/>
    <w:rsid w:val="00B86CDF"/>
    <w:rsid w:val="00B8714E"/>
    <w:rsid w:val="00B8723E"/>
    <w:rsid w:val="00B87568"/>
    <w:rsid w:val="00B87743"/>
    <w:rsid w:val="00B879C3"/>
    <w:rsid w:val="00B87D4C"/>
    <w:rsid w:val="00B87F8B"/>
    <w:rsid w:val="00B901AB"/>
    <w:rsid w:val="00B903AC"/>
    <w:rsid w:val="00B9055A"/>
    <w:rsid w:val="00B9060C"/>
    <w:rsid w:val="00B90939"/>
    <w:rsid w:val="00B90975"/>
    <w:rsid w:val="00B90B70"/>
    <w:rsid w:val="00B90BC7"/>
    <w:rsid w:val="00B90FB2"/>
    <w:rsid w:val="00B910BC"/>
    <w:rsid w:val="00B91245"/>
    <w:rsid w:val="00B913E1"/>
    <w:rsid w:val="00B91518"/>
    <w:rsid w:val="00B91B54"/>
    <w:rsid w:val="00B91E80"/>
    <w:rsid w:val="00B91FFE"/>
    <w:rsid w:val="00B9221A"/>
    <w:rsid w:val="00B92491"/>
    <w:rsid w:val="00B9255D"/>
    <w:rsid w:val="00B9258B"/>
    <w:rsid w:val="00B9270C"/>
    <w:rsid w:val="00B92779"/>
    <w:rsid w:val="00B927C2"/>
    <w:rsid w:val="00B928AE"/>
    <w:rsid w:val="00B92A34"/>
    <w:rsid w:val="00B92E5C"/>
    <w:rsid w:val="00B92ECA"/>
    <w:rsid w:val="00B93280"/>
    <w:rsid w:val="00B9371C"/>
    <w:rsid w:val="00B93C89"/>
    <w:rsid w:val="00B93D54"/>
    <w:rsid w:val="00B93ED5"/>
    <w:rsid w:val="00B93FA2"/>
    <w:rsid w:val="00B9400C"/>
    <w:rsid w:val="00B94259"/>
    <w:rsid w:val="00B9434B"/>
    <w:rsid w:val="00B94585"/>
    <w:rsid w:val="00B949A7"/>
    <w:rsid w:val="00B94C28"/>
    <w:rsid w:val="00B94C3B"/>
    <w:rsid w:val="00B94F25"/>
    <w:rsid w:val="00B94F86"/>
    <w:rsid w:val="00B94FB4"/>
    <w:rsid w:val="00B9502A"/>
    <w:rsid w:val="00B95051"/>
    <w:rsid w:val="00B95399"/>
    <w:rsid w:val="00B958C6"/>
    <w:rsid w:val="00B95A15"/>
    <w:rsid w:val="00B95A97"/>
    <w:rsid w:val="00B95D1B"/>
    <w:rsid w:val="00B95ED5"/>
    <w:rsid w:val="00B9602F"/>
    <w:rsid w:val="00B960F4"/>
    <w:rsid w:val="00B961E8"/>
    <w:rsid w:val="00B96219"/>
    <w:rsid w:val="00B962A3"/>
    <w:rsid w:val="00B964CB"/>
    <w:rsid w:val="00B96935"/>
    <w:rsid w:val="00B969EB"/>
    <w:rsid w:val="00B96A82"/>
    <w:rsid w:val="00B96B37"/>
    <w:rsid w:val="00B96CC8"/>
    <w:rsid w:val="00B96D1C"/>
    <w:rsid w:val="00B977BE"/>
    <w:rsid w:val="00B97963"/>
    <w:rsid w:val="00B97B7D"/>
    <w:rsid w:val="00B97E7A"/>
    <w:rsid w:val="00B97EF6"/>
    <w:rsid w:val="00BA02C2"/>
    <w:rsid w:val="00BA072A"/>
    <w:rsid w:val="00BA0A4C"/>
    <w:rsid w:val="00BA0DDA"/>
    <w:rsid w:val="00BA0E83"/>
    <w:rsid w:val="00BA1494"/>
    <w:rsid w:val="00BA15E4"/>
    <w:rsid w:val="00BA1A0A"/>
    <w:rsid w:val="00BA1E1E"/>
    <w:rsid w:val="00BA20FF"/>
    <w:rsid w:val="00BA2218"/>
    <w:rsid w:val="00BA22F5"/>
    <w:rsid w:val="00BA2526"/>
    <w:rsid w:val="00BA257A"/>
    <w:rsid w:val="00BA25E2"/>
    <w:rsid w:val="00BA2656"/>
    <w:rsid w:val="00BA296D"/>
    <w:rsid w:val="00BA2F03"/>
    <w:rsid w:val="00BA302C"/>
    <w:rsid w:val="00BA3085"/>
    <w:rsid w:val="00BA33D7"/>
    <w:rsid w:val="00BA3859"/>
    <w:rsid w:val="00BA392F"/>
    <w:rsid w:val="00BA3A5F"/>
    <w:rsid w:val="00BA3CD8"/>
    <w:rsid w:val="00BA3FAB"/>
    <w:rsid w:val="00BA4357"/>
    <w:rsid w:val="00BA437C"/>
    <w:rsid w:val="00BA446B"/>
    <w:rsid w:val="00BA4920"/>
    <w:rsid w:val="00BA4924"/>
    <w:rsid w:val="00BA4A20"/>
    <w:rsid w:val="00BA4B38"/>
    <w:rsid w:val="00BA4C3B"/>
    <w:rsid w:val="00BA4CD5"/>
    <w:rsid w:val="00BA4F8F"/>
    <w:rsid w:val="00BA5669"/>
    <w:rsid w:val="00BA578C"/>
    <w:rsid w:val="00BA597A"/>
    <w:rsid w:val="00BA5A47"/>
    <w:rsid w:val="00BA5AA5"/>
    <w:rsid w:val="00BA5B02"/>
    <w:rsid w:val="00BA5D13"/>
    <w:rsid w:val="00BA5D86"/>
    <w:rsid w:val="00BA5D9B"/>
    <w:rsid w:val="00BA5F75"/>
    <w:rsid w:val="00BA6230"/>
    <w:rsid w:val="00BA646C"/>
    <w:rsid w:val="00BA64FD"/>
    <w:rsid w:val="00BA6549"/>
    <w:rsid w:val="00BA6AA8"/>
    <w:rsid w:val="00BA6AFF"/>
    <w:rsid w:val="00BA6C87"/>
    <w:rsid w:val="00BA6CB0"/>
    <w:rsid w:val="00BA6CB6"/>
    <w:rsid w:val="00BA6DAB"/>
    <w:rsid w:val="00BA6F4D"/>
    <w:rsid w:val="00BA7044"/>
    <w:rsid w:val="00BA7084"/>
    <w:rsid w:val="00BA7165"/>
    <w:rsid w:val="00BA74B2"/>
    <w:rsid w:val="00BA7A47"/>
    <w:rsid w:val="00BA7ADA"/>
    <w:rsid w:val="00BA7B21"/>
    <w:rsid w:val="00BB02BC"/>
    <w:rsid w:val="00BB0952"/>
    <w:rsid w:val="00BB0AC5"/>
    <w:rsid w:val="00BB0AF1"/>
    <w:rsid w:val="00BB0D4B"/>
    <w:rsid w:val="00BB0F1A"/>
    <w:rsid w:val="00BB1079"/>
    <w:rsid w:val="00BB10A8"/>
    <w:rsid w:val="00BB10AE"/>
    <w:rsid w:val="00BB13C2"/>
    <w:rsid w:val="00BB14D2"/>
    <w:rsid w:val="00BB1937"/>
    <w:rsid w:val="00BB1B1D"/>
    <w:rsid w:val="00BB1B41"/>
    <w:rsid w:val="00BB1BA3"/>
    <w:rsid w:val="00BB2395"/>
    <w:rsid w:val="00BB271F"/>
    <w:rsid w:val="00BB2F6B"/>
    <w:rsid w:val="00BB30C8"/>
    <w:rsid w:val="00BB3190"/>
    <w:rsid w:val="00BB4093"/>
    <w:rsid w:val="00BB4142"/>
    <w:rsid w:val="00BB42C4"/>
    <w:rsid w:val="00BB42FC"/>
    <w:rsid w:val="00BB4442"/>
    <w:rsid w:val="00BB445B"/>
    <w:rsid w:val="00BB464A"/>
    <w:rsid w:val="00BB492A"/>
    <w:rsid w:val="00BB49F5"/>
    <w:rsid w:val="00BB4EAE"/>
    <w:rsid w:val="00BB4F90"/>
    <w:rsid w:val="00BB5158"/>
    <w:rsid w:val="00BB58BC"/>
    <w:rsid w:val="00BB5981"/>
    <w:rsid w:val="00BB5A07"/>
    <w:rsid w:val="00BB5B2E"/>
    <w:rsid w:val="00BB5B56"/>
    <w:rsid w:val="00BB5D53"/>
    <w:rsid w:val="00BB604F"/>
    <w:rsid w:val="00BB61CC"/>
    <w:rsid w:val="00BB639C"/>
    <w:rsid w:val="00BB63B5"/>
    <w:rsid w:val="00BB63DC"/>
    <w:rsid w:val="00BB67B5"/>
    <w:rsid w:val="00BB68B1"/>
    <w:rsid w:val="00BB68F1"/>
    <w:rsid w:val="00BB69BB"/>
    <w:rsid w:val="00BB6A03"/>
    <w:rsid w:val="00BB6B14"/>
    <w:rsid w:val="00BB6B8E"/>
    <w:rsid w:val="00BB6BCA"/>
    <w:rsid w:val="00BB6C2F"/>
    <w:rsid w:val="00BB725B"/>
    <w:rsid w:val="00BB7275"/>
    <w:rsid w:val="00BB7580"/>
    <w:rsid w:val="00BB75E9"/>
    <w:rsid w:val="00BB7841"/>
    <w:rsid w:val="00BB7888"/>
    <w:rsid w:val="00BB78E0"/>
    <w:rsid w:val="00BB7910"/>
    <w:rsid w:val="00BB79BE"/>
    <w:rsid w:val="00BB7A60"/>
    <w:rsid w:val="00BB7B2A"/>
    <w:rsid w:val="00BB7BC4"/>
    <w:rsid w:val="00BB7E4F"/>
    <w:rsid w:val="00BB7F5D"/>
    <w:rsid w:val="00BC011E"/>
    <w:rsid w:val="00BC026D"/>
    <w:rsid w:val="00BC055F"/>
    <w:rsid w:val="00BC0AF3"/>
    <w:rsid w:val="00BC10B2"/>
    <w:rsid w:val="00BC1157"/>
    <w:rsid w:val="00BC13A4"/>
    <w:rsid w:val="00BC13D3"/>
    <w:rsid w:val="00BC1443"/>
    <w:rsid w:val="00BC18CF"/>
    <w:rsid w:val="00BC19ED"/>
    <w:rsid w:val="00BC1A58"/>
    <w:rsid w:val="00BC1AB2"/>
    <w:rsid w:val="00BC1B26"/>
    <w:rsid w:val="00BC21BC"/>
    <w:rsid w:val="00BC21BF"/>
    <w:rsid w:val="00BC220B"/>
    <w:rsid w:val="00BC2373"/>
    <w:rsid w:val="00BC23E7"/>
    <w:rsid w:val="00BC2AE5"/>
    <w:rsid w:val="00BC2BEB"/>
    <w:rsid w:val="00BC2D49"/>
    <w:rsid w:val="00BC2E15"/>
    <w:rsid w:val="00BC2E7C"/>
    <w:rsid w:val="00BC36EF"/>
    <w:rsid w:val="00BC399D"/>
    <w:rsid w:val="00BC3AF8"/>
    <w:rsid w:val="00BC3BCA"/>
    <w:rsid w:val="00BC3C2E"/>
    <w:rsid w:val="00BC3EF1"/>
    <w:rsid w:val="00BC419E"/>
    <w:rsid w:val="00BC4413"/>
    <w:rsid w:val="00BC4449"/>
    <w:rsid w:val="00BC46AD"/>
    <w:rsid w:val="00BC481B"/>
    <w:rsid w:val="00BC4A54"/>
    <w:rsid w:val="00BC4A94"/>
    <w:rsid w:val="00BC4C1C"/>
    <w:rsid w:val="00BC4C8B"/>
    <w:rsid w:val="00BC4C9A"/>
    <w:rsid w:val="00BC51C2"/>
    <w:rsid w:val="00BC535B"/>
    <w:rsid w:val="00BC5392"/>
    <w:rsid w:val="00BC5402"/>
    <w:rsid w:val="00BC5649"/>
    <w:rsid w:val="00BC5660"/>
    <w:rsid w:val="00BC56C3"/>
    <w:rsid w:val="00BC56EE"/>
    <w:rsid w:val="00BC5747"/>
    <w:rsid w:val="00BC5835"/>
    <w:rsid w:val="00BC585F"/>
    <w:rsid w:val="00BC58C9"/>
    <w:rsid w:val="00BC58D0"/>
    <w:rsid w:val="00BC59AB"/>
    <w:rsid w:val="00BC5C8E"/>
    <w:rsid w:val="00BC5CBE"/>
    <w:rsid w:val="00BC63F4"/>
    <w:rsid w:val="00BC681C"/>
    <w:rsid w:val="00BC68B6"/>
    <w:rsid w:val="00BC6ACD"/>
    <w:rsid w:val="00BC6B8F"/>
    <w:rsid w:val="00BC6BD9"/>
    <w:rsid w:val="00BC6C79"/>
    <w:rsid w:val="00BC7112"/>
    <w:rsid w:val="00BC75F1"/>
    <w:rsid w:val="00BC796A"/>
    <w:rsid w:val="00BD038F"/>
    <w:rsid w:val="00BD0596"/>
    <w:rsid w:val="00BD0751"/>
    <w:rsid w:val="00BD08AB"/>
    <w:rsid w:val="00BD08F7"/>
    <w:rsid w:val="00BD0945"/>
    <w:rsid w:val="00BD09FE"/>
    <w:rsid w:val="00BD0C9E"/>
    <w:rsid w:val="00BD0D2D"/>
    <w:rsid w:val="00BD0DDB"/>
    <w:rsid w:val="00BD0DF0"/>
    <w:rsid w:val="00BD0FAB"/>
    <w:rsid w:val="00BD0FDC"/>
    <w:rsid w:val="00BD126D"/>
    <w:rsid w:val="00BD179B"/>
    <w:rsid w:val="00BD229A"/>
    <w:rsid w:val="00BD248B"/>
    <w:rsid w:val="00BD253D"/>
    <w:rsid w:val="00BD254B"/>
    <w:rsid w:val="00BD2555"/>
    <w:rsid w:val="00BD2A3A"/>
    <w:rsid w:val="00BD2C28"/>
    <w:rsid w:val="00BD2C69"/>
    <w:rsid w:val="00BD2C8E"/>
    <w:rsid w:val="00BD2CEF"/>
    <w:rsid w:val="00BD2E06"/>
    <w:rsid w:val="00BD2FB6"/>
    <w:rsid w:val="00BD35C9"/>
    <w:rsid w:val="00BD3666"/>
    <w:rsid w:val="00BD36AC"/>
    <w:rsid w:val="00BD37B7"/>
    <w:rsid w:val="00BD3B89"/>
    <w:rsid w:val="00BD3FA0"/>
    <w:rsid w:val="00BD40BC"/>
    <w:rsid w:val="00BD42C4"/>
    <w:rsid w:val="00BD4322"/>
    <w:rsid w:val="00BD4476"/>
    <w:rsid w:val="00BD44E9"/>
    <w:rsid w:val="00BD4999"/>
    <w:rsid w:val="00BD4A6A"/>
    <w:rsid w:val="00BD4B60"/>
    <w:rsid w:val="00BD4B69"/>
    <w:rsid w:val="00BD4E19"/>
    <w:rsid w:val="00BD50E2"/>
    <w:rsid w:val="00BD5352"/>
    <w:rsid w:val="00BD5354"/>
    <w:rsid w:val="00BD554C"/>
    <w:rsid w:val="00BD580D"/>
    <w:rsid w:val="00BD5A93"/>
    <w:rsid w:val="00BD5E7C"/>
    <w:rsid w:val="00BD5F39"/>
    <w:rsid w:val="00BD6224"/>
    <w:rsid w:val="00BD6266"/>
    <w:rsid w:val="00BD63E1"/>
    <w:rsid w:val="00BD69A9"/>
    <w:rsid w:val="00BD6D84"/>
    <w:rsid w:val="00BD7068"/>
    <w:rsid w:val="00BD7670"/>
    <w:rsid w:val="00BD7897"/>
    <w:rsid w:val="00BD78E5"/>
    <w:rsid w:val="00BD7B27"/>
    <w:rsid w:val="00BD7B9C"/>
    <w:rsid w:val="00BD7BE9"/>
    <w:rsid w:val="00BD7E8F"/>
    <w:rsid w:val="00BE013F"/>
    <w:rsid w:val="00BE01C0"/>
    <w:rsid w:val="00BE021F"/>
    <w:rsid w:val="00BE06D6"/>
    <w:rsid w:val="00BE0B13"/>
    <w:rsid w:val="00BE0C86"/>
    <w:rsid w:val="00BE0D40"/>
    <w:rsid w:val="00BE0EC6"/>
    <w:rsid w:val="00BE1010"/>
    <w:rsid w:val="00BE1319"/>
    <w:rsid w:val="00BE150C"/>
    <w:rsid w:val="00BE18F0"/>
    <w:rsid w:val="00BE1C2F"/>
    <w:rsid w:val="00BE1D2C"/>
    <w:rsid w:val="00BE1EA7"/>
    <w:rsid w:val="00BE23BA"/>
    <w:rsid w:val="00BE240C"/>
    <w:rsid w:val="00BE2794"/>
    <w:rsid w:val="00BE2933"/>
    <w:rsid w:val="00BE2A39"/>
    <w:rsid w:val="00BE2A75"/>
    <w:rsid w:val="00BE2AC6"/>
    <w:rsid w:val="00BE2B91"/>
    <w:rsid w:val="00BE2C4B"/>
    <w:rsid w:val="00BE2D8C"/>
    <w:rsid w:val="00BE318C"/>
    <w:rsid w:val="00BE3399"/>
    <w:rsid w:val="00BE33A8"/>
    <w:rsid w:val="00BE3442"/>
    <w:rsid w:val="00BE377C"/>
    <w:rsid w:val="00BE3AB5"/>
    <w:rsid w:val="00BE3BA3"/>
    <w:rsid w:val="00BE40E8"/>
    <w:rsid w:val="00BE42E3"/>
    <w:rsid w:val="00BE469C"/>
    <w:rsid w:val="00BE4731"/>
    <w:rsid w:val="00BE4FB4"/>
    <w:rsid w:val="00BE552F"/>
    <w:rsid w:val="00BE5754"/>
    <w:rsid w:val="00BE58B3"/>
    <w:rsid w:val="00BE58B8"/>
    <w:rsid w:val="00BE5B8E"/>
    <w:rsid w:val="00BE5E78"/>
    <w:rsid w:val="00BE5FC5"/>
    <w:rsid w:val="00BE6252"/>
    <w:rsid w:val="00BE62BB"/>
    <w:rsid w:val="00BE63CD"/>
    <w:rsid w:val="00BE64FA"/>
    <w:rsid w:val="00BE6684"/>
    <w:rsid w:val="00BE67CD"/>
    <w:rsid w:val="00BE6809"/>
    <w:rsid w:val="00BE6CEC"/>
    <w:rsid w:val="00BE7014"/>
    <w:rsid w:val="00BE7084"/>
    <w:rsid w:val="00BE70F2"/>
    <w:rsid w:val="00BE7244"/>
    <w:rsid w:val="00BE725A"/>
    <w:rsid w:val="00BE736B"/>
    <w:rsid w:val="00BE73A2"/>
    <w:rsid w:val="00BE77FC"/>
    <w:rsid w:val="00BE78F6"/>
    <w:rsid w:val="00BE7A1E"/>
    <w:rsid w:val="00BE7DD3"/>
    <w:rsid w:val="00BE7E31"/>
    <w:rsid w:val="00BF01B3"/>
    <w:rsid w:val="00BF02EC"/>
    <w:rsid w:val="00BF08A9"/>
    <w:rsid w:val="00BF0980"/>
    <w:rsid w:val="00BF09EB"/>
    <w:rsid w:val="00BF09F5"/>
    <w:rsid w:val="00BF0AAD"/>
    <w:rsid w:val="00BF0C49"/>
    <w:rsid w:val="00BF0FA6"/>
    <w:rsid w:val="00BF115A"/>
    <w:rsid w:val="00BF11CB"/>
    <w:rsid w:val="00BF1328"/>
    <w:rsid w:val="00BF1587"/>
    <w:rsid w:val="00BF15FA"/>
    <w:rsid w:val="00BF1959"/>
    <w:rsid w:val="00BF19D7"/>
    <w:rsid w:val="00BF1AE3"/>
    <w:rsid w:val="00BF1B2F"/>
    <w:rsid w:val="00BF1C04"/>
    <w:rsid w:val="00BF1CA6"/>
    <w:rsid w:val="00BF1E1C"/>
    <w:rsid w:val="00BF1EB4"/>
    <w:rsid w:val="00BF1F3F"/>
    <w:rsid w:val="00BF1FE1"/>
    <w:rsid w:val="00BF2337"/>
    <w:rsid w:val="00BF2540"/>
    <w:rsid w:val="00BF2830"/>
    <w:rsid w:val="00BF29F9"/>
    <w:rsid w:val="00BF2AD4"/>
    <w:rsid w:val="00BF2E10"/>
    <w:rsid w:val="00BF2F90"/>
    <w:rsid w:val="00BF31F2"/>
    <w:rsid w:val="00BF3487"/>
    <w:rsid w:val="00BF3825"/>
    <w:rsid w:val="00BF3B7A"/>
    <w:rsid w:val="00BF3DAB"/>
    <w:rsid w:val="00BF3FDD"/>
    <w:rsid w:val="00BF476E"/>
    <w:rsid w:val="00BF48CC"/>
    <w:rsid w:val="00BF4A59"/>
    <w:rsid w:val="00BF4BC7"/>
    <w:rsid w:val="00BF4C84"/>
    <w:rsid w:val="00BF50D9"/>
    <w:rsid w:val="00BF5408"/>
    <w:rsid w:val="00BF56FF"/>
    <w:rsid w:val="00BF581F"/>
    <w:rsid w:val="00BF5899"/>
    <w:rsid w:val="00BF5A32"/>
    <w:rsid w:val="00BF5CAB"/>
    <w:rsid w:val="00BF5F5E"/>
    <w:rsid w:val="00BF607A"/>
    <w:rsid w:val="00BF628E"/>
    <w:rsid w:val="00BF63C8"/>
    <w:rsid w:val="00BF6408"/>
    <w:rsid w:val="00BF6C1D"/>
    <w:rsid w:val="00BF6DA9"/>
    <w:rsid w:val="00BF7481"/>
    <w:rsid w:val="00BF7AA3"/>
    <w:rsid w:val="00BF7C1F"/>
    <w:rsid w:val="00BF7C20"/>
    <w:rsid w:val="00BF7D8E"/>
    <w:rsid w:val="00BF7DB3"/>
    <w:rsid w:val="00BF7E4F"/>
    <w:rsid w:val="00BF7E56"/>
    <w:rsid w:val="00BF7EE7"/>
    <w:rsid w:val="00C001DF"/>
    <w:rsid w:val="00C001F1"/>
    <w:rsid w:val="00C00C56"/>
    <w:rsid w:val="00C00FAA"/>
    <w:rsid w:val="00C011ED"/>
    <w:rsid w:val="00C01359"/>
    <w:rsid w:val="00C0137F"/>
    <w:rsid w:val="00C01452"/>
    <w:rsid w:val="00C0150D"/>
    <w:rsid w:val="00C018E4"/>
    <w:rsid w:val="00C01DDD"/>
    <w:rsid w:val="00C01F42"/>
    <w:rsid w:val="00C01FE0"/>
    <w:rsid w:val="00C0201F"/>
    <w:rsid w:val="00C020A5"/>
    <w:rsid w:val="00C023BE"/>
    <w:rsid w:val="00C02417"/>
    <w:rsid w:val="00C025E7"/>
    <w:rsid w:val="00C02658"/>
    <w:rsid w:val="00C0278D"/>
    <w:rsid w:val="00C02A29"/>
    <w:rsid w:val="00C02B06"/>
    <w:rsid w:val="00C02B08"/>
    <w:rsid w:val="00C02D4D"/>
    <w:rsid w:val="00C02D71"/>
    <w:rsid w:val="00C02F29"/>
    <w:rsid w:val="00C02F34"/>
    <w:rsid w:val="00C02FEA"/>
    <w:rsid w:val="00C031FC"/>
    <w:rsid w:val="00C03587"/>
    <w:rsid w:val="00C038AE"/>
    <w:rsid w:val="00C03915"/>
    <w:rsid w:val="00C0394A"/>
    <w:rsid w:val="00C03AAD"/>
    <w:rsid w:val="00C04056"/>
    <w:rsid w:val="00C0408B"/>
    <w:rsid w:val="00C04192"/>
    <w:rsid w:val="00C0427E"/>
    <w:rsid w:val="00C04375"/>
    <w:rsid w:val="00C043ED"/>
    <w:rsid w:val="00C0443D"/>
    <w:rsid w:val="00C0479E"/>
    <w:rsid w:val="00C048B5"/>
    <w:rsid w:val="00C04A6F"/>
    <w:rsid w:val="00C04BEB"/>
    <w:rsid w:val="00C050B1"/>
    <w:rsid w:val="00C0529E"/>
    <w:rsid w:val="00C0552B"/>
    <w:rsid w:val="00C05735"/>
    <w:rsid w:val="00C05890"/>
    <w:rsid w:val="00C05CF8"/>
    <w:rsid w:val="00C05F10"/>
    <w:rsid w:val="00C05F38"/>
    <w:rsid w:val="00C060FA"/>
    <w:rsid w:val="00C0628F"/>
    <w:rsid w:val="00C068D7"/>
    <w:rsid w:val="00C06B54"/>
    <w:rsid w:val="00C06D1C"/>
    <w:rsid w:val="00C06E69"/>
    <w:rsid w:val="00C06EDE"/>
    <w:rsid w:val="00C06EF6"/>
    <w:rsid w:val="00C06F1F"/>
    <w:rsid w:val="00C0715E"/>
    <w:rsid w:val="00C077C9"/>
    <w:rsid w:val="00C078E5"/>
    <w:rsid w:val="00C07AA6"/>
    <w:rsid w:val="00C07E6C"/>
    <w:rsid w:val="00C1018A"/>
    <w:rsid w:val="00C10319"/>
    <w:rsid w:val="00C103BD"/>
    <w:rsid w:val="00C1056C"/>
    <w:rsid w:val="00C105AC"/>
    <w:rsid w:val="00C1066A"/>
    <w:rsid w:val="00C1067B"/>
    <w:rsid w:val="00C10682"/>
    <w:rsid w:val="00C108D7"/>
    <w:rsid w:val="00C10B5D"/>
    <w:rsid w:val="00C10C07"/>
    <w:rsid w:val="00C10D16"/>
    <w:rsid w:val="00C10EFD"/>
    <w:rsid w:val="00C11031"/>
    <w:rsid w:val="00C11357"/>
    <w:rsid w:val="00C1161A"/>
    <w:rsid w:val="00C116D7"/>
    <w:rsid w:val="00C118AB"/>
    <w:rsid w:val="00C1191F"/>
    <w:rsid w:val="00C11B3F"/>
    <w:rsid w:val="00C12297"/>
    <w:rsid w:val="00C12301"/>
    <w:rsid w:val="00C12597"/>
    <w:rsid w:val="00C12B01"/>
    <w:rsid w:val="00C12C99"/>
    <w:rsid w:val="00C12EE9"/>
    <w:rsid w:val="00C134B6"/>
    <w:rsid w:val="00C134CD"/>
    <w:rsid w:val="00C136A5"/>
    <w:rsid w:val="00C136DC"/>
    <w:rsid w:val="00C137C2"/>
    <w:rsid w:val="00C138B3"/>
    <w:rsid w:val="00C138F9"/>
    <w:rsid w:val="00C13E6B"/>
    <w:rsid w:val="00C1403D"/>
    <w:rsid w:val="00C14629"/>
    <w:rsid w:val="00C1466D"/>
    <w:rsid w:val="00C149ED"/>
    <w:rsid w:val="00C14A2D"/>
    <w:rsid w:val="00C15425"/>
    <w:rsid w:val="00C15A8B"/>
    <w:rsid w:val="00C15C28"/>
    <w:rsid w:val="00C15C99"/>
    <w:rsid w:val="00C160E1"/>
    <w:rsid w:val="00C16358"/>
    <w:rsid w:val="00C16390"/>
    <w:rsid w:val="00C1645C"/>
    <w:rsid w:val="00C16712"/>
    <w:rsid w:val="00C16A5A"/>
    <w:rsid w:val="00C16C41"/>
    <w:rsid w:val="00C16CFC"/>
    <w:rsid w:val="00C16D65"/>
    <w:rsid w:val="00C17138"/>
    <w:rsid w:val="00C17428"/>
    <w:rsid w:val="00C17552"/>
    <w:rsid w:val="00C1764D"/>
    <w:rsid w:val="00C17778"/>
    <w:rsid w:val="00C178CC"/>
    <w:rsid w:val="00C17A77"/>
    <w:rsid w:val="00C17D44"/>
    <w:rsid w:val="00C17FFA"/>
    <w:rsid w:val="00C20087"/>
    <w:rsid w:val="00C20121"/>
    <w:rsid w:val="00C20437"/>
    <w:rsid w:val="00C2044C"/>
    <w:rsid w:val="00C20477"/>
    <w:rsid w:val="00C20496"/>
    <w:rsid w:val="00C2053A"/>
    <w:rsid w:val="00C20597"/>
    <w:rsid w:val="00C2069C"/>
    <w:rsid w:val="00C20799"/>
    <w:rsid w:val="00C2091D"/>
    <w:rsid w:val="00C20DF7"/>
    <w:rsid w:val="00C20FF4"/>
    <w:rsid w:val="00C2148F"/>
    <w:rsid w:val="00C21719"/>
    <w:rsid w:val="00C219FA"/>
    <w:rsid w:val="00C21AD4"/>
    <w:rsid w:val="00C21E8A"/>
    <w:rsid w:val="00C2243C"/>
    <w:rsid w:val="00C224E3"/>
    <w:rsid w:val="00C2255F"/>
    <w:rsid w:val="00C22714"/>
    <w:rsid w:val="00C228BD"/>
    <w:rsid w:val="00C22B18"/>
    <w:rsid w:val="00C22F6E"/>
    <w:rsid w:val="00C23100"/>
    <w:rsid w:val="00C23133"/>
    <w:rsid w:val="00C23138"/>
    <w:rsid w:val="00C23307"/>
    <w:rsid w:val="00C23352"/>
    <w:rsid w:val="00C2365A"/>
    <w:rsid w:val="00C236C8"/>
    <w:rsid w:val="00C23A17"/>
    <w:rsid w:val="00C23C68"/>
    <w:rsid w:val="00C23D16"/>
    <w:rsid w:val="00C23E3B"/>
    <w:rsid w:val="00C23ECA"/>
    <w:rsid w:val="00C23F1D"/>
    <w:rsid w:val="00C23F9C"/>
    <w:rsid w:val="00C23FBE"/>
    <w:rsid w:val="00C24022"/>
    <w:rsid w:val="00C24062"/>
    <w:rsid w:val="00C240F2"/>
    <w:rsid w:val="00C24344"/>
    <w:rsid w:val="00C245CE"/>
    <w:rsid w:val="00C24996"/>
    <w:rsid w:val="00C24E2A"/>
    <w:rsid w:val="00C24FBC"/>
    <w:rsid w:val="00C25077"/>
    <w:rsid w:val="00C25089"/>
    <w:rsid w:val="00C2523F"/>
    <w:rsid w:val="00C252B2"/>
    <w:rsid w:val="00C255F1"/>
    <w:rsid w:val="00C25700"/>
    <w:rsid w:val="00C259B5"/>
    <w:rsid w:val="00C25BAE"/>
    <w:rsid w:val="00C25DD1"/>
    <w:rsid w:val="00C25FEB"/>
    <w:rsid w:val="00C260A6"/>
    <w:rsid w:val="00C26471"/>
    <w:rsid w:val="00C26724"/>
    <w:rsid w:val="00C26DF7"/>
    <w:rsid w:val="00C26F75"/>
    <w:rsid w:val="00C272D2"/>
    <w:rsid w:val="00C2757D"/>
    <w:rsid w:val="00C279EB"/>
    <w:rsid w:val="00C27B35"/>
    <w:rsid w:val="00C27C02"/>
    <w:rsid w:val="00C27C99"/>
    <w:rsid w:val="00C27DA8"/>
    <w:rsid w:val="00C27EE6"/>
    <w:rsid w:val="00C27F92"/>
    <w:rsid w:val="00C300EA"/>
    <w:rsid w:val="00C3013C"/>
    <w:rsid w:val="00C30373"/>
    <w:rsid w:val="00C30A72"/>
    <w:rsid w:val="00C30B1F"/>
    <w:rsid w:val="00C30D8C"/>
    <w:rsid w:val="00C30EC8"/>
    <w:rsid w:val="00C3105D"/>
    <w:rsid w:val="00C310C7"/>
    <w:rsid w:val="00C312A0"/>
    <w:rsid w:val="00C31341"/>
    <w:rsid w:val="00C31BD1"/>
    <w:rsid w:val="00C31C0D"/>
    <w:rsid w:val="00C31CF1"/>
    <w:rsid w:val="00C31D13"/>
    <w:rsid w:val="00C31E79"/>
    <w:rsid w:val="00C32367"/>
    <w:rsid w:val="00C32728"/>
    <w:rsid w:val="00C3281F"/>
    <w:rsid w:val="00C32929"/>
    <w:rsid w:val="00C32AE9"/>
    <w:rsid w:val="00C32B9A"/>
    <w:rsid w:val="00C3315D"/>
    <w:rsid w:val="00C3345D"/>
    <w:rsid w:val="00C334FD"/>
    <w:rsid w:val="00C3358E"/>
    <w:rsid w:val="00C335AC"/>
    <w:rsid w:val="00C3363A"/>
    <w:rsid w:val="00C33658"/>
    <w:rsid w:val="00C3365E"/>
    <w:rsid w:val="00C33A96"/>
    <w:rsid w:val="00C33AF7"/>
    <w:rsid w:val="00C33D98"/>
    <w:rsid w:val="00C3416F"/>
    <w:rsid w:val="00C34238"/>
    <w:rsid w:val="00C34448"/>
    <w:rsid w:val="00C34493"/>
    <w:rsid w:val="00C3454E"/>
    <w:rsid w:val="00C345D0"/>
    <w:rsid w:val="00C347BD"/>
    <w:rsid w:val="00C34869"/>
    <w:rsid w:val="00C3498E"/>
    <w:rsid w:val="00C34D8F"/>
    <w:rsid w:val="00C34E83"/>
    <w:rsid w:val="00C350A6"/>
    <w:rsid w:val="00C35248"/>
    <w:rsid w:val="00C353B5"/>
    <w:rsid w:val="00C356F3"/>
    <w:rsid w:val="00C35793"/>
    <w:rsid w:val="00C35CED"/>
    <w:rsid w:val="00C360FF"/>
    <w:rsid w:val="00C3616F"/>
    <w:rsid w:val="00C36579"/>
    <w:rsid w:val="00C365EA"/>
    <w:rsid w:val="00C36634"/>
    <w:rsid w:val="00C36A11"/>
    <w:rsid w:val="00C36B23"/>
    <w:rsid w:val="00C36E81"/>
    <w:rsid w:val="00C36E93"/>
    <w:rsid w:val="00C3702A"/>
    <w:rsid w:val="00C3717E"/>
    <w:rsid w:val="00C371C1"/>
    <w:rsid w:val="00C371EC"/>
    <w:rsid w:val="00C3737E"/>
    <w:rsid w:val="00C37427"/>
    <w:rsid w:val="00C3765B"/>
    <w:rsid w:val="00C37729"/>
    <w:rsid w:val="00C377E6"/>
    <w:rsid w:val="00C37861"/>
    <w:rsid w:val="00C378B2"/>
    <w:rsid w:val="00C37919"/>
    <w:rsid w:val="00C3799A"/>
    <w:rsid w:val="00C37F44"/>
    <w:rsid w:val="00C40054"/>
    <w:rsid w:val="00C400DC"/>
    <w:rsid w:val="00C409A7"/>
    <w:rsid w:val="00C40EE3"/>
    <w:rsid w:val="00C413DD"/>
    <w:rsid w:val="00C41D45"/>
    <w:rsid w:val="00C41DEE"/>
    <w:rsid w:val="00C41E96"/>
    <w:rsid w:val="00C42394"/>
    <w:rsid w:val="00C42B6F"/>
    <w:rsid w:val="00C433FA"/>
    <w:rsid w:val="00C4344B"/>
    <w:rsid w:val="00C434A3"/>
    <w:rsid w:val="00C43B34"/>
    <w:rsid w:val="00C43C8A"/>
    <w:rsid w:val="00C43D48"/>
    <w:rsid w:val="00C43DE4"/>
    <w:rsid w:val="00C43DE8"/>
    <w:rsid w:val="00C43E3B"/>
    <w:rsid w:val="00C44160"/>
    <w:rsid w:val="00C443B5"/>
    <w:rsid w:val="00C44506"/>
    <w:rsid w:val="00C44B6E"/>
    <w:rsid w:val="00C44F56"/>
    <w:rsid w:val="00C44F61"/>
    <w:rsid w:val="00C44FCC"/>
    <w:rsid w:val="00C45020"/>
    <w:rsid w:val="00C452E3"/>
    <w:rsid w:val="00C453B1"/>
    <w:rsid w:val="00C454C1"/>
    <w:rsid w:val="00C454F6"/>
    <w:rsid w:val="00C45573"/>
    <w:rsid w:val="00C45868"/>
    <w:rsid w:val="00C45C13"/>
    <w:rsid w:val="00C45D45"/>
    <w:rsid w:val="00C45F28"/>
    <w:rsid w:val="00C45F6C"/>
    <w:rsid w:val="00C45FFD"/>
    <w:rsid w:val="00C4636C"/>
    <w:rsid w:val="00C46377"/>
    <w:rsid w:val="00C466EF"/>
    <w:rsid w:val="00C4682D"/>
    <w:rsid w:val="00C46D90"/>
    <w:rsid w:val="00C46D91"/>
    <w:rsid w:val="00C46E71"/>
    <w:rsid w:val="00C47005"/>
    <w:rsid w:val="00C4703F"/>
    <w:rsid w:val="00C471AE"/>
    <w:rsid w:val="00C47621"/>
    <w:rsid w:val="00C47823"/>
    <w:rsid w:val="00C4789B"/>
    <w:rsid w:val="00C47E1F"/>
    <w:rsid w:val="00C47F18"/>
    <w:rsid w:val="00C47F85"/>
    <w:rsid w:val="00C47FBD"/>
    <w:rsid w:val="00C50053"/>
    <w:rsid w:val="00C50057"/>
    <w:rsid w:val="00C501D4"/>
    <w:rsid w:val="00C502F5"/>
    <w:rsid w:val="00C5051B"/>
    <w:rsid w:val="00C50590"/>
    <w:rsid w:val="00C507B3"/>
    <w:rsid w:val="00C50B0F"/>
    <w:rsid w:val="00C50B34"/>
    <w:rsid w:val="00C50B6A"/>
    <w:rsid w:val="00C50E1C"/>
    <w:rsid w:val="00C50F00"/>
    <w:rsid w:val="00C5130C"/>
    <w:rsid w:val="00C515B5"/>
    <w:rsid w:val="00C519F4"/>
    <w:rsid w:val="00C51E3B"/>
    <w:rsid w:val="00C51F0B"/>
    <w:rsid w:val="00C5201F"/>
    <w:rsid w:val="00C5231E"/>
    <w:rsid w:val="00C523A1"/>
    <w:rsid w:val="00C532E7"/>
    <w:rsid w:val="00C532F2"/>
    <w:rsid w:val="00C5385C"/>
    <w:rsid w:val="00C53A42"/>
    <w:rsid w:val="00C53D2A"/>
    <w:rsid w:val="00C54043"/>
    <w:rsid w:val="00C541D8"/>
    <w:rsid w:val="00C54370"/>
    <w:rsid w:val="00C54478"/>
    <w:rsid w:val="00C54559"/>
    <w:rsid w:val="00C5460E"/>
    <w:rsid w:val="00C547F3"/>
    <w:rsid w:val="00C54B0E"/>
    <w:rsid w:val="00C551C3"/>
    <w:rsid w:val="00C553D5"/>
    <w:rsid w:val="00C554A2"/>
    <w:rsid w:val="00C55701"/>
    <w:rsid w:val="00C557EC"/>
    <w:rsid w:val="00C55FDF"/>
    <w:rsid w:val="00C561AF"/>
    <w:rsid w:val="00C56339"/>
    <w:rsid w:val="00C5637E"/>
    <w:rsid w:val="00C56698"/>
    <w:rsid w:val="00C566B8"/>
    <w:rsid w:val="00C5671F"/>
    <w:rsid w:val="00C56861"/>
    <w:rsid w:val="00C568B2"/>
    <w:rsid w:val="00C568FA"/>
    <w:rsid w:val="00C56D4C"/>
    <w:rsid w:val="00C56E53"/>
    <w:rsid w:val="00C56FFC"/>
    <w:rsid w:val="00C5753F"/>
    <w:rsid w:val="00C57A52"/>
    <w:rsid w:val="00C57D23"/>
    <w:rsid w:val="00C57EDC"/>
    <w:rsid w:val="00C57EFF"/>
    <w:rsid w:val="00C600A7"/>
    <w:rsid w:val="00C600AD"/>
    <w:rsid w:val="00C60245"/>
    <w:rsid w:val="00C602FE"/>
    <w:rsid w:val="00C60303"/>
    <w:rsid w:val="00C603CB"/>
    <w:rsid w:val="00C60539"/>
    <w:rsid w:val="00C60756"/>
    <w:rsid w:val="00C60E5F"/>
    <w:rsid w:val="00C60F5D"/>
    <w:rsid w:val="00C60FE4"/>
    <w:rsid w:val="00C61149"/>
    <w:rsid w:val="00C611FE"/>
    <w:rsid w:val="00C61401"/>
    <w:rsid w:val="00C6155D"/>
    <w:rsid w:val="00C616CB"/>
    <w:rsid w:val="00C617DC"/>
    <w:rsid w:val="00C61980"/>
    <w:rsid w:val="00C61F64"/>
    <w:rsid w:val="00C620CB"/>
    <w:rsid w:val="00C62227"/>
    <w:rsid w:val="00C62266"/>
    <w:rsid w:val="00C623CE"/>
    <w:rsid w:val="00C628F0"/>
    <w:rsid w:val="00C6296C"/>
    <w:rsid w:val="00C63524"/>
    <w:rsid w:val="00C6355D"/>
    <w:rsid w:val="00C6376E"/>
    <w:rsid w:val="00C63E32"/>
    <w:rsid w:val="00C63EBA"/>
    <w:rsid w:val="00C6413F"/>
    <w:rsid w:val="00C64571"/>
    <w:rsid w:val="00C64685"/>
    <w:rsid w:val="00C646AE"/>
    <w:rsid w:val="00C64918"/>
    <w:rsid w:val="00C6493B"/>
    <w:rsid w:val="00C6493E"/>
    <w:rsid w:val="00C64BE3"/>
    <w:rsid w:val="00C651E7"/>
    <w:rsid w:val="00C65506"/>
    <w:rsid w:val="00C65706"/>
    <w:rsid w:val="00C65736"/>
    <w:rsid w:val="00C657C4"/>
    <w:rsid w:val="00C6582E"/>
    <w:rsid w:val="00C65A91"/>
    <w:rsid w:val="00C65C01"/>
    <w:rsid w:val="00C65DE3"/>
    <w:rsid w:val="00C65F50"/>
    <w:rsid w:val="00C66049"/>
    <w:rsid w:val="00C6646F"/>
    <w:rsid w:val="00C667BA"/>
    <w:rsid w:val="00C673E9"/>
    <w:rsid w:val="00C673EB"/>
    <w:rsid w:val="00C6744E"/>
    <w:rsid w:val="00C67531"/>
    <w:rsid w:val="00C675E5"/>
    <w:rsid w:val="00C67764"/>
    <w:rsid w:val="00C6793F"/>
    <w:rsid w:val="00C679AA"/>
    <w:rsid w:val="00C67AE7"/>
    <w:rsid w:val="00C67AF3"/>
    <w:rsid w:val="00C67C4C"/>
    <w:rsid w:val="00C7012F"/>
    <w:rsid w:val="00C7033F"/>
    <w:rsid w:val="00C704ED"/>
    <w:rsid w:val="00C7068B"/>
    <w:rsid w:val="00C7085E"/>
    <w:rsid w:val="00C709CA"/>
    <w:rsid w:val="00C70AEF"/>
    <w:rsid w:val="00C70BBD"/>
    <w:rsid w:val="00C70EFD"/>
    <w:rsid w:val="00C7119B"/>
    <w:rsid w:val="00C7143C"/>
    <w:rsid w:val="00C71512"/>
    <w:rsid w:val="00C71568"/>
    <w:rsid w:val="00C7160D"/>
    <w:rsid w:val="00C7168F"/>
    <w:rsid w:val="00C71A76"/>
    <w:rsid w:val="00C71C14"/>
    <w:rsid w:val="00C71D76"/>
    <w:rsid w:val="00C723D7"/>
    <w:rsid w:val="00C72A10"/>
    <w:rsid w:val="00C72B23"/>
    <w:rsid w:val="00C72C47"/>
    <w:rsid w:val="00C72D35"/>
    <w:rsid w:val="00C72D82"/>
    <w:rsid w:val="00C72F46"/>
    <w:rsid w:val="00C72F6A"/>
    <w:rsid w:val="00C72FDB"/>
    <w:rsid w:val="00C730A2"/>
    <w:rsid w:val="00C7330A"/>
    <w:rsid w:val="00C73540"/>
    <w:rsid w:val="00C735D4"/>
    <w:rsid w:val="00C73A84"/>
    <w:rsid w:val="00C73BF1"/>
    <w:rsid w:val="00C73CF0"/>
    <w:rsid w:val="00C73D42"/>
    <w:rsid w:val="00C73E5A"/>
    <w:rsid w:val="00C73F3A"/>
    <w:rsid w:val="00C73F9D"/>
    <w:rsid w:val="00C74464"/>
    <w:rsid w:val="00C74489"/>
    <w:rsid w:val="00C744F6"/>
    <w:rsid w:val="00C7452B"/>
    <w:rsid w:val="00C74693"/>
    <w:rsid w:val="00C74773"/>
    <w:rsid w:val="00C74A94"/>
    <w:rsid w:val="00C74C2F"/>
    <w:rsid w:val="00C74D05"/>
    <w:rsid w:val="00C74E44"/>
    <w:rsid w:val="00C74E91"/>
    <w:rsid w:val="00C74F32"/>
    <w:rsid w:val="00C74F6A"/>
    <w:rsid w:val="00C75203"/>
    <w:rsid w:val="00C75666"/>
    <w:rsid w:val="00C7582F"/>
    <w:rsid w:val="00C7588C"/>
    <w:rsid w:val="00C758CD"/>
    <w:rsid w:val="00C758D2"/>
    <w:rsid w:val="00C758D6"/>
    <w:rsid w:val="00C75D91"/>
    <w:rsid w:val="00C75DD8"/>
    <w:rsid w:val="00C75E52"/>
    <w:rsid w:val="00C75E6A"/>
    <w:rsid w:val="00C75ED0"/>
    <w:rsid w:val="00C760BE"/>
    <w:rsid w:val="00C761BC"/>
    <w:rsid w:val="00C76407"/>
    <w:rsid w:val="00C76772"/>
    <w:rsid w:val="00C76789"/>
    <w:rsid w:val="00C76AF0"/>
    <w:rsid w:val="00C76D1E"/>
    <w:rsid w:val="00C77236"/>
    <w:rsid w:val="00C7761B"/>
    <w:rsid w:val="00C77CD8"/>
    <w:rsid w:val="00C77CF3"/>
    <w:rsid w:val="00C77F76"/>
    <w:rsid w:val="00C77FE9"/>
    <w:rsid w:val="00C8026E"/>
    <w:rsid w:val="00C805BC"/>
    <w:rsid w:val="00C80864"/>
    <w:rsid w:val="00C80D50"/>
    <w:rsid w:val="00C80E86"/>
    <w:rsid w:val="00C81010"/>
    <w:rsid w:val="00C8158A"/>
    <w:rsid w:val="00C817F0"/>
    <w:rsid w:val="00C81BD0"/>
    <w:rsid w:val="00C81D84"/>
    <w:rsid w:val="00C81EE7"/>
    <w:rsid w:val="00C822E3"/>
    <w:rsid w:val="00C824AF"/>
    <w:rsid w:val="00C82525"/>
    <w:rsid w:val="00C8253D"/>
    <w:rsid w:val="00C8253F"/>
    <w:rsid w:val="00C825EB"/>
    <w:rsid w:val="00C825F2"/>
    <w:rsid w:val="00C828EE"/>
    <w:rsid w:val="00C82928"/>
    <w:rsid w:val="00C82E63"/>
    <w:rsid w:val="00C82F26"/>
    <w:rsid w:val="00C83010"/>
    <w:rsid w:val="00C8309A"/>
    <w:rsid w:val="00C83113"/>
    <w:rsid w:val="00C831D4"/>
    <w:rsid w:val="00C83291"/>
    <w:rsid w:val="00C83294"/>
    <w:rsid w:val="00C8332A"/>
    <w:rsid w:val="00C833F4"/>
    <w:rsid w:val="00C834E2"/>
    <w:rsid w:val="00C83623"/>
    <w:rsid w:val="00C836C3"/>
    <w:rsid w:val="00C8394B"/>
    <w:rsid w:val="00C83C20"/>
    <w:rsid w:val="00C83D6D"/>
    <w:rsid w:val="00C83EF3"/>
    <w:rsid w:val="00C83EFF"/>
    <w:rsid w:val="00C841F8"/>
    <w:rsid w:val="00C8439B"/>
    <w:rsid w:val="00C84508"/>
    <w:rsid w:val="00C846F6"/>
    <w:rsid w:val="00C84750"/>
    <w:rsid w:val="00C848FB"/>
    <w:rsid w:val="00C84940"/>
    <w:rsid w:val="00C84C95"/>
    <w:rsid w:val="00C84DCD"/>
    <w:rsid w:val="00C84EC3"/>
    <w:rsid w:val="00C85007"/>
    <w:rsid w:val="00C851A3"/>
    <w:rsid w:val="00C85385"/>
    <w:rsid w:val="00C85430"/>
    <w:rsid w:val="00C85649"/>
    <w:rsid w:val="00C85744"/>
    <w:rsid w:val="00C857A0"/>
    <w:rsid w:val="00C8585B"/>
    <w:rsid w:val="00C85ACF"/>
    <w:rsid w:val="00C85CDF"/>
    <w:rsid w:val="00C85DCF"/>
    <w:rsid w:val="00C85E7A"/>
    <w:rsid w:val="00C85F05"/>
    <w:rsid w:val="00C86040"/>
    <w:rsid w:val="00C865B0"/>
    <w:rsid w:val="00C8666C"/>
    <w:rsid w:val="00C86679"/>
    <w:rsid w:val="00C86AA6"/>
    <w:rsid w:val="00C86D7C"/>
    <w:rsid w:val="00C86DA5"/>
    <w:rsid w:val="00C86E6C"/>
    <w:rsid w:val="00C86FF5"/>
    <w:rsid w:val="00C870DE"/>
    <w:rsid w:val="00C873CC"/>
    <w:rsid w:val="00C87407"/>
    <w:rsid w:val="00C87499"/>
    <w:rsid w:val="00C879AB"/>
    <w:rsid w:val="00C879F4"/>
    <w:rsid w:val="00C87C3B"/>
    <w:rsid w:val="00C87D32"/>
    <w:rsid w:val="00C9002C"/>
    <w:rsid w:val="00C9052B"/>
    <w:rsid w:val="00C90632"/>
    <w:rsid w:val="00C906E2"/>
    <w:rsid w:val="00C90723"/>
    <w:rsid w:val="00C90D6F"/>
    <w:rsid w:val="00C90DCF"/>
    <w:rsid w:val="00C912E3"/>
    <w:rsid w:val="00C91346"/>
    <w:rsid w:val="00C914A5"/>
    <w:rsid w:val="00C91515"/>
    <w:rsid w:val="00C918F4"/>
    <w:rsid w:val="00C91ABF"/>
    <w:rsid w:val="00C9211B"/>
    <w:rsid w:val="00C92D21"/>
    <w:rsid w:val="00C92D9E"/>
    <w:rsid w:val="00C92E5C"/>
    <w:rsid w:val="00C92E6F"/>
    <w:rsid w:val="00C92EBB"/>
    <w:rsid w:val="00C931C7"/>
    <w:rsid w:val="00C9338E"/>
    <w:rsid w:val="00C933AC"/>
    <w:rsid w:val="00C938A0"/>
    <w:rsid w:val="00C938E5"/>
    <w:rsid w:val="00C9399B"/>
    <w:rsid w:val="00C93A63"/>
    <w:rsid w:val="00C93E87"/>
    <w:rsid w:val="00C93ED1"/>
    <w:rsid w:val="00C93EE0"/>
    <w:rsid w:val="00C940D4"/>
    <w:rsid w:val="00C9410E"/>
    <w:rsid w:val="00C94AD1"/>
    <w:rsid w:val="00C94CEE"/>
    <w:rsid w:val="00C94DEA"/>
    <w:rsid w:val="00C9523A"/>
    <w:rsid w:val="00C953D1"/>
    <w:rsid w:val="00C954CB"/>
    <w:rsid w:val="00C9556D"/>
    <w:rsid w:val="00C95690"/>
    <w:rsid w:val="00C9585F"/>
    <w:rsid w:val="00C95E23"/>
    <w:rsid w:val="00C95E60"/>
    <w:rsid w:val="00C969F8"/>
    <w:rsid w:val="00C96B17"/>
    <w:rsid w:val="00C96C5F"/>
    <w:rsid w:val="00C96DBE"/>
    <w:rsid w:val="00C96DFF"/>
    <w:rsid w:val="00C96EC7"/>
    <w:rsid w:val="00C9712F"/>
    <w:rsid w:val="00C9717D"/>
    <w:rsid w:val="00C971C3"/>
    <w:rsid w:val="00C971D5"/>
    <w:rsid w:val="00C9722D"/>
    <w:rsid w:val="00C972BC"/>
    <w:rsid w:val="00C9732A"/>
    <w:rsid w:val="00C9775B"/>
    <w:rsid w:val="00C978E4"/>
    <w:rsid w:val="00C979B6"/>
    <w:rsid w:val="00C97C1D"/>
    <w:rsid w:val="00C97F50"/>
    <w:rsid w:val="00CA02A8"/>
    <w:rsid w:val="00CA04DB"/>
    <w:rsid w:val="00CA07B3"/>
    <w:rsid w:val="00CA07BF"/>
    <w:rsid w:val="00CA0993"/>
    <w:rsid w:val="00CA0B88"/>
    <w:rsid w:val="00CA14B7"/>
    <w:rsid w:val="00CA177D"/>
    <w:rsid w:val="00CA1AB2"/>
    <w:rsid w:val="00CA1C49"/>
    <w:rsid w:val="00CA1C8F"/>
    <w:rsid w:val="00CA1CBF"/>
    <w:rsid w:val="00CA234F"/>
    <w:rsid w:val="00CA2A4A"/>
    <w:rsid w:val="00CA2D86"/>
    <w:rsid w:val="00CA2DD5"/>
    <w:rsid w:val="00CA304B"/>
    <w:rsid w:val="00CA31B0"/>
    <w:rsid w:val="00CA3338"/>
    <w:rsid w:val="00CA3576"/>
    <w:rsid w:val="00CA38E7"/>
    <w:rsid w:val="00CA3967"/>
    <w:rsid w:val="00CA3AE0"/>
    <w:rsid w:val="00CA41A9"/>
    <w:rsid w:val="00CA4276"/>
    <w:rsid w:val="00CA42C7"/>
    <w:rsid w:val="00CA43FC"/>
    <w:rsid w:val="00CA44D1"/>
    <w:rsid w:val="00CA4564"/>
    <w:rsid w:val="00CA4586"/>
    <w:rsid w:val="00CA4688"/>
    <w:rsid w:val="00CA4B45"/>
    <w:rsid w:val="00CA4DB7"/>
    <w:rsid w:val="00CA5231"/>
    <w:rsid w:val="00CA5236"/>
    <w:rsid w:val="00CA5250"/>
    <w:rsid w:val="00CA53AC"/>
    <w:rsid w:val="00CA540D"/>
    <w:rsid w:val="00CA59FC"/>
    <w:rsid w:val="00CA5BEB"/>
    <w:rsid w:val="00CA65F9"/>
    <w:rsid w:val="00CA67E9"/>
    <w:rsid w:val="00CA6D7E"/>
    <w:rsid w:val="00CA6DB7"/>
    <w:rsid w:val="00CA6EA9"/>
    <w:rsid w:val="00CA6FF0"/>
    <w:rsid w:val="00CA70BB"/>
    <w:rsid w:val="00CA7408"/>
    <w:rsid w:val="00CA7700"/>
    <w:rsid w:val="00CA77DC"/>
    <w:rsid w:val="00CA7AC1"/>
    <w:rsid w:val="00CA7D96"/>
    <w:rsid w:val="00CA7E61"/>
    <w:rsid w:val="00CB0002"/>
    <w:rsid w:val="00CB00A6"/>
    <w:rsid w:val="00CB0738"/>
    <w:rsid w:val="00CB0799"/>
    <w:rsid w:val="00CB0902"/>
    <w:rsid w:val="00CB0D80"/>
    <w:rsid w:val="00CB1140"/>
    <w:rsid w:val="00CB13FE"/>
    <w:rsid w:val="00CB14A3"/>
    <w:rsid w:val="00CB1528"/>
    <w:rsid w:val="00CB18B0"/>
    <w:rsid w:val="00CB1964"/>
    <w:rsid w:val="00CB1D9A"/>
    <w:rsid w:val="00CB1E6C"/>
    <w:rsid w:val="00CB247A"/>
    <w:rsid w:val="00CB24F1"/>
    <w:rsid w:val="00CB2528"/>
    <w:rsid w:val="00CB292E"/>
    <w:rsid w:val="00CB2A24"/>
    <w:rsid w:val="00CB2BDB"/>
    <w:rsid w:val="00CB2E47"/>
    <w:rsid w:val="00CB2FE7"/>
    <w:rsid w:val="00CB32FB"/>
    <w:rsid w:val="00CB3498"/>
    <w:rsid w:val="00CB3612"/>
    <w:rsid w:val="00CB36CC"/>
    <w:rsid w:val="00CB3BC9"/>
    <w:rsid w:val="00CB3EAF"/>
    <w:rsid w:val="00CB410D"/>
    <w:rsid w:val="00CB4202"/>
    <w:rsid w:val="00CB4432"/>
    <w:rsid w:val="00CB48AB"/>
    <w:rsid w:val="00CB4C47"/>
    <w:rsid w:val="00CB50B8"/>
    <w:rsid w:val="00CB53E6"/>
    <w:rsid w:val="00CB571A"/>
    <w:rsid w:val="00CB5BB7"/>
    <w:rsid w:val="00CB5D9F"/>
    <w:rsid w:val="00CB5E79"/>
    <w:rsid w:val="00CB5E8F"/>
    <w:rsid w:val="00CB5F25"/>
    <w:rsid w:val="00CB62C5"/>
    <w:rsid w:val="00CB62E0"/>
    <w:rsid w:val="00CB63B0"/>
    <w:rsid w:val="00CB6581"/>
    <w:rsid w:val="00CB6672"/>
    <w:rsid w:val="00CB67B0"/>
    <w:rsid w:val="00CB6AFB"/>
    <w:rsid w:val="00CB6C3C"/>
    <w:rsid w:val="00CB6CC0"/>
    <w:rsid w:val="00CB6EA8"/>
    <w:rsid w:val="00CB7227"/>
    <w:rsid w:val="00CB7592"/>
    <w:rsid w:val="00CB7669"/>
    <w:rsid w:val="00CB7850"/>
    <w:rsid w:val="00CB7D93"/>
    <w:rsid w:val="00CB7EF0"/>
    <w:rsid w:val="00CB7FCF"/>
    <w:rsid w:val="00CC0088"/>
    <w:rsid w:val="00CC00E0"/>
    <w:rsid w:val="00CC015A"/>
    <w:rsid w:val="00CC02B4"/>
    <w:rsid w:val="00CC0310"/>
    <w:rsid w:val="00CC0453"/>
    <w:rsid w:val="00CC04A1"/>
    <w:rsid w:val="00CC0712"/>
    <w:rsid w:val="00CC0751"/>
    <w:rsid w:val="00CC09B3"/>
    <w:rsid w:val="00CC0A60"/>
    <w:rsid w:val="00CC0CD2"/>
    <w:rsid w:val="00CC1092"/>
    <w:rsid w:val="00CC10FC"/>
    <w:rsid w:val="00CC12EA"/>
    <w:rsid w:val="00CC1322"/>
    <w:rsid w:val="00CC140A"/>
    <w:rsid w:val="00CC1AAA"/>
    <w:rsid w:val="00CC1E30"/>
    <w:rsid w:val="00CC2075"/>
    <w:rsid w:val="00CC2143"/>
    <w:rsid w:val="00CC2264"/>
    <w:rsid w:val="00CC24D8"/>
    <w:rsid w:val="00CC2573"/>
    <w:rsid w:val="00CC294B"/>
    <w:rsid w:val="00CC2998"/>
    <w:rsid w:val="00CC2A37"/>
    <w:rsid w:val="00CC2ACB"/>
    <w:rsid w:val="00CC2B07"/>
    <w:rsid w:val="00CC2B4C"/>
    <w:rsid w:val="00CC2D0B"/>
    <w:rsid w:val="00CC2FD8"/>
    <w:rsid w:val="00CC30BF"/>
    <w:rsid w:val="00CC3AF4"/>
    <w:rsid w:val="00CC3B1E"/>
    <w:rsid w:val="00CC3BFC"/>
    <w:rsid w:val="00CC3EC0"/>
    <w:rsid w:val="00CC3F14"/>
    <w:rsid w:val="00CC42B4"/>
    <w:rsid w:val="00CC43BD"/>
    <w:rsid w:val="00CC448B"/>
    <w:rsid w:val="00CC44CC"/>
    <w:rsid w:val="00CC4517"/>
    <w:rsid w:val="00CC463B"/>
    <w:rsid w:val="00CC4677"/>
    <w:rsid w:val="00CC46ED"/>
    <w:rsid w:val="00CC4785"/>
    <w:rsid w:val="00CC47A8"/>
    <w:rsid w:val="00CC488C"/>
    <w:rsid w:val="00CC489E"/>
    <w:rsid w:val="00CC4C35"/>
    <w:rsid w:val="00CC4C6C"/>
    <w:rsid w:val="00CC4CF4"/>
    <w:rsid w:val="00CC504D"/>
    <w:rsid w:val="00CC5431"/>
    <w:rsid w:val="00CC5713"/>
    <w:rsid w:val="00CC587A"/>
    <w:rsid w:val="00CC5974"/>
    <w:rsid w:val="00CC5CCE"/>
    <w:rsid w:val="00CC610F"/>
    <w:rsid w:val="00CC619F"/>
    <w:rsid w:val="00CC61AD"/>
    <w:rsid w:val="00CC63AC"/>
    <w:rsid w:val="00CC64E7"/>
    <w:rsid w:val="00CC66A8"/>
    <w:rsid w:val="00CC681E"/>
    <w:rsid w:val="00CC6909"/>
    <w:rsid w:val="00CC6CC6"/>
    <w:rsid w:val="00CC6CFE"/>
    <w:rsid w:val="00CC6D22"/>
    <w:rsid w:val="00CC6F93"/>
    <w:rsid w:val="00CC7189"/>
    <w:rsid w:val="00CC72FA"/>
    <w:rsid w:val="00CC7363"/>
    <w:rsid w:val="00CC7635"/>
    <w:rsid w:val="00CC793D"/>
    <w:rsid w:val="00CC7941"/>
    <w:rsid w:val="00CC7AF0"/>
    <w:rsid w:val="00CC7B7B"/>
    <w:rsid w:val="00CC7C9D"/>
    <w:rsid w:val="00CC7FBC"/>
    <w:rsid w:val="00CD01BE"/>
    <w:rsid w:val="00CD0338"/>
    <w:rsid w:val="00CD0692"/>
    <w:rsid w:val="00CD0ABA"/>
    <w:rsid w:val="00CD0D5D"/>
    <w:rsid w:val="00CD0EA9"/>
    <w:rsid w:val="00CD1327"/>
    <w:rsid w:val="00CD160E"/>
    <w:rsid w:val="00CD16D3"/>
    <w:rsid w:val="00CD1BCC"/>
    <w:rsid w:val="00CD20DF"/>
    <w:rsid w:val="00CD24C0"/>
    <w:rsid w:val="00CD27D7"/>
    <w:rsid w:val="00CD282F"/>
    <w:rsid w:val="00CD2947"/>
    <w:rsid w:val="00CD2A1B"/>
    <w:rsid w:val="00CD2AEF"/>
    <w:rsid w:val="00CD2B46"/>
    <w:rsid w:val="00CD2C05"/>
    <w:rsid w:val="00CD2D91"/>
    <w:rsid w:val="00CD2E18"/>
    <w:rsid w:val="00CD2EB2"/>
    <w:rsid w:val="00CD2FC2"/>
    <w:rsid w:val="00CD314D"/>
    <w:rsid w:val="00CD33FB"/>
    <w:rsid w:val="00CD3522"/>
    <w:rsid w:val="00CD361C"/>
    <w:rsid w:val="00CD373E"/>
    <w:rsid w:val="00CD3750"/>
    <w:rsid w:val="00CD3903"/>
    <w:rsid w:val="00CD3A1F"/>
    <w:rsid w:val="00CD3BD7"/>
    <w:rsid w:val="00CD3D3F"/>
    <w:rsid w:val="00CD41E9"/>
    <w:rsid w:val="00CD421E"/>
    <w:rsid w:val="00CD4284"/>
    <w:rsid w:val="00CD4371"/>
    <w:rsid w:val="00CD43E9"/>
    <w:rsid w:val="00CD43FD"/>
    <w:rsid w:val="00CD456F"/>
    <w:rsid w:val="00CD4587"/>
    <w:rsid w:val="00CD45C3"/>
    <w:rsid w:val="00CD4802"/>
    <w:rsid w:val="00CD48EA"/>
    <w:rsid w:val="00CD4EFA"/>
    <w:rsid w:val="00CD4F84"/>
    <w:rsid w:val="00CD5535"/>
    <w:rsid w:val="00CD56EA"/>
    <w:rsid w:val="00CD5D13"/>
    <w:rsid w:val="00CD5D4A"/>
    <w:rsid w:val="00CD5E27"/>
    <w:rsid w:val="00CD5FDD"/>
    <w:rsid w:val="00CD6080"/>
    <w:rsid w:val="00CD617E"/>
    <w:rsid w:val="00CD638C"/>
    <w:rsid w:val="00CD65EE"/>
    <w:rsid w:val="00CD68D0"/>
    <w:rsid w:val="00CD68DE"/>
    <w:rsid w:val="00CD6A9F"/>
    <w:rsid w:val="00CD6E22"/>
    <w:rsid w:val="00CD6EF5"/>
    <w:rsid w:val="00CD6FB7"/>
    <w:rsid w:val="00CD6FF6"/>
    <w:rsid w:val="00CD716A"/>
    <w:rsid w:val="00CD74BD"/>
    <w:rsid w:val="00CD7593"/>
    <w:rsid w:val="00CD7C1E"/>
    <w:rsid w:val="00CD7D11"/>
    <w:rsid w:val="00CD7E7A"/>
    <w:rsid w:val="00CD7ECF"/>
    <w:rsid w:val="00CE0148"/>
    <w:rsid w:val="00CE015E"/>
    <w:rsid w:val="00CE025C"/>
    <w:rsid w:val="00CE037A"/>
    <w:rsid w:val="00CE0416"/>
    <w:rsid w:val="00CE049C"/>
    <w:rsid w:val="00CE05E0"/>
    <w:rsid w:val="00CE060C"/>
    <w:rsid w:val="00CE06FB"/>
    <w:rsid w:val="00CE07E9"/>
    <w:rsid w:val="00CE0AF4"/>
    <w:rsid w:val="00CE0D66"/>
    <w:rsid w:val="00CE0DF3"/>
    <w:rsid w:val="00CE12A1"/>
    <w:rsid w:val="00CE147C"/>
    <w:rsid w:val="00CE150D"/>
    <w:rsid w:val="00CE15B9"/>
    <w:rsid w:val="00CE1968"/>
    <w:rsid w:val="00CE199E"/>
    <w:rsid w:val="00CE19D6"/>
    <w:rsid w:val="00CE20B7"/>
    <w:rsid w:val="00CE218B"/>
    <w:rsid w:val="00CE27E4"/>
    <w:rsid w:val="00CE285C"/>
    <w:rsid w:val="00CE2966"/>
    <w:rsid w:val="00CE2EB8"/>
    <w:rsid w:val="00CE2F65"/>
    <w:rsid w:val="00CE30A8"/>
    <w:rsid w:val="00CE319E"/>
    <w:rsid w:val="00CE3407"/>
    <w:rsid w:val="00CE3746"/>
    <w:rsid w:val="00CE395C"/>
    <w:rsid w:val="00CE3AF1"/>
    <w:rsid w:val="00CE3C85"/>
    <w:rsid w:val="00CE3EA9"/>
    <w:rsid w:val="00CE4029"/>
    <w:rsid w:val="00CE40AC"/>
    <w:rsid w:val="00CE414C"/>
    <w:rsid w:val="00CE4717"/>
    <w:rsid w:val="00CE48E5"/>
    <w:rsid w:val="00CE4C48"/>
    <w:rsid w:val="00CE4CF9"/>
    <w:rsid w:val="00CE53E9"/>
    <w:rsid w:val="00CE5407"/>
    <w:rsid w:val="00CE5795"/>
    <w:rsid w:val="00CE58E0"/>
    <w:rsid w:val="00CE5A10"/>
    <w:rsid w:val="00CE5A86"/>
    <w:rsid w:val="00CE5AE4"/>
    <w:rsid w:val="00CE5C8A"/>
    <w:rsid w:val="00CE5ED2"/>
    <w:rsid w:val="00CE64B1"/>
    <w:rsid w:val="00CE6588"/>
    <w:rsid w:val="00CE6732"/>
    <w:rsid w:val="00CE68F0"/>
    <w:rsid w:val="00CE6928"/>
    <w:rsid w:val="00CE6A2A"/>
    <w:rsid w:val="00CE6A9F"/>
    <w:rsid w:val="00CE6AB4"/>
    <w:rsid w:val="00CE6B22"/>
    <w:rsid w:val="00CE6BB7"/>
    <w:rsid w:val="00CE6CC5"/>
    <w:rsid w:val="00CE6F48"/>
    <w:rsid w:val="00CE7034"/>
    <w:rsid w:val="00CE70B9"/>
    <w:rsid w:val="00CE71A9"/>
    <w:rsid w:val="00CE72E9"/>
    <w:rsid w:val="00CE7639"/>
    <w:rsid w:val="00CE7B2E"/>
    <w:rsid w:val="00CE7B4B"/>
    <w:rsid w:val="00CE7D03"/>
    <w:rsid w:val="00CF016B"/>
    <w:rsid w:val="00CF02D6"/>
    <w:rsid w:val="00CF04E3"/>
    <w:rsid w:val="00CF0505"/>
    <w:rsid w:val="00CF09D3"/>
    <w:rsid w:val="00CF0C05"/>
    <w:rsid w:val="00CF106E"/>
    <w:rsid w:val="00CF108E"/>
    <w:rsid w:val="00CF1586"/>
    <w:rsid w:val="00CF1621"/>
    <w:rsid w:val="00CF162A"/>
    <w:rsid w:val="00CF1B47"/>
    <w:rsid w:val="00CF1BD5"/>
    <w:rsid w:val="00CF1BED"/>
    <w:rsid w:val="00CF1C15"/>
    <w:rsid w:val="00CF1E52"/>
    <w:rsid w:val="00CF1FC7"/>
    <w:rsid w:val="00CF208D"/>
    <w:rsid w:val="00CF234F"/>
    <w:rsid w:val="00CF29E9"/>
    <w:rsid w:val="00CF2A79"/>
    <w:rsid w:val="00CF2C0C"/>
    <w:rsid w:val="00CF2D19"/>
    <w:rsid w:val="00CF2D59"/>
    <w:rsid w:val="00CF2D6D"/>
    <w:rsid w:val="00CF2E11"/>
    <w:rsid w:val="00CF2F30"/>
    <w:rsid w:val="00CF3293"/>
    <w:rsid w:val="00CF3971"/>
    <w:rsid w:val="00CF3A40"/>
    <w:rsid w:val="00CF3B5A"/>
    <w:rsid w:val="00CF3CEF"/>
    <w:rsid w:val="00CF3E90"/>
    <w:rsid w:val="00CF3FCB"/>
    <w:rsid w:val="00CF41DD"/>
    <w:rsid w:val="00CF428F"/>
    <w:rsid w:val="00CF443A"/>
    <w:rsid w:val="00CF4526"/>
    <w:rsid w:val="00CF471E"/>
    <w:rsid w:val="00CF4A05"/>
    <w:rsid w:val="00CF4B5D"/>
    <w:rsid w:val="00CF4B79"/>
    <w:rsid w:val="00CF4DC4"/>
    <w:rsid w:val="00CF5126"/>
    <w:rsid w:val="00CF531D"/>
    <w:rsid w:val="00CF5601"/>
    <w:rsid w:val="00CF5675"/>
    <w:rsid w:val="00CF572F"/>
    <w:rsid w:val="00CF587C"/>
    <w:rsid w:val="00CF5DDD"/>
    <w:rsid w:val="00CF6503"/>
    <w:rsid w:val="00CF66EA"/>
    <w:rsid w:val="00CF674F"/>
    <w:rsid w:val="00CF69AA"/>
    <w:rsid w:val="00CF6C41"/>
    <w:rsid w:val="00CF6D1F"/>
    <w:rsid w:val="00CF6D43"/>
    <w:rsid w:val="00CF7006"/>
    <w:rsid w:val="00CF7356"/>
    <w:rsid w:val="00CF763D"/>
    <w:rsid w:val="00CF76A7"/>
    <w:rsid w:val="00CF793A"/>
    <w:rsid w:val="00CF79B9"/>
    <w:rsid w:val="00CF7A0D"/>
    <w:rsid w:val="00CF7B78"/>
    <w:rsid w:val="00CF7BC3"/>
    <w:rsid w:val="00CF7E46"/>
    <w:rsid w:val="00CF7F07"/>
    <w:rsid w:val="00CF7FD0"/>
    <w:rsid w:val="00CFCD6D"/>
    <w:rsid w:val="00D00679"/>
    <w:rsid w:val="00D00732"/>
    <w:rsid w:val="00D007FC"/>
    <w:rsid w:val="00D0088C"/>
    <w:rsid w:val="00D00939"/>
    <w:rsid w:val="00D00BA2"/>
    <w:rsid w:val="00D00CCD"/>
    <w:rsid w:val="00D00DCD"/>
    <w:rsid w:val="00D01560"/>
    <w:rsid w:val="00D01AED"/>
    <w:rsid w:val="00D01BCE"/>
    <w:rsid w:val="00D01D27"/>
    <w:rsid w:val="00D01F91"/>
    <w:rsid w:val="00D01FB9"/>
    <w:rsid w:val="00D021D9"/>
    <w:rsid w:val="00D02225"/>
    <w:rsid w:val="00D02263"/>
    <w:rsid w:val="00D02571"/>
    <w:rsid w:val="00D02823"/>
    <w:rsid w:val="00D02838"/>
    <w:rsid w:val="00D0294E"/>
    <w:rsid w:val="00D029DF"/>
    <w:rsid w:val="00D02A2A"/>
    <w:rsid w:val="00D0300B"/>
    <w:rsid w:val="00D0328B"/>
    <w:rsid w:val="00D03358"/>
    <w:rsid w:val="00D03706"/>
    <w:rsid w:val="00D03AD5"/>
    <w:rsid w:val="00D03B97"/>
    <w:rsid w:val="00D03BF6"/>
    <w:rsid w:val="00D03D41"/>
    <w:rsid w:val="00D03E38"/>
    <w:rsid w:val="00D03EE3"/>
    <w:rsid w:val="00D040A9"/>
    <w:rsid w:val="00D04370"/>
    <w:rsid w:val="00D046EF"/>
    <w:rsid w:val="00D047E0"/>
    <w:rsid w:val="00D04F42"/>
    <w:rsid w:val="00D04FE0"/>
    <w:rsid w:val="00D04FF0"/>
    <w:rsid w:val="00D05365"/>
    <w:rsid w:val="00D05390"/>
    <w:rsid w:val="00D05394"/>
    <w:rsid w:val="00D0541F"/>
    <w:rsid w:val="00D05691"/>
    <w:rsid w:val="00D057A3"/>
    <w:rsid w:val="00D0590A"/>
    <w:rsid w:val="00D05B51"/>
    <w:rsid w:val="00D05F33"/>
    <w:rsid w:val="00D061D7"/>
    <w:rsid w:val="00D062A3"/>
    <w:rsid w:val="00D062C2"/>
    <w:rsid w:val="00D06507"/>
    <w:rsid w:val="00D067D3"/>
    <w:rsid w:val="00D06862"/>
    <w:rsid w:val="00D0691F"/>
    <w:rsid w:val="00D069E1"/>
    <w:rsid w:val="00D06A23"/>
    <w:rsid w:val="00D06AAA"/>
    <w:rsid w:val="00D06C2B"/>
    <w:rsid w:val="00D06F73"/>
    <w:rsid w:val="00D070C6"/>
    <w:rsid w:val="00D07304"/>
    <w:rsid w:val="00D07501"/>
    <w:rsid w:val="00D0795F"/>
    <w:rsid w:val="00D079F0"/>
    <w:rsid w:val="00D07AB9"/>
    <w:rsid w:val="00D07CEB"/>
    <w:rsid w:val="00D07D2C"/>
    <w:rsid w:val="00D100A7"/>
    <w:rsid w:val="00D1012D"/>
    <w:rsid w:val="00D1017D"/>
    <w:rsid w:val="00D10774"/>
    <w:rsid w:val="00D10824"/>
    <w:rsid w:val="00D10948"/>
    <w:rsid w:val="00D10B36"/>
    <w:rsid w:val="00D10CDD"/>
    <w:rsid w:val="00D10EB9"/>
    <w:rsid w:val="00D10FAA"/>
    <w:rsid w:val="00D110F7"/>
    <w:rsid w:val="00D11134"/>
    <w:rsid w:val="00D11137"/>
    <w:rsid w:val="00D11679"/>
    <w:rsid w:val="00D1174C"/>
    <w:rsid w:val="00D11825"/>
    <w:rsid w:val="00D119E3"/>
    <w:rsid w:val="00D11E1D"/>
    <w:rsid w:val="00D12435"/>
    <w:rsid w:val="00D12589"/>
    <w:rsid w:val="00D12785"/>
    <w:rsid w:val="00D128B2"/>
    <w:rsid w:val="00D12B38"/>
    <w:rsid w:val="00D12BCA"/>
    <w:rsid w:val="00D12BD2"/>
    <w:rsid w:val="00D12C2F"/>
    <w:rsid w:val="00D12F26"/>
    <w:rsid w:val="00D1355D"/>
    <w:rsid w:val="00D136CA"/>
    <w:rsid w:val="00D139C8"/>
    <w:rsid w:val="00D13BD5"/>
    <w:rsid w:val="00D13BEC"/>
    <w:rsid w:val="00D13CA7"/>
    <w:rsid w:val="00D143DE"/>
    <w:rsid w:val="00D143E1"/>
    <w:rsid w:val="00D144D4"/>
    <w:rsid w:val="00D147E0"/>
    <w:rsid w:val="00D14D08"/>
    <w:rsid w:val="00D1522C"/>
    <w:rsid w:val="00D1551E"/>
    <w:rsid w:val="00D15699"/>
    <w:rsid w:val="00D1574E"/>
    <w:rsid w:val="00D15B87"/>
    <w:rsid w:val="00D15D31"/>
    <w:rsid w:val="00D15E74"/>
    <w:rsid w:val="00D160A9"/>
    <w:rsid w:val="00D1614F"/>
    <w:rsid w:val="00D16218"/>
    <w:rsid w:val="00D16406"/>
    <w:rsid w:val="00D166A2"/>
    <w:rsid w:val="00D16CBE"/>
    <w:rsid w:val="00D1708D"/>
    <w:rsid w:val="00D170F8"/>
    <w:rsid w:val="00D1714B"/>
    <w:rsid w:val="00D173C5"/>
    <w:rsid w:val="00D1741C"/>
    <w:rsid w:val="00D17587"/>
    <w:rsid w:val="00D17CC2"/>
    <w:rsid w:val="00D20155"/>
    <w:rsid w:val="00D203C0"/>
    <w:rsid w:val="00D205B6"/>
    <w:rsid w:val="00D207E1"/>
    <w:rsid w:val="00D208CE"/>
    <w:rsid w:val="00D20A2E"/>
    <w:rsid w:val="00D20BE0"/>
    <w:rsid w:val="00D20F76"/>
    <w:rsid w:val="00D21097"/>
    <w:rsid w:val="00D219B7"/>
    <w:rsid w:val="00D21BB0"/>
    <w:rsid w:val="00D21C1C"/>
    <w:rsid w:val="00D21F73"/>
    <w:rsid w:val="00D22015"/>
    <w:rsid w:val="00D2218A"/>
    <w:rsid w:val="00D222BA"/>
    <w:rsid w:val="00D22340"/>
    <w:rsid w:val="00D22488"/>
    <w:rsid w:val="00D227DB"/>
    <w:rsid w:val="00D22B58"/>
    <w:rsid w:val="00D22BF2"/>
    <w:rsid w:val="00D22E54"/>
    <w:rsid w:val="00D2318E"/>
    <w:rsid w:val="00D2334A"/>
    <w:rsid w:val="00D233B0"/>
    <w:rsid w:val="00D236B7"/>
    <w:rsid w:val="00D23762"/>
    <w:rsid w:val="00D23B9D"/>
    <w:rsid w:val="00D23FEA"/>
    <w:rsid w:val="00D241C9"/>
    <w:rsid w:val="00D2422B"/>
    <w:rsid w:val="00D2425E"/>
    <w:rsid w:val="00D24316"/>
    <w:rsid w:val="00D2437C"/>
    <w:rsid w:val="00D243EB"/>
    <w:rsid w:val="00D246BB"/>
    <w:rsid w:val="00D24AD0"/>
    <w:rsid w:val="00D2512F"/>
    <w:rsid w:val="00D252D4"/>
    <w:rsid w:val="00D253A5"/>
    <w:rsid w:val="00D25415"/>
    <w:rsid w:val="00D25777"/>
    <w:rsid w:val="00D25B56"/>
    <w:rsid w:val="00D261B3"/>
    <w:rsid w:val="00D264F7"/>
    <w:rsid w:val="00D265CB"/>
    <w:rsid w:val="00D26817"/>
    <w:rsid w:val="00D26C0B"/>
    <w:rsid w:val="00D26DAB"/>
    <w:rsid w:val="00D26E83"/>
    <w:rsid w:val="00D26EF6"/>
    <w:rsid w:val="00D26F57"/>
    <w:rsid w:val="00D26FD4"/>
    <w:rsid w:val="00D270AC"/>
    <w:rsid w:val="00D272EC"/>
    <w:rsid w:val="00D2738E"/>
    <w:rsid w:val="00D274D8"/>
    <w:rsid w:val="00D278C3"/>
    <w:rsid w:val="00D2796D"/>
    <w:rsid w:val="00D279A4"/>
    <w:rsid w:val="00D27A7A"/>
    <w:rsid w:val="00D27ADB"/>
    <w:rsid w:val="00D27B73"/>
    <w:rsid w:val="00D27D33"/>
    <w:rsid w:val="00D27D85"/>
    <w:rsid w:val="00D27E4F"/>
    <w:rsid w:val="00D301AB"/>
    <w:rsid w:val="00D301D6"/>
    <w:rsid w:val="00D304AF"/>
    <w:rsid w:val="00D30898"/>
    <w:rsid w:val="00D309C8"/>
    <w:rsid w:val="00D30B73"/>
    <w:rsid w:val="00D30DE7"/>
    <w:rsid w:val="00D31288"/>
    <w:rsid w:val="00D315F1"/>
    <w:rsid w:val="00D31644"/>
    <w:rsid w:val="00D31712"/>
    <w:rsid w:val="00D31859"/>
    <w:rsid w:val="00D318EB"/>
    <w:rsid w:val="00D31AC1"/>
    <w:rsid w:val="00D31BE3"/>
    <w:rsid w:val="00D31F80"/>
    <w:rsid w:val="00D32154"/>
    <w:rsid w:val="00D322BE"/>
    <w:rsid w:val="00D32769"/>
    <w:rsid w:val="00D330FE"/>
    <w:rsid w:val="00D331C8"/>
    <w:rsid w:val="00D333A2"/>
    <w:rsid w:val="00D3344F"/>
    <w:rsid w:val="00D336E3"/>
    <w:rsid w:val="00D33857"/>
    <w:rsid w:val="00D33B8B"/>
    <w:rsid w:val="00D33C54"/>
    <w:rsid w:val="00D33CF0"/>
    <w:rsid w:val="00D340B4"/>
    <w:rsid w:val="00D34113"/>
    <w:rsid w:val="00D3447A"/>
    <w:rsid w:val="00D3482A"/>
    <w:rsid w:val="00D34D6D"/>
    <w:rsid w:val="00D34E66"/>
    <w:rsid w:val="00D34F7A"/>
    <w:rsid w:val="00D34FFF"/>
    <w:rsid w:val="00D352CB"/>
    <w:rsid w:val="00D3534D"/>
    <w:rsid w:val="00D35474"/>
    <w:rsid w:val="00D35641"/>
    <w:rsid w:val="00D358FE"/>
    <w:rsid w:val="00D35D0B"/>
    <w:rsid w:val="00D35D92"/>
    <w:rsid w:val="00D35FA7"/>
    <w:rsid w:val="00D3670A"/>
    <w:rsid w:val="00D36750"/>
    <w:rsid w:val="00D367F2"/>
    <w:rsid w:val="00D368B6"/>
    <w:rsid w:val="00D36ED0"/>
    <w:rsid w:val="00D37272"/>
    <w:rsid w:val="00D3735C"/>
    <w:rsid w:val="00D37964"/>
    <w:rsid w:val="00D37E2D"/>
    <w:rsid w:val="00D37FA9"/>
    <w:rsid w:val="00D40270"/>
    <w:rsid w:val="00D40635"/>
    <w:rsid w:val="00D40C1F"/>
    <w:rsid w:val="00D40CFD"/>
    <w:rsid w:val="00D40EC3"/>
    <w:rsid w:val="00D411E3"/>
    <w:rsid w:val="00D412C6"/>
    <w:rsid w:val="00D4132F"/>
    <w:rsid w:val="00D4175D"/>
    <w:rsid w:val="00D41C8C"/>
    <w:rsid w:val="00D420FB"/>
    <w:rsid w:val="00D42688"/>
    <w:rsid w:val="00D42874"/>
    <w:rsid w:val="00D42882"/>
    <w:rsid w:val="00D42BE8"/>
    <w:rsid w:val="00D42D82"/>
    <w:rsid w:val="00D42D93"/>
    <w:rsid w:val="00D42FDB"/>
    <w:rsid w:val="00D4327B"/>
    <w:rsid w:val="00D432B8"/>
    <w:rsid w:val="00D43415"/>
    <w:rsid w:val="00D43572"/>
    <w:rsid w:val="00D43B81"/>
    <w:rsid w:val="00D43CE4"/>
    <w:rsid w:val="00D43E27"/>
    <w:rsid w:val="00D43E89"/>
    <w:rsid w:val="00D43FE1"/>
    <w:rsid w:val="00D44110"/>
    <w:rsid w:val="00D441B3"/>
    <w:rsid w:val="00D44537"/>
    <w:rsid w:val="00D44553"/>
    <w:rsid w:val="00D44D50"/>
    <w:rsid w:val="00D451D5"/>
    <w:rsid w:val="00D4521D"/>
    <w:rsid w:val="00D4534B"/>
    <w:rsid w:val="00D45441"/>
    <w:rsid w:val="00D455A1"/>
    <w:rsid w:val="00D455F4"/>
    <w:rsid w:val="00D457B6"/>
    <w:rsid w:val="00D4599C"/>
    <w:rsid w:val="00D45C0A"/>
    <w:rsid w:val="00D46071"/>
    <w:rsid w:val="00D4613E"/>
    <w:rsid w:val="00D462F6"/>
    <w:rsid w:val="00D464C9"/>
    <w:rsid w:val="00D4667B"/>
    <w:rsid w:val="00D46A80"/>
    <w:rsid w:val="00D46B13"/>
    <w:rsid w:val="00D46C67"/>
    <w:rsid w:val="00D46C73"/>
    <w:rsid w:val="00D46C7F"/>
    <w:rsid w:val="00D46D71"/>
    <w:rsid w:val="00D46D78"/>
    <w:rsid w:val="00D46ED5"/>
    <w:rsid w:val="00D46FE0"/>
    <w:rsid w:val="00D47172"/>
    <w:rsid w:val="00D47197"/>
    <w:rsid w:val="00D477F7"/>
    <w:rsid w:val="00D47B54"/>
    <w:rsid w:val="00D47B58"/>
    <w:rsid w:val="00D47C66"/>
    <w:rsid w:val="00D5010B"/>
    <w:rsid w:val="00D50643"/>
    <w:rsid w:val="00D5065A"/>
    <w:rsid w:val="00D5076C"/>
    <w:rsid w:val="00D507B5"/>
    <w:rsid w:val="00D50BB9"/>
    <w:rsid w:val="00D50BD4"/>
    <w:rsid w:val="00D50C8B"/>
    <w:rsid w:val="00D50D48"/>
    <w:rsid w:val="00D50E59"/>
    <w:rsid w:val="00D50EB6"/>
    <w:rsid w:val="00D50FAA"/>
    <w:rsid w:val="00D51214"/>
    <w:rsid w:val="00D51869"/>
    <w:rsid w:val="00D51ADD"/>
    <w:rsid w:val="00D51C1B"/>
    <w:rsid w:val="00D51D16"/>
    <w:rsid w:val="00D51E6F"/>
    <w:rsid w:val="00D51FB3"/>
    <w:rsid w:val="00D5233B"/>
    <w:rsid w:val="00D52771"/>
    <w:rsid w:val="00D5277B"/>
    <w:rsid w:val="00D527C6"/>
    <w:rsid w:val="00D52984"/>
    <w:rsid w:val="00D52A5D"/>
    <w:rsid w:val="00D52EC1"/>
    <w:rsid w:val="00D52F16"/>
    <w:rsid w:val="00D5308C"/>
    <w:rsid w:val="00D5343B"/>
    <w:rsid w:val="00D5352C"/>
    <w:rsid w:val="00D53687"/>
    <w:rsid w:val="00D5368D"/>
    <w:rsid w:val="00D539B6"/>
    <w:rsid w:val="00D53B4C"/>
    <w:rsid w:val="00D541B2"/>
    <w:rsid w:val="00D5424E"/>
    <w:rsid w:val="00D544C1"/>
    <w:rsid w:val="00D54832"/>
    <w:rsid w:val="00D549E5"/>
    <w:rsid w:val="00D54BD1"/>
    <w:rsid w:val="00D54CDB"/>
    <w:rsid w:val="00D54CF1"/>
    <w:rsid w:val="00D5516E"/>
    <w:rsid w:val="00D55276"/>
    <w:rsid w:val="00D554AE"/>
    <w:rsid w:val="00D55AD4"/>
    <w:rsid w:val="00D55C64"/>
    <w:rsid w:val="00D55D41"/>
    <w:rsid w:val="00D55FDA"/>
    <w:rsid w:val="00D56163"/>
    <w:rsid w:val="00D56188"/>
    <w:rsid w:val="00D56331"/>
    <w:rsid w:val="00D56893"/>
    <w:rsid w:val="00D568E0"/>
    <w:rsid w:val="00D56A26"/>
    <w:rsid w:val="00D57074"/>
    <w:rsid w:val="00D570EF"/>
    <w:rsid w:val="00D571C4"/>
    <w:rsid w:val="00D573C7"/>
    <w:rsid w:val="00D577F2"/>
    <w:rsid w:val="00D57EC3"/>
    <w:rsid w:val="00D57F5C"/>
    <w:rsid w:val="00D57F9E"/>
    <w:rsid w:val="00D57FFC"/>
    <w:rsid w:val="00D603DB"/>
    <w:rsid w:val="00D6057B"/>
    <w:rsid w:val="00D6089F"/>
    <w:rsid w:val="00D610CE"/>
    <w:rsid w:val="00D610EC"/>
    <w:rsid w:val="00D615A2"/>
    <w:rsid w:val="00D619CD"/>
    <w:rsid w:val="00D62040"/>
    <w:rsid w:val="00D62152"/>
    <w:rsid w:val="00D6222F"/>
    <w:rsid w:val="00D62277"/>
    <w:rsid w:val="00D628E7"/>
    <w:rsid w:val="00D629CA"/>
    <w:rsid w:val="00D62B83"/>
    <w:rsid w:val="00D62C85"/>
    <w:rsid w:val="00D62D1E"/>
    <w:rsid w:val="00D62E79"/>
    <w:rsid w:val="00D63002"/>
    <w:rsid w:val="00D631BE"/>
    <w:rsid w:val="00D638B7"/>
    <w:rsid w:val="00D638E3"/>
    <w:rsid w:val="00D63A57"/>
    <w:rsid w:val="00D63D21"/>
    <w:rsid w:val="00D63D74"/>
    <w:rsid w:val="00D63EC1"/>
    <w:rsid w:val="00D64309"/>
    <w:rsid w:val="00D6432C"/>
    <w:rsid w:val="00D6453F"/>
    <w:rsid w:val="00D6482C"/>
    <w:rsid w:val="00D64D55"/>
    <w:rsid w:val="00D65390"/>
    <w:rsid w:val="00D65A2B"/>
    <w:rsid w:val="00D65C3F"/>
    <w:rsid w:val="00D66072"/>
    <w:rsid w:val="00D663E6"/>
    <w:rsid w:val="00D6646B"/>
    <w:rsid w:val="00D6666C"/>
    <w:rsid w:val="00D66A8A"/>
    <w:rsid w:val="00D66C1B"/>
    <w:rsid w:val="00D66C71"/>
    <w:rsid w:val="00D66CA5"/>
    <w:rsid w:val="00D66D71"/>
    <w:rsid w:val="00D67038"/>
    <w:rsid w:val="00D670B2"/>
    <w:rsid w:val="00D671B9"/>
    <w:rsid w:val="00D6760A"/>
    <w:rsid w:val="00D6774B"/>
    <w:rsid w:val="00D6779D"/>
    <w:rsid w:val="00D67DE5"/>
    <w:rsid w:val="00D67F67"/>
    <w:rsid w:val="00D67F99"/>
    <w:rsid w:val="00D67FB2"/>
    <w:rsid w:val="00D7028A"/>
    <w:rsid w:val="00D70422"/>
    <w:rsid w:val="00D704C6"/>
    <w:rsid w:val="00D70697"/>
    <w:rsid w:val="00D70859"/>
    <w:rsid w:val="00D709F9"/>
    <w:rsid w:val="00D70C42"/>
    <w:rsid w:val="00D70E2B"/>
    <w:rsid w:val="00D70EF5"/>
    <w:rsid w:val="00D711EF"/>
    <w:rsid w:val="00D71567"/>
    <w:rsid w:val="00D71827"/>
    <w:rsid w:val="00D71A8E"/>
    <w:rsid w:val="00D71B53"/>
    <w:rsid w:val="00D71B5F"/>
    <w:rsid w:val="00D71E0B"/>
    <w:rsid w:val="00D71EE5"/>
    <w:rsid w:val="00D7257B"/>
    <w:rsid w:val="00D7263E"/>
    <w:rsid w:val="00D72B99"/>
    <w:rsid w:val="00D7303B"/>
    <w:rsid w:val="00D73179"/>
    <w:rsid w:val="00D73714"/>
    <w:rsid w:val="00D73795"/>
    <w:rsid w:val="00D73984"/>
    <w:rsid w:val="00D73A95"/>
    <w:rsid w:val="00D73AF1"/>
    <w:rsid w:val="00D73E07"/>
    <w:rsid w:val="00D7419E"/>
    <w:rsid w:val="00D74281"/>
    <w:rsid w:val="00D747BC"/>
    <w:rsid w:val="00D7485E"/>
    <w:rsid w:val="00D74F27"/>
    <w:rsid w:val="00D7566C"/>
    <w:rsid w:val="00D75820"/>
    <w:rsid w:val="00D75958"/>
    <w:rsid w:val="00D7607E"/>
    <w:rsid w:val="00D760AD"/>
    <w:rsid w:val="00D76358"/>
    <w:rsid w:val="00D76375"/>
    <w:rsid w:val="00D76508"/>
    <w:rsid w:val="00D7661E"/>
    <w:rsid w:val="00D76ED7"/>
    <w:rsid w:val="00D77119"/>
    <w:rsid w:val="00D773C1"/>
    <w:rsid w:val="00D775B0"/>
    <w:rsid w:val="00D77650"/>
    <w:rsid w:val="00D77662"/>
    <w:rsid w:val="00D77A81"/>
    <w:rsid w:val="00D77CC2"/>
    <w:rsid w:val="00D80505"/>
    <w:rsid w:val="00D805AE"/>
    <w:rsid w:val="00D80B3B"/>
    <w:rsid w:val="00D80E17"/>
    <w:rsid w:val="00D8101B"/>
    <w:rsid w:val="00D8123E"/>
    <w:rsid w:val="00D819B3"/>
    <w:rsid w:val="00D81B53"/>
    <w:rsid w:val="00D81DA6"/>
    <w:rsid w:val="00D81E5E"/>
    <w:rsid w:val="00D82168"/>
    <w:rsid w:val="00D82195"/>
    <w:rsid w:val="00D82342"/>
    <w:rsid w:val="00D82587"/>
    <w:rsid w:val="00D8262F"/>
    <w:rsid w:val="00D82CD2"/>
    <w:rsid w:val="00D83006"/>
    <w:rsid w:val="00D8315C"/>
    <w:rsid w:val="00D8329B"/>
    <w:rsid w:val="00D8344E"/>
    <w:rsid w:val="00D834AB"/>
    <w:rsid w:val="00D8367E"/>
    <w:rsid w:val="00D839E7"/>
    <w:rsid w:val="00D83BA7"/>
    <w:rsid w:val="00D83CD3"/>
    <w:rsid w:val="00D8412A"/>
    <w:rsid w:val="00D841B8"/>
    <w:rsid w:val="00D8427E"/>
    <w:rsid w:val="00D8436B"/>
    <w:rsid w:val="00D849EF"/>
    <w:rsid w:val="00D84A55"/>
    <w:rsid w:val="00D84A5C"/>
    <w:rsid w:val="00D84B41"/>
    <w:rsid w:val="00D84D03"/>
    <w:rsid w:val="00D851BC"/>
    <w:rsid w:val="00D85200"/>
    <w:rsid w:val="00D8532B"/>
    <w:rsid w:val="00D8551E"/>
    <w:rsid w:val="00D85F45"/>
    <w:rsid w:val="00D8617C"/>
    <w:rsid w:val="00D8627F"/>
    <w:rsid w:val="00D866EC"/>
    <w:rsid w:val="00D86846"/>
    <w:rsid w:val="00D86A3F"/>
    <w:rsid w:val="00D86BA2"/>
    <w:rsid w:val="00D86E5B"/>
    <w:rsid w:val="00D86EBF"/>
    <w:rsid w:val="00D86EFE"/>
    <w:rsid w:val="00D86F52"/>
    <w:rsid w:val="00D86FE2"/>
    <w:rsid w:val="00D872E7"/>
    <w:rsid w:val="00D87462"/>
    <w:rsid w:val="00D874A0"/>
    <w:rsid w:val="00D8781E"/>
    <w:rsid w:val="00D87A50"/>
    <w:rsid w:val="00D87C56"/>
    <w:rsid w:val="00D87E14"/>
    <w:rsid w:val="00D900F6"/>
    <w:rsid w:val="00D90141"/>
    <w:rsid w:val="00D901C2"/>
    <w:rsid w:val="00D90526"/>
    <w:rsid w:val="00D90BA3"/>
    <w:rsid w:val="00D90CC4"/>
    <w:rsid w:val="00D90DEF"/>
    <w:rsid w:val="00D90E2C"/>
    <w:rsid w:val="00D91091"/>
    <w:rsid w:val="00D91207"/>
    <w:rsid w:val="00D913BD"/>
    <w:rsid w:val="00D914AB"/>
    <w:rsid w:val="00D9155B"/>
    <w:rsid w:val="00D915DA"/>
    <w:rsid w:val="00D916BE"/>
    <w:rsid w:val="00D91B14"/>
    <w:rsid w:val="00D91D9B"/>
    <w:rsid w:val="00D91DE2"/>
    <w:rsid w:val="00D91E0D"/>
    <w:rsid w:val="00D92000"/>
    <w:rsid w:val="00D921A5"/>
    <w:rsid w:val="00D921EB"/>
    <w:rsid w:val="00D9223A"/>
    <w:rsid w:val="00D9232B"/>
    <w:rsid w:val="00D92353"/>
    <w:rsid w:val="00D926A2"/>
    <w:rsid w:val="00D92A14"/>
    <w:rsid w:val="00D92A98"/>
    <w:rsid w:val="00D92B13"/>
    <w:rsid w:val="00D92D02"/>
    <w:rsid w:val="00D92FD9"/>
    <w:rsid w:val="00D930CA"/>
    <w:rsid w:val="00D93250"/>
    <w:rsid w:val="00D9329D"/>
    <w:rsid w:val="00D93F1B"/>
    <w:rsid w:val="00D93F7D"/>
    <w:rsid w:val="00D944B2"/>
    <w:rsid w:val="00D947C2"/>
    <w:rsid w:val="00D94D31"/>
    <w:rsid w:val="00D94D4D"/>
    <w:rsid w:val="00D94F6E"/>
    <w:rsid w:val="00D9522B"/>
    <w:rsid w:val="00D952EC"/>
    <w:rsid w:val="00D952FD"/>
    <w:rsid w:val="00D955F1"/>
    <w:rsid w:val="00D95676"/>
    <w:rsid w:val="00D95793"/>
    <w:rsid w:val="00D957CA"/>
    <w:rsid w:val="00D95A70"/>
    <w:rsid w:val="00D95E29"/>
    <w:rsid w:val="00D96200"/>
    <w:rsid w:val="00D965AF"/>
    <w:rsid w:val="00D96833"/>
    <w:rsid w:val="00D96954"/>
    <w:rsid w:val="00D96CA7"/>
    <w:rsid w:val="00D96F41"/>
    <w:rsid w:val="00D970BB"/>
    <w:rsid w:val="00D972F4"/>
    <w:rsid w:val="00D97651"/>
    <w:rsid w:val="00D97A32"/>
    <w:rsid w:val="00D97A89"/>
    <w:rsid w:val="00D97B6F"/>
    <w:rsid w:val="00D97E01"/>
    <w:rsid w:val="00DA01F1"/>
    <w:rsid w:val="00DA03C9"/>
    <w:rsid w:val="00DA09C4"/>
    <w:rsid w:val="00DA0D06"/>
    <w:rsid w:val="00DA0D5D"/>
    <w:rsid w:val="00DA0F90"/>
    <w:rsid w:val="00DA1147"/>
    <w:rsid w:val="00DA1222"/>
    <w:rsid w:val="00DA1478"/>
    <w:rsid w:val="00DA1960"/>
    <w:rsid w:val="00DA19D7"/>
    <w:rsid w:val="00DA1A88"/>
    <w:rsid w:val="00DA1B43"/>
    <w:rsid w:val="00DA1CD2"/>
    <w:rsid w:val="00DA1D20"/>
    <w:rsid w:val="00DA1F61"/>
    <w:rsid w:val="00DA2207"/>
    <w:rsid w:val="00DA23DD"/>
    <w:rsid w:val="00DA26B3"/>
    <w:rsid w:val="00DA2864"/>
    <w:rsid w:val="00DA2ACE"/>
    <w:rsid w:val="00DA2CF5"/>
    <w:rsid w:val="00DA2D56"/>
    <w:rsid w:val="00DA32BD"/>
    <w:rsid w:val="00DA381E"/>
    <w:rsid w:val="00DA3B12"/>
    <w:rsid w:val="00DA3D33"/>
    <w:rsid w:val="00DA4144"/>
    <w:rsid w:val="00DA4BF4"/>
    <w:rsid w:val="00DA4DDE"/>
    <w:rsid w:val="00DA4FB9"/>
    <w:rsid w:val="00DA5185"/>
    <w:rsid w:val="00DA5268"/>
    <w:rsid w:val="00DA52A5"/>
    <w:rsid w:val="00DA534B"/>
    <w:rsid w:val="00DA54E6"/>
    <w:rsid w:val="00DA5766"/>
    <w:rsid w:val="00DA584F"/>
    <w:rsid w:val="00DA5B04"/>
    <w:rsid w:val="00DA5B2B"/>
    <w:rsid w:val="00DA5C0B"/>
    <w:rsid w:val="00DA5C85"/>
    <w:rsid w:val="00DA5EC8"/>
    <w:rsid w:val="00DA5FC2"/>
    <w:rsid w:val="00DA6090"/>
    <w:rsid w:val="00DA611E"/>
    <w:rsid w:val="00DA62C6"/>
    <w:rsid w:val="00DA636C"/>
    <w:rsid w:val="00DA67A2"/>
    <w:rsid w:val="00DA6ADB"/>
    <w:rsid w:val="00DA6C75"/>
    <w:rsid w:val="00DA6F1A"/>
    <w:rsid w:val="00DA6FBA"/>
    <w:rsid w:val="00DA7474"/>
    <w:rsid w:val="00DA7476"/>
    <w:rsid w:val="00DA7777"/>
    <w:rsid w:val="00DA7980"/>
    <w:rsid w:val="00DA7C14"/>
    <w:rsid w:val="00DA7EE5"/>
    <w:rsid w:val="00DA7F46"/>
    <w:rsid w:val="00DA7FB6"/>
    <w:rsid w:val="00DA7FC9"/>
    <w:rsid w:val="00DB04B3"/>
    <w:rsid w:val="00DB04D0"/>
    <w:rsid w:val="00DB05D3"/>
    <w:rsid w:val="00DB05F8"/>
    <w:rsid w:val="00DB0997"/>
    <w:rsid w:val="00DB0DFB"/>
    <w:rsid w:val="00DB0E06"/>
    <w:rsid w:val="00DB0E27"/>
    <w:rsid w:val="00DB1194"/>
    <w:rsid w:val="00DB11ED"/>
    <w:rsid w:val="00DB12B2"/>
    <w:rsid w:val="00DB13A4"/>
    <w:rsid w:val="00DB13D8"/>
    <w:rsid w:val="00DB1598"/>
    <w:rsid w:val="00DB1999"/>
    <w:rsid w:val="00DB1AC6"/>
    <w:rsid w:val="00DB1C56"/>
    <w:rsid w:val="00DB25A5"/>
    <w:rsid w:val="00DB262F"/>
    <w:rsid w:val="00DB2849"/>
    <w:rsid w:val="00DB2A7E"/>
    <w:rsid w:val="00DB2AC6"/>
    <w:rsid w:val="00DB2F89"/>
    <w:rsid w:val="00DB315E"/>
    <w:rsid w:val="00DB323E"/>
    <w:rsid w:val="00DB37CC"/>
    <w:rsid w:val="00DB38C2"/>
    <w:rsid w:val="00DB394E"/>
    <w:rsid w:val="00DB39D7"/>
    <w:rsid w:val="00DB3EA3"/>
    <w:rsid w:val="00DB3F2B"/>
    <w:rsid w:val="00DB3F42"/>
    <w:rsid w:val="00DB400A"/>
    <w:rsid w:val="00DB410C"/>
    <w:rsid w:val="00DB41F0"/>
    <w:rsid w:val="00DB4345"/>
    <w:rsid w:val="00DB434A"/>
    <w:rsid w:val="00DB4642"/>
    <w:rsid w:val="00DB484C"/>
    <w:rsid w:val="00DB49D5"/>
    <w:rsid w:val="00DB4BBA"/>
    <w:rsid w:val="00DB4E64"/>
    <w:rsid w:val="00DB52FA"/>
    <w:rsid w:val="00DB53CB"/>
    <w:rsid w:val="00DB5554"/>
    <w:rsid w:val="00DB59D0"/>
    <w:rsid w:val="00DB5ABD"/>
    <w:rsid w:val="00DB5AD6"/>
    <w:rsid w:val="00DB5D3D"/>
    <w:rsid w:val="00DB5E45"/>
    <w:rsid w:val="00DB5FB2"/>
    <w:rsid w:val="00DB5FDB"/>
    <w:rsid w:val="00DB64BA"/>
    <w:rsid w:val="00DB6702"/>
    <w:rsid w:val="00DB6AFF"/>
    <w:rsid w:val="00DB6B53"/>
    <w:rsid w:val="00DB6B8C"/>
    <w:rsid w:val="00DB6B9C"/>
    <w:rsid w:val="00DB6DED"/>
    <w:rsid w:val="00DB6EDA"/>
    <w:rsid w:val="00DB7632"/>
    <w:rsid w:val="00DB79A4"/>
    <w:rsid w:val="00DB7CCA"/>
    <w:rsid w:val="00DB7D05"/>
    <w:rsid w:val="00DB7D76"/>
    <w:rsid w:val="00DC0579"/>
    <w:rsid w:val="00DC0673"/>
    <w:rsid w:val="00DC0687"/>
    <w:rsid w:val="00DC069F"/>
    <w:rsid w:val="00DC07DA"/>
    <w:rsid w:val="00DC0C53"/>
    <w:rsid w:val="00DC0EAE"/>
    <w:rsid w:val="00DC0F7E"/>
    <w:rsid w:val="00DC103B"/>
    <w:rsid w:val="00DC1073"/>
    <w:rsid w:val="00DC11B6"/>
    <w:rsid w:val="00DC185D"/>
    <w:rsid w:val="00DC18F2"/>
    <w:rsid w:val="00DC1A1B"/>
    <w:rsid w:val="00DC1B96"/>
    <w:rsid w:val="00DC1D26"/>
    <w:rsid w:val="00DC207D"/>
    <w:rsid w:val="00DC24A0"/>
    <w:rsid w:val="00DC2517"/>
    <w:rsid w:val="00DC2A55"/>
    <w:rsid w:val="00DC2AF8"/>
    <w:rsid w:val="00DC2C18"/>
    <w:rsid w:val="00DC2EB9"/>
    <w:rsid w:val="00DC2F87"/>
    <w:rsid w:val="00DC2FC2"/>
    <w:rsid w:val="00DC3062"/>
    <w:rsid w:val="00DC3144"/>
    <w:rsid w:val="00DC3360"/>
    <w:rsid w:val="00DC3C5F"/>
    <w:rsid w:val="00DC3CE5"/>
    <w:rsid w:val="00DC4110"/>
    <w:rsid w:val="00DC4370"/>
    <w:rsid w:val="00DC44B2"/>
    <w:rsid w:val="00DC4512"/>
    <w:rsid w:val="00DC45B4"/>
    <w:rsid w:val="00DC467B"/>
    <w:rsid w:val="00DC48EA"/>
    <w:rsid w:val="00DC49DF"/>
    <w:rsid w:val="00DC4EFE"/>
    <w:rsid w:val="00DC4F10"/>
    <w:rsid w:val="00DC4F64"/>
    <w:rsid w:val="00DC5089"/>
    <w:rsid w:val="00DC50BA"/>
    <w:rsid w:val="00DC50C9"/>
    <w:rsid w:val="00DC5467"/>
    <w:rsid w:val="00DC5701"/>
    <w:rsid w:val="00DC5B04"/>
    <w:rsid w:val="00DC5CB5"/>
    <w:rsid w:val="00DC5DAC"/>
    <w:rsid w:val="00DC5E81"/>
    <w:rsid w:val="00DC60E5"/>
    <w:rsid w:val="00DC6695"/>
    <w:rsid w:val="00DC67B6"/>
    <w:rsid w:val="00DC6B28"/>
    <w:rsid w:val="00DC6B95"/>
    <w:rsid w:val="00DC6CDB"/>
    <w:rsid w:val="00DC7110"/>
    <w:rsid w:val="00DC7162"/>
    <w:rsid w:val="00DC746E"/>
    <w:rsid w:val="00DC7652"/>
    <w:rsid w:val="00DC773A"/>
    <w:rsid w:val="00DC77D4"/>
    <w:rsid w:val="00DC7A80"/>
    <w:rsid w:val="00DC7DD0"/>
    <w:rsid w:val="00DD0051"/>
    <w:rsid w:val="00DD0062"/>
    <w:rsid w:val="00DD01A2"/>
    <w:rsid w:val="00DD03CF"/>
    <w:rsid w:val="00DD0487"/>
    <w:rsid w:val="00DD0546"/>
    <w:rsid w:val="00DD0995"/>
    <w:rsid w:val="00DD09D2"/>
    <w:rsid w:val="00DD0C39"/>
    <w:rsid w:val="00DD0D62"/>
    <w:rsid w:val="00DD0E75"/>
    <w:rsid w:val="00DD116A"/>
    <w:rsid w:val="00DD13F9"/>
    <w:rsid w:val="00DD1A4B"/>
    <w:rsid w:val="00DD1C13"/>
    <w:rsid w:val="00DD1E7A"/>
    <w:rsid w:val="00DD204C"/>
    <w:rsid w:val="00DD2059"/>
    <w:rsid w:val="00DD2340"/>
    <w:rsid w:val="00DD26B3"/>
    <w:rsid w:val="00DD2A0E"/>
    <w:rsid w:val="00DD2A5C"/>
    <w:rsid w:val="00DD2B70"/>
    <w:rsid w:val="00DD2D26"/>
    <w:rsid w:val="00DD2E16"/>
    <w:rsid w:val="00DD3233"/>
    <w:rsid w:val="00DD3598"/>
    <w:rsid w:val="00DD3B21"/>
    <w:rsid w:val="00DD3BF6"/>
    <w:rsid w:val="00DD3D79"/>
    <w:rsid w:val="00DD3DA9"/>
    <w:rsid w:val="00DD3F09"/>
    <w:rsid w:val="00DD46C0"/>
    <w:rsid w:val="00DD47B9"/>
    <w:rsid w:val="00DD4854"/>
    <w:rsid w:val="00DD4B27"/>
    <w:rsid w:val="00DD4BA9"/>
    <w:rsid w:val="00DD4BD5"/>
    <w:rsid w:val="00DD4C0C"/>
    <w:rsid w:val="00DD4EC1"/>
    <w:rsid w:val="00DD5157"/>
    <w:rsid w:val="00DD52EC"/>
    <w:rsid w:val="00DD53FC"/>
    <w:rsid w:val="00DD54C3"/>
    <w:rsid w:val="00DD585D"/>
    <w:rsid w:val="00DD5C9D"/>
    <w:rsid w:val="00DD5EB0"/>
    <w:rsid w:val="00DD60D7"/>
    <w:rsid w:val="00DD643C"/>
    <w:rsid w:val="00DD67E6"/>
    <w:rsid w:val="00DD6831"/>
    <w:rsid w:val="00DD6883"/>
    <w:rsid w:val="00DD6A94"/>
    <w:rsid w:val="00DD6AF2"/>
    <w:rsid w:val="00DD6F6D"/>
    <w:rsid w:val="00DD71A8"/>
    <w:rsid w:val="00DD71E1"/>
    <w:rsid w:val="00DD725D"/>
    <w:rsid w:val="00DD7293"/>
    <w:rsid w:val="00DD73E1"/>
    <w:rsid w:val="00DD73F5"/>
    <w:rsid w:val="00DD799D"/>
    <w:rsid w:val="00DE02A5"/>
    <w:rsid w:val="00DE03CC"/>
    <w:rsid w:val="00DE06E9"/>
    <w:rsid w:val="00DE0A30"/>
    <w:rsid w:val="00DE0AB1"/>
    <w:rsid w:val="00DE0E4D"/>
    <w:rsid w:val="00DE0F7F"/>
    <w:rsid w:val="00DE0F9F"/>
    <w:rsid w:val="00DE105D"/>
    <w:rsid w:val="00DE1107"/>
    <w:rsid w:val="00DE1133"/>
    <w:rsid w:val="00DE1148"/>
    <w:rsid w:val="00DE1333"/>
    <w:rsid w:val="00DE1978"/>
    <w:rsid w:val="00DE1A60"/>
    <w:rsid w:val="00DE2161"/>
    <w:rsid w:val="00DE2162"/>
    <w:rsid w:val="00DE2694"/>
    <w:rsid w:val="00DE2948"/>
    <w:rsid w:val="00DE2A45"/>
    <w:rsid w:val="00DE2C1B"/>
    <w:rsid w:val="00DE30B9"/>
    <w:rsid w:val="00DE327D"/>
    <w:rsid w:val="00DE3682"/>
    <w:rsid w:val="00DE3719"/>
    <w:rsid w:val="00DE3CB9"/>
    <w:rsid w:val="00DE3FED"/>
    <w:rsid w:val="00DE413A"/>
    <w:rsid w:val="00DE42A8"/>
    <w:rsid w:val="00DE44BB"/>
    <w:rsid w:val="00DE452F"/>
    <w:rsid w:val="00DE458D"/>
    <w:rsid w:val="00DE45EC"/>
    <w:rsid w:val="00DE4624"/>
    <w:rsid w:val="00DE4687"/>
    <w:rsid w:val="00DE4DF6"/>
    <w:rsid w:val="00DE4F59"/>
    <w:rsid w:val="00DE509D"/>
    <w:rsid w:val="00DE51DF"/>
    <w:rsid w:val="00DE527F"/>
    <w:rsid w:val="00DE53FB"/>
    <w:rsid w:val="00DE56A4"/>
    <w:rsid w:val="00DE5769"/>
    <w:rsid w:val="00DE57CE"/>
    <w:rsid w:val="00DE5AF7"/>
    <w:rsid w:val="00DE5DE1"/>
    <w:rsid w:val="00DE602D"/>
    <w:rsid w:val="00DE635C"/>
    <w:rsid w:val="00DE65E5"/>
    <w:rsid w:val="00DE666B"/>
    <w:rsid w:val="00DE6B21"/>
    <w:rsid w:val="00DE6B6D"/>
    <w:rsid w:val="00DE6C11"/>
    <w:rsid w:val="00DE6CE1"/>
    <w:rsid w:val="00DE6FD7"/>
    <w:rsid w:val="00DE7389"/>
    <w:rsid w:val="00DE747E"/>
    <w:rsid w:val="00DE7519"/>
    <w:rsid w:val="00DE7582"/>
    <w:rsid w:val="00DE769F"/>
    <w:rsid w:val="00DE7A6C"/>
    <w:rsid w:val="00DE7B0B"/>
    <w:rsid w:val="00DE7C5D"/>
    <w:rsid w:val="00DE7DCF"/>
    <w:rsid w:val="00DF028F"/>
    <w:rsid w:val="00DF04E0"/>
    <w:rsid w:val="00DF04EA"/>
    <w:rsid w:val="00DF066B"/>
    <w:rsid w:val="00DF080A"/>
    <w:rsid w:val="00DF0B8B"/>
    <w:rsid w:val="00DF0D21"/>
    <w:rsid w:val="00DF0F19"/>
    <w:rsid w:val="00DF12C0"/>
    <w:rsid w:val="00DF1476"/>
    <w:rsid w:val="00DF1577"/>
    <w:rsid w:val="00DF158E"/>
    <w:rsid w:val="00DF1794"/>
    <w:rsid w:val="00DF2192"/>
    <w:rsid w:val="00DF272D"/>
    <w:rsid w:val="00DF28E1"/>
    <w:rsid w:val="00DF2AD2"/>
    <w:rsid w:val="00DF2C05"/>
    <w:rsid w:val="00DF2D1D"/>
    <w:rsid w:val="00DF2D27"/>
    <w:rsid w:val="00DF3154"/>
    <w:rsid w:val="00DF31BF"/>
    <w:rsid w:val="00DF31C0"/>
    <w:rsid w:val="00DF3373"/>
    <w:rsid w:val="00DF3748"/>
    <w:rsid w:val="00DF3C55"/>
    <w:rsid w:val="00DF3DF4"/>
    <w:rsid w:val="00DF3E01"/>
    <w:rsid w:val="00DF4316"/>
    <w:rsid w:val="00DF4557"/>
    <w:rsid w:val="00DF45C9"/>
    <w:rsid w:val="00DF4903"/>
    <w:rsid w:val="00DF4910"/>
    <w:rsid w:val="00DF4A89"/>
    <w:rsid w:val="00DF4B3C"/>
    <w:rsid w:val="00DF4B51"/>
    <w:rsid w:val="00DF4B83"/>
    <w:rsid w:val="00DF4CA0"/>
    <w:rsid w:val="00DF5000"/>
    <w:rsid w:val="00DF5036"/>
    <w:rsid w:val="00DF5143"/>
    <w:rsid w:val="00DF52D5"/>
    <w:rsid w:val="00DF5475"/>
    <w:rsid w:val="00DF56DD"/>
    <w:rsid w:val="00DF5841"/>
    <w:rsid w:val="00DF586E"/>
    <w:rsid w:val="00DF5AE6"/>
    <w:rsid w:val="00DF63B7"/>
    <w:rsid w:val="00DF6426"/>
    <w:rsid w:val="00DF6A10"/>
    <w:rsid w:val="00DF6AEF"/>
    <w:rsid w:val="00DF6B38"/>
    <w:rsid w:val="00DF6B48"/>
    <w:rsid w:val="00DF6D41"/>
    <w:rsid w:val="00DF6D7C"/>
    <w:rsid w:val="00DF6E18"/>
    <w:rsid w:val="00DF6E41"/>
    <w:rsid w:val="00DF7127"/>
    <w:rsid w:val="00DF72E4"/>
    <w:rsid w:val="00DF7328"/>
    <w:rsid w:val="00DF75AF"/>
    <w:rsid w:val="00DF7695"/>
    <w:rsid w:val="00DF7821"/>
    <w:rsid w:val="00DF78F0"/>
    <w:rsid w:val="00DF7930"/>
    <w:rsid w:val="00DF7A5F"/>
    <w:rsid w:val="00DF7AA4"/>
    <w:rsid w:val="00DF7C25"/>
    <w:rsid w:val="00DF7C28"/>
    <w:rsid w:val="00DF7ECE"/>
    <w:rsid w:val="00DF7F81"/>
    <w:rsid w:val="00E0072C"/>
    <w:rsid w:val="00E0097B"/>
    <w:rsid w:val="00E00B01"/>
    <w:rsid w:val="00E00B38"/>
    <w:rsid w:val="00E00DC1"/>
    <w:rsid w:val="00E00E8B"/>
    <w:rsid w:val="00E010DE"/>
    <w:rsid w:val="00E010E5"/>
    <w:rsid w:val="00E011F0"/>
    <w:rsid w:val="00E014B0"/>
    <w:rsid w:val="00E014D8"/>
    <w:rsid w:val="00E014DE"/>
    <w:rsid w:val="00E01686"/>
    <w:rsid w:val="00E01FAE"/>
    <w:rsid w:val="00E02261"/>
    <w:rsid w:val="00E0234F"/>
    <w:rsid w:val="00E024BD"/>
    <w:rsid w:val="00E025EC"/>
    <w:rsid w:val="00E02723"/>
    <w:rsid w:val="00E02771"/>
    <w:rsid w:val="00E02886"/>
    <w:rsid w:val="00E028AF"/>
    <w:rsid w:val="00E0294D"/>
    <w:rsid w:val="00E02C65"/>
    <w:rsid w:val="00E02F7D"/>
    <w:rsid w:val="00E03091"/>
    <w:rsid w:val="00E03476"/>
    <w:rsid w:val="00E0350D"/>
    <w:rsid w:val="00E035E3"/>
    <w:rsid w:val="00E0361F"/>
    <w:rsid w:val="00E03738"/>
    <w:rsid w:val="00E037A7"/>
    <w:rsid w:val="00E0389F"/>
    <w:rsid w:val="00E03B66"/>
    <w:rsid w:val="00E03C60"/>
    <w:rsid w:val="00E040DE"/>
    <w:rsid w:val="00E042AD"/>
    <w:rsid w:val="00E043ED"/>
    <w:rsid w:val="00E04499"/>
    <w:rsid w:val="00E044D3"/>
    <w:rsid w:val="00E0450B"/>
    <w:rsid w:val="00E04744"/>
    <w:rsid w:val="00E04780"/>
    <w:rsid w:val="00E048ED"/>
    <w:rsid w:val="00E04AB5"/>
    <w:rsid w:val="00E04BE3"/>
    <w:rsid w:val="00E04F63"/>
    <w:rsid w:val="00E0510B"/>
    <w:rsid w:val="00E052F2"/>
    <w:rsid w:val="00E05326"/>
    <w:rsid w:val="00E05654"/>
    <w:rsid w:val="00E05708"/>
    <w:rsid w:val="00E05718"/>
    <w:rsid w:val="00E0576C"/>
    <w:rsid w:val="00E05D70"/>
    <w:rsid w:val="00E068E7"/>
    <w:rsid w:val="00E06A27"/>
    <w:rsid w:val="00E07092"/>
    <w:rsid w:val="00E073E6"/>
    <w:rsid w:val="00E0766A"/>
    <w:rsid w:val="00E076A7"/>
    <w:rsid w:val="00E07B3A"/>
    <w:rsid w:val="00E07B54"/>
    <w:rsid w:val="00E07C11"/>
    <w:rsid w:val="00E07EBF"/>
    <w:rsid w:val="00E07F81"/>
    <w:rsid w:val="00E100A4"/>
    <w:rsid w:val="00E100C8"/>
    <w:rsid w:val="00E10612"/>
    <w:rsid w:val="00E106FD"/>
    <w:rsid w:val="00E10786"/>
    <w:rsid w:val="00E107A4"/>
    <w:rsid w:val="00E107CA"/>
    <w:rsid w:val="00E10811"/>
    <w:rsid w:val="00E110D0"/>
    <w:rsid w:val="00E11501"/>
    <w:rsid w:val="00E1153B"/>
    <w:rsid w:val="00E1187A"/>
    <w:rsid w:val="00E11B14"/>
    <w:rsid w:val="00E11C52"/>
    <w:rsid w:val="00E11DFC"/>
    <w:rsid w:val="00E11E79"/>
    <w:rsid w:val="00E12191"/>
    <w:rsid w:val="00E123D1"/>
    <w:rsid w:val="00E124C1"/>
    <w:rsid w:val="00E125DF"/>
    <w:rsid w:val="00E126B6"/>
    <w:rsid w:val="00E1277E"/>
    <w:rsid w:val="00E127C3"/>
    <w:rsid w:val="00E128B1"/>
    <w:rsid w:val="00E12AB0"/>
    <w:rsid w:val="00E1305D"/>
    <w:rsid w:val="00E130A2"/>
    <w:rsid w:val="00E13104"/>
    <w:rsid w:val="00E13485"/>
    <w:rsid w:val="00E138B0"/>
    <w:rsid w:val="00E13B11"/>
    <w:rsid w:val="00E13CB4"/>
    <w:rsid w:val="00E13E00"/>
    <w:rsid w:val="00E13F60"/>
    <w:rsid w:val="00E1453F"/>
    <w:rsid w:val="00E147BF"/>
    <w:rsid w:val="00E14D84"/>
    <w:rsid w:val="00E151E6"/>
    <w:rsid w:val="00E153D2"/>
    <w:rsid w:val="00E1553F"/>
    <w:rsid w:val="00E159C8"/>
    <w:rsid w:val="00E15CEC"/>
    <w:rsid w:val="00E15D96"/>
    <w:rsid w:val="00E15F9B"/>
    <w:rsid w:val="00E16241"/>
    <w:rsid w:val="00E1624F"/>
    <w:rsid w:val="00E16251"/>
    <w:rsid w:val="00E162CA"/>
    <w:rsid w:val="00E164D9"/>
    <w:rsid w:val="00E1657C"/>
    <w:rsid w:val="00E16704"/>
    <w:rsid w:val="00E16859"/>
    <w:rsid w:val="00E16976"/>
    <w:rsid w:val="00E16F95"/>
    <w:rsid w:val="00E171FB"/>
    <w:rsid w:val="00E172DB"/>
    <w:rsid w:val="00E17823"/>
    <w:rsid w:val="00E1796F"/>
    <w:rsid w:val="00E20217"/>
    <w:rsid w:val="00E204E3"/>
    <w:rsid w:val="00E20C73"/>
    <w:rsid w:val="00E20D7E"/>
    <w:rsid w:val="00E20E2F"/>
    <w:rsid w:val="00E20E4E"/>
    <w:rsid w:val="00E21083"/>
    <w:rsid w:val="00E21131"/>
    <w:rsid w:val="00E21598"/>
    <w:rsid w:val="00E21915"/>
    <w:rsid w:val="00E2192B"/>
    <w:rsid w:val="00E21E50"/>
    <w:rsid w:val="00E2278F"/>
    <w:rsid w:val="00E2312E"/>
    <w:rsid w:val="00E233A3"/>
    <w:rsid w:val="00E234C6"/>
    <w:rsid w:val="00E235B8"/>
    <w:rsid w:val="00E236AF"/>
    <w:rsid w:val="00E23746"/>
    <w:rsid w:val="00E2394D"/>
    <w:rsid w:val="00E23E56"/>
    <w:rsid w:val="00E23E5D"/>
    <w:rsid w:val="00E23FAD"/>
    <w:rsid w:val="00E240CD"/>
    <w:rsid w:val="00E2416E"/>
    <w:rsid w:val="00E24356"/>
    <w:rsid w:val="00E2441B"/>
    <w:rsid w:val="00E24819"/>
    <w:rsid w:val="00E24C2A"/>
    <w:rsid w:val="00E25016"/>
    <w:rsid w:val="00E2501B"/>
    <w:rsid w:val="00E25061"/>
    <w:rsid w:val="00E2516D"/>
    <w:rsid w:val="00E2569A"/>
    <w:rsid w:val="00E259E9"/>
    <w:rsid w:val="00E25A86"/>
    <w:rsid w:val="00E25EF9"/>
    <w:rsid w:val="00E26036"/>
    <w:rsid w:val="00E268A1"/>
    <w:rsid w:val="00E26CA9"/>
    <w:rsid w:val="00E27068"/>
    <w:rsid w:val="00E273E4"/>
    <w:rsid w:val="00E27593"/>
    <w:rsid w:val="00E27622"/>
    <w:rsid w:val="00E2762A"/>
    <w:rsid w:val="00E27A22"/>
    <w:rsid w:val="00E27ABE"/>
    <w:rsid w:val="00E27B02"/>
    <w:rsid w:val="00E27B13"/>
    <w:rsid w:val="00E27BCB"/>
    <w:rsid w:val="00E27C1B"/>
    <w:rsid w:val="00E301E0"/>
    <w:rsid w:val="00E3083C"/>
    <w:rsid w:val="00E308D0"/>
    <w:rsid w:val="00E3093D"/>
    <w:rsid w:val="00E309F3"/>
    <w:rsid w:val="00E30F45"/>
    <w:rsid w:val="00E31148"/>
    <w:rsid w:val="00E3125A"/>
    <w:rsid w:val="00E31269"/>
    <w:rsid w:val="00E31444"/>
    <w:rsid w:val="00E3154A"/>
    <w:rsid w:val="00E316CD"/>
    <w:rsid w:val="00E3181A"/>
    <w:rsid w:val="00E320D4"/>
    <w:rsid w:val="00E32138"/>
    <w:rsid w:val="00E3245C"/>
    <w:rsid w:val="00E328D1"/>
    <w:rsid w:val="00E32BEB"/>
    <w:rsid w:val="00E32C56"/>
    <w:rsid w:val="00E32CFB"/>
    <w:rsid w:val="00E32D22"/>
    <w:rsid w:val="00E32F62"/>
    <w:rsid w:val="00E33509"/>
    <w:rsid w:val="00E336EB"/>
    <w:rsid w:val="00E3371E"/>
    <w:rsid w:val="00E33860"/>
    <w:rsid w:val="00E33A9C"/>
    <w:rsid w:val="00E33AAB"/>
    <w:rsid w:val="00E33B2B"/>
    <w:rsid w:val="00E33BB9"/>
    <w:rsid w:val="00E33FB7"/>
    <w:rsid w:val="00E34335"/>
    <w:rsid w:val="00E34413"/>
    <w:rsid w:val="00E346DE"/>
    <w:rsid w:val="00E347DB"/>
    <w:rsid w:val="00E34890"/>
    <w:rsid w:val="00E34ABE"/>
    <w:rsid w:val="00E34DA9"/>
    <w:rsid w:val="00E34E5A"/>
    <w:rsid w:val="00E35169"/>
    <w:rsid w:val="00E35237"/>
    <w:rsid w:val="00E35743"/>
    <w:rsid w:val="00E35790"/>
    <w:rsid w:val="00E35D59"/>
    <w:rsid w:val="00E35E80"/>
    <w:rsid w:val="00E35EC1"/>
    <w:rsid w:val="00E35F6C"/>
    <w:rsid w:val="00E362C0"/>
    <w:rsid w:val="00E36343"/>
    <w:rsid w:val="00E370AD"/>
    <w:rsid w:val="00E3749B"/>
    <w:rsid w:val="00E3749F"/>
    <w:rsid w:val="00E3781F"/>
    <w:rsid w:val="00E37D2E"/>
    <w:rsid w:val="00E400DA"/>
    <w:rsid w:val="00E4032D"/>
    <w:rsid w:val="00E40552"/>
    <w:rsid w:val="00E4068E"/>
    <w:rsid w:val="00E4076E"/>
    <w:rsid w:val="00E40906"/>
    <w:rsid w:val="00E40973"/>
    <w:rsid w:val="00E40A35"/>
    <w:rsid w:val="00E40C25"/>
    <w:rsid w:val="00E41959"/>
    <w:rsid w:val="00E41AB3"/>
    <w:rsid w:val="00E41B1A"/>
    <w:rsid w:val="00E41B8F"/>
    <w:rsid w:val="00E41DC9"/>
    <w:rsid w:val="00E41E1D"/>
    <w:rsid w:val="00E41F3A"/>
    <w:rsid w:val="00E42235"/>
    <w:rsid w:val="00E4258B"/>
    <w:rsid w:val="00E42A81"/>
    <w:rsid w:val="00E43362"/>
    <w:rsid w:val="00E43418"/>
    <w:rsid w:val="00E4357D"/>
    <w:rsid w:val="00E4361D"/>
    <w:rsid w:val="00E43B0D"/>
    <w:rsid w:val="00E43B7D"/>
    <w:rsid w:val="00E43C53"/>
    <w:rsid w:val="00E4425B"/>
    <w:rsid w:val="00E44287"/>
    <w:rsid w:val="00E443EB"/>
    <w:rsid w:val="00E445A8"/>
    <w:rsid w:val="00E44650"/>
    <w:rsid w:val="00E44915"/>
    <w:rsid w:val="00E44A91"/>
    <w:rsid w:val="00E44B55"/>
    <w:rsid w:val="00E44C7D"/>
    <w:rsid w:val="00E44E2F"/>
    <w:rsid w:val="00E44EC2"/>
    <w:rsid w:val="00E45302"/>
    <w:rsid w:val="00E4557E"/>
    <w:rsid w:val="00E45768"/>
    <w:rsid w:val="00E45863"/>
    <w:rsid w:val="00E45B25"/>
    <w:rsid w:val="00E45B8E"/>
    <w:rsid w:val="00E45FDB"/>
    <w:rsid w:val="00E4635D"/>
    <w:rsid w:val="00E466D0"/>
    <w:rsid w:val="00E46709"/>
    <w:rsid w:val="00E469D3"/>
    <w:rsid w:val="00E46AB2"/>
    <w:rsid w:val="00E471D3"/>
    <w:rsid w:val="00E4723E"/>
    <w:rsid w:val="00E4795A"/>
    <w:rsid w:val="00E4795B"/>
    <w:rsid w:val="00E47A6C"/>
    <w:rsid w:val="00E47B24"/>
    <w:rsid w:val="00E50127"/>
    <w:rsid w:val="00E5012A"/>
    <w:rsid w:val="00E5024D"/>
    <w:rsid w:val="00E5037C"/>
    <w:rsid w:val="00E503A4"/>
    <w:rsid w:val="00E504D9"/>
    <w:rsid w:val="00E50733"/>
    <w:rsid w:val="00E510FE"/>
    <w:rsid w:val="00E5116A"/>
    <w:rsid w:val="00E51274"/>
    <w:rsid w:val="00E51BC2"/>
    <w:rsid w:val="00E52022"/>
    <w:rsid w:val="00E52178"/>
    <w:rsid w:val="00E525E4"/>
    <w:rsid w:val="00E525E7"/>
    <w:rsid w:val="00E5260D"/>
    <w:rsid w:val="00E5278E"/>
    <w:rsid w:val="00E52A20"/>
    <w:rsid w:val="00E52F84"/>
    <w:rsid w:val="00E52F95"/>
    <w:rsid w:val="00E5312C"/>
    <w:rsid w:val="00E5319E"/>
    <w:rsid w:val="00E534A0"/>
    <w:rsid w:val="00E53BC1"/>
    <w:rsid w:val="00E53ECA"/>
    <w:rsid w:val="00E53EF8"/>
    <w:rsid w:val="00E53FDA"/>
    <w:rsid w:val="00E5407E"/>
    <w:rsid w:val="00E54403"/>
    <w:rsid w:val="00E5475B"/>
    <w:rsid w:val="00E547C6"/>
    <w:rsid w:val="00E547D6"/>
    <w:rsid w:val="00E54851"/>
    <w:rsid w:val="00E54D2B"/>
    <w:rsid w:val="00E54E3E"/>
    <w:rsid w:val="00E550F8"/>
    <w:rsid w:val="00E55347"/>
    <w:rsid w:val="00E554D0"/>
    <w:rsid w:val="00E556AE"/>
    <w:rsid w:val="00E55839"/>
    <w:rsid w:val="00E55A65"/>
    <w:rsid w:val="00E55B60"/>
    <w:rsid w:val="00E55BAB"/>
    <w:rsid w:val="00E55C24"/>
    <w:rsid w:val="00E55E17"/>
    <w:rsid w:val="00E56330"/>
    <w:rsid w:val="00E563DF"/>
    <w:rsid w:val="00E564B0"/>
    <w:rsid w:val="00E564D8"/>
    <w:rsid w:val="00E567ED"/>
    <w:rsid w:val="00E56968"/>
    <w:rsid w:val="00E56AD7"/>
    <w:rsid w:val="00E56C3F"/>
    <w:rsid w:val="00E56EDC"/>
    <w:rsid w:val="00E56F40"/>
    <w:rsid w:val="00E56F9F"/>
    <w:rsid w:val="00E576B1"/>
    <w:rsid w:val="00E579BA"/>
    <w:rsid w:val="00E57ABE"/>
    <w:rsid w:val="00E57B45"/>
    <w:rsid w:val="00E57CBF"/>
    <w:rsid w:val="00E57FA3"/>
    <w:rsid w:val="00E57FE6"/>
    <w:rsid w:val="00E602B9"/>
    <w:rsid w:val="00E60527"/>
    <w:rsid w:val="00E60669"/>
    <w:rsid w:val="00E606B4"/>
    <w:rsid w:val="00E608BB"/>
    <w:rsid w:val="00E60A7D"/>
    <w:rsid w:val="00E60B36"/>
    <w:rsid w:val="00E61095"/>
    <w:rsid w:val="00E610F3"/>
    <w:rsid w:val="00E6168E"/>
    <w:rsid w:val="00E61E13"/>
    <w:rsid w:val="00E62708"/>
    <w:rsid w:val="00E628F5"/>
    <w:rsid w:val="00E629D4"/>
    <w:rsid w:val="00E629DE"/>
    <w:rsid w:val="00E62CE2"/>
    <w:rsid w:val="00E62F0F"/>
    <w:rsid w:val="00E6323D"/>
    <w:rsid w:val="00E63808"/>
    <w:rsid w:val="00E63812"/>
    <w:rsid w:val="00E638E3"/>
    <w:rsid w:val="00E63B47"/>
    <w:rsid w:val="00E63E99"/>
    <w:rsid w:val="00E63EA9"/>
    <w:rsid w:val="00E63FF3"/>
    <w:rsid w:val="00E6424F"/>
    <w:rsid w:val="00E64257"/>
    <w:rsid w:val="00E64407"/>
    <w:rsid w:val="00E64612"/>
    <w:rsid w:val="00E64668"/>
    <w:rsid w:val="00E649E3"/>
    <w:rsid w:val="00E64F0D"/>
    <w:rsid w:val="00E650DD"/>
    <w:rsid w:val="00E6530A"/>
    <w:rsid w:val="00E657B4"/>
    <w:rsid w:val="00E65933"/>
    <w:rsid w:val="00E659DE"/>
    <w:rsid w:val="00E65B98"/>
    <w:rsid w:val="00E65D6B"/>
    <w:rsid w:val="00E65DF7"/>
    <w:rsid w:val="00E65FEE"/>
    <w:rsid w:val="00E6601E"/>
    <w:rsid w:val="00E66280"/>
    <w:rsid w:val="00E662C8"/>
    <w:rsid w:val="00E6641A"/>
    <w:rsid w:val="00E66569"/>
    <w:rsid w:val="00E66726"/>
    <w:rsid w:val="00E667EF"/>
    <w:rsid w:val="00E66990"/>
    <w:rsid w:val="00E66BDD"/>
    <w:rsid w:val="00E66D88"/>
    <w:rsid w:val="00E66E5F"/>
    <w:rsid w:val="00E6717C"/>
    <w:rsid w:val="00E673D5"/>
    <w:rsid w:val="00E6743D"/>
    <w:rsid w:val="00E674D9"/>
    <w:rsid w:val="00E674E7"/>
    <w:rsid w:val="00E675DA"/>
    <w:rsid w:val="00E677F0"/>
    <w:rsid w:val="00E6780A"/>
    <w:rsid w:val="00E6781D"/>
    <w:rsid w:val="00E67845"/>
    <w:rsid w:val="00E67A33"/>
    <w:rsid w:val="00E67BF2"/>
    <w:rsid w:val="00E67D1F"/>
    <w:rsid w:val="00E67D9D"/>
    <w:rsid w:val="00E7015D"/>
    <w:rsid w:val="00E7050D"/>
    <w:rsid w:val="00E70586"/>
    <w:rsid w:val="00E708AE"/>
    <w:rsid w:val="00E70997"/>
    <w:rsid w:val="00E70E34"/>
    <w:rsid w:val="00E70F08"/>
    <w:rsid w:val="00E712F4"/>
    <w:rsid w:val="00E7157D"/>
    <w:rsid w:val="00E719AE"/>
    <w:rsid w:val="00E71A61"/>
    <w:rsid w:val="00E71E13"/>
    <w:rsid w:val="00E71FDE"/>
    <w:rsid w:val="00E720CE"/>
    <w:rsid w:val="00E720D5"/>
    <w:rsid w:val="00E721E3"/>
    <w:rsid w:val="00E7240C"/>
    <w:rsid w:val="00E72441"/>
    <w:rsid w:val="00E72466"/>
    <w:rsid w:val="00E7287E"/>
    <w:rsid w:val="00E729BF"/>
    <w:rsid w:val="00E72B48"/>
    <w:rsid w:val="00E72BCC"/>
    <w:rsid w:val="00E72CDE"/>
    <w:rsid w:val="00E73304"/>
    <w:rsid w:val="00E7350C"/>
    <w:rsid w:val="00E73555"/>
    <w:rsid w:val="00E73716"/>
    <w:rsid w:val="00E73B62"/>
    <w:rsid w:val="00E73D1A"/>
    <w:rsid w:val="00E73FB0"/>
    <w:rsid w:val="00E74118"/>
    <w:rsid w:val="00E74122"/>
    <w:rsid w:val="00E745D6"/>
    <w:rsid w:val="00E7465D"/>
    <w:rsid w:val="00E74AA6"/>
    <w:rsid w:val="00E75871"/>
    <w:rsid w:val="00E758AE"/>
    <w:rsid w:val="00E75AA8"/>
    <w:rsid w:val="00E75BFF"/>
    <w:rsid w:val="00E75C2A"/>
    <w:rsid w:val="00E75DF8"/>
    <w:rsid w:val="00E761FF"/>
    <w:rsid w:val="00E762F4"/>
    <w:rsid w:val="00E768B1"/>
    <w:rsid w:val="00E76B9E"/>
    <w:rsid w:val="00E770B2"/>
    <w:rsid w:val="00E77129"/>
    <w:rsid w:val="00E772AF"/>
    <w:rsid w:val="00E772EA"/>
    <w:rsid w:val="00E7774C"/>
    <w:rsid w:val="00E778B9"/>
    <w:rsid w:val="00E7790D"/>
    <w:rsid w:val="00E77D0D"/>
    <w:rsid w:val="00E77DA9"/>
    <w:rsid w:val="00E80285"/>
    <w:rsid w:val="00E80342"/>
    <w:rsid w:val="00E804A7"/>
    <w:rsid w:val="00E80BD7"/>
    <w:rsid w:val="00E80CAB"/>
    <w:rsid w:val="00E80FA2"/>
    <w:rsid w:val="00E80FF5"/>
    <w:rsid w:val="00E81165"/>
    <w:rsid w:val="00E81510"/>
    <w:rsid w:val="00E8156F"/>
    <w:rsid w:val="00E815B7"/>
    <w:rsid w:val="00E81A3E"/>
    <w:rsid w:val="00E81B75"/>
    <w:rsid w:val="00E81F14"/>
    <w:rsid w:val="00E81F1F"/>
    <w:rsid w:val="00E81F4B"/>
    <w:rsid w:val="00E81F60"/>
    <w:rsid w:val="00E81F80"/>
    <w:rsid w:val="00E82021"/>
    <w:rsid w:val="00E8206F"/>
    <w:rsid w:val="00E82254"/>
    <w:rsid w:val="00E82667"/>
    <w:rsid w:val="00E829CF"/>
    <w:rsid w:val="00E82A32"/>
    <w:rsid w:val="00E82C5E"/>
    <w:rsid w:val="00E82D22"/>
    <w:rsid w:val="00E82E4E"/>
    <w:rsid w:val="00E83104"/>
    <w:rsid w:val="00E831FE"/>
    <w:rsid w:val="00E8331F"/>
    <w:rsid w:val="00E836C5"/>
    <w:rsid w:val="00E83743"/>
    <w:rsid w:val="00E83921"/>
    <w:rsid w:val="00E83BB4"/>
    <w:rsid w:val="00E83C3F"/>
    <w:rsid w:val="00E844C9"/>
    <w:rsid w:val="00E844E4"/>
    <w:rsid w:val="00E84536"/>
    <w:rsid w:val="00E849A6"/>
    <w:rsid w:val="00E84BE4"/>
    <w:rsid w:val="00E84C87"/>
    <w:rsid w:val="00E84CD0"/>
    <w:rsid w:val="00E850E8"/>
    <w:rsid w:val="00E857D3"/>
    <w:rsid w:val="00E8589D"/>
    <w:rsid w:val="00E858F3"/>
    <w:rsid w:val="00E85937"/>
    <w:rsid w:val="00E85FA4"/>
    <w:rsid w:val="00E86133"/>
    <w:rsid w:val="00E8620F"/>
    <w:rsid w:val="00E86264"/>
    <w:rsid w:val="00E86568"/>
    <w:rsid w:val="00E866A9"/>
    <w:rsid w:val="00E86944"/>
    <w:rsid w:val="00E86D5F"/>
    <w:rsid w:val="00E873A0"/>
    <w:rsid w:val="00E874D6"/>
    <w:rsid w:val="00E87591"/>
    <w:rsid w:val="00E87598"/>
    <w:rsid w:val="00E8773F"/>
    <w:rsid w:val="00E87CBA"/>
    <w:rsid w:val="00E87D4F"/>
    <w:rsid w:val="00E87DCD"/>
    <w:rsid w:val="00E87ECC"/>
    <w:rsid w:val="00E900A0"/>
    <w:rsid w:val="00E9021A"/>
    <w:rsid w:val="00E902FB"/>
    <w:rsid w:val="00E905A1"/>
    <w:rsid w:val="00E90609"/>
    <w:rsid w:val="00E90665"/>
    <w:rsid w:val="00E908FA"/>
    <w:rsid w:val="00E909AC"/>
    <w:rsid w:val="00E90C9C"/>
    <w:rsid w:val="00E90D97"/>
    <w:rsid w:val="00E90F1A"/>
    <w:rsid w:val="00E90F7D"/>
    <w:rsid w:val="00E9105E"/>
    <w:rsid w:val="00E91184"/>
    <w:rsid w:val="00E911B6"/>
    <w:rsid w:val="00E91842"/>
    <w:rsid w:val="00E9187E"/>
    <w:rsid w:val="00E91B7F"/>
    <w:rsid w:val="00E91BCF"/>
    <w:rsid w:val="00E91C04"/>
    <w:rsid w:val="00E91C14"/>
    <w:rsid w:val="00E91F81"/>
    <w:rsid w:val="00E924D2"/>
    <w:rsid w:val="00E9251F"/>
    <w:rsid w:val="00E92573"/>
    <w:rsid w:val="00E92E98"/>
    <w:rsid w:val="00E92F1B"/>
    <w:rsid w:val="00E92F97"/>
    <w:rsid w:val="00E932DB"/>
    <w:rsid w:val="00E93526"/>
    <w:rsid w:val="00E93721"/>
    <w:rsid w:val="00E93977"/>
    <w:rsid w:val="00E939F0"/>
    <w:rsid w:val="00E93A3D"/>
    <w:rsid w:val="00E93B48"/>
    <w:rsid w:val="00E93BDF"/>
    <w:rsid w:val="00E93EA1"/>
    <w:rsid w:val="00E93F8B"/>
    <w:rsid w:val="00E94082"/>
    <w:rsid w:val="00E9413D"/>
    <w:rsid w:val="00E945E6"/>
    <w:rsid w:val="00E94C0D"/>
    <w:rsid w:val="00E94CDB"/>
    <w:rsid w:val="00E94EB2"/>
    <w:rsid w:val="00E950DD"/>
    <w:rsid w:val="00E95AD7"/>
    <w:rsid w:val="00E95C66"/>
    <w:rsid w:val="00E95D3D"/>
    <w:rsid w:val="00E95E04"/>
    <w:rsid w:val="00E95E98"/>
    <w:rsid w:val="00E95EC6"/>
    <w:rsid w:val="00E95EF3"/>
    <w:rsid w:val="00E9613A"/>
    <w:rsid w:val="00E9614D"/>
    <w:rsid w:val="00E9639B"/>
    <w:rsid w:val="00E963F8"/>
    <w:rsid w:val="00E9660C"/>
    <w:rsid w:val="00E96A25"/>
    <w:rsid w:val="00E96A9C"/>
    <w:rsid w:val="00E96CFE"/>
    <w:rsid w:val="00E96DFB"/>
    <w:rsid w:val="00E96E13"/>
    <w:rsid w:val="00E9709E"/>
    <w:rsid w:val="00E97185"/>
    <w:rsid w:val="00E9740A"/>
    <w:rsid w:val="00E974D5"/>
    <w:rsid w:val="00E9757A"/>
    <w:rsid w:val="00E97695"/>
    <w:rsid w:val="00EA00C7"/>
    <w:rsid w:val="00EA00F0"/>
    <w:rsid w:val="00EA0554"/>
    <w:rsid w:val="00EA05CF"/>
    <w:rsid w:val="00EA0B46"/>
    <w:rsid w:val="00EA0BB6"/>
    <w:rsid w:val="00EA0C8A"/>
    <w:rsid w:val="00EA0D54"/>
    <w:rsid w:val="00EA0DFC"/>
    <w:rsid w:val="00EA0FD3"/>
    <w:rsid w:val="00EA1183"/>
    <w:rsid w:val="00EA1412"/>
    <w:rsid w:val="00EA1519"/>
    <w:rsid w:val="00EA1622"/>
    <w:rsid w:val="00EA178D"/>
    <w:rsid w:val="00EA185B"/>
    <w:rsid w:val="00EA1C45"/>
    <w:rsid w:val="00EA1EFE"/>
    <w:rsid w:val="00EA211C"/>
    <w:rsid w:val="00EA22F3"/>
    <w:rsid w:val="00EA2A3C"/>
    <w:rsid w:val="00EA2A7D"/>
    <w:rsid w:val="00EA2B21"/>
    <w:rsid w:val="00EA2E47"/>
    <w:rsid w:val="00EA2F91"/>
    <w:rsid w:val="00EA3007"/>
    <w:rsid w:val="00EA3125"/>
    <w:rsid w:val="00EA321E"/>
    <w:rsid w:val="00EA33B8"/>
    <w:rsid w:val="00EA38F8"/>
    <w:rsid w:val="00EA3CA0"/>
    <w:rsid w:val="00EA3CED"/>
    <w:rsid w:val="00EA3F1C"/>
    <w:rsid w:val="00EA3F38"/>
    <w:rsid w:val="00EA42C2"/>
    <w:rsid w:val="00EA44BB"/>
    <w:rsid w:val="00EA4A55"/>
    <w:rsid w:val="00EA4A83"/>
    <w:rsid w:val="00EA4A9F"/>
    <w:rsid w:val="00EA4B35"/>
    <w:rsid w:val="00EA52B4"/>
    <w:rsid w:val="00EA53B9"/>
    <w:rsid w:val="00EA550F"/>
    <w:rsid w:val="00EA5777"/>
    <w:rsid w:val="00EA592C"/>
    <w:rsid w:val="00EA5A5F"/>
    <w:rsid w:val="00EA5B3D"/>
    <w:rsid w:val="00EA5C53"/>
    <w:rsid w:val="00EA6087"/>
    <w:rsid w:val="00EA617E"/>
    <w:rsid w:val="00EA6260"/>
    <w:rsid w:val="00EA64CA"/>
    <w:rsid w:val="00EA652C"/>
    <w:rsid w:val="00EA662A"/>
    <w:rsid w:val="00EA6682"/>
    <w:rsid w:val="00EA67F1"/>
    <w:rsid w:val="00EA68C0"/>
    <w:rsid w:val="00EA6E35"/>
    <w:rsid w:val="00EA70BB"/>
    <w:rsid w:val="00EA70D9"/>
    <w:rsid w:val="00EA71B8"/>
    <w:rsid w:val="00EA742F"/>
    <w:rsid w:val="00EA7720"/>
    <w:rsid w:val="00EA7869"/>
    <w:rsid w:val="00EA7B25"/>
    <w:rsid w:val="00EA7BB6"/>
    <w:rsid w:val="00EA7BC0"/>
    <w:rsid w:val="00EA7C23"/>
    <w:rsid w:val="00EA7DB6"/>
    <w:rsid w:val="00EA7EE0"/>
    <w:rsid w:val="00EA7F46"/>
    <w:rsid w:val="00EB0482"/>
    <w:rsid w:val="00EB04C5"/>
    <w:rsid w:val="00EB067D"/>
    <w:rsid w:val="00EB0763"/>
    <w:rsid w:val="00EB0BA2"/>
    <w:rsid w:val="00EB0DA6"/>
    <w:rsid w:val="00EB1702"/>
    <w:rsid w:val="00EB1836"/>
    <w:rsid w:val="00EB18B3"/>
    <w:rsid w:val="00EB194F"/>
    <w:rsid w:val="00EB197B"/>
    <w:rsid w:val="00EB1AC5"/>
    <w:rsid w:val="00EB1BA7"/>
    <w:rsid w:val="00EB1D85"/>
    <w:rsid w:val="00EB1DE6"/>
    <w:rsid w:val="00EB2162"/>
    <w:rsid w:val="00EB21F7"/>
    <w:rsid w:val="00EB24BB"/>
    <w:rsid w:val="00EB24C8"/>
    <w:rsid w:val="00EB2767"/>
    <w:rsid w:val="00EB304E"/>
    <w:rsid w:val="00EB311A"/>
    <w:rsid w:val="00EB3204"/>
    <w:rsid w:val="00EB3462"/>
    <w:rsid w:val="00EB3467"/>
    <w:rsid w:val="00EB3A56"/>
    <w:rsid w:val="00EB3DA2"/>
    <w:rsid w:val="00EB433D"/>
    <w:rsid w:val="00EB4A64"/>
    <w:rsid w:val="00EB4A7B"/>
    <w:rsid w:val="00EB4ACE"/>
    <w:rsid w:val="00EB4E02"/>
    <w:rsid w:val="00EB53EF"/>
    <w:rsid w:val="00EB555F"/>
    <w:rsid w:val="00EB589E"/>
    <w:rsid w:val="00EB58D1"/>
    <w:rsid w:val="00EB5ABA"/>
    <w:rsid w:val="00EB5C6B"/>
    <w:rsid w:val="00EB60DD"/>
    <w:rsid w:val="00EB610F"/>
    <w:rsid w:val="00EB61B8"/>
    <w:rsid w:val="00EB65B4"/>
    <w:rsid w:val="00EB6640"/>
    <w:rsid w:val="00EB66E9"/>
    <w:rsid w:val="00EB66F8"/>
    <w:rsid w:val="00EB679B"/>
    <w:rsid w:val="00EB68CC"/>
    <w:rsid w:val="00EB6BE8"/>
    <w:rsid w:val="00EB6E43"/>
    <w:rsid w:val="00EB717B"/>
    <w:rsid w:val="00EB71F5"/>
    <w:rsid w:val="00EB7266"/>
    <w:rsid w:val="00EB7B4D"/>
    <w:rsid w:val="00EB7DAB"/>
    <w:rsid w:val="00EB7EF2"/>
    <w:rsid w:val="00EC00E7"/>
    <w:rsid w:val="00EC04B4"/>
    <w:rsid w:val="00EC0561"/>
    <w:rsid w:val="00EC0837"/>
    <w:rsid w:val="00EC0A71"/>
    <w:rsid w:val="00EC0A9D"/>
    <w:rsid w:val="00EC0D3B"/>
    <w:rsid w:val="00EC0E51"/>
    <w:rsid w:val="00EC122F"/>
    <w:rsid w:val="00EC1777"/>
    <w:rsid w:val="00EC19C3"/>
    <w:rsid w:val="00EC1A87"/>
    <w:rsid w:val="00EC1EA4"/>
    <w:rsid w:val="00EC20FA"/>
    <w:rsid w:val="00EC269E"/>
    <w:rsid w:val="00EC2A31"/>
    <w:rsid w:val="00EC2CD1"/>
    <w:rsid w:val="00EC2D64"/>
    <w:rsid w:val="00EC2FDE"/>
    <w:rsid w:val="00EC3186"/>
    <w:rsid w:val="00EC325F"/>
    <w:rsid w:val="00EC33A8"/>
    <w:rsid w:val="00EC382B"/>
    <w:rsid w:val="00EC3CAA"/>
    <w:rsid w:val="00EC421D"/>
    <w:rsid w:val="00EC4632"/>
    <w:rsid w:val="00EC474F"/>
    <w:rsid w:val="00EC4994"/>
    <w:rsid w:val="00EC4B07"/>
    <w:rsid w:val="00EC4D43"/>
    <w:rsid w:val="00EC4F4F"/>
    <w:rsid w:val="00EC5373"/>
    <w:rsid w:val="00EC541F"/>
    <w:rsid w:val="00EC54D4"/>
    <w:rsid w:val="00EC55CD"/>
    <w:rsid w:val="00EC5656"/>
    <w:rsid w:val="00EC569A"/>
    <w:rsid w:val="00EC5958"/>
    <w:rsid w:val="00EC5A5C"/>
    <w:rsid w:val="00EC5ADB"/>
    <w:rsid w:val="00EC5B46"/>
    <w:rsid w:val="00EC5BE1"/>
    <w:rsid w:val="00EC5CFF"/>
    <w:rsid w:val="00EC5D86"/>
    <w:rsid w:val="00EC5F90"/>
    <w:rsid w:val="00EC6022"/>
    <w:rsid w:val="00EC6094"/>
    <w:rsid w:val="00EC6428"/>
    <w:rsid w:val="00EC649C"/>
    <w:rsid w:val="00EC6BD1"/>
    <w:rsid w:val="00EC6CD3"/>
    <w:rsid w:val="00EC6E1E"/>
    <w:rsid w:val="00EC6F51"/>
    <w:rsid w:val="00EC7181"/>
    <w:rsid w:val="00EC74F2"/>
    <w:rsid w:val="00EC779D"/>
    <w:rsid w:val="00ED049B"/>
    <w:rsid w:val="00ED05BC"/>
    <w:rsid w:val="00ED062B"/>
    <w:rsid w:val="00ED0636"/>
    <w:rsid w:val="00ED0684"/>
    <w:rsid w:val="00ED0760"/>
    <w:rsid w:val="00ED0ADC"/>
    <w:rsid w:val="00ED0AED"/>
    <w:rsid w:val="00ED0CAF"/>
    <w:rsid w:val="00ED1060"/>
    <w:rsid w:val="00ED1118"/>
    <w:rsid w:val="00ED134D"/>
    <w:rsid w:val="00ED1559"/>
    <w:rsid w:val="00ED1571"/>
    <w:rsid w:val="00ED15DE"/>
    <w:rsid w:val="00ED1814"/>
    <w:rsid w:val="00ED1D8F"/>
    <w:rsid w:val="00ED210E"/>
    <w:rsid w:val="00ED23CC"/>
    <w:rsid w:val="00ED2438"/>
    <w:rsid w:val="00ED2570"/>
    <w:rsid w:val="00ED287C"/>
    <w:rsid w:val="00ED2994"/>
    <w:rsid w:val="00ED2CD0"/>
    <w:rsid w:val="00ED2F40"/>
    <w:rsid w:val="00ED3081"/>
    <w:rsid w:val="00ED30DE"/>
    <w:rsid w:val="00ED3255"/>
    <w:rsid w:val="00ED3299"/>
    <w:rsid w:val="00ED3414"/>
    <w:rsid w:val="00ED343C"/>
    <w:rsid w:val="00ED3B3D"/>
    <w:rsid w:val="00ED3C9C"/>
    <w:rsid w:val="00ED3DC0"/>
    <w:rsid w:val="00ED3E98"/>
    <w:rsid w:val="00ED405A"/>
    <w:rsid w:val="00ED42D5"/>
    <w:rsid w:val="00ED42F6"/>
    <w:rsid w:val="00ED4502"/>
    <w:rsid w:val="00ED4512"/>
    <w:rsid w:val="00ED45D9"/>
    <w:rsid w:val="00ED461D"/>
    <w:rsid w:val="00ED4CEA"/>
    <w:rsid w:val="00ED4D81"/>
    <w:rsid w:val="00ED4E28"/>
    <w:rsid w:val="00ED53CE"/>
    <w:rsid w:val="00ED5405"/>
    <w:rsid w:val="00ED594B"/>
    <w:rsid w:val="00ED64E6"/>
    <w:rsid w:val="00ED6707"/>
    <w:rsid w:val="00ED6847"/>
    <w:rsid w:val="00ED69F9"/>
    <w:rsid w:val="00ED6F2C"/>
    <w:rsid w:val="00ED7101"/>
    <w:rsid w:val="00ED7275"/>
    <w:rsid w:val="00ED7283"/>
    <w:rsid w:val="00ED738F"/>
    <w:rsid w:val="00ED75B6"/>
    <w:rsid w:val="00ED7708"/>
    <w:rsid w:val="00ED7779"/>
    <w:rsid w:val="00ED7A65"/>
    <w:rsid w:val="00ED7B6D"/>
    <w:rsid w:val="00ED7BB9"/>
    <w:rsid w:val="00ED7DD1"/>
    <w:rsid w:val="00ED7FB5"/>
    <w:rsid w:val="00EE007C"/>
    <w:rsid w:val="00EE03E9"/>
    <w:rsid w:val="00EE0435"/>
    <w:rsid w:val="00EE044F"/>
    <w:rsid w:val="00EE0494"/>
    <w:rsid w:val="00EE050F"/>
    <w:rsid w:val="00EE072C"/>
    <w:rsid w:val="00EE091F"/>
    <w:rsid w:val="00EE0957"/>
    <w:rsid w:val="00EE0B41"/>
    <w:rsid w:val="00EE0B4E"/>
    <w:rsid w:val="00EE0D86"/>
    <w:rsid w:val="00EE10B6"/>
    <w:rsid w:val="00EE113C"/>
    <w:rsid w:val="00EE132E"/>
    <w:rsid w:val="00EE1346"/>
    <w:rsid w:val="00EE14B4"/>
    <w:rsid w:val="00EE16FC"/>
    <w:rsid w:val="00EE1738"/>
    <w:rsid w:val="00EE1777"/>
    <w:rsid w:val="00EE19B5"/>
    <w:rsid w:val="00EE1CCF"/>
    <w:rsid w:val="00EE202F"/>
    <w:rsid w:val="00EE22C4"/>
    <w:rsid w:val="00EE2357"/>
    <w:rsid w:val="00EE25FE"/>
    <w:rsid w:val="00EE2D31"/>
    <w:rsid w:val="00EE2D45"/>
    <w:rsid w:val="00EE2D99"/>
    <w:rsid w:val="00EE3001"/>
    <w:rsid w:val="00EE30F2"/>
    <w:rsid w:val="00EE3124"/>
    <w:rsid w:val="00EE339B"/>
    <w:rsid w:val="00EE33D6"/>
    <w:rsid w:val="00EE33F9"/>
    <w:rsid w:val="00EE375A"/>
    <w:rsid w:val="00EE3939"/>
    <w:rsid w:val="00EE4030"/>
    <w:rsid w:val="00EE42F5"/>
    <w:rsid w:val="00EE42F9"/>
    <w:rsid w:val="00EE4351"/>
    <w:rsid w:val="00EE45B5"/>
    <w:rsid w:val="00EE4712"/>
    <w:rsid w:val="00EE4738"/>
    <w:rsid w:val="00EE47E7"/>
    <w:rsid w:val="00EE4929"/>
    <w:rsid w:val="00EE494D"/>
    <w:rsid w:val="00EE4D10"/>
    <w:rsid w:val="00EE4D3A"/>
    <w:rsid w:val="00EE5111"/>
    <w:rsid w:val="00EE52D9"/>
    <w:rsid w:val="00EE555C"/>
    <w:rsid w:val="00EE5594"/>
    <w:rsid w:val="00EE5797"/>
    <w:rsid w:val="00EE5C05"/>
    <w:rsid w:val="00EE5CAD"/>
    <w:rsid w:val="00EE63A3"/>
    <w:rsid w:val="00EE658A"/>
    <w:rsid w:val="00EE670F"/>
    <w:rsid w:val="00EE67FB"/>
    <w:rsid w:val="00EE697C"/>
    <w:rsid w:val="00EE6C26"/>
    <w:rsid w:val="00EE6C48"/>
    <w:rsid w:val="00EE6F9B"/>
    <w:rsid w:val="00EE7046"/>
    <w:rsid w:val="00EE70FF"/>
    <w:rsid w:val="00EE730B"/>
    <w:rsid w:val="00EE7974"/>
    <w:rsid w:val="00EE79D9"/>
    <w:rsid w:val="00EE7AEB"/>
    <w:rsid w:val="00EE7C01"/>
    <w:rsid w:val="00EE7DF1"/>
    <w:rsid w:val="00EF0442"/>
    <w:rsid w:val="00EF0653"/>
    <w:rsid w:val="00EF0935"/>
    <w:rsid w:val="00EF093F"/>
    <w:rsid w:val="00EF0A58"/>
    <w:rsid w:val="00EF0D80"/>
    <w:rsid w:val="00EF0DF3"/>
    <w:rsid w:val="00EF0E09"/>
    <w:rsid w:val="00EF0EFC"/>
    <w:rsid w:val="00EF133B"/>
    <w:rsid w:val="00EF1428"/>
    <w:rsid w:val="00EF151F"/>
    <w:rsid w:val="00EF178D"/>
    <w:rsid w:val="00EF17DA"/>
    <w:rsid w:val="00EF187A"/>
    <w:rsid w:val="00EF1A28"/>
    <w:rsid w:val="00EF1BEC"/>
    <w:rsid w:val="00EF1D11"/>
    <w:rsid w:val="00EF1E3D"/>
    <w:rsid w:val="00EF1E84"/>
    <w:rsid w:val="00EF2110"/>
    <w:rsid w:val="00EF2122"/>
    <w:rsid w:val="00EF238F"/>
    <w:rsid w:val="00EF23B3"/>
    <w:rsid w:val="00EF2557"/>
    <w:rsid w:val="00EF276D"/>
    <w:rsid w:val="00EF2A9F"/>
    <w:rsid w:val="00EF2AD3"/>
    <w:rsid w:val="00EF2BDB"/>
    <w:rsid w:val="00EF2D70"/>
    <w:rsid w:val="00EF2D80"/>
    <w:rsid w:val="00EF313D"/>
    <w:rsid w:val="00EF31E8"/>
    <w:rsid w:val="00EF3839"/>
    <w:rsid w:val="00EF39CA"/>
    <w:rsid w:val="00EF3B73"/>
    <w:rsid w:val="00EF3F27"/>
    <w:rsid w:val="00EF3FC4"/>
    <w:rsid w:val="00EF42B0"/>
    <w:rsid w:val="00EF4471"/>
    <w:rsid w:val="00EF45CB"/>
    <w:rsid w:val="00EF4961"/>
    <w:rsid w:val="00EF4BC6"/>
    <w:rsid w:val="00EF4DD1"/>
    <w:rsid w:val="00EF4F31"/>
    <w:rsid w:val="00EF5098"/>
    <w:rsid w:val="00EF5234"/>
    <w:rsid w:val="00EF5646"/>
    <w:rsid w:val="00EF5713"/>
    <w:rsid w:val="00EF5774"/>
    <w:rsid w:val="00EF58DA"/>
    <w:rsid w:val="00EF5A78"/>
    <w:rsid w:val="00EF5D19"/>
    <w:rsid w:val="00EF5D73"/>
    <w:rsid w:val="00EF61CA"/>
    <w:rsid w:val="00EF61D5"/>
    <w:rsid w:val="00EF62FE"/>
    <w:rsid w:val="00EF6303"/>
    <w:rsid w:val="00EF6337"/>
    <w:rsid w:val="00EF65B1"/>
    <w:rsid w:val="00EF6821"/>
    <w:rsid w:val="00EF69A5"/>
    <w:rsid w:val="00EF6A7F"/>
    <w:rsid w:val="00EF6A86"/>
    <w:rsid w:val="00EF6ADF"/>
    <w:rsid w:val="00EF6C2B"/>
    <w:rsid w:val="00EF6EA2"/>
    <w:rsid w:val="00EF71FF"/>
    <w:rsid w:val="00EF72CD"/>
    <w:rsid w:val="00EF7770"/>
    <w:rsid w:val="00EF78A8"/>
    <w:rsid w:val="00EF792B"/>
    <w:rsid w:val="00EF7A22"/>
    <w:rsid w:val="00EF7D2C"/>
    <w:rsid w:val="00EF7F50"/>
    <w:rsid w:val="00F001AE"/>
    <w:rsid w:val="00F00203"/>
    <w:rsid w:val="00F003D5"/>
    <w:rsid w:val="00F005F0"/>
    <w:rsid w:val="00F00798"/>
    <w:rsid w:val="00F00920"/>
    <w:rsid w:val="00F0095C"/>
    <w:rsid w:val="00F00A81"/>
    <w:rsid w:val="00F00F93"/>
    <w:rsid w:val="00F014C5"/>
    <w:rsid w:val="00F017BA"/>
    <w:rsid w:val="00F01978"/>
    <w:rsid w:val="00F01A75"/>
    <w:rsid w:val="00F01DBF"/>
    <w:rsid w:val="00F01EE1"/>
    <w:rsid w:val="00F02045"/>
    <w:rsid w:val="00F02247"/>
    <w:rsid w:val="00F02261"/>
    <w:rsid w:val="00F023DC"/>
    <w:rsid w:val="00F02584"/>
    <w:rsid w:val="00F02752"/>
    <w:rsid w:val="00F02F11"/>
    <w:rsid w:val="00F02F5A"/>
    <w:rsid w:val="00F02F86"/>
    <w:rsid w:val="00F0316C"/>
    <w:rsid w:val="00F03224"/>
    <w:rsid w:val="00F032E0"/>
    <w:rsid w:val="00F0366E"/>
    <w:rsid w:val="00F03925"/>
    <w:rsid w:val="00F03B38"/>
    <w:rsid w:val="00F03C5A"/>
    <w:rsid w:val="00F03DEC"/>
    <w:rsid w:val="00F0425C"/>
    <w:rsid w:val="00F04270"/>
    <w:rsid w:val="00F04520"/>
    <w:rsid w:val="00F04681"/>
    <w:rsid w:val="00F048D8"/>
    <w:rsid w:val="00F04B86"/>
    <w:rsid w:val="00F04E4F"/>
    <w:rsid w:val="00F04FE9"/>
    <w:rsid w:val="00F04FF5"/>
    <w:rsid w:val="00F050DA"/>
    <w:rsid w:val="00F0556D"/>
    <w:rsid w:val="00F055C3"/>
    <w:rsid w:val="00F05655"/>
    <w:rsid w:val="00F058A0"/>
    <w:rsid w:val="00F058E3"/>
    <w:rsid w:val="00F0599C"/>
    <w:rsid w:val="00F059B6"/>
    <w:rsid w:val="00F05A3B"/>
    <w:rsid w:val="00F05A7C"/>
    <w:rsid w:val="00F05D1C"/>
    <w:rsid w:val="00F05EA5"/>
    <w:rsid w:val="00F05ECE"/>
    <w:rsid w:val="00F05FF3"/>
    <w:rsid w:val="00F060BC"/>
    <w:rsid w:val="00F06343"/>
    <w:rsid w:val="00F0639C"/>
    <w:rsid w:val="00F064B8"/>
    <w:rsid w:val="00F06572"/>
    <w:rsid w:val="00F065CD"/>
    <w:rsid w:val="00F0691F"/>
    <w:rsid w:val="00F069DC"/>
    <w:rsid w:val="00F072FA"/>
    <w:rsid w:val="00F07332"/>
    <w:rsid w:val="00F07333"/>
    <w:rsid w:val="00F07682"/>
    <w:rsid w:val="00F0777F"/>
    <w:rsid w:val="00F077FE"/>
    <w:rsid w:val="00F07883"/>
    <w:rsid w:val="00F079C7"/>
    <w:rsid w:val="00F07CC0"/>
    <w:rsid w:val="00F10018"/>
    <w:rsid w:val="00F10CFC"/>
    <w:rsid w:val="00F10D08"/>
    <w:rsid w:val="00F10DFE"/>
    <w:rsid w:val="00F10F6F"/>
    <w:rsid w:val="00F10FAD"/>
    <w:rsid w:val="00F110BB"/>
    <w:rsid w:val="00F113FD"/>
    <w:rsid w:val="00F1151E"/>
    <w:rsid w:val="00F116B0"/>
    <w:rsid w:val="00F1179A"/>
    <w:rsid w:val="00F11BB1"/>
    <w:rsid w:val="00F11D8C"/>
    <w:rsid w:val="00F11F3A"/>
    <w:rsid w:val="00F11FA6"/>
    <w:rsid w:val="00F11FBB"/>
    <w:rsid w:val="00F123D0"/>
    <w:rsid w:val="00F1285D"/>
    <w:rsid w:val="00F1291D"/>
    <w:rsid w:val="00F12948"/>
    <w:rsid w:val="00F12A22"/>
    <w:rsid w:val="00F12D6A"/>
    <w:rsid w:val="00F12E7C"/>
    <w:rsid w:val="00F12F51"/>
    <w:rsid w:val="00F130B9"/>
    <w:rsid w:val="00F1316C"/>
    <w:rsid w:val="00F13260"/>
    <w:rsid w:val="00F13280"/>
    <w:rsid w:val="00F13319"/>
    <w:rsid w:val="00F13343"/>
    <w:rsid w:val="00F1363C"/>
    <w:rsid w:val="00F13831"/>
    <w:rsid w:val="00F1397F"/>
    <w:rsid w:val="00F13A33"/>
    <w:rsid w:val="00F13C4F"/>
    <w:rsid w:val="00F13DE7"/>
    <w:rsid w:val="00F13F9D"/>
    <w:rsid w:val="00F14085"/>
    <w:rsid w:val="00F140E5"/>
    <w:rsid w:val="00F144D3"/>
    <w:rsid w:val="00F1458D"/>
    <w:rsid w:val="00F14752"/>
    <w:rsid w:val="00F14AD9"/>
    <w:rsid w:val="00F14B68"/>
    <w:rsid w:val="00F14DCA"/>
    <w:rsid w:val="00F14F93"/>
    <w:rsid w:val="00F14FE4"/>
    <w:rsid w:val="00F1508C"/>
    <w:rsid w:val="00F15177"/>
    <w:rsid w:val="00F15204"/>
    <w:rsid w:val="00F15306"/>
    <w:rsid w:val="00F1549D"/>
    <w:rsid w:val="00F155B2"/>
    <w:rsid w:val="00F155D6"/>
    <w:rsid w:val="00F15A7C"/>
    <w:rsid w:val="00F15C5D"/>
    <w:rsid w:val="00F15C92"/>
    <w:rsid w:val="00F16209"/>
    <w:rsid w:val="00F162A4"/>
    <w:rsid w:val="00F1640D"/>
    <w:rsid w:val="00F165EF"/>
    <w:rsid w:val="00F16A4E"/>
    <w:rsid w:val="00F16B9E"/>
    <w:rsid w:val="00F16FD5"/>
    <w:rsid w:val="00F1710C"/>
    <w:rsid w:val="00F17C80"/>
    <w:rsid w:val="00F17DB9"/>
    <w:rsid w:val="00F17E91"/>
    <w:rsid w:val="00F17F3B"/>
    <w:rsid w:val="00F200C8"/>
    <w:rsid w:val="00F2018B"/>
    <w:rsid w:val="00F20218"/>
    <w:rsid w:val="00F202A9"/>
    <w:rsid w:val="00F2031A"/>
    <w:rsid w:val="00F2060B"/>
    <w:rsid w:val="00F20957"/>
    <w:rsid w:val="00F211E3"/>
    <w:rsid w:val="00F21303"/>
    <w:rsid w:val="00F21627"/>
    <w:rsid w:val="00F219A4"/>
    <w:rsid w:val="00F21A5C"/>
    <w:rsid w:val="00F21AB2"/>
    <w:rsid w:val="00F21AD0"/>
    <w:rsid w:val="00F21DF4"/>
    <w:rsid w:val="00F21F31"/>
    <w:rsid w:val="00F21F8D"/>
    <w:rsid w:val="00F220B7"/>
    <w:rsid w:val="00F22200"/>
    <w:rsid w:val="00F22346"/>
    <w:rsid w:val="00F224DD"/>
    <w:rsid w:val="00F22A66"/>
    <w:rsid w:val="00F22B4A"/>
    <w:rsid w:val="00F22B6D"/>
    <w:rsid w:val="00F22C85"/>
    <w:rsid w:val="00F22D9B"/>
    <w:rsid w:val="00F230A3"/>
    <w:rsid w:val="00F2311E"/>
    <w:rsid w:val="00F23157"/>
    <w:rsid w:val="00F23357"/>
    <w:rsid w:val="00F2360D"/>
    <w:rsid w:val="00F23838"/>
    <w:rsid w:val="00F239EF"/>
    <w:rsid w:val="00F23ABF"/>
    <w:rsid w:val="00F23C67"/>
    <w:rsid w:val="00F23E55"/>
    <w:rsid w:val="00F2412A"/>
    <w:rsid w:val="00F24640"/>
    <w:rsid w:val="00F24B87"/>
    <w:rsid w:val="00F24D4C"/>
    <w:rsid w:val="00F24E07"/>
    <w:rsid w:val="00F25124"/>
    <w:rsid w:val="00F251B9"/>
    <w:rsid w:val="00F252EA"/>
    <w:rsid w:val="00F25372"/>
    <w:rsid w:val="00F25406"/>
    <w:rsid w:val="00F256EB"/>
    <w:rsid w:val="00F258E9"/>
    <w:rsid w:val="00F258F6"/>
    <w:rsid w:val="00F25AC2"/>
    <w:rsid w:val="00F25D3A"/>
    <w:rsid w:val="00F25E43"/>
    <w:rsid w:val="00F25EFF"/>
    <w:rsid w:val="00F25FF7"/>
    <w:rsid w:val="00F2629A"/>
    <w:rsid w:val="00F26629"/>
    <w:rsid w:val="00F2696F"/>
    <w:rsid w:val="00F26A9A"/>
    <w:rsid w:val="00F26D8C"/>
    <w:rsid w:val="00F26FE8"/>
    <w:rsid w:val="00F2701D"/>
    <w:rsid w:val="00F2718E"/>
    <w:rsid w:val="00F275C0"/>
    <w:rsid w:val="00F276F6"/>
    <w:rsid w:val="00F278AC"/>
    <w:rsid w:val="00F27AA3"/>
    <w:rsid w:val="00F27BFF"/>
    <w:rsid w:val="00F27D7B"/>
    <w:rsid w:val="00F3015B"/>
    <w:rsid w:val="00F309FB"/>
    <w:rsid w:val="00F30AED"/>
    <w:rsid w:val="00F30C6C"/>
    <w:rsid w:val="00F30CA7"/>
    <w:rsid w:val="00F30DEC"/>
    <w:rsid w:val="00F30F3D"/>
    <w:rsid w:val="00F30F7B"/>
    <w:rsid w:val="00F31595"/>
    <w:rsid w:val="00F31943"/>
    <w:rsid w:val="00F319F3"/>
    <w:rsid w:val="00F31EE6"/>
    <w:rsid w:val="00F31F04"/>
    <w:rsid w:val="00F321DB"/>
    <w:rsid w:val="00F32283"/>
    <w:rsid w:val="00F322C9"/>
    <w:rsid w:val="00F323EF"/>
    <w:rsid w:val="00F32770"/>
    <w:rsid w:val="00F329C0"/>
    <w:rsid w:val="00F32A35"/>
    <w:rsid w:val="00F32A8F"/>
    <w:rsid w:val="00F32C53"/>
    <w:rsid w:val="00F32D6F"/>
    <w:rsid w:val="00F32D99"/>
    <w:rsid w:val="00F3304A"/>
    <w:rsid w:val="00F33926"/>
    <w:rsid w:val="00F3392A"/>
    <w:rsid w:val="00F33956"/>
    <w:rsid w:val="00F33996"/>
    <w:rsid w:val="00F33A31"/>
    <w:rsid w:val="00F33A9B"/>
    <w:rsid w:val="00F33B70"/>
    <w:rsid w:val="00F33BD0"/>
    <w:rsid w:val="00F33C82"/>
    <w:rsid w:val="00F33CCF"/>
    <w:rsid w:val="00F3408D"/>
    <w:rsid w:val="00F34157"/>
    <w:rsid w:val="00F34189"/>
    <w:rsid w:val="00F341C9"/>
    <w:rsid w:val="00F343A8"/>
    <w:rsid w:val="00F3447B"/>
    <w:rsid w:val="00F3461F"/>
    <w:rsid w:val="00F3469C"/>
    <w:rsid w:val="00F3478F"/>
    <w:rsid w:val="00F3485F"/>
    <w:rsid w:val="00F34AF2"/>
    <w:rsid w:val="00F34CEB"/>
    <w:rsid w:val="00F3525D"/>
    <w:rsid w:val="00F354AE"/>
    <w:rsid w:val="00F35663"/>
    <w:rsid w:val="00F356BC"/>
    <w:rsid w:val="00F35930"/>
    <w:rsid w:val="00F359C3"/>
    <w:rsid w:val="00F35A95"/>
    <w:rsid w:val="00F35C02"/>
    <w:rsid w:val="00F35CE6"/>
    <w:rsid w:val="00F362D5"/>
    <w:rsid w:val="00F3632E"/>
    <w:rsid w:val="00F364F6"/>
    <w:rsid w:val="00F36561"/>
    <w:rsid w:val="00F36BD7"/>
    <w:rsid w:val="00F36C51"/>
    <w:rsid w:val="00F36FCD"/>
    <w:rsid w:val="00F37024"/>
    <w:rsid w:val="00F37075"/>
    <w:rsid w:val="00F371A1"/>
    <w:rsid w:val="00F37249"/>
    <w:rsid w:val="00F375E5"/>
    <w:rsid w:val="00F37656"/>
    <w:rsid w:val="00F37749"/>
    <w:rsid w:val="00F378B8"/>
    <w:rsid w:val="00F37BEA"/>
    <w:rsid w:val="00F37E14"/>
    <w:rsid w:val="00F37E1F"/>
    <w:rsid w:val="00F37EE9"/>
    <w:rsid w:val="00F4005C"/>
    <w:rsid w:val="00F4037D"/>
    <w:rsid w:val="00F40767"/>
    <w:rsid w:val="00F409CC"/>
    <w:rsid w:val="00F40C39"/>
    <w:rsid w:val="00F40CCF"/>
    <w:rsid w:val="00F40E73"/>
    <w:rsid w:val="00F40F1A"/>
    <w:rsid w:val="00F41561"/>
    <w:rsid w:val="00F41565"/>
    <w:rsid w:val="00F415D5"/>
    <w:rsid w:val="00F4196F"/>
    <w:rsid w:val="00F41AF4"/>
    <w:rsid w:val="00F41AFB"/>
    <w:rsid w:val="00F41CF7"/>
    <w:rsid w:val="00F41D05"/>
    <w:rsid w:val="00F420AF"/>
    <w:rsid w:val="00F420F5"/>
    <w:rsid w:val="00F4213E"/>
    <w:rsid w:val="00F42197"/>
    <w:rsid w:val="00F42279"/>
    <w:rsid w:val="00F4241A"/>
    <w:rsid w:val="00F42824"/>
    <w:rsid w:val="00F42860"/>
    <w:rsid w:val="00F42A09"/>
    <w:rsid w:val="00F42D3A"/>
    <w:rsid w:val="00F42E76"/>
    <w:rsid w:val="00F43055"/>
    <w:rsid w:val="00F43071"/>
    <w:rsid w:val="00F43077"/>
    <w:rsid w:val="00F4316E"/>
    <w:rsid w:val="00F43251"/>
    <w:rsid w:val="00F436BD"/>
    <w:rsid w:val="00F43884"/>
    <w:rsid w:val="00F4389F"/>
    <w:rsid w:val="00F4394E"/>
    <w:rsid w:val="00F43A5B"/>
    <w:rsid w:val="00F43B16"/>
    <w:rsid w:val="00F43ED2"/>
    <w:rsid w:val="00F43F1E"/>
    <w:rsid w:val="00F43F65"/>
    <w:rsid w:val="00F43FE7"/>
    <w:rsid w:val="00F44034"/>
    <w:rsid w:val="00F442D7"/>
    <w:rsid w:val="00F4433A"/>
    <w:rsid w:val="00F4450D"/>
    <w:rsid w:val="00F44906"/>
    <w:rsid w:val="00F4499E"/>
    <w:rsid w:val="00F449CF"/>
    <w:rsid w:val="00F44CBD"/>
    <w:rsid w:val="00F44E4F"/>
    <w:rsid w:val="00F45258"/>
    <w:rsid w:val="00F4539E"/>
    <w:rsid w:val="00F454F7"/>
    <w:rsid w:val="00F456E9"/>
    <w:rsid w:val="00F4581B"/>
    <w:rsid w:val="00F459AF"/>
    <w:rsid w:val="00F45AA4"/>
    <w:rsid w:val="00F45C0F"/>
    <w:rsid w:val="00F45D82"/>
    <w:rsid w:val="00F45DBC"/>
    <w:rsid w:val="00F45EE1"/>
    <w:rsid w:val="00F46001"/>
    <w:rsid w:val="00F46108"/>
    <w:rsid w:val="00F4621E"/>
    <w:rsid w:val="00F46268"/>
    <w:rsid w:val="00F46492"/>
    <w:rsid w:val="00F465DE"/>
    <w:rsid w:val="00F46797"/>
    <w:rsid w:val="00F46CB7"/>
    <w:rsid w:val="00F46FAA"/>
    <w:rsid w:val="00F47721"/>
    <w:rsid w:val="00F47868"/>
    <w:rsid w:val="00F47AB1"/>
    <w:rsid w:val="00F47CE5"/>
    <w:rsid w:val="00F47FA0"/>
    <w:rsid w:val="00F50103"/>
    <w:rsid w:val="00F50186"/>
    <w:rsid w:val="00F5052E"/>
    <w:rsid w:val="00F50673"/>
    <w:rsid w:val="00F509CA"/>
    <w:rsid w:val="00F50C86"/>
    <w:rsid w:val="00F50CE4"/>
    <w:rsid w:val="00F50D8B"/>
    <w:rsid w:val="00F510C3"/>
    <w:rsid w:val="00F511EB"/>
    <w:rsid w:val="00F51435"/>
    <w:rsid w:val="00F514D7"/>
    <w:rsid w:val="00F515D0"/>
    <w:rsid w:val="00F52400"/>
    <w:rsid w:val="00F52536"/>
    <w:rsid w:val="00F5270B"/>
    <w:rsid w:val="00F528F5"/>
    <w:rsid w:val="00F52E3E"/>
    <w:rsid w:val="00F52EC0"/>
    <w:rsid w:val="00F53017"/>
    <w:rsid w:val="00F530D9"/>
    <w:rsid w:val="00F53209"/>
    <w:rsid w:val="00F534C2"/>
    <w:rsid w:val="00F534F9"/>
    <w:rsid w:val="00F53545"/>
    <w:rsid w:val="00F5359A"/>
    <w:rsid w:val="00F535AF"/>
    <w:rsid w:val="00F53804"/>
    <w:rsid w:val="00F53863"/>
    <w:rsid w:val="00F53DF9"/>
    <w:rsid w:val="00F53FCD"/>
    <w:rsid w:val="00F54384"/>
    <w:rsid w:val="00F547E7"/>
    <w:rsid w:val="00F5484C"/>
    <w:rsid w:val="00F54861"/>
    <w:rsid w:val="00F54A29"/>
    <w:rsid w:val="00F54AA0"/>
    <w:rsid w:val="00F54AAD"/>
    <w:rsid w:val="00F54C91"/>
    <w:rsid w:val="00F5543C"/>
    <w:rsid w:val="00F55D03"/>
    <w:rsid w:val="00F55D30"/>
    <w:rsid w:val="00F567B4"/>
    <w:rsid w:val="00F567F7"/>
    <w:rsid w:val="00F56A75"/>
    <w:rsid w:val="00F56B7C"/>
    <w:rsid w:val="00F57028"/>
    <w:rsid w:val="00F57177"/>
    <w:rsid w:val="00F57189"/>
    <w:rsid w:val="00F5719A"/>
    <w:rsid w:val="00F5723E"/>
    <w:rsid w:val="00F572AC"/>
    <w:rsid w:val="00F575F6"/>
    <w:rsid w:val="00F57835"/>
    <w:rsid w:val="00F579BC"/>
    <w:rsid w:val="00F57AEB"/>
    <w:rsid w:val="00F57B87"/>
    <w:rsid w:val="00F57CC2"/>
    <w:rsid w:val="00F60131"/>
    <w:rsid w:val="00F603C4"/>
    <w:rsid w:val="00F60477"/>
    <w:rsid w:val="00F60701"/>
    <w:rsid w:val="00F60B10"/>
    <w:rsid w:val="00F60C16"/>
    <w:rsid w:val="00F60E31"/>
    <w:rsid w:val="00F61142"/>
    <w:rsid w:val="00F61233"/>
    <w:rsid w:val="00F6150F"/>
    <w:rsid w:val="00F61604"/>
    <w:rsid w:val="00F619E6"/>
    <w:rsid w:val="00F61B17"/>
    <w:rsid w:val="00F61D8C"/>
    <w:rsid w:val="00F62434"/>
    <w:rsid w:val="00F62456"/>
    <w:rsid w:val="00F62935"/>
    <w:rsid w:val="00F62B90"/>
    <w:rsid w:val="00F62D94"/>
    <w:rsid w:val="00F62F0E"/>
    <w:rsid w:val="00F633BF"/>
    <w:rsid w:val="00F63434"/>
    <w:rsid w:val="00F6378E"/>
    <w:rsid w:val="00F63C06"/>
    <w:rsid w:val="00F63CAF"/>
    <w:rsid w:val="00F63CB2"/>
    <w:rsid w:val="00F64092"/>
    <w:rsid w:val="00F641F5"/>
    <w:rsid w:val="00F64539"/>
    <w:rsid w:val="00F645DB"/>
    <w:rsid w:val="00F64892"/>
    <w:rsid w:val="00F64946"/>
    <w:rsid w:val="00F6497B"/>
    <w:rsid w:val="00F64BE5"/>
    <w:rsid w:val="00F64E86"/>
    <w:rsid w:val="00F64F30"/>
    <w:rsid w:val="00F651DC"/>
    <w:rsid w:val="00F653AC"/>
    <w:rsid w:val="00F656AD"/>
    <w:rsid w:val="00F6576A"/>
    <w:rsid w:val="00F6584B"/>
    <w:rsid w:val="00F65861"/>
    <w:rsid w:val="00F658E2"/>
    <w:rsid w:val="00F6595E"/>
    <w:rsid w:val="00F65AD8"/>
    <w:rsid w:val="00F65CE0"/>
    <w:rsid w:val="00F6613A"/>
    <w:rsid w:val="00F661DA"/>
    <w:rsid w:val="00F66339"/>
    <w:rsid w:val="00F66533"/>
    <w:rsid w:val="00F66641"/>
    <w:rsid w:val="00F6670D"/>
    <w:rsid w:val="00F66BD9"/>
    <w:rsid w:val="00F6705C"/>
    <w:rsid w:val="00F67318"/>
    <w:rsid w:val="00F67332"/>
    <w:rsid w:val="00F67342"/>
    <w:rsid w:val="00F6786A"/>
    <w:rsid w:val="00F6787D"/>
    <w:rsid w:val="00F67999"/>
    <w:rsid w:val="00F679AA"/>
    <w:rsid w:val="00F67AFF"/>
    <w:rsid w:val="00F67B65"/>
    <w:rsid w:val="00F67F4E"/>
    <w:rsid w:val="00F70510"/>
    <w:rsid w:val="00F705AA"/>
    <w:rsid w:val="00F7061F"/>
    <w:rsid w:val="00F70632"/>
    <w:rsid w:val="00F706B4"/>
    <w:rsid w:val="00F70843"/>
    <w:rsid w:val="00F70B13"/>
    <w:rsid w:val="00F7116F"/>
    <w:rsid w:val="00F71A21"/>
    <w:rsid w:val="00F71A56"/>
    <w:rsid w:val="00F71E40"/>
    <w:rsid w:val="00F7229A"/>
    <w:rsid w:val="00F722BF"/>
    <w:rsid w:val="00F725DB"/>
    <w:rsid w:val="00F72EE0"/>
    <w:rsid w:val="00F73212"/>
    <w:rsid w:val="00F73420"/>
    <w:rsid w:val="00F735ED"/>
    <w:rsid w:val="00F736A7"/>
    <w:rsid w:val="00F73959"/>
    <w:rsid w:val="00F739EE"/>
    <w:rsid w:val="00F73AFA"/>
    <w:rsid w:val="00F73D75"/>
    <w:rsid w:val="00F74151"/>
    <w:rsid w:val="00F74449"/>
    <w:rsid w:val="00F745F4"/>
    <w:rsid w:val="00F74605"/>
    <w:rsid w:val="00F74691"/>
    <w:rsid w:val="00F7477A"/>
    <w:rsid w:val="00F74B6C"/>
    <w:rsid w:val="00F74E81"/>
    <w:rsid w:val="00F75435"/>
    <w:rsid w:val="00F75815"/>
    <w:rsid w:val="00F759D6"/>
    <w:rsid w:val="00F75BAA"/>
    <w:rsid w:val="00F7614F"/>
    <w:rsid w:val="00F766A6"/>
    <w:rsid w:val="00F767B7"/>
    <w:rsid w:val="00F76A67"/>
    <w:rsid w:val="00F76BAF"/>
    <w:rsid w:val="00F76C21"/>
    <w:rsid w:val="00F76E24"/>
    <w:rsid w:val="00F7730B"/>
    <w:rsid w:val="00F77545"/>
    <w:rsid w:val="00F775CB"/>
    <w:rsid w:val="00F7773C"/>
    <w:rsid w:val="00F80236"/>
    <w:rsid w:val="00F80393"/>
    <w:rsid w:val="00F8060B"/>
    <w:rsid w:val="00F80647"/>
    <w:rsid w:val="00F80740"/>
    <w:rsid w:val="00F8092E"/>
    <w:rsid w:val="00F809E9"/>
    <w:rsid w:val="00F80A0A"/>
    <w:rsid w:val="00F80CC3"/>
    <w:rsid w:val="00F80F46"/>
    <w:rsid w:val="00F81032"/>
    <w:rsid w:val="00F81324"/>
    <w:rsid w:val="00F813AA"/>
    <w:rsid w:val="00F816D7"/>
    <w:rsid w:val="00F81A89"/>
    <w:rsid w:val="00F81B63"/>
    <w:rsid w:val="00F81BBD"/>
    <w:rsid w:val="00F81FDD"/>
    <w:rsid w:val="00F81FF5"/>
    <w:rsid w:val="00F8206E"/>
    <w:rsid w:val="00F823CF"/>
    <w:rsid w:val="00F82559"/>
    <w:rsid w:val="00F829EC"/>
    <w:rsid w:val="00F82A53"/>
    <w:rsid w:val="00F82C25"/>
    <w:rsid w:val="00F833A5"/>
    <w:rsid w:val="00F83500"/>
    <w:rsid w:val="00F838F4"/>
    <w:rsid w:val="00F83AC9"/>
    <w:rsid w:val="00F83C07"/>
    <w:rsid w:val="00F83CD2"/>
    <w:rsid w:val="00F83E05"/>
    <w:rsid w:val="00F83EAC"/>
    <w:rsid w:val="00F83F39"/>
    <w:rsid w:val="00F8433E"/>
    <w:rsid w:val="00F84BB4"/>
    <w:rsid w:val="00F84CD2"/>
    <w:rsid w:val="00F84D8B"/>
    <w:rsid w:val="00F84E26"/>
    <w:rsid w:val="00F84FE7"/>
    <w:rsid w:val="00F85186"/>
    <w:rsid w:val="00F8548A"/>
    <w:rsid w:val="00F85562"/>
    <w:rsid w:val="00F85A53"/>
    <w:rsid w:val="00F85CDA"/>
    <w:rsid w:val="00F85DB2"/>
    <w:rsid w:val="00F85E4B"/>
    <w:rsid w:val="00F85E4F"/>
    <w:rsid w:val="00F85E5C"/>
    <w:rsid w:val="00F8607D"/>
    <w:rsid w:val="00F862C3"/>
    <w:rsid w:val="00F86F77"/>
    <w:rsid w:val="00F87AD6"/>
    <w:rsid w:val="00F87C90"/>
    <w:rsid w:val="00F87DAA"/>
    <w:rsid w:val="00F90936"/>
    <w:rsid w:val="00F90A74"/>
    <w:rsid w:val="00F90BCC"/>
    <w:rsid w:val="00F90C30"/>
    <w:rsid w:val="00F90C52"/>
    <w:rsid w:val="00F90CA6"/>
    <w:rsid w:val="00F90E19"/>
    <w:rsid w:val="00F910A2"/>
    <w:rsid w:val="00F912D2"/>
    <w:rsid w:val="00F9132C"/>
    <w:rsid w:val="00F91795"/>
    <w:rsid w:val="00F91833"/>
    <w:rsid w:val="00F918A4"/>
    <w:rsid w:val="00F918B0"/>
    <w:rsid w:val="00F91B1F"/>
    <w:rsid w:val="00F91BE8"/>
    <w:rsid w:val="00F91EF2"/>
    <w:rsid w:val="00F920C4"/>
    <w:rsid w:val="00F923E8"/>
    <w:rsid w:val="00F9251E"/>
    <w:rsid w:val="00F925A9"/>
    <w:rsid w:val="00F92687"/>
    <w:rsid w:val="00F926B8"/>
    <w:rsid w:val="00F926D9"/>
    <w:rsid w:val="00F92840"/>
    <w:rsid w:val="00F92BCD"/>
    <w:rsid w:val="00F92C94"/>
    <w:rsid w:val="00F92D78"/>
    <w:rsid w:val="00F92E01"/>
    <w:rsid w:val="00F92E7B"/>
    <w:rsid w:val="00F93091"/>
    <w:rsid w:val="00F9334B"/>
    <w:rsid w:val="00F9334F"/>
    <w:rsid w:val="00F9367F"/>
    <w:rsid w:val="00F9379F"/>
    <w:rsid w:val="00F93856"/>
    <w:rsid w:val="00F93980"/>
    <w:rsid w:val="00F939F8"/>
    <w:rsid w:val="00F93AFF"/>
    <w:rsid w:val="00F93D8E"/>
    <w:rsid w:val="00F94092"/>
    <w:rsid w:val="00F9410D"/>
    <w:rsid w:val="00F94202"/>
    <w:rsid w:val="00F94566"/>
    <w:rsid w:val="00F946B7"/>
    <w:rsid w:val="00F950F8"/>
    <w:rsid w:val="00F95111"/>
    <w:rsid w:val="00F9519A"/>
    <w:rsid w:val="00F9555B"/>
    <w:rsid w:val="00F95A13"/>
    <w:rsid w:val="00F95C60"/>
    <w:rsid w:val="00F95E55"/>
    <w:rsid w:val="00F960D0"/>
    <w:rsid w:val="00F9615B"/>
    <w:rsid w:val="00F96219"/>
    <w:rsid w:val="00F96455"/>
    <w:rsid w:val="00F96635"/>
    <w:rsid w:val="00F9682E"/>
    <w:rsid w:val="00F96ABC"/>
    <w:rsid w:val="00F96E34"/>
    <w:rsid w:val="00F97161"/>
    <w:rsid w:val="00F97326"/>
    <w:rsid w:val="00F979B7"/>
    <w:rsid w:val="00F97ACA"/>
    <w:rsid w:val="00F97B0C"/>
    <w:rsid w:val="00F97C15"/>
    <w:rsid w:val="00F97CFE"/>
    <w:rsid w:val="00F97F67"/>
    <w:rsid w:val="00F97FF1"/>
    <w:rsid w:val="00FA0144"/>
    <w:rsid w:val="00FA01B5"/>
    <w:rsid w:val="00FA067A"/>
    <w:rsid w:val="00FA0778"/>
    <w:rsid w:val="00FA07EC"/>
    <w:rsid w:val="00FA08FB"/>
    <w:rsid w:val="00FA0D84"/>
    <w:rsid w:val="00FA0E41"/>
    <w:rsid w:val="00FA138C"/>
    <w:rsid w:val="00FA14BE"/>
    <w:rsid w:val="00FA15B4"/>
    <w:rsid w:val="00FA1725"/>
    <w:rsid w:val="00FA18AB"/>
    <w:rsid w:val="00FA1EAA"/>
    <w:rsid w:val="00FA22F4"/>
    <w:rsid w:val="00FA24D9"/>
    <w:rsid w:val="00FA24EF"/>
    <w:rsid w:val="00FA2532"/>
    <w:rsid w:val="00FA278C"/>
    <w:rsid w:val="00FA28C7"/>
    <w:rsid w:val="00FA2AAA"/>
    <w:rsid w:val="00FA2BEA"/>
    <w:rsid w:val="00FA2C7D"/>
    <w:rsid w:val="00FA2CBA"/>
    <w:rsid w:val="00FA2CE7"/>
    <w:rsid w:val="00FA3598"/>
    <w:rsid w:val="00FA39A1"/>
    <w:rsid w:val="00FA3BD9"/>
    <w:rsid w:val="00FA3C2B"/>
    <w:rsid w:val="00FA3C84"/>
    <w:rsid w:val="00FA3FAE"/>
    <w:rsid w:val="00FA4080"/>
    <w:rsid w:val="00FA4390"/>
    <w:rsid w:val="00FA472F"/>
    <w:rsid w:val="00FA49B2"/>
    <w:rsid w:val="00FA4CB3"/>
    <w:rsid w:val="00FA4DAF"/>
    <w:rsid w:val="00FA5108"/>
    <w:rsid w:val="00FA517F"/>
    <w:rsid w:val="00FA5B1A"/>
    <w:rsid w:val="00FA5B53"/>
    <w:rsid w:val="00FA5CB5"/>
    <w:rsid w:val="00FA5D28"/>
    <w:rsid w:val="00FA5DAD"/>
    <w:rsid w:val="00FA5EA3"/>
    <w:rsid w:val="00FA5EBA"/>
    <w:rsid w:val="00FA5F3E"/>
    <w:rsid w:val="00FA61DD"/>
    <w:rsid w:val="00FA62C2"/>
    <w:rsid w:val="00FA6525"/>
    <w:rsid w:val="00FA6945"/>
    <w:rsid w:val="00FA6CA3"/>
    <w:rsid w:val="00FA6D0D"/>
    <w:rsid w:val="00FA6D8F"/>
    <w:rsid w:val="00FA6EDB"/>
    <w:rsid w:val="00FA708A"/>
    <w:rsid w:val="00FA70C8"/>
    <w:rsid w:val="00FA727D"/>
    <w:rsid w:val="00FA7472"/>
    <w:rsid w:val="00FA7A4B"/>
    <w:rsid w:val="00FA7CC1"/>
    <w:rsid w:val="00FA7CCC"/>
    <w:rsid w:val="00FA7D6D"/>
    <w:rsid w:val="00FA7EE2"/>
    <w:rsid w:val="00FB034D"/>
    <w:rsid w:val="00FB0455"/>
    <w:rsid w:val="00FB0531"/>
    <w:rsid w:val="00FB05AA"/>
    <w:rsid w:val="00FB061C"/>
    <w:rsid w:val="00FB0639"/>
    <w:rsid w:val="00FB0646"/>
    <w:rsid w:val="00FB072D"/>
    <w:rsid w:val="00FB07AA"/>
    <w:rsid w:val="00FB098F"/>
    <w:rsid w:val="00FB0D2E"/>
    <w:rsid w:val="00FB10D6"/>
    <w:rsid w:val="00FB128B"/>
    <w:rsid w:val="00FB1326"/>
    <w:rsid w:val="00FB13E4"/>
    <w:rsid w:val="00FB1811"/>
    <w:rsid w:val="00FB1845"/>
    <w:rsid w:val="00FB18A2"/>
    <w:rsid w:val="00FB18D2"/>
    <w:rsid w:val="00FB1E81"/>
    <w:rsid w:val="00FB2089"/>
    <w:rsid w:val="00FB2791"/>
    <w:rsid w:val="00FB29DC"/>
    <w:rsid w:val="00FB2A1A"/>
    <w:rsid w:val="00FB2AB2"/>
    <w:rsid w:val="00FB2C6E"/>
    <w:rsid w:val="00FB2FDE"/>
    <w:rsid w:val="00FB31E2"/>
    <w:rsid w:val="00FB34CB"/>
    <w:rsid w:val="00FB36CD"/>
    <w:rsid w:val="00FB39BA"/>
    <w:rsid w:val="00FB3CF2"/>
    <w:rsid w:val="00FB4070"/>
    <w:rsid w:val="00FB432F"/>
    <w:rsid w:val="00FB43AA"/>
    <w:rsid w:val="00FB43F0"/>
    <w:rsid w:val="00FB4598"/>
    <w:rsid w:val="00FB461A"/>
    <w:rsid w:val="00FB46B8"/>
    <w:rsid w:val="00FB46C8"/>
    <w:rsid w:val="00FB47E8"/>
    <w:rsid w:val="00FB4AEA"/>
    <w:rsid w:val="00FB4B86"/>
    <w:rsid w:val="00FB4C41"/>
    <w:rsid w:val="00FB512B"/>
    <w:rsid w:val="00FB51C4"/>
    <w:rsid w:val="00FB5289"/>
    <w:rsid w:val="00FB5412"/>
    <w:rsid w:val="00FB5624"/>
    <w:rsid w:val="00FB56C5"/>
    <w:rsid w:val="00FB5954"/>
    <w:rsid w:val="00FB5B27"/>
    <w:rsid w:val="00FB5D07"/>
    <w:rsid w:val="00FB5DCC"/>
    <w:rsid w:val="00FB5F16"/>
    <w:rsid w:val="00FB63B3"/>
    <w:rsid w:val="00FB658A"/>
    <w:rsid w:val="00FB65F5"/>
    <w:rsid w:val="00FB67F0"/>
    <w:rsid w:val="00FB6807"/>
    <w:rsid w:val="00FB6CEA"/>
    <w:rsid w:val="00FB6D67"/>
    <w:rsid w:val="00FB712C"/>
    <w:rsid w:val="00FB73A3"/>
    <w:rsid w:val="00FB7581"/>
    <w:rsid w:val="00FB7AD7"/>
    <w:rsid w:val="00FB7B45"/>
    <w:rsid w:val="00FB7CCE"/>
    <w:rsid w:val="00FB7D30"/>
    <w:rsid w:val="00FB7F5B"/>
    <w:rsid w:val="00FB7FAD"/>
    <w:rsid w:val="00FC00D5"/>
    <w:rsid w:val="00FC028F"/>
    <w:rsid w:val="00FC0336"/>
    <w:rsid w:val="00FC06DA"/>
    <w:rsid w:val="00FC074B"/>
    <w:rsid w:val="00FC079E"/>
    <w:rsid w:val="00FC096D"/>
    <w:rsid w:val="00FC09EA"/>
    <w:rsid w:val="00FC0A38"/>
    <w:rsid w:val="00FC0FA5"/>
    <w:rsid w:val="00FC101C"/>
    <w:rsid w:val="00FC110C"/>
    <w:rsid w:val="00FC11FC"/>
    <w:rsid w:val="00FC1633"/>
    <w:rsid w:val="00FC168D"/>
    <w:rsid w:val="00FC16D3"/>
    <w:rsid w:val="00FC17F3"/>
    <w:rsid w:val="00FC1937"/>
    <w:rsid w:val="00FC1AA8"/>
    <w:rsid w:val="00FC1B0C"/>
    <w:rsid w:val="00FC1BF9"/>
    <w:rsid w:val="00FC1DB0"/>
    <w:rsid w:val="00FC1EC8"/>
    <w:rsid w:val="00FC1F86"/>
    <w:rsid w:val="00FC2004"/>
    <w:rsid w:val="00FC2021"/>
    <w:rsid w:val="00FC20D2"/>
    <w:rsid w:val="00FC2305"/>
    <w:rsid w:val="00FC2924"/>
    <w:rsid w:val="00FC2A91"/>
    <w:rsid w:val="00FC2B51"/>
    <w:rsid w:val="00FC2DD1"/>
    <w:rsid w:val="00FC2EBF"/>
    <w:rsid w:val="00FC30C0"/>
    <w:rsid w:val="00FC327F"/>
    <w:rsid w:val="00FC372B"/>
    <w:rsid w:val="00FC38ED"/>
    <w:rsid w:val="00FC3941"/>
    <w:rsid w:val="00FC3ACD"/>
    <w:rsid w:val="00FC3CC8"/>
    <w:rsid w:val="00FC3EC2"/>
    <w:rsid w:val="00FC3ECD"/>
    <w:rsid w:val="00FC3F47"/>
    <w:rsid w:val="00FC41CD"/>
    <w:rsid w:val="00FC425E"/>
    <w:rsid w:val="00FC48CA"/>
    <w:rsid w:val="00FC4B38"/>
    <w:rsid w:val="00FC4B6D"/>
    <w:rsid w:val="00FC4DBE"/>
    <w:rsid w:val="00FC51C3"/>
    <w:rsid w:val="00FC5266"/>
    <w:rsid w:val="00FC531D"/>
    <w:rsid w:val="00FC5627"/>
    <w:rsid w:val="00FC5717"/>
    <w:rsid w:val="00FC5B5F"/>
    <w:rsid w:val="00FC5BCB"/>
    <w:rsid w:val="00FC5CE9"/>
    <w:rsid w:val="00FC5D57"/>
    <w:rsid w:val="00FC5FB6"/>
    <w:rsid w:val="00FC6043"/>
    <w:rsid w:val="00FC6071"/>
    <w:rsid w:val="00FC61D6"/>
    <w:rsid w:val="00FC62CB"/>
    <w:rsid w:val="00FC6687"/>
    <w:rsid w:val="00FC6C70"/>
    <w:rsid w:val="00FC6F94"/>
    <w:rsid w:val="00FC7183"/>
    <w:rsid w:val="00FC72DA"/>
    <w:rsid w:val="00FC7374"/>
    <w:rsid w:val="00FC7384"/>
    <w:rsid w:val="00FC744A"/>
    <w:rsid w:val="00FC7AD9"/>
    <w:rsid w:val="00FC7C92"/>
    <w:rsid w:val="00FD0240"/>
    <w:rsid w:val="00FD05EF"/>
    <w:rsid w:val="00FD0875"/>
    <w:rsid w:val="00FD0C8F"/>
    <w:rsid w:val="00FD0C99"/>
    <w:rsid w:val="00FD0E1A"/>
    <w:rsid w:val="00FD10EA"/>
    <w:rsid w:val="00FD10FD"/>
    <w:rsid w:val="00FD1526"/>
    <w:rsid w:val="00FD1593"/>
    <w:rsid w:val="00FD17B4"/>
    <w:rsid w:val="00FD1B00"/>
    <w:rsid w:val="00FD1B48"/>
    <w:rsid w:val="00FD1D91"/>
    <w:rsid w:val="00FD1E0A"/>
    <w:rsid w:val="00FD203E"/>
    <w:rsid w:val="00FD2054"/>
    <w:rsid w:val="00FD23A8"/>
    <w:rsid w:val="00FD2626"/>
    <w:rsid w:val="00FD2723"/>
    <w:rsid w:val="00FD2727"/>
    <w:rsid w:val="00FD2946"/>
    <w:rsid w:val="00FD2A86"/>
    <w:rsid w:val="00FD2D64"/>
    <w:rsid w:val="00FD2E42"/>
    <w:rsid w:val="00FD2EBF"/>
    <w:rsid w:val="00FD2F98"/>
    <w:rsid w:val="00FD307E"/>
    <w:rsid w:val="00FD30AD"/>
    <w:rsid w:val="00FD3356"/>
    <w:rsid w:val="00FD3483"/>
    <w:rsid w:val="00FD360C"/>
    <w:rsid w:val="00FD3637"/>
    <w:rsid w:val="00FD38E1"/>
    <w:rsid w:val="00FD3AA4"/>
    <w:rsid w:val="00FD3C08"/>
    <w:rsid w:val="00FD3CD5"/>
    <w:rsid w:val="00FD4030"/>
    <w:rsid w:val="00FD41D3"/>
    <w:rsid w:val="00FD4386"/>
    <w:rsid w:val="00FD446F"/>
    <w:rsid w:val="00FD44BE"/>
    <w:rsid w:val="00FD4522"/>
    <w:rsid w:val="00FD4781"/>
    <w:rsid w:val="00FD4A3B"/>
    <w:rsid w:val="00FD4EBD"/>
    <w:rsid w:val="00FD4F94"/>
    <w:rsid w:val="00FD51F7"/>
    <w:rsid w:val="00FD5230"/>
    <w:rsid w:val="00FD5AB4"/>
    <w:rsid w:val="00FD5AD1"/>
    <w:rsid w:val="00FD5D40"/>
    <w:rsid w:val="00FD637F"/>
    <w:rsid w:val="00FD6479"/>
    <w:rsid w:val="00FD655F"/>
    <w:rsid w:val="00FD6745"/>
    <w:rsid w:val="00FD6C0C"/>
    <w:rsid w:val="00FD6D30"/>
    <w:rsid w:val="00FD6F17"/>
    <w:rsid w:val="00FD7229"/>
    <w:rsid w:val="00FD723C"/>
    <w:rsid w:val="00FD75B6"/>
    <w:rsid w:val="00FD75E1"/>
    <w:rsid w:val="00FD7784"/>
    <w:rsid w:val="00FD7AB8"/>
    <w:rsid w:val="00FD7C24"/>
    <w:rsid w:val="00FE0031"/>
    <w:rsid w:val="00FE0488"/>
    <w:rsid w:val="00FE0C87"/>
    <w:rsid w:val="00FE0D55"/>
    <w:rsid w:val="00FE12AF"/>
    <w:rsid w:val="00FE1458"/>
    <w:rsid w:val="00FE1684"/>
    <w:rsid w:val="00FE16E7"/>
    <w:rsid w:val="00FE170C"/>
    <w:rsid w:val="00FE1796"/>
    <w:rsid w:val="00FE19AC"/>
    <w:rsid w:val="00FE19BC"/>
    <w:rsid w:val="00FE1B0D"/>
    <w:rsid w:val="00FE1F69"/>
    <w:rsid w:val="00FE2003"/>
    <w:rsid w:val="00FE2381"/>
    <w:rsid w:val="00FE25A4"/>
    <w:rsid w:val="00FE2732"/>
    <w:rsid w:val="00FE295B"/>
    <w:rsid w:val="00FE2A70"/>
    <w:rsid w:val="00FE2D87"/>
    <w:rsid w:val="00FE2F01"/>
    <w:rsid w:val="00FE301D"/>
    <w:rsid w:val="00FE30A6"/>
    <w:rsid w:val="00FE30FC"/>
    <w:rsid w:val="00FE3351"/>
    <w:rsid w:val="00FE3609"/>
    <w:rsid w:val="00FE3749"/>
    <w:rsid w:val="00FE376D"/>
    <w:rsid w:val="00FE3F97"/>
    <w:rsid w:val="00FE40B8"/>
    <w:rsid w:val="00FE4290"/>
    <w:rsid w:val="00FE44DE"/>
    <w:rsid w:val="00FE4A1D"/>
    <w:rsid w:val="00FE4DDC"/>
    <w:rsid w:val="00FE4F91"/>
    <w:rsid w:val="00FE5158"/>
    <w:rsid w:val="00FE5182"/>
    <w:rsid w:val="00FE5225"/>
    <w:rsid w:val="00FE52CF"/>
    <w:rsid w:val="00FE5313"/>
    <w:rsid w:val="00FE57C0"/>
    <w:rsid w:val="00FE5C24"/>
    <w:rsid w:val="00FE5C65"/>
    <w:rsid w:val="00FE5C96"/>
    <w:rsid w:val="00FE5E1A"/>
    <w:rsid w:val="00FE60E2"/>
    <w:rsid w:val="00FE6310"/>
    <w:rsid w:val="00FE66B6"/>
    <w:rsid w:val="00FE68A6"/>
    <w:rsid w:val="00FE6AD1"/>
    <w:rsid w:val="00FE6BF3"/>
    <w:rsid w:val="00FE6E0A"/>
    <w:rsid w:val="00FE6E43"/>
    <w:rsid w:val="00FE73CF"/>
    <w:rsid w:val="00FE746F"/>
    <w:rsid w:val="00FE785C"/>
    <w:rsid w:val="00FE785D"/>
    <w:rsid w:val="00FE78FC"/>
    <w:rsid w:val="00FE7A12"/>
    <w:rsid w:val="00FE7C00"/>
    <w:rsid w:val="00FF0135"/>
    <w:rsid w:val="00FF060A"/>
    <w:rsid w:val="00FF07E9"/>
    <w:rsid w:val="00FF0B60"/>
    <w:rsid w:val="00FF0B74"/>
    <w:rsid w:val="00FF0CE5"/>
    <w:rsid w:val="00FF101D"/>
    <w:rsid w:val="00FF102D"/>
    <w:rsid w:val="00FF1136"/>
    <w:rsid w:val="00FF12ED"/>
    <w:rsid w:val="00FF146A"/>
    <w:rsid w:val="00FF155C"/>
    <w:rsid w:val="00FF15C6"/>
    <w:rsid w:val="00FF1626"/>
    <w:rsid w:val="00FF1732"/>
    <w:rsid w:val="00FF1A15"/>
    <w:rsid w:val="00FF1AE1"/>
    <w:rsid w:val="00FF1B42"/>
    <w:rsid w:val="00FF1E72"/>
    <w:rsid w:val="00FF1F18"/>
    <w:rsid w:val="00FF20EE"/>
    <w:rsid w:val="00FF22B1"/>
    <w:rsid w:val="00FF239C"/>
    <w:rsid w:val="00FF2443"/>
    <w:rsid w:val="00FF2471"/>
    <w:rsid w:val="00FF261D"/>
    <w:rsid w:val="00FF2899"/>
    <w:rsid w:val="00FF2930"/>
    <w:rsid w:val="00FF2C8A"/>
    <w:rsid w:val="00FF2E85"/>
    <w:rsid w:val="00FF30EB"/>
    <w:rsid w:val="00FF30F1"/>
    <w:rsid w:val="00FF31F4"/>
    <w:rsid w:val="00FF3232"/>
    <w:rsid w:val="00FF3382"/>
    <w:rsid w:val="00FF35AC"/>
    <w:rsid w:val="00FF361F"/>
    <w:rsid w:val="00FF3632"/>
    <w:rsid w:val="00FF36A4"/>
    <w:rsid w:val="00FF4069"/>
    <w:rsid w:val="00FF422D"/>
    <w:rsid w:val="00FF42D4"/>
    <w:rsid w:val="00FF43F3"/>
    <w:rsid w:val="00FF4754"/>
    <w:rsid w:val="00FF475D"/>
    <w:rsid w:val="00FF47A8"/>
    <w:rsid w:val="00FF4CCD"/>
    <w:rsid w:val="00FF4CFF"/>
    <w:rsid w:val="00FF4D24"/>
    <w:rsid w:val="00FF501B"/>
    <w:rsid w:val="00FF506E"/>
    <w:rsid w:val="00FF5206"/>
    <w:rsid w:val="00FF5526"/>
    <w:rsid w:val="00FF58E4"/>
    <w:rsid w:val="00FF599A"/>
    <w:rsid w:val="00FF5A57"/>
    <w:rsid w:val="00FF5AAE"/>
    <w:rsid w:val="00FF5BD1"/>
    <w:rsid w:val="00FF5C7E"/>
    <w:rsid w:val="00FF5DC2"/>
    <w:rsid w:val="00FF5F8D"/>
    <w:rsid w:val="00FF61A2"/>
    <w:rsid w:val="00FF6527"/>
    <w:rsid w:val="00FF664E"/>
    <w:rsid w:val="00FF6B21"/>
    <w:rsid w:val="00FF6CAC"/>
    <w:rsid w:val="00FF6F04"/>
    <w:rsid w:val="00FF73A1"/>
    <w:rsid w:val="00FF7422"/>
    <w:rsid w:val="00FF7558"/>
    <w:rsid w:val="00FF76B7"/>
    <w:rsid w:val="00FF7768"/>
    <w:rsid w:val="00FF7887"/>
    <w:rsid w:val="00FF79D8"/>
    <w:rsid w:val="00FF7B18"/>
    <w:rsid w:val="00FF7DB8"/>
    <w:rsid w:val="00FF7E72"/>
    <w:rsid w:val="00FF7F98"/>
    <w:rsid w:val="00FF7FAD"/>
    <w:rsid w:val="010DC5C9"/>
    <w:rsid w:val="017780FF"/>
    <w:rsid w:val="01835E39"/>
    <w:rsid w:val="0199B5B5"/>
    <w:rsid w:val="019E1B44"/>
    <w:rsid w:val="01B95BE3"/>
    <w:rsid w:val="01CCCA5C"/>
    <w:rsid w:val="01D7D13A"/>
    <w:rsid w:val="01DB8D7F"/>
    <w:rsid w:val="01F0A97D"/>
    <w:rsid w:val="01F9979F"/>
    <w:rsid w:val="022ECB53"/>
    <w:rsid w:val="02374315"/>
    <w:rsid w:val="0247A6DF"/>
    <w:rsid w:val="024E79B1"/>
    <w:rsid w:val="0286834C"/>
    <w:rsid w:val="029CA4BD"/>
    <w:rsid w:val="02A5FADC"/>
    <w:rsid w:val="02C8B23B"/>
    <w:rsid w:val="02DD11DA"/>
    <w:rsid w:val="02E01945"/>
    <w:rsid w:val="02E95A2E"/>
    <w:rsid w:val="031737DE"/>
    <w:rsid w:val="0343434B"/>
    <w:rsid w:val="036A0036"/>
    <w:rsid w:val="038F7292"/>
    <w:rsid w:val="03967FFA"/>
    <w:rsid w:val="039DDEDA"/>
    <w:rsid w:val="03A63408"/>
    <w:rsid w:val="03C149AD"/>
    <w:rsid w:val="03D98D6D"/>
    <w:rsid w:val="03E84AB1"/>
    <w:rsid w:val="03ED62FD"/>
    <w:rsid w:val="043F4543"/>
    <w:rsid w:val="04869F54"/>
    <w:rsid w:val="0487D8B5"/>
    <w:rsid w:val="0490AE52"/>
    <w:rsid w:val="049574DD"/>
    <w:rsid w:val="049B2173"/>
    <w:rsid w:val="049FFC13"/>
    <w:rsid w:val="04D2365F"/>
    <w:rsid w:val="055660B5"/>
    <w:rsid w:val="056DA7F2"/>
    <w:rsid w:val="0588CD22"/>
    <w:rsid w:val="058A4360"/>
    <w:rsid w:val="059F913B"/>
    <w:rsid w:val="05C95F4F"/>
    <w:rsid w:val="05F18510"/>
    <w:rsid w:val="060087D9"/>
    <w:rsid w:val="063A2AF0"/>
    <w:rsid w:val="06580228"/>
    <w:rsid w:val="06940C57"/>
    <w:rsid w:val="06A50023"/>
    <w:rsid w:val="06B738F5"/>
    <w:rsid w:val="06BB46DF"/>
    <w:rsid w:val="06C51CAF"/>
    <w:rsid w:val="06F4E47B"/>
    <w:rsid w:val="070D5A55"/>
    <w:rsid w:val="07473A06"/>
    <w:rsid w:val="075CD805"/>
    <w:rsid w:val="0780575C"/>
    <w:rsid w:val="07814965"/>
    <w:rsid w:val="078E05CA"/>
    <w:rsid w:val="079791E1"/>
    <w:rsid w:val="07B3EB65"/>
    <w:rsid w:val="07B70639"/>
    <w:rsid w:val="07BC2E6E"/>
    <w:rsid w:val="07BE776F"/>
    <w:rsid w:val="07F3CB43"/>
    <w:rsid w:val="07FB0AA4"/>
    <w:rsid w:val="08112DD1"/>
    <w:rsid w:val="08293866"/>
    <w:rsid w:val="08496DD1"/>
    <w:rsid w:val="084ADF02"/>
    <w:rsid w:val="0857C3A8"/>
    <w:rsid w:val="08762B32"/>
    <w:rsid w:val="09018C16"/>
    <w:rsid w:val="0944717F"/>
    <w:rsid w:val="099BEFA0"/>
    <w:rsid w:val="09D027D4"/>
    <w:rsid w:val="0A10F401"/>
    <w:rsid w:val="0A2695E4"/>
    <w:rsid w:val="0A4D461B"/>
    <w:rsid w:val="0A646F69"/>
    <w:rsid w:val="0A6FAF72"/>
    <w:rsid w:val="0A9376BC"/>
    <w:rsid w:val="0A9DF61A"/>
    <w:rsid w:val="0AB9C067"/>
    <w:rsid w:val="0ABAAB78"/>
    <w:rsid w:val="0ABF8A5F"/>
    <w:rsid w:val="0AD61003"/>
    <w:rsid w:val="0AE43509"/>
    <w:rsid w:val="0AF82E1B"/>
    <w:rsid w:val="0B26E371"/>
    <w:rsid w:val="0B2CF784"/>
    <w:rsid w:val="0B6811D6"/>
    <w:rsid w:val="0B869BB9"/>
    <w:rsid w:val="0B8B4F31"/>
    <w:rsid w:val="0B8DBA0E"/>
    <w:rsid w:val="0B9D075C"/>
    <w:rsid w:val="0BA62CFF"/>
    <w:rsid w:val="0BA96895"/>
    <w:rsid w:val="0BD8F285"/>
    <w:rsid w:val="0BDE1415"/>
    <w:rsid w:val="0C2B468C"/>
    <w:rsid w:val="0C32002D"/>
    <w:rsid w:val="0C8DDDF2"/>
    <w:rsid w:val="0C9F3800"/>
    <w:rsid w:val="0CB06F0F"/>
    <w:rsid w:val="0CB7F2F4"/>
    <w:rsid w:val="0CBB6105"/>
    <w:rsid w:val="0CCB75A2"/>
    <w:rsid w:val="0CF21EC0"/>
    <w:rsid w:val="0D11FE36"/>
    <w:rsid w:val="0D52C624"/>
    <w:rsid w:val="0D55CF72"/>
    <w:rsid w:val="0D5B508E"/>
    <w:rsid w:val="0D6C89A3"/>
    <w:rsid w:val="0DB2DA31"/>
    <w:rsid w:val="0DCA09E1"/>
    <w:rsid w:val="0DEA8CC2"/>
    <w:rsid w:val="0E0AD685"/>
    <w:rsid w:val="0E417883"/>
    <w:rsid w:val="0E71547B"/>
    <w:rsid w:val="0E7C15E8"/>
    <w:rsid w:val="0E7F4088"/>
    <w:rsid w:val="0E8DFF84"/>
    <w:rsid w:val="0ECAFB27"/>
    <w:rsid w:val="0ED910D9"/>
    <w:rsid w:val="0EDF251B"/>
    <w:rsid w:val="0EF58DA0"/>
    <w:rsid w:val="0F054DA2"/>
    <w:rsid w:val="0F2EFB30"/>
    <w:rsid w:val="0F5F5892"/>
    <w:rsid w:val="0F66C71D"/>
    <w:rsid w:val="0F9B4A47"/>
    <w:rsid w:val="0FA02E6E"/>
    <w:rsid w:val="0FD95E87"/>
    <w:rsid w:val="1009B1C3"/>
    <w:rsid w:val="100E63B7"/>
    <w:rsid w:val="102B4CBC"/>
    <w:rsid w:val="10304574"/>
    <w:rsid w:val="1039A986"/>
    <w:rsid w:val="1077DA1F"/>
    <w:rsid w:val="107BC719"/>
    <w:rsid w:val="107F6A09"/>
    <w:rsid w:val="108CF493"/>
    <w:rsid w:val="1095B6F5"/>
    <w:rsid w:val="109959A6"/>
    <w:rsid w:val="10A16487"/>
    <w:rsid w:val="10D50B9F"/>
    <w:rsid w:val="10F2EC71"/>
    <w:rsid w:val="11048B63"/>
    <w:rsid w:val="1107400D"/>
    <w:rsid w:val="1112A893"/>
    <w:rsid w:val="113DEF8A"/>
    <w:rsid w:val="114B3868"/>
    <w:rsid w:val="1176A6C7"/>
    <w:rsid w:val="117F32D6"/>
    <w:rsid w:val="11A0B446"/>
    <w:rsid w:val="12098C17"/>
    <w:rsid w:val="121105AE"/>
    <w:rsid w:val="122DB8D0"/>
    <w:rsid w:val="124E3A8A"/>
    <w:rsid w:val="12C67854"/>
    <w:rsid w:val="12E86B0E"/>
    <w:rsid w:val="131C01E5"/>
    <w:rsid w:val="136CCC21"/>
    <w:rsid w:val="137F55FF"/>
    <w:rsid w:val="138BC22A"/>
    <w:rsid w:val="13AF787D"/>
    <w:rsid w:val="13B37C5D"/>
    <w:rsid w:val="13E62596"/>
    <w:rsid w:val="1435510E"/>
    <w:rsid w:val="145C7FED"/>
    <w:rsid w:val="145FCC4F"/>
    <w:rsid w:val="1466AA68"/>
    <w:rsid w:val="14906041"/>
    <w:rsid w:val="1499EA5A"/>
    <w:rsid w:val="14A6973F"/>
    <w:rsid w:val="14AAE267"/>
    <w:rsid w:val="14E4D5B3"/>
    <w:rsid w:val="14F98EC6"/>
    <w:rsid w:val="15158DAD"/>
    <w:rsid w:val="151A787A"/>
    <w:rsid w:val="156DBDF4"/>
    <w:rsid w:val="157B1BB0"/>
    <w:rsid w:val="15A00EE2"/>
    <w:rsid w:val="15C15B6F"/>
    <w:rsid w:val="15E8E11F"/>
    <w:rsid w:val="15F84FA2"/>
    <w:rsid w:val="161E3C08"/>
    <w:rsid w:val="165638E2"/>
    <w:rsid w:val="165C1A4E"/>
    <w:rsid w:val="165F2EAF"/>
    <w:rsid w:val="16756B45"/>
    <w:rsid w:val="168F6E65"/>
    <w:rsid w:val="169DF8E0"/>
    <w:rsid w:val="16A66ECE"/>
    <w:rsid w:val="16C7D705"/>
    <w:rsid w:val="16E27FF1"/>
    <w:rsid w:val="16F34442"/>
    <w:rsid w:val="16F8C560"/>
    <w:rsid w:val="16FE5E46"/>
    <w:rsid w:val="1719658E"/>
    <w:rsid w:val="172E6AFC"/>
    <w:rsid w:val="172ED825"/>
    <w:rsid w:val="177C3DD5"/>
    <w:rsid w:val="177F6FDC"/>
    <w:rsid w:val="1789CB7C"/>
    <w:rsid w:val="178E7720"/>
    <w:rsid w:val="178EC32B"/>
    <w:rsid w:val="17CD2A1F"/>
    <w:rsid w:val="17CF49DB"/>
    <w:rsid w:val="17F2270C"/>
    <w:rsid w:val="180A1B52"/>
    <w:rsid w:val="1813928D"/>
    <w:rsid w:val="1816DA14"/>
    <w:rsid w:val="1854E61D"/>
    <w:rsid w:val="186FD4F6"/>
    <w:rsid w:val="187D6169"/>
    <w:rsid w:val="1886E660"/>
    <w:rsid w:val="189CEB10"/>
    <w:rsid w:val="189F9568"/>
    <w:rsid w:val="18A7F2A0"/>
    <w:rsid w:val="18C646A4"/>
    <w:rsid w:val="18DAE663"/>
    <w:rsid w:val="18E5E00C"/>
    <w:rsid w:val="18E93BA8"/>
    <w:rsid w:val="18EF891A"/>
    <w:rsid w:val="1908E649"/>
    <w:rsid w:val="19179F79"/>
    <w:rsid w:val="19460973"/>
    <w:rsid w:val="19634959"/>
    <w:rsid w:val="199ADDE5"/>
    <w:rsid w:val="19A17DCD"/>
    <w:rsid w:val="19A65483"/>
    <w:rsid w:val="19B4BC45"/>
    <w:rsid w:val="19BBBD1A"/>
    <w:rsid w:val="19DD4B01"/>
    <w:rsid w:val="19E20B6C"/>
    <w:rsid w:val="19E79BD3"/>
    <w:rsid w:val="19E8AF1D"/>
    <w:rsid w:val="19ED9674"/>
    <w:rsid w:val="1A011B9D"/>
    <w:rsid w:val="1A063D5A"/>
    <w:rsid w:val="1A10D817"/>
    <w:rsid w:val="1A368030"/>
    <w:rsid w:val="1A6AAAAC"/>
    <w:rsid w:val="1A77E4DB"/>
    <w:rsid w:val="1A8DFA6A"/>
    <w:rsid w:val="1A9584AB"/>
    <w:rsid w:val="1A961C56"/>
    <w:rsid w:val="1AAA4417"/>
    <w:rsid w:val="1AE07AFC"/>
    <w:rsid w:val="1AE83C0F"/>
    <w:rsid w:val="1AF7515B"/>
    <w:rsid w:val="1B3780B2"/>
    <w:rsid w:val="1B503CE0"/>
    <w:rsid w:val="1B5C5D22"/>
    <w:rsid w:val="1B757338"/>
    <w:rsid w:val="1BCFFE52"/>
    <w:rsid w:val="1BE1EF87"/>
    <w:rsid w:val="1C059D11"/>
    <w:rsid w:val="1C4AAF36"/>
    <w:rsid w:val="1C567D24"/>
    <w:rsid w:val="1C6EFFBB"/>
    <w:rsid w:val="1C824DAB"/>
    <w:rsid w:val="1CAE6CFE"/>
    <w:rsid w:val="1D2FEF71"/>
    <w:rsid w:val="1D38A040"/>
    <w:rsid w:val="1D64B137"/>
    <w:rsid w:val="1D8696CF"/>
    <w:rsid w:val="1D87FEDE"/>
    <w:rsid w:val="1DA90E3B"/>
    <w:rsid w:val="1DAE9FBA"/>
    <w:rsid w:val="1DB38BE1"/>
    <w:rsid w:val="1E060C26"/>
    <w:rsid w:val="1E1AB828"/>
    <w:rsid w:val="1E575824"/>
    <w:rsid w:val="1EB4F662"/>
    <w:rsid w:val="1EB9A9A6"/>
    <w:rsid w:val="1EBE0950"/>
    <w:rsid w:val="1EC2F15D"/>
    <w:rsid w:val="1EE8D244"/>
    <w:rsid w:val="1EFC20CC"/>
    <w:rsid w:val="1F242171"/>
    <w:rsid w:val="1F321C78"/>
    <w:rsid w:val="1F49C7CC"/>
    <w:rsid w:val="1F8F22BF"/>
    <w:rsid w:val="1F977008"/>
    <w:rsid w:val="1FA41C14"/>
    <w:rsid w:val="1FA81ECF"/>
    <w:rsid w:val="1FC1F6F3"/>
    <w:rsid w:val="1FD90103"/>
    <w:rsid w:val="1FF639A8"/>
    <w:rsid w:val="204F7E70"/>
    <w:rsid w:val="2058B8A7"/>
    <w:rsid w:val="2094C0AB"/>
    <w:rsid w:val="209C0DA0"/>
    <w:rsid w:val="20A09B98"/>
    <w:rsid w:val="20D5BF4D"/>
    <w:rsid w:val="20F6ADDB"/>
    <w:rsid w:val="20FE0962"/>
    <w:rsid w:val="20FF1B03"/>
    <w:rsid w:val="211A375B"/>
    <w:rsid w:val="2163720D"/>
    <w:rsid w:val="21779EF1"/>
    <w:rsid w:val="21D0AECB"/>
    <w:rsid w:val="2219DDB9"/>
    <w:rsid w:val="221EC853"/>
    <w:rsid w:val="2254CEB9"/>
    <w:rsid w:val="22915033"/>
    <w:rsid w:val="22BC3682"/>
    <w:rsid w:val="22D959B4"/>
    <w:rsid w:val="22E8FA46"/>
    <w:rsid w:val="22F28D81"/>
    <w:rsid w:val="2301B4EA"/>
    <w:rsid w:val="231BD66B"/>
    <w:rsid w:val="231E4E08"/>
    <w:rsid w:val="235AC014"/>
    <w:rsid w:val="2380211C"/>
    <w:rsid w:val="239FBB4E"/>
    <w:rsid w:val="23C30C54"/>
    <w:rsid w:val="23F010C4"/>
    <w:rsid w:val="240379A1"/>
    <w:rsid w:val="24249651"/>
    <w:rsid w:val="243E997D"/>
    <w:rsid w:val="2440F7F4"/>
    <w:rsid w:val="24471BAE"/>
    <w:rsid w:val="24687584"/>
    <w:rsid w:val="249D6F35"/>
    <w:rsid w:val="24A11E52"/>
    <w:rsid w:val="24CBC52D"/>
    <w:rsid w:val="24ED8C9E"/>
    <w:rsid w:val="25298745"/>
    <w:rsid w:val="254CD079"/>
    <w:rsid w:val="25590CE9"/>
    <w:rsid w:val="256D645C"/>
    <w:rsid w:val="257122FF"/>
    <w:rsid w:val="25784AEF"/>
    <w:rsid w:val="25AA1AE4"/>
    <w:rsid w:val="25E395B1"/>
    <w:rsid w:val="25F40AA2"/>
    <w:rsid w:val="260765F4"/>
    <w:rsid w:val="261F1286"/>
    <w:rsid w:val="2626BC4F"/>
    <w:rsid w:val="2644351D"/>
    <w:rsid w:val="2678FA04"/>
    <w:rsid w:val="267A5491"/>
    <w:rsid w:val="2684C81C"/>
    <w:rsid w:val="26B16799"/>
    <w:rsid w:val="26C03CA5"/>
    <w:rsid w:val="26C60CFA"/>
    <w:rsid w:val="26E00915"/>
    <w:rsid w:val="26E4B741"/>
    <w:rsid w:val="26EFDF66"/>
    <w:rsid w:val="26F29478"/>
    <w:rsid w:val="27077A4E"/>
    <w:rsid w:val="272FCDC4"/>
    <w:rsid w:val="274B7B81"/>
    <w:rsid w:val="2754B44C"/>
    <w:rsid w:val="27583A11"/>
    <w:rsid w:val="275FBF91"/>
    <w:rsid w:val="27844458"/>
    <w:rsid w:val="27B16A29"/>
    <w:rsid w:val="27B43ECF"/>
    <w:rsid w:val="27C5AE0B"/>
    <w:rsid w:val="280B016C"/>
    <w:rsid w:val="280DFB65"/>
    <w:rsid w:val="28261B30"/>
    <w:rsid w:val="282C7982"/>
    <w:rsid w:val="282D903A"/>
    <w:rsid w:val="284988D5"/>
    <w:rsid w:val="2878EE3B"/>
    <w:rsid w:val="28808283"/>
    <w:rsid w:val="2887EC8D"/>
    <w:rsid w:val="28B5FB17"/>
    <w:rsid w:val="28CC01E5"/>
    <w:rsid w:val="28E8313E"/>
    <w:rsid w:val="28E970B8"/>
    <w:rsid w:val="28F946B8"/>
    <w:rsid w:val="291865DB"/>
    <w:rsid w:val="291FEDF4"/>
    <w:rsid w:val="2949A705"/>
    <w:rsid w:val="294C951D"/>
    <w:rsid w:val="296BD769"/>
    <w:rsid w:val="29B09B0B"/>
    <w:rsid w:val="29DF4516"/>
    <w:rsid w:val="29F7A35E"/>
    <w:rsid w:val="29F9BD65"/>
    <w:rsid w:val="29FC5515"/>
    <w:rsid w:val="2A014965"/>
    <w:rsid w:val="2B260517"/>
    <w:rsid w:val="2B7F95B6"/>
    <w:rsid w:val="2BB588B2"/>
    <w:rsid w:val="2BC80917"/>
    <w:rsid w:val="2BD842C4"/>
    <w:rsid w:val="2BEE0012"/>
    <w:rsid w:val="2BF69AF7"/>
    <w:rsid w:val="2C3B0428"/>
    <w:rsid w:val="2C3F3953"/>
    <w:rsid w:val="2C4CE46C"/>
    <w:rsid w:val="2C5F9B6F"/>
    <w:rsid w:val="2C66F985"/>
    <w:rsid w:val="2C743E75"/>
    <w:rsid w:val="2C770EAF"/>
    <w:rsid w:val="2C801F00"/>
    <w:rsid w:val="2C93771F"/>
    <w:rsid w:val="2C9E05C1"/>
    <w:rsid w:val="2CC81AF5"/>
    <w:rsid w:val="2D133B46"/>
    <w:rsid w:val="2D33B604"/>
    <w:rsid w:val="2D5D0315"/>
    <w:rsid w:val="2D6CAD3C"/>
    <w:rsid w:val="2D7A24D8"/>
    <w:rsid w:val="2D9CA090"/>
    <w:rsid w:val="2DB36172"/>
    <w:rsid w:val="2DD0EADF"/>
    <w:rsid w:val="2DE08EA3"/>
    <w:rsid w:val="2DEAF42B"/>
    <w:rsid w:val="2DF78539"/>
    <w:rsid w:val="2E36ED6F"/>
    <w:rsid w:val="2E512687"/>
    <w:rsid w:val="2E5B74EA"/>
    <w:rsid w:val="2E5D7626"/>
    <w:rsid w:val="2E87B6C5"/>
    <w:rsid w:val="2E919E7A"/>
    <w:rsid w:val="2E9E7174"/>
    <w:rsid w:val="2EB11E95"/>
    <w:rsid w:val="2EB64CB8"/>
    <w:rsid w:val="2EDF0F4E"/>
    <w:rsid w:val="2EE13EF7"/>
    <w:rsid w:val="2EF56393"/>
    <w:rsid w:val="2F0D2703"/>
    <w:rsid w:val="2F2014BA"/>
    <w:rsid w:val="2F351790"/>
    <w:rsid w:val="2F4257CE"/>
    <w:rsid w:val="2F496357"/>
    <w:rsid w:val="2F4C8BB6"/>
    <w:rsid w:val="2F5A7870"/>
    <w:rsid w:val="2F700BAB"/>
    <w:rsid w:val="2F970DB7"/>
    <w:rsid w:val="2F9A4689"/>
    <w:rsid w:val="2FB941BE"/>
    <w:rsid w:val="2FBD29F7"/>
    <w:rsid w:val="2FC38DEB"/>
    <w:rsid w:val="30105579"/>
    <w:rsid w:val="301C9B56"/>
    <w:rsid w:val="301D5333"/>
    <w:rsid w:val="3020F378"/>
    <w:rsid w:val="3023D02C"/>
    <w:rsid w:val="304C842D"/>
    <w:rsid w:val="3073B246"/>
    <w:rsid w:val="3082E537"/>
    <w:rsid w:val="30C4E8AA"/>
    <w:rsid w:val="30D94472"/>
    <w:rsid w:val="30F9D994"/>
    <w:rsid w:val="3105EF66"/>
    <w:rsid w:val="311A5A1D"/>
    <w:rsid w:val="311CA70C"/>
    <w:rsid w:val="312A918A"/>
    <w:rsid w:val="3135514E"/>
    <w:rsid w:val="31355FF0"/>
    <w:rsid w:val="31382CAA"/>
    <w:rsid w:val="315AF4E5"/>
    <w:rsid w:val="317F2F5D"/>
    <w:rsid w:val="317F592E"/>
    <w:rsid w:val="318075E9"/>
    <w:rsid w:val="318B4DF8"/>
    <w:rsid w:val="319E85F2"/>
    <w:rsid w:val="32039D76"/>
    <w:rsid w:val="321DE9CB"/>
    <w:rsid w:val="3224516C"/>
    <w:rsid w:val="322C2520"/>
    <w:rsid w:val="322E2401"/>
    <w:rsid w:val="322F2439"/>
    <w:rsid w:val="32648FBE"/>
    <w:rsid w:val="328C0A57"/>
    <w:rsid w:val="329766AA"/>
    <w:rsid w:val="32AD2F03"/>
    <w:rsid w:val="32BEA78F"/>
    <w:rsid w:val="330C6110"/>
    <w:rsid w:val="3343973C"/>
    <w:rsid w:val="3355AE0D"/>
    <w:rsid w:val="337958C8"/>
    <w:rsid w:val="337A05A9"/>
    <w:rsid w:val="33876A9B"/>
    <w:rsid w:val="33A11D49"/>
    <w:rsid w:val="33D1A986"/>
    <w:rsid w:val="33E91F67"/>
    <w:rsid w:val="33EE7B62"/>
    <w:rsid w:val="33F25C60"/>
    <w:rsid w:val="33F6F504"/>
    <w:rsid w:val="3450B1E4"/>
    <w:rsid w:val="3492ACCC"/>
    <w:rsid w:val="34A01D2E"/>
    <w:rsid w:val="34ABF9F2"/>
    <w:rsid w:val="34B17ADF"/>
    <w:rsid w:val="34BB67E8"/>
    <w:rsid w:val="34BF8F4A"/>
    <w:rsid w:val="34CE184E"/>
    <w:rsid w:val="34CE8017"/>
    <w:rsid w:val="34FB1A89"/>
    <w:rsid w:val="3501982D"/>
    <w:rsid w:val="3516F139"/>
    <w:rsid w:val="3543DE51"/>
    <w:rsid w:val="354B0E85"/>
    <w:rsid w:val="355B33AB"/>
    <w:rsid w:val="3565B057"/>
    <w:rsid w:val="3572A07A"/>
    <w:rsid w:val="35762C1E"/>
    <w:rsid w:val="35E670B4"/>
    <w:rsid w:val="35F85016"/>
    <w:rsid w:val="36208D50"/>
    <w:rsid w:val="362483C2"/>
    <w:rsid w:val="3651DC90"/>
    <w:rsid w:val="36545BB1"/>
    <w:rsid w:val="36AB122E"/>
    <w:rsid w:val="36C39418"/>
    <w:rsid w:val="36C40B32"/>
    <w:rsid w:val="36C60E20"/>
    <w:rsid w:val="36C77402"/>
    <w:rsid w:val="370DB17B"/>
    <w:rsid w:val="3717D177"/>
    <w:rsid w:val="375DB3F1"/>
    <w:rsid w:val="37803170"/>
    <w:rsid w:val="379704BA"/>
    <w:rsid w:val="37A4A316"/>
    <w:rsid w:val="37B64C89"/>
    <w:rsid w:val="37C3F9A7"/>
    <w:rsid w:val="37E14D86"/>
    <w:rsid w:val="380CA237"/>
    <w:rsid w:val="3819C43F"/>
    <w:rsid w:val="3835AAD5"/>
    <w:rsid w:val="38AEA656"/>
    <w:rsid w:val="38C25BDA"/>
    <w:rsid w:val="38CD4A93"/>
    <w:rsid w:val="38EEF0CB"/>
    <w:rsid w:val="3900A3D9"/>
    <w:rsid w:val="39086FDE"/>
    <w:rsid w:val="39351987"/>
    <w:rsid w:val="3966B79F"/>
    <w:rsid w:val="399245C6"/>
    <w:rsid w:val="3997DC98"/>
    <w:rsid w:val="399AC902"/>
    <w:rsid w:val="39E49DC8"/>
    <w:rsid w:val="39F48AE6"/>
    <w:rsid w:val="3A3EB591"/>
    <w:rsid w:val="3A5B6A44"/>
    <w:rsid w:val="3A725C58"/>
    <w:rsid w:val="3A7C2FD2"/>
    <w:rsid w:val="3A85689C"/>
    <w:rsid w:val="3AB4BF6D"/>
    <w:rsid w:val="3ABBCE97"/>
    <w:rsid w:val="3ABD070B"/>
    <w:rsid w:val="3ABEDD26"/>
    <w:rsid w:val="3AFA42F7"/>
    <w:rsid w:val="3AFD3BB9"/>
    <w:rsid w:val="3B093DB6"/>
    <w:rsid w:val="3B155241"/>
    <w:rsid w:val="3B1AC261"/>
    <w:rsid w:val="3B5A080C"/>
    <w:rsid w:val="3B5A8203"/>
    <w:rsid w:val="3B879D55"/>
    <w:rsid w:val="3B900522"/>
    <w:rsid w:val="3BB68019"/>
    <w:rsid w:val="3BBD4530"/>
    <w:rsid w:val="3C2D03C7"/>
    <w:rsid w:val="3C4497AA"/>
    <w:rsid w:val="3C72606E"/>
    <w:rsid w:val="3C7B1F12"/>
    <w:rsid w:val="3C7E0B8E"/>
    <w:rsid w:val="3C956DC7"/>
    <w:rsid w:val="3C9ABE86"/>
    <w:rsid w:val="3CA89DAF"/>
    <w:rsid w:val="3CADFDD1"/>
    <w:rsid w:val="3CC21AFF"/>
    <w:rsid w:val="3CC9F81C"/>
    <w:rsid w:val="3CF3F899"/>
    <w:rsid w:val="3D266BFA"/>
    <w:rsid w:val="3D35825E"/>
    <w:rsid w:val="3D4AD0AF"/>
    <w:rsid w:val="3D60A99B"/>
    <w:rsid w:val="3D88533C"/>
    <w:rsid w:val="3DA2CB5F"/>
    <w:rsid w:val="3DB0154C"/>
    <w:rsid w:val="3DB3EF1E"/>
    <w:rsid w:val="3E22CAC4"/>
    <w:rsid w:val="3E3B6E1B"/>
    <w:rsid w:val="3E56616E"/>
    <w:rsid w:val="3E755C64"/>
    <w:rsid w:val="3E9E91C6"/>
    <w:rsid w:val="3EB0D68C"/>
    <w:rsid w:val="3ED74EAB"/>
    <w:rsid w:val="3EFC7E57"/>
    <w:rsid w:val="3F2398DB"/>
    <w:rsid w:val="3F33E1A4"/>
    <w:rsid w:val="3FD3EB1D"/>
    <w:rsid w:val="402A1AAA"/>
    <w:rsid w:val="404A4731"/>
    <w:rsid w:val="40578603"/>
    <w:rsid w:val="4094FC35"/>
    <w:rsid w:val="40956238"/>
    <w:rsid w:val="40BE33EF"/>
    <w:rsid w:val="40BE610D"/>
    <w:rsid w:val="40D2F99B"/>
    <w:rsid w:val="40D77A38"/>
    <w:rsid w:val="40EDE690"/>
    <w:rsid w:val="41359B27"/>
    <w:rsid w:val="415619D8"/>
    <w:rsid w:val="41582E24"/>
    <w:rsid w:val="4172B925"/>
    <w:rsid w:val="417CF56B"/>
    <w:rsid w:val="41963624"/>
    <w:rsid w:val="41CFE90D"/>
    <w:rsid w:val="424F4313"/>
    <w:rsid w:val="4256045E"/>
    <w:rsid w:val="4288F58C"/>
    <w:rsid w:val="428E7CF3"/>
    <w:rsid w:val="42AE115E"/>
    <w:rsid w:val="431576C7"/>
    <w:rsid w:val="433CB679"/>
    <w:rsid w:val="43465F70"/>
    <w:rsid w:val="436A3C0E"/>
    <w:rsid w:val="438F9911"/>
    <w:rsid w:val="4398398F"/>
    <w:rsid w:val="43A7FA9F"/>
    <w:rsid w:val="442D6E05"/>
    <w:rsid w:val="4437B450"/>
    <w:rsid w:val="443A0E6C"/>
    <w:rsid w:val="443B1054"/>
    <w:rsid w:val="443DD6D2"/>
    <w:rsid w:val="44611307"/>
    <w:rsid w:val="44771A99"/>
    <w:rsid w:val="4498C811"/>
    <w:rsid w:val="44B90BA6"/>
    <w:rsid w:val="44E1E03D"/>
    <w:rsid w:val="44F5ECDB"/>
    <w:rsid w:val="44FFCF28"/>
    <w:rsid w:val="450298E7"/>
    <w:rsid w:val="451D755A"/>
    <w:rsid w:val="451EC76B"/>
    <w:rsid w:val="453101AC"/>
    <w:rsid w:val="45338810"/>
    <w:rsid w:val="456F0298"/>
    <w:rsid w:val="45911E6F"/>
    <w:rsid w:val="45C1F82A"/>
    <w:rsid w:val="45CB59C3"/>
    <w:rsid w:val="45E96850"/>
    <w:rsid w:val="45FDC147"/>
    <w:rsid w:val="460CDC64"/>
    <w:rsid w:val="460D6C67"/>
    <w:rsid w:val="460E17AB"/>
    <w:rsid w:val="463D71A8"/>
    <w:rsid w:val="463EF545"/>
    <w:rsid w:val="466F6C38"/>
    <w:rsid w:val="468A682E"/>
    <w:rsid w:val="46AD3FA3"/>
    <w:rsid w:val="46B419E3"/>
    <w:rsid w:val="46B9965F"/>
    <w:rsid w:val="46CE2089"/>
    <w:rsid w:val="46D9BA62"/>
    <w:rsid w:val="46DCEC8C"/>
    <w:rsid w:val="46DE89E3"/>
    <w:rsid w:val="46F5672C"/>
    <w:rsid w:val="4714BCD5"/>
    <w:rsid w:val="471DD80B"/>
    <w:rsid w:val="47368E46"/>
    <w:rsid w:val="4768166A"/>
    <w:rsid w:val="4771775E"/>
    <w:rsid w:val="47722801"/>
    <w:rsid w:val="479DB4DA"/>
    <w:rsid w:val="479FAE0F"/>
    <w:rsid w:val="47AAD511"/>
    <w:rsid w:val="47B78D67"/>
    <w:rsid w:val="47BA2C30"/>
    <w:rsid w:val="47BCD302"/>
    <w:rsid w:val="47C384AF"/>
    <w:rsid w:val="47CDF6BB"/>
    <w:rsid w:val="47DA19F7"/>
    <w:rsid w:val="47FA0E33"/>
    <w:rsid w:val="482E19C6"/>
    <w:rsid w:val="482E56CE"/>
    <w:rsid w:val="482FC929"/>
    <w:rsid w:val="4830FEED"/>
    <w:rsid w:val="48395657"/>
    <w:rsid w:val="485C0B1C"/>
    <w:rsid w:val="489D2BC6"/>
    <w:rsid w:val="48BDD526"/>
    <w:rsid w:val="48F77928"/>
    <w:rsid w:val="4920C971"/>
    <w:rsid w:val="4926BB0A"/>
    <w:rsid w:val="4929031F"/>
    <w:rsid w:val="493D5423"/>
    <w:rsid w:val="49627CC2"/>
    <w:rsid w:val="4980688B"/>
    <w:rsid w:val="4983E719"/>
    <w:rsid w:val="49AFF993"/>
    <w:rsid w:val="49B5B397"/>
    <w:rsid w:val="49BD63E1"/>
    <w:rsid w:val="49C57303"/>
    <w:rsid w:val="49E7AA75"/>
    <w:rsid w:val="4A0129FA"/>
    <w:rsid w:val="4A2AE7B3"/>
    <w:rsid w:val="4A4DE6F6"/>
    <w:rsid w:val="4A5CF6F9"/>
    <w:rsid w:val="4A5E9B07"/>
    <w:rsid w:val="4A5EF783"/>
    <w:rsid w:val="4A7398CF"/>
    <w:rsid w:val="4A9D561F"/>
    <w:rsid w:val="4A9FC2EB"/>
    <w:rsid w:val="4ACDE71C"/>
    <w:rsid w:val="4AD829EC"/>
    <w:rsid w:val="4AD8908B"/>
    <w:rsid w:val="4B059742"/>
    <w:rsid w:val="4B0C3842"/>
    <w:rsid w:val="4B27B039"/>
    <w:rsid w:val="4B2D7410"/>
    <w:rsid w:val="4B64C27C"/>
    <w:rsid w:val="4B8DF64D"/>
    <w:rsid w:val="4B8FE6BE"/>
    <w:rsid w:val="4B961EDB"/>
    <w:rsid w:val="4B96FB03"/>
    <w:rsid w:val="4B9BAFFE"/>
    <w:rsid w:val="4BE69983"/>
    <w:rsid w:val="4C23FC77"/>
    <w:rsid w:val="4C419C65"/>
    <w:rsid w:val="4C4EB2CE"/>
    <w:rsid w:val="4C5BD48A"/>
    <w:rsid w:val="4C83ACB9"/>
    <w:rsid w:val="4C8721E0"/>
    <w:rsid w:val="4C92B44B"/>
    <w:rsid w:val="4C9857E1"/>
    <w:rsid w:val="4C9F0BEE"/>
    <w:rsid w:val="4CAAE6F4"/>
    <w:rsid w:val="4CAEEABE"/>
    <w:rsid w:val="4CEF4927"/>
    <w:rsid w:val="4CF8F3B4"/>
    <w:rsid w:val="4D04E626"/>
    <w:rsid w:val="4D0921EF"/>
    <w:rsid w:val="4D169350"/>
    <w:rsid w:val="4D1BB7C3"/>
    <w:rsid w:val="4D34ACC6"/>
    <w:rsid w:val="4D3E200E"/>
    <w:rsid w:val="4D5FB2BB"/>
    <w:rsid w:val="4D7C8394"/>
    <w:rsid w:val="4D95479E"/>
    <w:rsid w:val="4DAF8CC4"/>
    <w:rsid w:val="4DB9729D"/>
    <w:rsid w:val="4DE17E68"/>
    <w:rsid w:val="4DEB2C09"/>
    <w:rsid w:val="4DFF3AFA"/>
    <w:rsid w:val="4E4D86A3"/>
    <w:rsid w:val="4E579326"/>
    <w:rsid w:val="4E733999"/>
    <w:rsid w:val="4E954A24"/>
    <w:rsid w:val="4E9DDD65"/>
    <w:rsid w:val="4EA14CA7"/>
    <w:rsid w:val="4EA14F5C"/>
    <w:rsid w:val="4EA34B39"/>
    <w:rsid w:val="4ECF86F1"/>
    <w:rsid w:val="4EDAAA93"/>
    <w:rsid w:val="4EF602DE"/>
    <w:rsid w:val="4EFAFA91"/>
    <w:rsid w:val="4F1440FD"/>
    <w:rsid w:val="4F310BA3"/>
    <w:rsid w:val="4F451CBC"/>
    <w:rsid w:val="4F61E722"/>
    <w:rsid w:val="4F71372D"/>
    <w:rsid w:val="4F826181"/>
    <w:rsid w:val="4F829E5C"/>
    <w:rsid w:val="4F91A2E3"/>
    <w:rsid w:val="4F9875D5"/>
    <w:rsid w:val="4F996ECD"/>
    <w:rsid w:val="4F9B5EBC"/>
    <w:rsid w:val="4FAA0369"/>
    <w:rsid w:val="4FB30452"/>
    <w:rsid w:val="4FDB8945"/>
    <w:rsid w:val="4FDBA972"/>
    <w:rsid w:val="4FE7EB53"/>
    <w:rsid w:val="4FEFD854"/>
    <w:rsid w:val="4FF7EB89"/>
    <w:rsid w:val="4FFF2806"/>
    <w:rsid w:val="50124B7B"/>
    <w:rsid w:val="5021F434"/>
    <w:rsid w:val="503D1BFE"/>
    <w:rsid w:val="505932AD"/>
    <w:rsid w:val="507DB9C9"/>
    <w:rsid w:val="508283D7"/>
    <w:rsid w:val="508F82FC"/>
    <w:rsid w:val="50B302E2"/>
    <w:rsid w:val="50B64F05"/>
    <w:rsid w:val="50C37FF4"/>
    <w:rsid w:val="50C56E07"/>
    <w:rsid w:val="50DD3EDE"/>
    <w:rsid w:val="50E15E38"/>
    <w:rsid w:val="50FEA48C"/>
    <w:rsid w:val="5148BFAC"/>
    <w:rsid w:val="514E4838"/>
    <w:rsid w:val="51572AEC"/>
    <w:rsid w:val="51584AE8"/>
    <w:rsid w:val="515DFFC3"/>
    <w:rsid w:val="5169B43F"/>
    <w:rsid w:val="516CA5C1"/>
    <w:rsid w:val="51761106"/>
    <w:rsid w:val="518798C2"/>
    <w:rsid w:val="519986A5"/>
    <w:rsid w:val="51D37C40"/>
    <w:rsid w:val="524C5EDB"/>
    <w:rsid w:val="52530E2F"/>
    <w:rsid w:val="525C709D"/>
    <w:rsid w:val="526BEEAD"/>
    <w:rsid w:val="5278EC4F"/>
    <w:rsid w:val="528ABCEF"/>
    <w:rsid w:val="52B93D64"/>
    <w:rsid w:val="52DF23E0"/>
    <w:rsid w:val="52E247C7"/>
    <w:rsid w:val="532D07CD"/>
    <w:rsid w:val="532FC476"/>
    <w:rsid w:val="534F014F"/>
    <w:rsid w:val="5355634F"/>
    <w:rsid w:val="5357227F"/>
    <w:rsid w:val="535C5CA4"/>
    <w:rsid w:val="537CE211"/>
    <w:rsid w:val="53873555"/>
    <w:rsid w:val="538F0FE8"/>
    <w:rsid w:val="53D3CC0F"/>
    <w:rsid w:val="53DA9598"/>
    <w:rsid w:val="541C17C0"/>
    <w:rsid w:val="542D8052"/>
    <w:rsid w:val="544662A3"/>
    <w:rsid w:val="547C67C3"/>
    <w:rsid w:val="54945E03"/>
    <w:rsid w:val="549FDE22"/>
    <w:rsid w:val="54A1E65A"/>
    <w:rsid w:val="54BCDAA2"/>
    <w:rsid w:val="54EC8EB5"/>
    <w:rsid w:val="5501787D"/>
    <w:rsid w:val="552D7FF6"/>
    <w:rsid w:val="558E262A"/>
    <w:rsid w:val="55A1C644"/>
    <w:rsid w:val="55A83D6B"/>
    <w:rsid w:val="55BB2D4B"/>
    <w:rsid w:val="55DB9FAA"/>
    <w:rsid w:val="5604C522"/>
    <w:rsid w:val="56447981"/>
    <w:rsid w:val="567EF295"/>
    <w:rsid w:val="56B5A9B5"/>
    <w:rsid w:val="56DCB88E"/>
    <w:rsid w:val="56E0D013"/>
    <w:rsid w:val="56F191CD"/>
    <w:rsid w:val="571ECBAA"/>
    <w:rsid w:val="5741EEB1"/>
    <w:rsid w:val="575C803C"/>
    <w:rsid w:val="5764754D"/>
    <w:rsid w:val="57B22E55"/>
    <w:rsid w:val="57C41661"/>
    <w:rsid w:val="57E6C7E0"/>
    <w:rsid w:val="57E8E979"/>
    <w:rsid w:val="58007A79"/>
    <w:rsid w:val="580A9275"/>
    <w:rsid w:val="5820A5E8"/>
    <w:rsid w:val="5821C97F"/>
    <w:rsid w:val="5877E2E5"/>
    <w:rsid w:val="587CFA33"/>
    <w:rsid w:val="5880B6E4"/>
    <w:rsid w:val="5887CCA7"/>
    <w:rsid w:val="588F94FF"/>
    <w:rsid w:val="589F47ED"/>
    <w:rsid w:val="58A4094A"/>
    <w:rsid w:val="58AEF2B1"/>
    <w:rsid w:val="58CD3C18"/>
    <w:rsid w:val="58CEDE77"/>
    <w:rsid w:val="58FB88B1"/>
    <w:rsid w:val="58FE8731"/>
    <w:rsid w:val="590F7469"/>
    <w:rsid w:val="591B2375"/>
    <w:rsid w:val="593F4A09"/>
    <w:rsid w:val="59432FA6"/>
    <w:rsid w:val="594B9E46"/>
    <w:rsid w:val="595CB895"/>
    <w:rsid w:val="59662268"/>
    <w:rsid w:val="597D6936"/>
    <w:rsid w:val="598130C5"/>
    <w:rsid w:val="598F38E2"/>
    <w:rsid w:val="59CDB6BF"/>
    <w:rsid w:val="59E106F8"/>
    <w:rsid w:val="5A160F03"/>
    <w:rsid w:val="5A4FAC08"/>
    <w:rsid w:val="5A54E73A"/>
    <w:rsid w:val="5A5CFF5C"/>
    <w:rsid w:val="5A6C6764"/>
    <w:rsid w:val="5AE37ABC"/>
    <w:rsid w:val="5B07C1CC"/>
    <w:rsid w:val="5B0B8D65"/>
    <w:rsid w:val="5B121358"/>
    <w:rsid w:val="5B1BF0A1"/>
    <w:rsid w:val="5B2458A2"/>
    <w:rsid w:val="5B519588"/>
    <w:rsid w:val="5B7AF6A1"/>
    <w:rsid w:val="5B91F83F"/>
    <w:rsid w:val="5B946108"/>
    <w:rsid w:val="5BAFB8E2"/>
    <w:rsid w:val="5BD574E4"/>
    <w:rsid w:val="5BEA414D"/>
    <w:rsid w:val="5BEB8AAA"/>
    <w:rsid w:val="5C08DE2D"/>
    <w:rsid w:val="5C2D9102"/>
    <w:rsid w:val="5C2DB841"/>
    <w:rsid w:val="5C39C1DE"/>
    <w:rsid w:val="5C4F7768"/>
    <w:rsid w:val="5C7223C3"/>
    <w:rsid w:val="5C8AA498"/>
    <w:rsid w:val="5C9B2193"/>
    <w:rsid w:val="5CA0E6CD"/>
    <w:rsid w:val="5CE47432"/>
    <w:rsid w:val="5CE5F1F9"/>
    <w:rsid w:val="5CFF4E79"/>
    <w:rsid w:val="5D315F54"/>
    <w:rsid w:val="5D51EA81"/>
    <w:rsid w:val="5D586CB8"/>
    <w:rsid w:val="5D6959F5"/>
    <w:rsid w:val="5D87D61F"/>
    <w:rsid w:val="5D8A484E"/>
    <w:rsid w:val="5DA8C276"/>
    <w:rsid w:val="5DBAF087"/>
    <w:rsid w:val="5DC34F9D"/>
    <w:rsid w:val="5DD0371C"/>
    <w:rsid w:val="5DD2CE1D"/>
    <w:rsid w:val="5DE95E4B"/>
    <w:rsid w:val="5DEC9BB7"/>
    <w:rsid w:val="5DEFC1A6"/>
    <w:rsid w:val="5E05C2FC"/>
    <w:rsid w:val="5E080994"/>
    <w:rsid w:val="5E10DAE7"/>
    <w:rsid w:val="5E259878"/>
    <w:rsid w:val="5E342E98"/>
    <w:rsid w:val="5E519259"/>
    <w:rsid w:val="5E7BDF0C"/>
    <w:rsid w:val="5ECE305F"/>
    <w:rsid w:val="5EDA773D"/>
    <w:rsid w:val="5EEA09C0"/>
    <w:rsid w:val="5F05DEC5"/>
    <w:rsid w:val="5F2CE332"/>
    <w:rsid w:val="5FAC972A"/>
    <w:rsid w:val="5FB8489F"/>
    <w:rsid w:val="5FBA5A60"/>
    <w:rsid w:val="5FC30C0E"/>
    <w:rsid w:val="5FD10830"/>
    <w:rsid w:val="5FD12813"/>
    <w:rsid w:val="5FE7C9D8"/>
    <w:rsid w:val="60101D40"/>
    <w:rsid w:val="60340BC8"/>
    <w:rsid w:val="6037BDD6"/>
    <w:rsid w:val="6038C202"/>
    <w:rsid w:val="6081E8D3"/>
    <w:rsid w:val="6097F780"/>
    <w:rsid w:val="60BEF6E7"/>
    <w:rsid w:val="60F0DE65"/>
    <w:rsid w:val="60FD1879"/>
    <w:rsid w:val="611B4905"/>
    <w:rsid w:val="611E985B"/>
    <w:rsid w:val="613E828C"/>
    <w:rsid w:val="61919383"/>
    <w:rsid w:val="6194761C"/>
    <w:rsid w:val="61AAF39E"/>
    <w:rsid w:val="61C5B794"/>
    <w:rsid w:val="61D03190"/>
    <w:rsid w:val="61E71B1E"/>
    <w:rsid w:val="622ACE32"/>
    <w:rsid w:val="62577D43"/>
    <w:rsid w:val="625A90B6"/>
    <w:rsid w:val="62640EA0"/>
    <w:rsid w:val="627082A6"/>
    <w:rsid w:val="6277C807"/>
    <w:rsid w:val="62B4EFB4"/>
    <w:rsid w:val="62BC1A21"/>
    <w:rsid w:val="62E90E5A"/>
    <w:rsid w:val="62F330F0"/>
    <w:rsid w:val="62F3B49C"/>
    <w:rsid w:val="6322BCBF"/>
    <w:rsid w:val="6333A269"/>
    <w:rsid w:val="633F7A1B"/>
    <w:rsid w:val="6358B414"/>
    <w:rsid w:val="6375F27B"/>
    <w:rsid w:val="6379CFF8"/>
    <w:rsid w:val="63A74711"/>
    <w:rsid w:val="63B3AA2F"/>
    <w:rsid w:val="63FE6669"/>
    <w:rsid w:val="649EB9D2"/>
    <w:rsid w:val="64B6BCD0"/>
    <w:rsid w:val="64DC314A"/>
    <w:rsid w:val="64EAB023"/>
    <w:rsid w:val="64F72E20"/>
    <w:rsid w:val="64FADC05"/>
    <w:rsid w:val="651C6C6D"/>
    <w:rsid w:val="6522A20C"/>
    <w:rsid w:val="653283F5"/>
    <w:rsid w:val="6568E243"/>
    <w:rsid w:val="657AE90F"/>
    <w:rsid w:val="65879497"/>
    <w:rsid w:val="6594B0D5"/>
    <w:rsid w:val="659894AD"/>
    <w:rsid w:val="65B19624"/>
    <w:rsid w:val="65E7F3C5"/>
    <w:rsid w:val="6621F6EF"/>
    <w:rsid w:val="662EC641"/>
    <w:rsid w:val="667C7DA8"/>
    <w:rsid w:val="668785C8"/>
    <w:rsid w:val="66D3C7CE"/>
    <w:rsid w:val="66EA5F8A"/>
    <w:rsid w:val="674585E0"/>
    <w:rsid w:val="67652EC7"/>
    <w:rsid w:val="67696D88"/>
    <w:rsid w:val="676B23D2"/>
    <w:rsid w:val="67944D2E"/>
    <w:rsid w:val="67B6ED03"/>
    <w:rsid w:val="67C38661"/>
    <w:rsid w:val="67FCA5C1"/>
    <w:rsid w:val="68415B78"/>
    <w:rsid w:val="68A1433D"/>
    <w:rsid w:val="68D2EE19"/>
    <w:rsid w:val="68D62E90"/>
    <w:rsid w:val="693F045C"/>
    <w:rsid w:val="694E6643"/>
    <w:rsid w:val="695511DB"/>
    <w:rsid w:val="695D502B"/>
    <w:rsid w:val="695D548C"/>
    <w:rsid w:val="6968E995"/>
    <w:rsid w:val="6972EFAA"/>
    <w:rsid w:val="697E9991"/>
    <w:rsid w:val="6986AA39"/>
    <w:rsid w:val="69887CAF"/>
    <w:rsid w:val="69AF981F"/>
    <w:rsid w:val="69B30302"/>
    <w:rsid w:val="69CD69AE"/>
    <w:rsid w:val="69E43D31"/>
    <w:rsid w:val="6A0FAD80"/>
    <w:rsid w:val="6A14D2A4"/>
    <w:rsid w:val="6A2F3A80"/>
    <w:rsid w:val="6A3581AB"/>
    <w:rsid w:val="6A8203CE"/>
    <w:rsid w:val="6A9B8EC9"/>
    <w:rsid w:val="6AA9D45D"/>
    <w:rsid w:val="6AAB5064"/>
    <w:rsid w:val="6AE408E1"/>
    <w:rsid w:val="6B002563"/>
    <w:rsid w:val="6B06DDBC"/>
    <w:rsid w:val="6B107F81"/>
    <w:rsid w:val="6B41C35B"/>
    <w:rsid w:val="6B829B87"/>
    <w:rsid w:val="6B8EBB91"/>
    <w:rsid w:val="6B94FA50"/>
    <w:rsid w:val="6B971584"/>
    <w:rsid w:val="6BA0293B"/>
    <w:rsid w:val="6BE53663"/>
    <w:rsid w:val="6BF54EFE"/>
    <w:rsid w:val="6C06C2E5"/>
    <w:rsid w:val="6C1F6583"/>
    <w:rsid w:val="6C476181"/>
    <w:rsid w:val="6C66EAD7"/>
    <w:rsid w:val="6C8B1E86"/>
    <w:rsid w:val="6CBB7B18"/>
    <w:rsid w:val="6CCFBE80"/>
    <w:rsid w:val="6CD78A3E"/>
    <w:rsid w:val="6CEBF890"/>
    <w:rsid w:val="6CF23188"/>
    <w:rsid w:val="6D117768"/>
    <w:rsid w:val="6D159108"/>
    <w:rsid w:val="6D1A4F00"/>
    <w:rsid w:val="6D1F9C7E"/>
    <w:rsid w:val="6D2CC846"/>
    <w:rsid w:val="6D31C66B"/>
    <w:rsid w:val="6D3FB853"/>
    <w:rsid w:val="6D5CEE59"/>
    <w:rsid w:val="6D5FC968"/>
    <w:rsid w:val="6D6ED2E1"/>
    <w:rsid w:val="6D745F94"/>
    <w:rsid w:val="6D79C78D"/>
    <w:rsid w:val="6DAFDC68"/>
    <w:rsid w:val="6DC00D9E"/>
    <w:rsid w:val="6DC6C998"/>
    <w:rsid w:val="6DC88DB8"/>
    <w:rsid w:val="6DCE36E0"/>
    <w:rsid w:val="6DCE60D0"/>
    <w:rsid w:val="6DE7B7C9"/>
    <w:rsid w:val="6DEEF229"/>
    <w:rsid w:val="6E0D5B2B"/>
    <w:rsid w:val="6E5209AD"/>
    <w:rsid w:val="6E74ECC8"/>
    <w:rsid w:val="6EB308A5"/>
    <w:rsid w:val="6ED8C0B2"/>
    <w:rsid w:val="6EF00ED0"/>
    <w:rsid w:val="6F1FDD51"/>
    <w:rsid w:val="6F229A1F"/>
    <w:rsid w:val="6F50F779"/>
    <w:rsid w:val="6F920625"/>
    <w:rsid w:val="6FDB8928"/>
    <w:rsid w:val="6FECF4A4"/>
    <w:rsid w:val="701AB95B"/>
    <w:rsid w:val="704D4203"/>
    <w:rsid w:val="705AD05B"/>
    <w:rsid w:val="706DAC15"/>
    <w:rsid w:val="70D72E05"/>
    <w:rsid w:val="70DF09F5"/>
    <w:rsid w:val="7107A3CA"/>
    <w:rsid w:val="711191B7"/>
    <w:rsid w:val="71241FCC"/>
    <w:rsid w:val="717F6EA8"/>
    <w:rsid w:val="7187239F"/>
    <w:rsid w:val="718E5270"/>
    <w:rsid w:val="71946200"/>
    <w:rsid w:val="71BA0CB6"/>
    <w:rsid w:val="71CEAC16"/>
    <w:rsid w:val="71D1645F"/>
    <w:rsid w:val="71E29496"/>
    <w:rsid w:val="720D880C"/>
    <w:rsid w:val="722AA48E"/>
    <w:rsid w:val="722FEB7F"/>
    <w:rsid w:val="725112A6"/>
    <w:rsid w:val="725A0CB2"/>
    <w:rsid w:val="725B2648"/>
    <w:rsid w:val="725C0E57"/>
    <w:rsid w:val="729FBE90"/>
    <w:rsid w:val="72B8DE1F"/>
    <w:rsid w:val="72E60E69"/>
    <w:rsid w:val="72EEFE35"/>
    <w:rsid w:val="7304D034"/>
    <w:rsid w:val="730966DD"/>
    <w:rsid w:val="732B49DD"/>
    <w:rsid w:val="73A2901F"/>
    <w:rsid w:val="73BF674C"/>
    <w:rsid w:val="73C6BF68"/>
    <w:rsid w:val="73CBD70B"/>
    <w:rsid w:val="740819A1"/>
    <w:rsid w:val="742E344A"/>
    <w:rsid w:val="74513E20"/>
    <w:rsid w:val="74AC210B"/>
    <w:rsid w:val="74AE65BF"/>
    <w:rsid w:val="74AFDDCC"/>
    <w:rsid w:val="74C5483C"/>
    <w:rsid w:val="74FCBDF5"/>
    <w:rsid w:val="75237BF1"/>
    <w:rsid w:val="7523EFFF"/>
    <w:rsid w:val="75499992"/>
    <w:rsid w:val="75500259"/>
    <w:rsid w:val="757610EB"/>
    <w:rsid w:val="7589A0A7"/>
    <w:rsid w:val="75C76D0C"/>
    <w:rsid w:val="75D4BF44"/>
    <w:rsid w:val="75E7290C"/>
    <w:rsid w:val="761AA6E1"/>
    <w:rsid w:val="764EBF58"/>
    <w:rsid w:val="7692355D"/>
    <w:rsid w:val="76A8BD06"/>
    <w:rsid w:val="76BF52EC"/>
    <w:rsid w:val="76CF7AB0"/>
    <w:rsid w:val="7735B46E"/>
    <w:rsid w:val="776344BB"/>
    <w:rsid w:val="777D058A"/>
    <w:rsid w:val="7781B8F7"/>
    <w:rsid w:val="7793F421"/>
    <w:rsid w:val="77C31AF8"/>
    <w:rsid w:val="77CA9CAF"/>
    <w:rsid w:val="78006DD2"/>
    <w:rsid w:val="7806EFA4"/>
    <w:rsid w:val="781F14D8"/>
    <w:rsid w:val="782279B6"/>
    <w:rsid w:val="78292E80"/>
    <w:rsid w:val="7836C906"/>
    <w:rsid w:val="7849628D"/>
    <w:rsid w:val="784EF001"/>
    <w:rsid w:val="78513A88"/>
    <w:rsid w:val="789721AF"/>
    <w:rsid w:val="78A2A5D6"/>
    <w:rsid w:val="78B39160"/>
    <w:rsid w:val="78C76A71"/>
    <w:rsid w:val="78CE4E42"/>
    <w:rsid w:val="78FE14DA"/>
    <w:rsid w:val="790FC38E"/>
    <w:rsid w:val="791E8956"/>
    <w:rsid w:val="7934E887"/>
    <w:rsid w:val="793E8434"/>
    <w:rsid w:val="7942353C"/>
    <w:rsid w:val="79471229"/>
    <w:rsid w:val="794F2438"/>
    <w:rsid w:val="795DEE01"/>
    <w:rsid w:val="7965AB95"/>
    <w:rsid w:val="798AC86B"/>
    <w:rsid w:val="79A13B77"/>
    <w:rsid w:val="79C67CB7"/>
    <w:rsid w:val="79E06500"/>
    <w:rsid w:val="79EF1A23"/>
    <w:rsid w:val="7A29FE0C"/>
    <w:rsid w:val="7A3DA1D7"/>
    <w:rsid w:val="7A42C194"/>
    <w:rsid w:val="7A4B7B31"/>
    <w:rsid w:val="7A4C99B0"/>
    <w:rsid w:val="7A5E33CB"/>
    <w:rsid w:val="7A68A29F"/>
    <w:rsid w:val="7A89FFE0"/>
    <w:rsid w:val="7AA08029"/>
    <w:rsid w:val="7AA977EC"/>
    <w:rsid w:val="7AAB0385"/>
    <w:rsid w:val="7ABA46DC"/>
    <w:rsid w:val="7ABDDF7D"/>
    <w:rsid w:val="7ADA2553"/>
    <w:rsid w:val="7B13C280"/>
    <w:rsid w:val="7B3525FB"/>
    <w:rsid w:val="7B5BCFD9"/>
    <w:rsid w:val="7B5FFB9F"/>
    <w:rsid w:val="7B95EF76"/>
    <w:rsid w:val="7B9E9CAD"/>
    <w:rsid w:val="7BF16D02"/>
    <w:rsid w:val="7BFC550A"/>
    <w:rsid w:val="7C03A115"/>
    <w:rsid w:val="7C0FA1C9"/>
    <w:rsid w:val="7C138BEB"/>
    <w:rsid w:val="7C16406B"/>
    <w:rsid w:val="7C4989D5"/>
    <w:rsid w:val="7C5A1999"/>
    <w:rsid w:val="7C6B29F0"/>
    <w:rsid w:val="7C72295E"/>
    <w:rsid w:val="7C7559C5"/>
    <w:rsid w:val="7CA4CF27"/>
    <w:rsid w:val="7CAB6878"/>
    <w:rsid w:val="7CB5B8BE"/>
    <w:rsid w:val="7CBABA73"/>
    <w:rsid w:val="7CD7E980"/>
    <w:rsid w:val="7CE7A97A"/>
    <w:rsid w:val="7CE9EDA1"/>
    <w:rsid w:val="7D1E4E94"/>
    <w:rsid w:val="7D2A7ECC"/>
    <w:rsid w:val="7D8D7724"/>
    <w:rsid w:val="7D9EBB89"/>
    <w:rsid w:val="7DC57AD9"/>
    <w:rsid w:val="7DCBA08D"/>
    <w:rsid w:val="7E1BB677"/>
    <w:rsid w:val="7E524D70"/>
    <w:rsid w:val="7E6AD1F1"/>
    <w:rsid w:val="7E711E54"/>
    <w:rsid w:val="7E845E83"/>
    <w:rsid w:val="7EA3C4DB"/>
    <w:rsid w:val="7EB93740"/>
    <w:rsid w:val="7EE3D0CF"/>
    <w:rsid w:val="7EE66D6D"/>
    <w:rsid w:val="7EF4FC1B"/>
    <w:rsid w:val="7EFACC14"/>
    <w:rsid w:val="7F5176A7"/>
    <w:rsid w:val="7F9BF39E"/>
    <w:rsid w:val="7FB9A220"/>
    <w:rsid w:val="7FD0325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2"/>
    </o:shapelayout>
  </w:shapeDefaults>
  <w:decimalSymbol w:val=","/>
  <w:listSeparator w:val=";"/>
  <w14:docId w14:val="29F1D374"/>
  <w15:chartTrackingRefBased/>
  <w15:docId w15:val="{92047FCB-2928-47A7-B60E-1B46955B7E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2"/>
        <w:szCs w:val="22"/>
        <w:lang w:val="ro-RO"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406BDB"/>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4F5575"/>
    <w:rPr>
      <w:color w:val="0000FF"/>
      <w:u w:val="single"/>
    </w:rPr>
  </w:style>
  <w:style w:type="character" w:styleId="FollowedHyperlink">
    <w:name w:val="FollowedHyperlink"/>
    <w:basedOn w:val="DefaultParagraphFont"/>
    <w:uiPriority w:val="99"/>
    <w:semiHidden/>
    <w:unhideWhenUsed/>
    <w:rsid w:val="00FA5CB5"/>
    <w:rPr>
      <w:color w:val="954F72" w:themeColor="followedHyperlink"/>
      <w:u w:val="single"/>
    </w:rPr>
  </w:style>
  <w:style w:type="paragraph" w:styleId="ListParagraph">
    <w:name w:val="List Paragraph"/>
    <w:basedOn w:val="Normal"/>
    <w:link w:val="ListParagraphChar"/>
    <w:qFormat/>
    <w:rsid w:val="00613B80"/>
    <w:pPr>
      <w:ind w:left="720"/>
      <w:contextualSpacing/>
    </w:pPr>
  </w:style>
  <w:style w:type="character" w:customStyle="1" w:styleId="UnresolvedMention">
    <w:name w:val="Unresolved Mention"/>
    <w:basedOn w:val="DefaultParagraphFont"/>
    <w:uiPriority w:val="99"/>
    <w:semiHidden/>
    <w:unhideWhenUsed/>
    <w:rsid w:val="008949B8"/>
    <w:rPr>
      <w:color w:val="605E5C"/>
      <w:shd w:val="clear" w:color="auto" w:fill="E1DFDD"/>
    </w:rPr>
  </w:style>
  <w:style w:type="character" w:styleId="CommentReference">
    <w:name w:val="annotation reference"/>
    <w:basedOn w:val="DefaultParagraphFont"/>
    <w:uiPriority w:val="99"/>
    <w:semiHidden/>
    <w:unhideWhenUsed/>
    <w:rsid w:val="00FB2A1A"/>
    <w:rPr>
      <w:sz w:val="16"/>
      <w:szCs w:val="16"/>
    </w:rPr>
  </w:style>
  <w:style w:type="paragraph" w:styleId="CommentText">
    <w:name w:val="annotation text"/>
    <w:basedOn w:val="Normal"/>
    <w:link w:val="CommentTextChar"/>
    <w:uiPriority w:val="99"/>
    <w:unhideWhenUsed/>
    <w:rsid w:val="00FB2A1A"/>
    <w:pPr>
      <w:spacing w:line="240" w:lineRule="auto"/>
    </w:pPr>
    <w:rPr>
      <w:sz w:val="20"/>
      <w:szCs w:val="20"/>
    </w:rPr>
  </w:style>
  <w:style w:type="character" w:customStyle="1" w:styleId="CommentTextChar">
    <w:name w:val="Comment Text Char"/>
    <w:basedOn w:val="DefaultParagraphFont"/>
    <w:link w:val="CommentText"/>
    <w:uiPriority w:val="99"/>
    <w:rsid w:val="00FB2A1A"/>
    <w:rPr>
      <w:sz w:val="20"/>
      <w:szCs w:val="20"/>
    </w:rPr>
  </w:style>
  <w:style w:type="paragraph" w:styleId="CommentSubject">
    <w:name w:val="annotation subject"/>
    <w:basedOn w:val="CommentText"/>
    <w:next w:val="CommentText"/>
    <w:link w:val="CommentSubjectChar"/>
    <w:uiPriority w:val="99"/>
    <w:semiHidden/>
    <w:unhideWhenUsed/>
    <w:rsid w:val="00FB2A1A"/>
    <w:rPr>
      <w:b/>
      <w:bCs/>
    </w:rPr>
  </w:style>
  <w:style w:type="character" w:customStyle="1" w:styleId="CommentSubjectChar">
    <w:name w:val="Comment Subject Char"/>
    <w:basedOn w:val="CommentTextChar"/>
    <w:link w:val="CommentSubject"/>
    <w:uiPriority w:val="99"/>
    <w:semiHidden/>
    <w:rsid w:val="00FB2A1A"/>
    <w:rPr>
      <w:b/>
      <w:bCs/>
      <w:sz w:val="20"/>
      <w:szCs w:val="20"/>
    </w:rPr>
  </w:style>
  <w:style w:type="paragraph" w:customStyle="1" w:styleId="CMR-text">
    <w:name w:val="CMR - text"/>
    <w:basedOn w:val="Normal"/>
    <w:link w:val="CMR-textChar"/>
    <w:qFormat/>
    <w:rsid w:val="00643F2A"/>
    <w:pPr>
      <w:spacing w:before="240" w:after="240" w:line="276" w:lineRule="auto"/>
      <w:jc w:val="both"/>
    </w:pPr>
    <w:rPr>
      <w:rFonts w:ascii="Times New Roman" w:hAnsi="Times New Roman"/>
      <w:kern w:val="0"/>
      <w:sz w:val="24"/>
      <w14:ligatures w14:val="none"/>
    </w:rPr>
  </w:style>
  <w:style w:type="character" w:customStyle="1" w:styleId="CMR-textChar">
    <w:name w:val="CMR - text Char"/>
    <w:basedOn w:val="DefaultParagraphFont"/>
    <w:link w:val="CMR-text"/>
    <w:rsid w:val="00643F2A"/>
    <w:rPr>
      <w:rFonts w:ascii="Times New Roman" w:hAnsi="Times New Roman"/>
      <w:kern w:val="0"/>
      <w:sz w:val="24"/>
      <w14:ligatures w14:val="none"/>
    </w:rPr>
  </w:style>
  <w:style w:type="character" w:styleId="FootnoteReference">
    <w:name w:val="footnote reference"/>
    <w:aliases w:val="Footnote Refernece,BVI fnr,callout,16 Point,Superscript 6 Point,Odwołanie przypisu,Footnote symbol,Footnote Reference Number,Footnote Reference Superscript,SUPERS,Times 10 Point,Exposant 3 Point,Ref,de nota al pie,number,4_G, BVI fnr"/>
    <w:basedOn w:val="DefaultParagraphFont"/>
    <w:link w:val="FootnotesymbolCarZchn"/>
    <w:unhideWhenUsed/>
    <w:qFormat/>
    <w:rsid w:val="00187D4D"/>
    <w:rPr>
      <w:vertAlign w:val="superscript"/>
    </w:rPr>
  </w:style>
  <w:style w:type="character" w:customStyle="1" w:styleId="FootnoteTextChar">
    <w:name w:val="Footnote Text Char"/>
    <w:aliases w:val="Footnote main Char,Fußnotentextf Char,RSK-FT Char,RSK-FT1 Char,RSK-FT2 Char,5_G Char,Footnote text Char,Testo nota a piè di pagina_Rientro Char,stile 1 Char,Footnote1 Char,Footnote2 Char,Footnote3 Char,Footnote4 Char,Footnote5 Char"/>
    <w:basedOn w:val="DefaultParagraphFont"/>
    <w:link w:val="FootnoteText"/>
    <w:uiPriority w:val="99"/>
    <w:rsid w:val="00187D4D"/>
    <w:rPr>
      <w:sz w:val="20"/>
      <w:szCs w:val="20"/>
    </w:rPr>
  </w:style>
  <w:style w:type="paragraph" w:styleId="FootnoteText">
    <w:name w:val="footnote text"/>
    <w:aliases w:val="Footnote main,Fußnotentextf,RSK-FT,RSK-FT1,RSK-FT2,5_G,Footnote text,Testo nota a piè di pagina_Rientro,stile 1,Footnote1,Footnote2,Footnote3,Footnote4,Footnote5,Footnote6,Footnote7,Footnote8,Footnote9,Footnote10,Footnote11,Footnote21,Char"/>
    <w:basedOn w:val="Normal"/>
    <w:link w:val="FootnoteTextChar"/>
    <w:uiPriority w:val="99"/>
    <w:unhideWhenUsed/>
    <w:qFormat/>
    <w:rsid w:val="00187D4D"/>
    <w:pPr>
      <w:spacing w:after="0" w:line="240" w:lineRule="auto"/>
    </w:pPr>
    <w:rPr>
      <w:sz w:val="20"/>
      <w:szCs w:val="20"/>
    </w:rPr>
  </w:style>
  <w:style w:type="character" w:customStyle="1" w:styleId="FootnoteTextChar1">
    <w:name w:val="Footnote Text Char1"/>
    <w:basedOn w:val="DefaultParagraphFont"/>
    <w:uiPriority w:val="99"/>
    <w:semiHidden/>
    <w:rsid w:val="00187D4D"/>
    <w:rPr>
      <w:sz w:val="20"/>
      <w:szCs w:val="20"/>
    </w:rPr>
  </w:style>
  <w:style w:type="paragraph" w:customStyle="1" w:styleId="FootnotesymbolCarZchn">
    <w:name w:val="Footnote symbol Car Zchn"/>
    <w:aliases w:val="Footnote Car Zchn,Times 10 Point Car Zchn,Exposant 3 Point Car Zchn,Footnote Reference Superscript Car Zchn,Char Char Char Char Char Car Zchn,BVI fnr Car Zchn,SUPERS Car Zchn"/>
    <w:basedOn w:val="Normal"/>
    <w:link w:val="FootnoteReference"/>
    <w:rsid w:val="00187D4D"/>
    <w:pPr>
      <w:spacing w:line="240" w:lineRule="exact"/>
      <w:jc w:val="both"/>
    </w:pPr>
    <w:rPr>
      <w:vertAlign w:val="superscript"/>
    </w:rPr>
  </w:style>
  <w:style w:type="paragraph" w:customStyle="1" w:styleId="CMR-footnote">
    <w:name w:val="CMR - footnote"/>
    <w:basedOn w:val="FootnoteText"/>
    <w:link w:val="CMR-footnoteChar"/>
    <w:qFormat/>
    <w:rsid w:val="004B28EC"/>
    <w:pPr>
      <w:keepLines/>
      <w:spacing w:before="120" w:after="120"/>
    </w:pPr>
    <w:rPr>
      <w:rFonts w:ascii="Times New Roman" w:hAnsi="Times New Roman"/>
      <w:sz w:val="18"/>
    </w:rPr>
  </w:style>
  <w:style w:type="character" w:customStyle="1" w:styleId="CMR-footnoteChar">
    <w:name w:val="CMR - footnote Char"/>
    <w:basedOn w:val="FootnoteTextChar"/>
    <w:link w:val="CMR-footnote"/>
    <w:rsid w:val="004B28EC"/>
    <w:rPr>
      <w:rFonts w:ascii="Times New Roman" w:hAnsi="Times New Roman"/>
      <w:sz w:val="18"/>
      <w:szCs w:val="20"/>
    </w:rPr>
  </w:style>
  <w:style w:type="paragraph" w:styleId="Caption">
    <w:name w:val="caption"/>
    <w:basedOn w:val="Normal"/>
    <w:next w:val="Normal"/>
    <w:uiPriority w:val="35"/>
    <w:unhideWhenUsed/>
    <w:qFormat/>
    <w:rsid w:val="00187D4D"/>
    <w:pPr>
      <w:spacing w:before="120" w:after="120" w:line="256" w:lineRule="auto"/>
      <w:jc w:val="both"/>
    </w:pPr>
    <w:rPr>
      <w:rFonts w:ascii="Times New Roman" w:eastAsia="Calibri" w:hAnsi="Times New Roman" w:cs="Times New Roman"/>
      <w:bCs/>
      <w:i/>
      <w:kern w:val="0"/>
      <w:szCs w:val="20"/>
      <w14:ligatures w14:val="none"/>
    </w:rPr>
  </w:style>
  <w:style w:type="character" w:customStyle="1" w:styleId="Footnote1">
    <w:name w:val="Footnote|1_"/>
    <w:basedOn w:val="DefaultParagraphFont"/>
    <w:link w:val="Footnote10"/>
    <w:rsid w:val="00187D4D"/>
    <w:rPr>
      <w:sz w:val="20"/>
      <w:szCs w:val="20"/>
    </w:rPr>
  </w:style>
  <w:style w:type="character" w:customStyle="1" w:styleId="Bodytext1">
    <w:name w:val="Body text|1_"/>
    <w:basedOn w:val="DefaultParagraphFont"/>
    <w:link w:val="Bodytext10"/>
    <w:rsid w:val="00187D4D"/>
  </w:style>
  <w:style w:type="paragraph" w:customStyle="1" w:styleId="Footnote10">
    <w:name w:val="Footnote|1"/>
    <w:basedOn w:val="Normal"/>
    <w:link w:val="Footnote1"/>
    <w:rsid w:val="00187D4D"/>
    <w:pPr>
      <w:widowControl w:val="0"/>
      <w:spacing w:after="0" w:line="240" w:lineRule="auto"/>
    </w:pPr>
    <w:rPr>
      <w:sz w:val="20"/>
      <w:szCs w:val="20"/>
    </w:rPr>
  </w:style>
  <w:style w:type="paragraph" w:customStyle="1" w:styleId="Bodytext10">
    <w:name w:val="Body text|1"/>
    <w:basedOn w:val="Normal"/>
    <w:link w:val="Bodytext1"/>
    <w:rsid w:val="00187D4D"/>
    <w:pPr>
      <w:widowControl w:val="0"/>
      <w:spacing w:after="240"/>
    </w:pPr>
  </w:style>
  <w:style w:type="character" w:customStyle="1" w:styleId="Other1">
    <w:name w:val="Other|1_"/>
    <w:basedOn w:val="DefaultParagraphFont"/>
    <w:link w:val="Other10"/>
    <w:rsid w:val="00187D4D"/>
  </w:style>
  <w:style w:type="paragraph" w:customStyle="1" w:styleId="Other10">
    <w:name w:val="Other|1"/>
    <w:basedOn w:val="Normal"/>
    <w:link w:val="Other1"/>
    <w:rsid w:val="00187D4D"/>
    <w:pPr>
      <w:widowControl w:val="0"/>
      <w:spacing w:after="240"/>
    </w:pPr>
  </w:style>
  <w:style w:type="paragraph" w:customStyle="1" w:styleId="CMR-tables">
    <w:name w:val="CMR - tables"/>
    <w:basedOn w:val="CMR-text"/>
    <w:link w:val="CMR-tablesChar"/>
    <w:qFormat/>
    <w:rsid w:val="00491DC0"/>
    <w:pPr>
      <w:spacing w:before="120" w:after="120" w:line="240" w:lineRule="auto"/>
      <w:jc w:val="left"/>
    </w:pPr>
    <w:rPr>
      <w:bCs/>
      <w:sz w:val="20"/>
    </w:rPr>
  </w:style>
  <w:style w:type="character" w:customStyle="1" w:styleId="CMR-tablesChar">
    <w:name w:val="CMR - tables Char"/>
    <w:basedOn w:val="CMR-textChar"/>
    <w:link w:val="CMR-tables"/>
    <w:rsid w:val="00491DC0"/>
    <w:rPr>
      <w:rFonts w:ascii="Times New Roman" w:hAnsi="Times New Roman"/>
      <w:bCs/>
      <w:kern w:val="0"/>
      <w:sz w:val="20"/>
      <w14:ligatures w14:val="none"/>
    </w:rPr>
  </w:style>
  <w:style w:type="table" w:styleId="TableGridLight">
    <w:name w:val="Grid Table Light"/>
    <w:basedOn w:val="TableNormal"/>
    <w:uiPriority w:val="40"/>
    <w:rsid w:val="00187D4D"/>
    <w:pPr>
      <w:spacing w:after="0" w:line="240" w:lineRule="auto"/>
    </w:pPr>
    <w:rPr>
      <w:kern w:val="0"/>
      <w14:ligatures w14:val="none"/>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Revision">
    <w:name w:val="Revision"/>
    <w:hidden/>
    <w:uiPriority w:val="99"/>
    <w:semiHidden/>
    <w:rsid w:val="00C46D90"/>
    <w:pPr>
      <w:spacing w:after="0" w:line="240" w:lineRule="auto"/>
    </w:pPr>
  </w:style>
  <w:style w:type="paragraph" w:styleId="Header">
    <w:name w:val="header"/>
    <w:basedOn w:val="Normal"/>
    <w:link w:val="HeaderChar"/>
    <w:uiPriority w:val="99"/>
    <w:unhideWhenUsed/>
    <w:rsid w:val="00F420AF"/>
    <w:pPr>
      <w:tabs>
        <w:tab w:val="center" w:pos="4513"/>
        <w:tab w:val="right" w:pos="9026"/>
      </w:tabs>
      <w:spacing w:after="0" w:line="240" w:lineRule="auto"/>
    </w:pPr>
  </w:style>
  <w:style w:type="character" w:customStyle="1" w:styleId="HeaderChar">
    <w:name w:val="Header Char"/>
    <w:basedOn w:val="DefaultParagraphFont"/>
    <w:link w:val="Header"/>
    <w:uiPriority w:val="99"/>
    <w:rsid w:val="00F420AF"/>
  </w:style>
  <w:style w:type="paragraph" w:styleId="Footer">
    <w:name w:val="footer"/>
    <w:basedOn w:val="Normal"/>
    <w:link w:val="FooterChar"/>
    <w:uiPriority w:val="99"/>
    <w:unhideWhenUsed/>
    <w:rsid w:val="00F420AF"/>
    <w:pPr>
      <w:tabs>
        <w:tab w:val="center" w:pos="4513"/>
        <w:tab w:val="right" w:pos="9026"/>
      </w:tabs>
      <w:spacing w:after="0" w:line="240" w:lineRule="auto"/>
    </w:pPr>
  </w:style>
  <w:style w:type="character" w:customStyle="1" w:styleId="FooterChar">
    <w:name w:val="Footer Char"/>
    <w:basedOn w:val="DefaultParagraphFont"/>
    <w:link w:val="Footer"/>
    <w:uiPriority w:val="99"/>
    <w:rsid w:val="00F420AF"/>
  </w:style>
  <w:style w:type="table" w:styleId="TableGrid">
    <w:name w:val="Table Grid"/>
    <w:basedOn w:val="TableNormal"/>
    <w:uiPriority w:val="59"/>
    <w:rsid w:val="00FB4123"/>
    <w:pPr>
      <w:numPr>
        <w:numId w:val="1"/>
      </w:numPr>
      <w:spacing w:after="0" w:line="240" w:lineRule="auto"/>
      <w:ind w:left="360"/>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CMR-Heading">
    <w:name w:val="CMR - Heading"/>
    <w:basedOn w:val="CMR-text"/>
    <w:link w:val="CMR-HeadingChar"/>
    <w:qFormat/>
    <w:rsid w:val="00A131E8"/>
    <w:pPr>
      <w:numPr>
        <w:numId w:val="22"/>
      </w:numPr>
      <w:ind w:left="357" w:hanging="357"/>
      <w:outlineLvl w:val="0"/>
    </w:pPr>
    <w:rPr>
      <w:b/>
      <w:bCs/>
      <w:sz w:val="28"/>
      <w:szCs w:val="28"/>
    </w:rPr>
  </w:style>
  <w:style w:type="character" w:customStyle="1" w:styleId="ListParagraphChar">
    <w:name w:val="List Paragraph Char"/>
    <w:basedOn w:val="DefaultParagraphFont"/>
    <w:link w:val="ListParagraph"/>
    <w:uiPriority w:val="34"/>
    <w:rsid w:val="00BB445B"/>
  </w:style>
  <w:style w:type="character" w:customStyle="1" w:styleId="CMR-HeadingChar">
    <w:name w:val="CMR - Heading Char"/>
    <w:basedOn w:val="ListParagraphChar"/>
    <w:link w:val="CMR-Heading"/>
    <w:rsid w:val="000D326F"/>
    <w:rPr>
      <w:rFonts w:ascii="Times New Roman" w:hAnsi="Times New Roman"/>
      <w:b/>
      <w:bCs/>
      <w:kern w:val="0"/>
      <w:sz w:val="28"/>
      <w:szCs w:val="28"/>
      <w14:ligatures w14:val="none"/>
    </w:rPr>
  </w:style>
  <w:style w:type="paragraph" w:customStyle="1" w:styleId="paragraph">
    <w:name w:val="paragraph"/>
    <w:basedOn w:val="Normal"/>
    <w:rsid w:val="00FA2C7D"/>
    <w:pPr>
      <w:spacing w:before="100" w:beforeAutospacing="1" w:after="100" w:afterAutospacing="1" w:line="240" w:lineRule="auto"/>
    </w:pPr>
    <w:rPr>
      <w:rFonts w:ascii="Times New Roman" w:eastAsia="Times New Roman" w:hAnsi="Times New Roman" w:cs="Times New Roman"/>
      <w:kern w:val="0"/>
      <w:sz w:val="24"/>
      <w:szCs w:val="24"/>
      <w:lang w:eastAsia="en-IE"/>
      <w14:ligatures w14:val="none"/>
    </w:rPr>
  </w:style>
  <w:style w:type="character" w:customStyle="1" w:styleId="normaltextrun">
    <w:name w:val="normaltextrun"/>
    <w:basedOn w:val="DefaultParagraphFont"/>
    <w:rsid w:val="00FA2C7D"/>
  </w:style>
  <w:style w:type="character" w:customStyle="1" w:styleId="eop">
    <w:name w:val="eop"/>
    <w:basedOn w:val="DefaultParagraphFont"/>
    <w:rsid w:val="00FA2C7D"/>
  </w:style>
  <w:style w:type="character" w:customStyle="1" w:styleId="scxw137601718">
    <w:name w:val="scxw137601718"/>
    <w:basedOn w:val="DefaultParagraphFont"/>
    <w:rsid w:val="00FA2C7D"/>
  </w:style>
  <w:style w:type="character" w:customStyle="1" w:styleId="superscript">
    <w:name w:val="superscript"/>
    <w:basedOn w:val="DefaultParagraphFont"/>
    <w:rsid w:val="00FA2C7D"/>
  </w:style>
  <w:style w:type="paragraph" w:customStyle="1" w:styleId="CMR2023-footnote">
    <w:name w:val="CMR 2023 - footnote"/>
    <w:basedOn w:val="FootnoteText"/>
    <w:link w:val="CMR2023-footnoteChar"/>
    <w:rsid w:val="00491954"/>
    <w:pPr>
      <w:keepLines/>
      <w:spacing w:after="120"/>
    </w:pPr>
    <w:rPr>
      <w:rFonts w:ascii="Times New Roman" w:hAnsi="Times New Roman"/>
      <w:kern w:val="0"/>
      <w14:ligatures w14:val="none"/>
    </w:rPr>
  </w:style>
  <w:style w:type="paragraph" w:customStyle="1" w:styleId="Bodytext-tables">
    <w:name w:val="Body text - tables"/>
    <w:basedOn w:val="BodyText"/>
    <w:link w:val="Bodytext-tablesChar"/>
    <w:qFormat/>
    <w:rsid w:val="006F078C"/>
    <w:pPr>
      <w:widowControl w:val="0"/>
      <w:autoSpaceDE w:val="0"/>
      <w:autoSpaceDN w:val="0"/>
      <w:spacing w:before="60" w:after="60"/>
      <w:jc w:val="both"/>
    </w:pPr>
    <w:rPr>
      <w:rFonts w:ascii="Times New Roman" w:eastAsia="Times New Roman" w:hAnsi="Times New Roman" w:cs="Times New Roman"/>
      <w:kern w:val="0"/>
      <w:sz w:val="24"/>
      <w:szCs w:val="24"/>
      <w14:ligatures w14:val="none"/>
    </w:rPr>
  </w:style>
  <w:style w:type="character" w:customStyle="1" w:styleId="Bodytext-tablesChar">
    <w:name w:val="Body text - tables Char"/>
    <w:basedOn w:val="BodyTextChar"/>
    <w:link w:val="Bodytext-tables"/>
    <w:rsid w:val="006F078C"/>
    <w:rPr>
      <w:rFonts w:ascii="Times New Roman" w:eastAsia="Times New Roman" w:hAnsi="Times New Roman" w:cs="Times New Roman"/>
      <w:kern w:val="0"/>
      <w:sz w:val="24"/>
      <w:szCs w:val="24"/>
      <w:lang w:val="ro-RO"/>
      <w14:ligatures w14:val="none"/>
    </w:rPr>
  </w:style>
  <w:style w:type="paragraph" w:styleId="BodyText">
    <w:name w:val="Body Text"/>
    <w:basedOn w:val="Normal"/>
    <w:link w:val="BodyTextChar"/>
    <w:uiPriority w:val="99"/>
    <w:semiHidden/>
    <w:unhideWhenUsed/>
    <w:rsid w:val="006F078C"/>
    <w:pPr>
      <w:spacing w:after="120"/>
    </w:pPr>
  </w:style>
  <w:style w:type="character" w:customStyle="1" w:styleId="BodyTextChar">
    <w:name w:val="Body Text Char"/>
    <w:basedOn w:val="DefaultParagraphFont"/>
    <w:link w:val="BodyText"/>
    <w:uiPriority w:val="99"/>
    <w:semiHidden/>
    <w:rsid w:val="006F078C"/>
  </w:style>
  <w:style w:type="character" w:customStyle="1" w:styleId="Mention">
    <w:name w:val="Mention"/>
    <w:basedOn w:val="DefaultParagraphFont"/>
    <w:uiPriority w:val="99"/>
    <w:unhideWhenUsed/>
    <w:rsid w:val="00363C2C"/>
    <w:rPr>
      <w:color w:val="2B579A"/>
      <w:shd w:val="clear" w:color="auto" w:fill="E1DFDD"/>
    </w:rPr>
  </w:style>
  <w:style w:type="paragraph" w:customStyle="1" w:styleId="CMR-Subheading">
    <w:name w:val="CMR - Subheading"/>
    <w:basedOn w:val="CMR-Heading"/>
    <w:link w:val="CMR-SubheadingChar"/>
    <w:qFormat/>
    <w:rsid w:val="00A131E8"/>
    <w:pPr>
      <w:numPr>
        <w:ilvl w:val="1"/>
      </w:numPr>
      <w:ind w:left="788" w:hanging="431"/>
      <w:outlineLvl w:val="1"/>
    </w:pPr>
    <w:rPr>
      <w:bCs w:val="0"/>
      <w:sz w:val="24"/>
    </w:rPr>
  </w:style>
  <w:style w:type="character" w:customStyle="1" w:styleId="CMR-SubheadingChar">
    <w:name w:val="CMR - Subheading Char"/>
    <w:basedOn w:val="CMR-HeadingChar"/>
    <w:link w:val="CMR-Subheading"/>
    <w:rsid w:val="002C03CF"/>
    <w:rPr>
      <w:rFonts w:ascii="Times New Roman" w:hAnsi="Times New Roman"/>
      <w:b/>
      <w:bCs w:val="0"/>
      <w:kern w:val="0"/>
      <w:sz w:val="24"/>
      <w:szCs w:val="28"/>
      <w14:ligatures w14:val="none"/>
    </w:rPr>
  </w:style>
  <w:style w:type="character" w:customStyle="1" w:styleId="CMR2023-footnoteChar">
    <w:name w:val="CMR 2023 - footnote Char"/>
    <w:basedOn w:val="FootnoteTextChar"/>
    <w:link w:val="CMR2023-footnote"/>
    <w:rsid w:val="00491954"/>
    <w:rPr>
      <w:rFonts w:ascii="Times New Roman" w:hAnsi="Times New Roman"/>
      <w:kern w:val="0"/>
      <w:sz w:val="20"/>
      <w:szCs w:val="20"/>
      <w14:ligatures w14:val="none"/>
    </w:rPr>
  </w:style>
  <w:style w:type="paragraph" w:styleId="NormalWeb">
    <w:name w:val="Normal (Web)"/>
    <w:basedOn w:val="Normal"/>
    <w:uiPriority w:val="99"/>
    <w:semiHidden/>
    <w:unhideWhenUsed/>
    <w:rsid w:val="00ED2570"/>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styleId="Emphasis">
    <w:name w:val="Emphasis"/>
    <w:basedOn w:val="DefaultParagraphFont"/>
    <w:uiPriority w:val="20"/>
    <w:qFormat/>
    <w:rsid w:val="00983C03"/>
    <w:rPr>
      <w:i/>
      <w:iCs/>
    </w:rPr>
  </w:style>
  <w:style w:type="character" w:customStyle="1" w:styleId="Marker">
    <w:name w:val="Marker"/>
    <w:basedOn w:val="DefaultParagraphFont"/>
    <w:rsid w:val="0062235E"/>
    <w:rPr>
      <w:color w:val="0000FF"/>
      <w:shd w:val="clear" w:color="auto" w:fill="auto"/>
    </w:rPr>
  </w:style>
  <w:style w:type="paragraph" w:customStyle="1" w:styleId="Pagedecouverture">
    <w:name w:val="Page de couverture"/>
    <w:basedOn w:val="Normal"/>
    <w:next w:val="Normal"/>
    <w:link w:val="PagedecouvertureChar"/>
    <w:rsid w:val="00126559"/>
    <w:pPr>
      <w:spacing w:after="0" w:line="240" w:lineRule="auto"/>
      <w:jc w:val="both"/>
    </w:pPr>
    <w:rPr>
      <w:rFonts w:ascii="Times New Roman" w:hAnsi="Times New Roman" w:cs="Times New Roman"/>
      <w:kern w:val="0"/>
      <w:sz w:val="24"/>
      <w14:ligatures w14:val="none"/>
    </w:rPr>
  </w:style>
  <w:style w:type="paragraph" w:customStyle="1" w:styleId="FooterCoverPage">
    <w:name w:val="Footer Cover Page"/>
    <w:basedOn w:val="Normal"/>
    <w:link w:val="FooterCoverPageChar"/>
    <w:rsid w:val="00126559"/>
    <w:pPr>
      <w:tabs>
        <w:tab w:val="center" w:pos="4535"/>
        <w:tab w:val="right" w:pos="9071"/>
        <w:tab w:val="right" w:pos="9921"/>
      </w:tabs>
      <w:spacing w:before="360" w:after="0" w:line="240" w:lineRule="auto"/>
      <w:ind w:left="-850" w:right="-850"/>
    </w:pPr>
    <w:rPr>
      <w:rFonts w:ascii="Times New Roman" w:hAnsi="Times New Roman" w:cs="Times New Roman"/>
      <w:sz w:val="24"/>
    </w:rPr>
  </w:style>
  <w:style w:type="character" w:customStyle="1" w:styleId="PagedecouvertureChar">
    <w:name w:val="Page de couverture Char"/>
    <w:basedOn w:val="DefaultParagraphFont"/>
    <w:link w:val="Pagedecouverture"/>
    <w:rsid w:val="00126559"/>
    <w:rPr>
      <w:rFonts w:ascii="Times New Roman" w:hAnsi="Times New Roman" w:cs="Times New Roman"/>
      <w:kern w:val="0"/>
      <w:sz w:val="24"/>
      <w14:ligatures w14:val="none"/>
    </w:rPr>
  </w:style>
  <w:style w:type="character" w:customStyle="1" w:styleId="FooterCoverPageChar">
    <w:name w:val="Footer Cover Page Char"/>
    <w:basedOn w:val="PagedecouvertureChar"/>
    <w:link w:val="FooterCoverPage"/>
    <w:rsid w:val="00126559"/>
    <w:rPr>
      <w:rFonts w:ascii="Times New Roman" w:hAnsi="Times New Roman" w:cs="Times New Roman"/>
      <w:kern w:val="0"/>
      <w:sz w:val="24"/>
      <w14:ligatures w14:val="none"/>
    </w:rPr>
  </w:style>
  <w:style w:type="paragraph" w:customStyle="1" w:styleId="FooterSensitivity">
    <w:name w:val="Footer Sensitivity"/>
    <w:basedOn w:val="Normal"/>
    <w:link w:val="FooterSensitivityChar"/>
    <w:rsid w:val="00126559"/>
    <w:pPr>
      <w:pBdr>
        <w:top w:val="single" w:sz="4" w:space="1" w:color="auto"/>
        <w:left w:val="single" w:sz="4" w:space="4" w:color="auto"/>
        <w:bottom w:val="single" w:sz="4" w:space="1" w:color="auto"/>
        <w:right w:val="single" w:sz="4" w:space="4" w:color="auto"/>
      </w:pBdr>
      <w:spacing w:before="360" w:after="0" w:line="240" w:lineRule="auto"/>
      <w:ind w:left="113" w:right="113"/>
      <w:jc w:val="center"/>
    </w:pPr>
    <w:rPr>
      <w:rFonts w:ascii="Times New Roman" w:hAnsi="Times New Roman" w:cs="Times New Roman"/>
      <w:b/>
      <w:sz w:val="32"/>
    </w:rPr>
  </w:style>
  <w:style w:type="character" w:customStyle="1" w:styleId="FooterSensitivityChar">
    <w:name w:val="Footer Sensitivity Char"/>
    <w:basedOn w:val="PagedecouvertureChar"/>
    <w:link w:val="FooterSensitivity"/>
    <w:rsid w:val="00126559"/>
    <w:rPr>
      <w:rFonts w:ascii="Times New Roman" w:hAnsi="Times New Roman" w:cs="Times New Roman"/>
      <w:b/>
      <w:kern w:val="0"/>
      <w:sz w:val="32"/>
      <w14:ligatures w14:val="none"/>
    </w:rPr>
  </w:style>
  <w:style w:type="paragraph" w:customStyle="1" w:styleId="HeaderCoverPage">
    <w:name w:val="Header Cover Page"/>
    <w:basedOn w:val="Normal"/>
    <w:link w:val="HeaderCoverPageChar"/>
    <w:rsid w:val="00126559"/>
    <w:pPr>
      <w:tabs>
        <w:tab w:val="center" w:pos="4535"/>
        <w:tab w:val="right" w:pos="9071"/>
      </w:tabs>
      <w:spacing w:after="120" w:line="240" w:lineRule="auto"/>
      <w:jc w:val="both"/>
    </w:pPr>
    <w:rPr>
      <w:rFonts w:ascii="Times New Roman" w:hAnsi="Times New Roman" w:cs="Times New Roman"/>
      <w:sz w:val="24"/>
    </w:rPr>
  </w:style>
  <w:style w:type="character" w:customStyle="1" w:styleId="HeaderCoverPageChar">
    <w:name w:val="Header Cover Page Char"/>
    <w:basedOn w:val="PagedecouvertureChar"/>
    <w:link w:val="HeaderCoverPage"/>
    <w:rsid w:val="00126559"/>
    <w:rPr>
      <w:rFonts w:ascii="Times New Roman" w:hAnsi="Times New Roman" w:cs="Times New Roman"/>
      <w:kern w:val="0"/>
      <w:sz w:val="24"/>
      <w14:ligatures w14:val="none"/>
    </w:rPr>
  </w:style>
  <w:style w:type="paragraph" w:customStyle="1" w:styleId="HeaderSensitivity">
    <w:name w:val="Header Sensitivity"/>
    <w:basedOn w:val="Normal"/>
    <w:link w:val="HeaderSensitivityChar"/>
    <w:rsid w:val="00126559"/>
    <w:pPr>
      <w:pBdr>
        <w:top w:val="single" w:sz="4" w:space="1" w:color="auto"/>
        <w:left w:val="single" w:sz="4" w:space="4" w:color="auto"/>
        <w:bottom w:val="single" w:sz="4" w:space="1" w:color="auto"/>
        <w:right w:val="single" w:sz="4" w:space="4" w:color="auto"/>
      </w:pBdr>
      <w:spacing w:after="120" w:line="240" w:lineRule="auto"/>
      <w:ind w:left="113" w:right="113"/>
      <w:jc w:val="center"/>
    </w:pPr>
    <w:rPr>
      <w:rFonts w:ascii="Times New Roman" w:hAnsi="Times New Roman" w:cs="Times New Roman"/>
      <w:b/>
      <w:sz w:val="32"/>
    </w:rPr>
  </w:style>
  <w:style w:type="character" w:customStyle="1" w:styleId="HeaderSensitivityChar">
    <w:name w:val="Header Sensitivity Char"/>
    <w:basedOn w:val="PagedecouvertureChar"/>
    <w:link w:val="HeaderSensitivity"/>
    <w:rsid w:val="00126559"/>
    <w:rPr>
      <w:rFonts w:ascii="Times New Roman" w:hAnsi="Times New Roman" w:cs="Times New Roman"/>
      <w:b/>
      <w:kern w:val="0"/>
      <w:sz w:val="32"/>
      <w14:ligatures w14:val="none"/>
    </w:rPr>
  </w:style>
  <w:style w:type="paragraph" w:customStyle="1" w:styleId="HeaderSensitivityRight">
    <w:name w:val="Header Sensitivity Right"/>
    <w:basedOn w:val="Normal"/>
    <w:link w:val="HeaderSensitivityRightChar"/>
    <w:rsid w:val="00126559"/>
    <w:pPr>
      <w:spacing w:after="120" w:line="240" w:lineRule="auto"/>
      <w:jc w:val="right"/>
    </w:pPr>
    <w:rPr>
      <w:rFonts w:ascii="Times New Roman" w:hAnsi="Times New Roman" w:cs="Times New Roman"/>
      <w:sz w:val="28"/>
    </w:rPr>
  </w:style>
  <w:style w:type="character" w:customStyle="1" w:styleId="HeaderSensitivityRightChar">
    <w:name w:val="Header Sensitivity Right Char"/>
    <w:basedOn w:val="PagedecouvertureChar"/>
    <w:link w:val="HeaderSensitivityRight"/>
    <w:rsid w:val="00126559"/>
    <w:rPr>
      <w:rFonts w:ascii="Times New Roman" w:hAnsi="Times New Roman" w:cs="Times New Roman"/>
      <w:kern w:val="0"/>
      <w:sz w:val="28"/>
      <w14:ligatures w14:val="none"/>
    </w:rPr>
  </w:style>
  <w:style w:type="character" w:customStyle="1" w:styleId="Heading1Char">
    <w:name w:val="Heading 1 Char"/>
    <w:basedOn w:val="DefaultParagraphFont"/>
    <w:link w:val="Heading1"/>
    <w:uiPriority w:val="9"/>
    <w:rsid w:val="00406BDB"/>
    <w:rPr>
      <w:rFonts w:asciiTheme="majorHAnsi" w:eastAsiaTheme="majorEastAsia" w:hAnsiTheme="majorHAnsi" w:cstheme="majorBidi"/>
      <w:color w:val="2F5496" w:themeColor="accent1" w:themeShade="BF"/>
      <w:sz w:val="32"/>
      <w:szCs w:val="32"/>
    </w:rPr>
  </w:style>
  <w:style w:type="paragraph" w:styleId="TOCHeading">
    <w:name w:val="TOC Heading"/>
    <w:basedOn w:val="Heading1"/>
    <w:next w:val="Normal"/>
    <w:uiPriority w:val="39"/>
    <w:unhideWhenUsed/>
    <w:qFormat/>
    <w:rsid w:val="00406BDB"/>
    <w:pPr>
      <w:outlineLvl w:val="9"/>
    </w:pPr>
    <w:rPr>
      <w:kern w:val="0"/>
      <w14:ligatures w14:val="none"/>
    </w:rPr>
  </w:style>
  <w:style w:type="paragraph" w:styleId="TOC1">
    <w:name w:val="toc 1"/>
    <w:basedOn w:val="Normal"/>
    <w:next w:val="Normal"/>
    <w:autoRedefine/>
    <w:uiPriority w:val="39"/>
    <w:unhideWhenUsed/>
    <w:rsid w:val="00406BDB"/>
    <w:pPr>
      <w:spacing w:after="100"/>
    </w:pPr>
  </w:style>
  <w:style w:type="paragraph" w:styleId="TOC2">
    <w:name w:val="toc 2"/>
    <w:basedOn w:val="Normal"/>
    <w:next w:val="Normal"/>
    <w:autoRedefine/>
    <w:uiPriority w:val="39"/>
    <w:unhideWhenUsed/>
    <w:rsid w:val="00B27AEF"/>
    <w:pPr>
      <w:spacing w:after="100"/>
      <w:ind w:left="220"/>
    </w:pPr>
    <w:rPr>
      <w:rFonts w:eastAsiaTheme="minorEastAsia" w:cs="Times New Roman"/>
      <w:kern w:val="0"/>
      <w14:ligatures w14:val="none"/>
    </w:rPr>
  </w:style>
  <w:style w:type="paragraph" w:styleId="TOC3">
    <w:name w:val="toc 3"/>
    <w:basedOn w:val="Normal"/>
    <w:next w:val="Normal"/>
    <w:autoRedefine/>
    <w:uiPriority w:val="39"/>
    <w:unhideWhenUsed/>
    <w:rsid w:val="00B27AEF"/>
    <w:pPr>
      <w:spacing w:after="100"/>
      <w:ind w:left="440"/>
    </w:pPr>
    <w:rPr>
      <w:rFonts w:eastAsiaTheme="minorEastAsia" w:cs="Times New Roman"/>
      <w:kern w:val="0"/>
      <w14:ligatures w14:val="none"/>
    </w:rPr>
  </w:style>
  <w:style w:type="table" w:styleId="PlainTable5">
    <w:name w:val="Plain Table 5"/>
    <w:basedOn w:val="TableNormal"/>
    <w:uiPriority w:val="45"/>
    <w:rsid w:val="00C347BD"/>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6071829">
      <w:bodyDiv w:val="1"/>
      <w:marLeft w:val="0"/>
      <w:marRight w:val="0"/>
      <w:marTop w:val="0"/>
      <w:marBottom w:val="0"/>
      <w:divBdr>
        <w:top w:val="none" w:sz="0" w:space="0" w:color="auto"/>
        <w:left w:val="none" w:sz="0" w:space="0" w:color="auto"/>
        <w:bottom w:val="none" w:sz="0" w:space="0" w:color="auto"/>
        <w:right w:val="none" w:sz="0" w:space="0" w:color="auto"/>
      </w:divBdr>
      <w:divsChild>
        <w:div w:id="736783134">
          <w:marLeft w:val="0"/>
          <w:marRight w:val="0"/>
          <w:marTop w:val="0"/>
          <w:marBottom w:val="0"/>
          <w:divBdr>
            <w:top w:val="none" w:sz="0" w:space="0" w:color="auto"/>
            <w:left w:val="none" w:sz="0" w:space="0" w:color="auto"/>
            <w:bottom w:val="none" w:sz="0" w:space="0" w:color="auto"/>
            <w:right w:val="none" w:sz="0" w:space="0" w:color="auto"/>
          </w:divBdr>
        </w:div>
        <w:div w:id="1669404031">
          <w:marLeft w:val="0"/>
          <w:marRight w:val="0"/>
          <w:marTop w:val="0"/>
          <w:marBottom w:val="0"/>
          <w:divBdr>
            <w:top w:val="none" w:sz="0" w:space="0" w:color="auto"/>
            <w:left w:val="none" w:sz="0" w:space="0" w:color="auto"/>
            <w:bottom w:val="none" w:sz="0" w:space="0" w:color="auto"/>
            <w:right w:val="none" w:sz="0" w:space="0" w:color="auto"/>
          </w:divBdr>
        </w:div>
      </w:divsChild>
    </w:div>
    <w:div w:id="274676492">
      <w:bodyDiv w:val="1"/>
      <w:marLeft w:val="0"/>
      <w:marRight w:val="0"/>
      <w:marTop w:val="0"/>
      <w:marBottom w:val="0"/>
      <w:divBdr>
        <w:top w:val="none" w:sz="0" w:space="0" w:color="auto"/>
        <w:left w:val="none" w:sz="0" w:space="0" w:color="auto"/>
        <w:bottom w:val="none" w:sz="0" w:space="0" w:color="auto"/>
        <w:right w:val="none" w:sz="0" w:space="0" w:color="auto"/>
      </w:divBdr>
      <w:divsChild>
        <w:div w:id="417797469">
          <w:marLeft w:val="0"/>
          <w:marRight w:val="0"/>
          <w:marTop w:val="0"/>
          <w:marBottom w:val="0"/>
          <w:divBdr>
            <w:top w:val="none" w:sz="0" w:space="0" w:color="auto"/>
            <w:left w:val="none" w:sz="0" w:space="0" w:color="auto"/>
            <w:bottom w:val="none" w:sz="0" w:space="0" w:color="auto"/>
            <w:right w:val="none" w:sz="0" w:space="0" w:color="auto"/>
          </w:divBdr>
        </w:div>
        <w:div w:id="515776413">
          <w:marLeft w:val="0"/>
          <w:marRight w:val="0"/>
          <w:marTop w:val="0"/>
          <w:marBottom w:val="0"/>
          <w:divBdr>
            <w:top w:val="none" w:sz="0" w:space="0" w:color="auto"/>
            <w:left w:val="none" w:sz="0" w:space="0" w:color="auto"/>
            <w:bottom w:val="none" w:sz="0" w:space="0" w:color="auto"/>
            <w:right w:val="none" w:sz="0" w:space="0" w:color="auto"/>
          </w:divBdr>
        </w:div>
        <w:div w:id="1103458579">
          <w:marLeft w:val="0"/>
          <w:marRight w:val="0"/>
          <w:marTop w:val="0"/>
          <w:marBottom w:val="0"/>
          <w:divBdr>
            <w:top w:val="none" w:sz="0" w:space="0" w:color="auto"/>
            <w:left w:val="none" w:sz="0" w:space="0" w:color="auto"/>
            <w:bottom w:val="none" w:sz="0" w:space="0" w:color="auto"/>
            <w:right w:val="none" w:sz="0" w:space="0" w:color="auto"/>
          </w:divBdr>
        </w:div>
        <w:div w:id="1323509186">
          <w:marLeft w:val="0"/>
          <w:marRight w:val="0"/>
          <w:marTop w:val="0"/>
          <w:marBottom w:val="0"/>
          <w:divBdr>
            <w:top w:val="none" w:sz="0" w:space="0" w:color="auto"/>
            <w:left w:val="none" w:sz="0" w:space="0" w:color="auto"/>
            <w:bottom w:val="none" w:sz="0" w:space="0" w:color="auto"/>
            <w:right w:val="none" w:sz="0" w:space="0" w:color="auto"/>
          </w:divBdr>
        </w:div>
        <w:div w:id="1348560958">
          <w:marLeft w:val="0"/>
          <w:marRight w:val="0"/>
          <w:marTop w:val="0"/>
          <w:marBottom w:val="0"/>
          <w:divBdr>
            <w:top w:val="none" w:sz="0" w:space="0" w:color="auto"/>
            <w:left w:val="none" w:sz="0" w:space="0" w:color="auto"/>
            <w:bottom w:val="none" w:sz="0" w:space="0" w:color="auto"/>
            <w:right w:val="none" w:sz="0" w:space="0" w:color="auto"/>
          </w:divBdr>
        </w:div>
      </w:divsChild>
    </w:div>
    <w:div w:id="371003773">
      <w:bodyDiv w:val="1"/>
      <w:marLeft w:val="0"/>
      <w:marRight w:val="0"/>
      <w:marTop w:val="0"/>
      <w:marBottom w:val="0"/>
      <w:divBdr>
        <w:top w:val="none" w:sz="0" w:space="0" w:color="auto"/>
        <w:left w:val="none" w:sz="0" w:space="0" w:color="auto"/>
        <w:bottom w:val="none" w:sz="0" w:space="0" w:color="auto"/>
        <w:right w:val="none" w:sz="0" w:space="0" w:color="auto"/>
      </w:divBdr>
    </w:div>
    <w:div w:id="398360013">
      <w:bodyDiv w:val="1"/>
      <w:marLeft w:val="0"/>
      <w:marRight w:val="0"/>
      <w:marTop w:val="0"/>
      <w:marBottom w:val="0"/>
      <w:divBdr>
        <w:top w:val="none" w:sz="0" w:space="0" w:color="auto"/>
        <w:left w:val="none" w:sz="0" w:space="0" w:color="auto"/>
        <w:bottom w:val="none" w:sz="0" w:space="0" w:color="auto"/>
        <w:right w:val="none" w:sz="0" w:space="0" w:color="auto"/>
      </w:divBdr>
    </w:div>
    <w:div w:id="510484525">
      <w:bodyDiv w:val="1"/>
      <w:marLeft w:val="0"/>
      <w:marRight w:val="0"/>
      <w:marTop w:val="0"/>
      <w:marBottom w:val="0"/>
      <w:divBdr>
        <w:top w:val="none" w:sz="0" w:space="0" w:color="auto"/>
        <w:left w:val="none" w:sz="0" w:space="0" w:color="auto"/>
        <w:bottom w:val="none" w:sz="0" w:space="0" w:color="auto"/>
        <w:right w:val="none" w:sz="0" w:space="0" w:color="auto"/>
      </w:divBdr>
      <w:divsChild>
        <w:div w:id="98377421">
          <w:marLeft w:val="0"/>
          <w:marRight w:val="0"/>
          <w:marTop w:val="0"/>
          <w:marBottom w:val="0"/>
          <w:divBdr>
            <w:top w:val="none" w:sz="0" w:space="0" w:color="auto"/>
            <w:left w:val="none" w:sz="0" w:space="0" w:color="auto"/>
            <w:bottom w:val="none" w:sz="0" w:space="0" w:color="auto"/>
            <w:right w:val="none" w:sz="0" w:space="0" w:color="auto"/>
          </w:divBdr>
        </w:div>
        <w:div w:id="499008999">
          <w:marLeft w:val="0"/>
          <w:marRight w:val="0"/>
          <w:marTop w:val="0"/>
          <w:marBottom w:val="0"/>
          <w:divBdr>
            <w:top w:val="none" w:sz="0" w:space="0" w:color="auto"/>
            <w:left w:val="none" w:sz="0" w:space="0" w:color="auto"/>
            <w:bottom w:val="none" w:sz="0" w:space="0" w:color="auto"/>
            <w:right w:val="none" w:sz="0" w:space="0" w:color="auto"/>
          </w:divBdr>
        </w:div>
        <w:div w:id="705183939">
          <w:marLeft w:val="0"/>
          <w:marRight w:val="0"/>
          <w:marTop w:val="0"/>
          <w:marBottom w:val="0"/>
          <w:divBdr>
            <w:top w:val="none" w:sz="0" w:space="0" w:color="auto"/>
            <w:left w:val="none" w:sz="0" w:space="0" w:color="auto"/>
            <w:bottom w:val="none" w:sz="0" w:space="0" w:color="auto"/>
            <w:right w:val="none" w:sz="0" w:space="0" w:color="auto"/>
          </w:divBdr>
        </w:div>
        <w:div w:id="798574968">
          <w:marLeft w:val="0"/>
          <w:marRight w:val="0"/>
          <w:marTop w:val="0"/>
          <w:marBottom w:val="0"/>
          <w:divBdr>
            <w:top w:val="none" w:sz="0" w:space="0" w:color="auto"/>
            <w:left w:val="none" w:sz="0" w:space="0" w:color="auto"/>
            <w:bottom w:val="none" w:sz="0" w:space="0" w:color="auto"/>
            <w:right w:val="none" w:sz="0" w:space="0" w:color="auto"/>
          </w:divBdr>
        </w:div>
        <w:div w:id="1508978879">
          <w:marLeft w:val="0"/>
          <w:marRight w:val="0"/>
          <w:marTop w:val="0"/>
          <w:marBottom w:val="0"/>
          <w:divBdr>
            <w:top w:val="none" w:sz="0" w:space="0" w:color="auto"/>
            <w:left w:val="none" w:sz="0" w:space="0" w:color="auto"/>
            <w:bottom w:val="none" w:sz="0" w:space="0" w:color="auto"/>
            <w:right w:val="none" w:sz="0" w:space="0" w:color="auto"/>
          </w:divBdr>
        </w:div>
      </w:divsChild>
    </w:div>
    <w:div w:id="554854085">
      <w:bodyDiv w:val="1"/>
      <w:marLeft w:val="0"/>
      <w:marRight w:val="0"/>
      <w:marTop w:val="0"/>
      <w:marBottom w:val="0"/>
      <w:divBdr>
        <w:top w:val="none" w:sz="0" w:space="0" w:color="auto"/>
        <w:left w:val="none" w:sz="0" w:space="0" w:color="auto"/>
        <w:bottom w:val="none" w:sz="0" w:space="0" w:color="auto"/>
        <w:right w:val="none" w:sz="0" w:space="0" w:color="auto"/>
      </w:divBdr>
    </w:div>
    <w:div w:id="645401886">
      <w:bodyDiv w:val="1"/>
      <w:marLeft w:val="0"/>
      <w:marRight w:val="0"/>
      <w:marTop w:val="0"/>
      <w:marBottom w:val="0"/>
      <w:divBdr>
        <w:top w:val="none" w:sz="0" w:space="0" w:color="auto"/>
        <w:left w:val="none" w:sz="0" w:space="0" w:color="auto"/>
        <w:bottom w:val="none" w:sz="0" w:space="0" w:color="auto"/>
        <w:right w:val="none" w:sz="0" w:space="0" w:color="auto"/>
      </w:divBdr>
    </w:div>
    <w:div w:id="748842238">
      <w:bodyDiv w:val="1"/>
      <w:marLeft w:val="0"/>
      <w:marRight w:val="0"/>
      <w:marTop w:val="0"/>
      <w:marBottom w:val="0"/>
      <w:divBdr>
        <w:top w:val="none" w:sz="0" w:space="0" w:color="auto"/>
        <w:left w:val="none" w:sz="0" w:space="0" w:color="auto"/>
        <w:bottom w:val="none" w:sz="0" w:space="0" w:color="auto"/>
        <w:right w:val="none" w:sz="0" w:space="0" w:color="auto"/>
      </w:divBdr>
      <w:divsChild>
        <w:div w:id="78017491">
          <w:marLeft w:val="0"/>
          <w:marRight w:val="0"/>
          <w:marTop w:val="0"/>
          <w:marBottom w:val="0"/>
          <w:divBdr>
            <w:top w:val="none" w:sz="0" w:space="0" w:color="auto"/>
            <w:left w:val="none" w:sz="0" w:space="0" w:color="auto"/>
            <w:bottom w:val="none" w:sz="0" w:space="0" w:color="auto"/>
            <w:right w:val="none" w:sz="0" w:space="0" w:color="auto"/>
          </w:divBdr>
        </w:div>
        <w:div w:id="163402252">
          <w:marLeft w:val="0"/>
          <w:marRight w:val="0"/>
          <w:marTop w:val="0"/>
          <w:marBottom w:val="0"/>
          <w:divBdr>
            <w:top w:val="none" w:sz="0" w:space="0" w:color="auto"/>
            <w:left w:val="none" w:sz="0" w:space="0" w:color="auto"/>
            <w:bottom w:val="none" w:sz="0" w:space="0" w:color="auto"/>
            <w:right w:val="none" w:sz="0" w:space="0" w:color="auto"/>
          </w:divBdr>
        </w:div>
        <w:div w:id="543559319">
          <w:marLeft w:val="0"/>
          <w:marRight w:val="0"/>
          <w:marTop w:val="0"/>
          <w:marBottom w:val="0"/>
          <w:divBdr>
            <w:top w:val="none" w:sz="0" w:space="0" w:color="auto"/>
            <w:left w:val="none" w:sz="0" w:space="0" w:color="auto"/>
            <w:bottom w:val="none" w:sz="0" w:space="0" w:color="auto"/>
            <w:right w:val="none" w:sz="0" w:space="0" w:color="auto"/>
          </w:divBdr>
        </w:div>
        <w:div w:id="837113167">
          <w:marLeft w:val="0"/>
          <w:marRight w:val="0"/>
          <w:marTop w:val="0"/>
          <w:marBottom w:val="0"/>
          <w:divBdr>
            <w:top w:val="none" w:sz="0" w:space="0" w:color="auto"/>
            <w:left w:val="none" w:sz="0" w:space="0" w:color="auto"/>
            <w:bottom w:val="none" w:sz="0" w:space="0" w:color="auto"/>
            <w:right w:val="none" w:sz="0" w:space="0" w:color="auto"/>
          </w:divBdr>
        </w:div>
        <w:div w:id="1231767023">
          <w:marLeft w:val="0"/>
          <w:marRight w:val="0"/>
          <w:marTop w:val="0"/>
          <w:marBottom w:val="0"/>
          <w:divBdr>
            <w:top w:val="none" w:sz="0" w:space="0" w:color="auto"/>
            <w:left w:val="none" w:sz="0" w:space="0" w:color="auto"/>
            <w:bottom w:val="none" w:sz="0" w:space="0" w:color="auto"/>
            <w:right w:val="none" w:sz="0" w:space="0" w:color="auto"/>
          </w:divBdr>
        </w:div>
        <w:div w:id="1815097325">
          <w:marLeft w:val="0"/>
          <w:marRight w:val="0"/>
          <w:marTop w:val="0"/>
          <w:marBottom w:val="0"/>
          <w:divBdr>
            <w:top w:val="none" w:sz="0" w:space="0" w:color="auto"/>
            <w:left w:val="none" w:sz="0" w:space="0" w:color="auto"/>
            <w:bottom w:val="none" w:sz="0" w:space="0" w:color="auto"/>
            <w:right w:val="none" w:sz="0" w:space="0" w:color="auto"/>
          </w:divBdr>
        </w:div>
        <w:div w:id="2018726127">
          <w:marLeft w:val="0"/>
          <w:marRight w:val="0"/>
          <w:marTop w:val="0"/>
          <w:marBottom w:val="0"/>
          <w:divBdr>
            <w:top w:val="none" w:sz="0" w:space="0" w:color="auto"/>
            <w:left w:val="none" w:sz="0" w:space="0" w:color="auto"/>
            <w:bottom w:val="none" w:sz="0" w:space="0" w:color="auto"/>
            <w:right w:val="none" w:sz="0" w:space="0" w:color="auto"/>
          </w:divBdr>
          <w:divsChild>
            <w:div w:id="1886671077">
              <w:marLeft w:val="-75"/>
              <w:marRight w:val="0"/>
              <w:marTop w:val="30"/>
              <w:marBottom w:val="30"/>
              <w:divBdr>
                <w:top w:val="none" w:sz="0" w:space="0" w:color="auto"/>
                <w:left w:val="none" w:sz="0" w:space="0" w:color="auto"/>
                <w:bottom w:val="none" w:sz="0" w:space="0" w:color="auto"/>
                <w:right w:val="none" w:sz="0" w:space="0" w:color="auto"/>
              </w:divBdr>
              <w:divsChild>
                <w:div w:id="41638978">
                  <w:marLeft w:val="0"/>
                  <w:marRight w:val="0"/>
                  <w:marTop w:val="0"/>
                  <w:marBottom w:val="0"/>
                  <w:divBdr>
                    <w:top w:val="none" w:sz="0" w:space="0" w:color="auto"/>
                    <w:left w:val="none" w:sz="0" w:space="0" w:color="auto"/>
                    <w:bottom w:val="none" w:sz="0" w:space="0" w:color="auto"/>
                    <w:right w:val="none" w:sz="0" w:space="0" w:color="auto"/>
                  </w:divBdr>
                  <w:divsChild>
                    <w:div w:id="58942845">
                      <w:marLeft w:val="0"/>
                      <w:marRight w:val="0"/>
                      <w:marTop w:val="0"/>
                      <w:marBottom w:val="0"/>
                      <w:divBdr>
                        <w:top w:val="none" w:sz="0" w:space="0" w:color="auto"/>
                        <w:left w:val="none" w:sz="0" w:space="0" w:color="auto"/>
                        <w:bottom w:val="none" w:sz="0" w:space="0" w:color="auto"/>
                        <w:right w:val="none" w:sz="0" w:space="0" w:color="auto"/>
                      </w:divBdr>
                    </w:div>
                  </w:divsChild>
                </w:div>
                <w:div w:id="42826865">
                  <w:marLeft w:val="0"/>
                  <w:marRight w:val="0"/>
                  <w:marTop w:val="0"/>
                  <w:marBottom w:val="0"/>
                  <w:divBdr>
                    <w:top w:val="none" w:sz="0" w:space="0" w:color="auto"/>
                    <w:left w:val="none" w:sz="0" w:space="0" w:color="auto"/>
                    <w:bottom w:val="none" w:sz="0" w:space="0" w:color="auto"/>
                    <w:right w:val="none" w:sz="0" w:space="0" w:color="auto"/>
                  </w:divBdr>
                  <w:divsChild>
                    <w:div w:id="531920360">
                      <w:marLeft w:val="0"/>
                      <w:marRight w:val="0"/>
                      <w:marTop w:val="0"/>
                      <w:marBottom w:val="0"/>
                      <w:divBdr>
                        <w:top w:val="none" w:sz="0" w:space="0" w:color="auto"/>
                        <w:left w:val="none" w:sz="0" w:space="0" w:color="auto"/>
                        <w:bottom w:val="none" w:sz="0" w:space="0" w:color="auto"/>
                        <w:right w:val="none" w:sz="0" w:space="0" w:color="auto"/>
                      </w:divBdr>
                    </w:div>
                  </w:divsChild>
                </w:div>
                <w:div w:id="79721314">
                  <w:marLeft w:val="0"/>
                  <w:marRight w:val="0"/>
                  <w:marTop w:val="0"/>
                  <w:marBottom w:val="0"/>
                  <w:divBdr>
                    <w:top w:val="none" w:sz="0" w:space="0" w:color="auto"/>
                    <w:left w:val="none" w:sz="0" w:space="0" w:color="auto"/>
                    <w:bottom w:val="none" w:sz="0" w:space="0" w:color="auto"/>
                    <w:right w:val="none" w:sz="0" w:space="0" w:color="auto"/>
                  </w:divBdr>
                  <w:divsChild>
                    <w:div w:id="1864397105">
                      <w:marLeft w:val="0"/>
                      <w:marRight w:val="0"/>
                      <w:marTop w:val="0"/>
                      <w:marBottom w:val="0"/>
                      <w:divBdr>
                        <w:top w:val="none" w:sz="0" w:space="0" w:color="auto"/>
                        <w:left w:val="none" w:sz="0" w:space="0" w:color="auto"/>
                        <w:bottom w:val="none" w:sz="0" w:space="0" w:color="auto"/>
                        <w:right w:val="none" w:sz="0" w:space="0" w:color="auto"/>
                      </w:divBdr>
                    </w:div>
                  </w:divsChild>
                </w:div>
                <w:div w:id="84697061">
                  <w:marLeft w:val="0"/>
                  <w:marRight w:val="0"/>
                  <w:marTop w:val="0"/>
                  <w:marBottom w:val="0"/>
                  <w:divBdr>
                    <w:top w:val="none" w:sz="0" w:space="0" w:color="auto"/>
                    <w:left w:val="none" w:sz="0" w:space="0" w:color="auto"/>
                    <w:bottom w:val="none" w:sz="0" w:space="0" w:color="auto"/>
                    <w:right w:val="none" w:sz="0" w:space="0" w:color="auto"/>
                  </w:divBdr>
                  <w:divsChild>
                    <w:div w:id="614949274">
                      <w:marLeft w:val="0"/>
                      <w:marRight w:val="0"/>
                      <w:marTop w:val="0"/>
                      <w:marBottom w:val="0"/>
                      <w:divBdr>
                        <w:top w:val="none" w:sz="0" w:space="0" w:color="auto"/>
                        <w:left w:val="none" w:sz="0" w:space="0" w:color="auto"/>
                        <w:bottom w:val="none" w:sz="0" w:space="0" w:color="auto"/>
                        <w:right w:val="none" w:sz="0" w:space="0" w:color="auto"/>
                      </w:divBdr>
                    </w:div>
                  </w:divsChild>
                </w:div>
                <w:div w:id="111560257">
                  <w:marLeft w:val="0"/>
                  <w:marRight w:val="0"/>
                  <w:marTop w:val="0"/>
                  <w:marBottom w:val="0"/>
                  <w:divBdr>
                    <w:top w:val="none" w:sz="0" w:space="0" w:color="auto"/>
                    <w:left w:val="none" w:sz="0" w:space="0" w:color="auto"/>
                    <w:bottom w:val="none" w:sz="0" w:space="0" w:color="auto"/>
                    <w:right w:val="none" w:sz="0" w:space="0" w:color="auto"/>
                  </w:divBdr>
                  <w:divsChild>
                    <w:div w:id="514803670">
                      <w:marLeft w:val="0"/>
                      <w:marRight w:val="0"/>
                      <w:marTop w:val="0"/>
                      <w:marBottom w:val="0"/>
                      <w:divBdr>
                        <w:top w:val="none" w:sz="0" w:space="0" w:color="auto"/>
                        <w:left w:val="none" w:sz="0" w:space="0" w:color="auto"/>
                        <w:bottom w:val="none" w:sz="0" w:space="0" w:color="auto"/>
                        <w:right w:val="none" w:sz="0" w:space="0" w:color="auto"/>
                      </w:divBdr>
                    </w:div>
                  </w:divsChild>
                </w:div>
                <w:div w:id="118306166">
                  <w:marLeft w:val="0"/>
                  <w:marRight w:val="0"/>
                  <w:marTop w:val="0"/>
                  <w:marBottom w:val="0"/>
                  <w:divBdr>
                    <w:top w:val="none" w:sz="0" w:space="0" w:color="auto"/>
                    <w:left w:val="none" w:sz="0" w:space="0" w:color="auto"/>
                    <w:bottom w:val="none" w:sz="0" w:space="0" w:color="auto"/>
                    <w:right w:val="none" w:sz="0" w:space="0" w:color="auto"/>
                  </w:divBdr>
                  <w:divsChild>
                    <w:div w:id="1454715771">
                      <w:marLeft w:val="0"/>
                      <w:marRight w:val="0"/>
                      <w:marTop w:val="0"/>
                      <w:marBottom w:val="0"/>
                      <w:divBdr>
                        <w:top w:val="none" w:sz="0" w:space="0" w:color="auto"/>
                        <w:left w:val="none" w:sz="0" w:space="0" w:color="auto"/>
                        <w:bottom w:val="none" w:sz="0" w:space="0" w:color="auto"/>
                        <w:right w:val="none" w:sz="0" w:space="0" w:color="auto"/>
                      </w:divBdr>
                    </w:div>
                  </w:divsChild>
                </w:div>
                <w:div w:id="122044330">
                  <w:marLeft w:val="0"/>
                  <w:marRight w:val="0"/>
                  <w:marTop w:val="0"/>
                  <w:marBottom w:val="0"/>
                  <w:divBdr>
                    <w:top w:val="none" w:sz="0" w:space="0" w:color="auto"/>
                    <w:left w:val="none" w:sz="0" w:space="0" w:color="auto"/>
                    <w:bottom w:val="none" w:sz="0" w:space="0" w:color="auto"/>
                    <w:right w:val="none" w:sz="0" w:space="0" w:color="auto"/>
                  </w:divBdr>
                  <w:divsChild>
                    <w:div w:id="1358002031">
                      <w:marLeft w:val="0"/>
                      <w:marRight w:val="0"/>
                      <w:marTop w:val="0"/>
                      <w:marBottom w:val="0"/>
                      <w:divBdr>
                        <w:top w:val="none" w:sz="0" w:space="0" w:color="auto"/>
                        <w:left w:val="none" w:sz="0" w:space="0" w:color="auto"/>
                        <w:bottom w:val="none" w:sz="0" w:space="0" w:color="auto"/>
                        <w:right w:val="none" w:sz="0" w:space="0" w:color="auto"/>
                      </w:divBdr>
                    </w:div>
                  </w:divsChild>
                </w:div>
                <w:div w:id="146825791">
                  <w:marLeft w:val="0"/>
                  <w:marRight w:val="0"/>
                  <w:marTop w:val="0"/>
                  <w:marBottom w:val="0"/>
                  <w:divBdr>
                    <w:top w:val="none" w:sz="0" w:space="0" w:color="auto"/>
                    <w:left w:val="none" w:sz="0" w:space="0" w:color="auto"/>
                    <w:bottom w:val="none" w:sz="0" w:space="0" w:color="auto"/>
                    <w:right w:val="none" w:sz="0" w:space="0" w:color="auto"/>
                  </w:divBdr>
                  <w:divsChild>
                    <w:div w:id="318651330">
                      <w:marLeft w:val="0"/>
                      <w:marRight w:val="0"/>
                      <w:marTop w:val="0"/>
                      <w:marBottom w:val="0"/>
                      <w:divBdr>
                        <w:top w:val="none" w:sz="0" w:space="0" w:color="auto"/>
                        <w:left w:val="none" w:sz="0" w:space="0" w:color="auto"/>
                        <w:bottom w:val="none" w:sz="0" w:space="0" w:color="auto"/>
                        <w:right w:val="none" w:sz="0" w:space="0" w:color="auto"/>
                      </w:divBdr>
                    </w:div>
                  </w:divsChild>
                </w:div>
                <w:div w:id="178474927">
                  <w:marLeft w:val="0"/>
                  <w:marRight w:val="0"/>
                  <w:marTop w:val="0"/>
                  <w:marBottom w:val="0"/>
                  <w:divBdr>
                    <w:top w:val="none" w:sz="0" w:space="0" w:color="auto"/>
                    <w:left w:val="none" w:sz="0" w:space="0" w:color="auto"/>
                    <w:bottom w:val="none" w:sz="0" w:space="0" w:color="auto"/>
                    <w:right w:val="none" w:sz="0" w:space="0" w:color="auto"/>
                  </w:divBdr>
                  <w:divsChild>
                    <w:div w:id="1619483144">
                      <w:marLeft w:val="0"/>
                      <w:marRight w:val="0"/>
                      <w:marTop w:val="0"/>
                      <w:marBottom w:val="0"/>
                      <w:divBdr>
                        <w:top w:val="none" w:sz="0" w:space="0" w:color="auto"/>
                        <w:left w:val="none" w:sz="0" w:space="0" w:color="auto"/>
                        <w:bottom w:val="none" w:sz="0" w:space="0" w:color="auto"/>
                        <w:right w:val="none" w:sz="0" w:space="0" w:color="auto"/>
                      </w:divBdr>
                    </w:div>
                  </w:divsChild>
                </w:div>
                <w:div w:id="227959234">
                  <w:marLeft w:val="0"/>
                  <w:marRight w:val="0"/>
                  <w:marTop w:val="0"/>
                  <w:marBottom w:val="0"/>
                  <w:divBdr>
                    <w:top w:val="none" w:sz="0" w:space="0" w:color="auto"/>
                    <w:left w:val="none" w:sz="0" w:space="0" w:color="auto"/>
                    <w:bottom w:val="none" w:sz="0" w:space="0" w:color="auto"/>
                    <w:right w:val="none" w:sz="0" w:space="0" w:color="auto"/>
                  </w:divBdr>
                  <w:divsChild>
                    <w:div w:id="298147743">
                      <w:marLeft w:val="0"/>
                      <w:marRight w:val="0"/>
                      <w:marTop w:val="0"/>
                      <w:marBottom w:val="0"/>
                      <w:divBdr>
                        <w:top w:val="none" w:sz="0" w:space="0" w:color="auto"/>
                        <w:left w:val="none" w:sz="0" w:space="0" w:color="auto"/>
                        <w:bottom w:val="none" w:sz="0" w:space="0" w:color="auto"/>
                        <w:right w:val="none" w:sz="0" w:space="0" w:color="auto"/>
                      </w:divBdr>
                    </w:div>
                  </w:divsChild>
                </w:div>
                <w:div w:id="243272233">
                  <w:marLeft w:val="0"/>
                  <w:marRight w:val="0"/>
                  <w:marTop w:val="0"/>
                  <w:marBottom w:val="0"/>
                  <w:divBdr>
                    <w:top w:val="none" w:sz="0" w:space="0" w:color="auto"/>
                    <w:left w:val="none" w:sz="0" w:space="0" w:color="auto"/>
                    <w:bottom w:val="none" w:sz="0" w:space="0" w:color="auto"/>
                    <w:right w:val="none" w:sz="0" w:space="0" w:color="auto"/>
                  </w:divBdr>
                  <w:divsChild>
                    <w:div w:id="1481573693">
                      <w:marLeft w:val="0"/>
                      <w:marRight w:val="0"/>
                      <w:marTop w:val="0"/>
                      <w:marBottom w:val="0"/>
                      <w:divBdr>
                        <w:top w:val="none" w:sz="0" w:space="0" w:color="auto"/>
                        <w:left w:val="none" w:sz="0" w:space="0" w:color="auto"/>
                        <w:bottom w:val="none" w:sz="0" w:space="0" w:color="auto"/>
                        <w:right w:val="none" w:sz="0" w:space="0" w:color="auto"/>
                      </w:divBdr>
                    </w:div>
                  </w:divsChild>
                </w:div>
                <w:div w:id="249126795">
                  <w:marLeft w:val="0"/>
                  <w:marRight w:val="0"/>
                  <w:marTop w:val="0"/>
                  <w:marBottom w:val="0"/>
                  <w:divBdr>
                    <w:top w:val="none" w:sz="0" w:space="0" w:color="auto"/>
                    <w:left w:val="none" w:sz="0" w:space="0" w:color="auto"/>
                    <w:bottom w:val="none" w:sz="0" w:space="0" w:color="auto"/>
                    <w:right w:val="none" w:sz="0" w:space="0" w:color="auto"/>
                  </w:divBdr>
                  <w:divsChild>
                    <w:div w:id="753819598">
                      <w:marLeft w:val="0"/>
                      <w:marRight w:val="0"/>
                      <w:marTop w:val="0"/>
                      <w:marBottom w:val="0"/>
                      <w:divBdr>
                        <w:top w:val="none" w:sz="0" w:space="0" w:color="auto"/>
                        <w:left w:val="none" w:sz="0" w:space="0" w:color="auto"/>
                        <w:bottom w:val="none" w:sz="0" w:space="0" w:color="auto"/>
                        <w:right w:val="none" w:sz="0" w:space="0" w:color="auto"/>
                      </w:divBdr>
                    </w:div>
                  </w:divsChild>
                </w:div>
                <w:div w:id="272249885">
                  <w:marLeft w:val="0"/>
                  <w:marRight w:val="0"/>
                  <w:marTop w:val="0"/>
                  <w:marBottom w:val="0"/>
                  <w:divBdr>
                    <w:top w:val="none" w:sz="0" w:space="0" w:color="auto"/>
                    <w:left w:val="none" w:sz="0" w:space="0" w:color="auto"/>
                    <w:bottom w:val="none" w:sz="0" w:space="0" w:color="auto"/>
                    <w:right w:val="none" w:sz="0" w:space="0" w:color="auto"/>
                  </w:divBdr>
                  <w:divsChild>
                    <w:div w:id="465199551">
                      <w:marLeft w:val="0"/>
                      <w:marRight w:val="0"/>
                      <w:marTop w:val="0"/>
                      <w:marBottom w:val="0"/>
                      <w:divBdr>
                        <w:top w:val="none" w:sz="0" w:space="0" w:color="auto"/>
                        <w:left w:val="none" w:sz="0" w:space="0" w:color="auto"/>
                        <w:bottom w:val="none" w:sz="0" w:space="0" w:color="auto"/>
                        <w:right w:val="none" w:sz="0" w:space="0" w:color="auto"/>
                      </w:divBdr>
                    </w:div>
                  </w:divsChild>
                </w:div>
                <w:div w:id="280113322">
                  <w:marLeft w:val="0"/>
                  <w:marRight w:val="0"/>
                  <w:marTop w:val="0"/>
                  <w:marBottom w:val="0"/>
                  <w:divBdr>
                    <w:top w:val="none" w:sz="0" w:space="0" w:color="auto"/>
                    <w:left w:val="none" w:sz="0" w:space="0" w:color="auto"/>
                    <w:bottom w:val="none" w:sz="0" w:space="0" w:color="auto"/>
                    <w:right w:val="none" w:sz="0" w:space="0" w:color="auto"/>
                  </w:divBdr>
                  <w:divsChild>
                    <w:div w:id="1682513135">
                      <w:marLeft w:val="0"/>
                      <w:marRight w:val="0"/>
                      <w:marTop w:val="0"/>
                      <w:marBottom w:val="0"/>
                      <w:divBdr>
                        <w:top w:val="none" w:sz="0" w:space="0" w:color="auto"/>
                        <w:left w:val="none" w:sz="0" w:space="0" w:color="auto"/>
                        <w:bottom w:val="none" w:sz="0" w:space="0" w:color="auto"/>
                        <w:right w:val="none" w:sz="0" w:space="0" w:color="auto"/>
                      </w:divBdr>
                    </w:div>
                  </w:divsChild>
                </w:div>
                <w:div w:id="382146540">
                  <w:marLeft w:val="0"/>
                  <w:marRight w:val="0"/>
                  <w:marTop w:val="0"/>
                  <w:marBottom w:val="0"/>
                  <w:divBdr>
                    <w:top w:val="none" w:sz="0" w:space="0" w:color="auto"/>
                    <w:left w:val="none" w:sz="0" w:space="0" w:color="auto"/>
                    <w:bottom w:val="none" w:sz="0" w:space="0" w:color="auto"/>
                    <w:right w:val="none" w:sz="0" w:space="0" w:color="auto"/>
                  </w:divBdr>
                  <w:divsChild>
                    <w:div w:id="1558010753">
                      <w:marLeft w:val="0"/>
                      <w:marRight w:val="0"/>
                      <w:marTop w:val="0"/>
                      <w:marBottom w:val="0"/>
                      <w:divBdr>
                        <w:top w:val="none" w:sz="0" w:space="0" w:color="auto"/>
                        <w:left w:val="none" w:sz="0" w:space="0" w:color="auto"/>
                        <w:bottom w:val="none" w:sz="0" w:space="0" w:color="auto"/>
                        <w:right w:val="none" w:sz="0" w:space="0" w:color="auto"/>
                      </w:divBdr>
                    </w:div>
                  </w:divsChild>
                </w:div>
                <w:div w:id="411124519">
                  <w:marLeft w:val="0"/>
                  <w:marRight w:val="0"/>
                  <w:marTop w:val="0"/>
                  <w:marBottom w:val="0"/>
                  <w:divBdr>
                    <w:top w:val="none" w:sz="0" w:space="0" w:color="auto"/>
                    <w:left w:val="none" w:sz="0" w:space="0" w:color="auto"/>
                    <w:bottom w:val="none" w:sz="0" w:space="0" w:color="auto"/>
                    <w:right w:val="none" w:sz="0" w:space="0" w:color="auto"/>
                  </w:divBdr>
                  <w:divsChild>
                    <w:div w:id="939070419">
                      <w:marLeft w:val="0"/>
                      <w:marRight w:val="0"/>
                      <w:marTop w:val="0"/>
                      <w:marBottom w:val="0"/>
                      <w:divBdr>
                        <w:top w:val="none" w:sz="0" w:space="0" w:color="auto"/>
                        <w:left w:val="none" w:sz="0" w:space="0" w:color="auto"/>
                        <w:bottom w:val="none" w:sz="0" w:space="0" w:color="auto"/>
                        <w:right w:val="none" w:sz="0" w:space="0" w:color="auto"/>
                      </w:divBdr>
                    </w:div>
                  </w:divsChild>
                </w:div>
                <w:div w:id="430974616">
                  <w:marLeft w:val="0"/>
                  <w:marRight w:val="0"/>
                  <w:marTop w:val="0"/>
                  <w:marBottom w:val="0"/>
                  <w:divBdr>
                    <w:top w:val="none" w:sz="0" w:space="0" w:color="auto"/>
                    <w:left w:val="none" w:sz="0" w:space="0" w:color="auto"/>
                    <w:bottom w:val="none" w:sz="0" w:space="0" w:color="auto"/>
                    <w:right w:val="none" w:sz="0" w:space="0" w:color="auto"/>
                  </w:divBdr>
                  <w:divsChild>
                    <w:div w:id="353655348">
                      <w:marLeft w:val="0"/>
                      <w:marRight w:val="0"/>
                      <w:marTop w:val="0"/>
                      <w:marBottom w:val="0"/>
                      <w:divBdr>
                        <w:top w:val="none" w:sz="0" w:space="0" w:color="auto"/>
                        <w:left w:val="none" w:sz="0" w:space="0" w:color="auto"/>
                        <w:bottom w:val="none" w:sz="0" w:space="0" w:color="auto"/>
                        <w:right w:val="none" w:sz="0" w:space="0" w:color="auto"/>
                      </w:divBdr>
                    </w:div>
                  </w:divsChild>
                </w:div>
                <w:div w:id="470365357">
                  <w:marLeft w:val="0"/>
                  <w:marRight w:val="0"/>
                  <w:marTop w:val="0"/>
                  <w:marBottom w:val="0"/>
                  <w:divBdr>
                    <w:top w:val="none" w:sz="0" w:space="0" w:color="auto"/>
                    <w:left w:val="none" w:sz="0" w:space="0" w:color="auto"/>
                    <w:bottom w:val="none" w:sz="0" w:space="0" w:color="auto"/>
                    <w:right w:val="none" w:sz="0" w:space="0" w:color="auto"/>
                  </w:divBdr>
                  <w:divsChild>
                    <w:div w:id="1988313984">
                      <w:marLeft w:val="0"/>
                      <w:marRight w:val="0"/>
                      <w:marTop w:val="0"/>
                      <w:marBottom w:val="0"/>
                      <w:divBdr>
                        <w:top w:val="none" w:sz="0" w:space="0" w:color="auto"/>
                        <w:left w:val="none" w:sz="0" w:space="0" w:color="auto"/>
                        <w:bottom w:val="none" w:sz="0" w:space="0" w:color="auto"/>
                        <w:right w:val="none" w:sz="0" w:space="0" w:color="auto"/>
                      </w:divBdr>
                    </w:div>
                  </w:divsChild>
                </w:div>
                <w:div w:id="470903078">
                  <w:marLeft w:val="0"/>
                  <w:marRight w:val="0"/>
                  <w:marTop w:val="0"/>
                  <w:marBottom w:val="0"/>
                  <w:divBdr>
                    <w:top w:val="none" w:sz="0" w:space="0" w:color="auto"/>
                    <w:left w:val="none" w:sz="0" w:space="0" w:color="auto"/>
                    <w:bottom w:val="none" w:sz="0" w:space="0" w:color="auto"/>
                    <w:right w:val="none" w:sz="0" w:space="0" w:color="auto"/>
                  </w:divBdr>
                  <w:divsChild>
                    <w:div w:id="256603038">
                      <w:marLeft w:val="0"/>
                      <w:marRight w:val="0"/>
                      <w:marTop w:val="0"/>
                      <w:marBottom w:val="0"/>
                      <w:divBdr>
                        <w:top w:val="none" w:sz="0" w:space="0" w:color="auto"/>
                        <w:left w:val="none" w:sz="0" w:space="0" w:color="auto"/>
                        <w:bottom w:val="none" w:sz="0" w:space="0" w:color="auto"/>
                        <w:right w:val="none" w:sz="0" w:space="0" w:color="auto"/>
                      </w:divBdr>
                    </w:div>
                  </w:divsChild>
                </w:div>
                <w:div w:id="571936533">
                  <w:marLeft w:val="0"/>
                  <w:marRight w:val="0"/>
                  <w:marTop w:val="0"/>
                  <w:marBottom w:val="0"/>
                  <w:divBdr>
                    <w:top w:val="none" w:sz="0" w:space="0" w:color="auto"/>
                    <w:left w:val="none" w:sz="0" w:space="0" w:color="auto"/>
                    <w:bottom w:val="none" w:sz="0" w:space="0" w:color="auto"/>
                    <w:right w:val="none" w:sz="0" w:space="0" w:color="auto"/>
                  </w:divBdr>
                  <w:divsChild>
                    <w:div w:id="536309635">
                      <w:marLeft w:val="0"/>
                      <w:marRight w:val="0"/>
                      <w:marTop w:val="0"/>
                      <w:marBottom w:val="0"/>
                      <w:divBdr>
                        <w:top w:val="none" w:sz="0" w:space="0" w:color="auto"/>
                        <w:left w:val="none" w:sz="0" w:space="0" w:color="auto"/>
                        <w:bottom w:val="none" w:sz="0" w:space="0" w:color="auto"/>
                        <w:right w:val="none" w:sz="0" w:space="0" w:color="auto"/>
                      </w:divBdr>
                    </w:div>
                  </w:divsChild>
                </w:div>
                <w:div w:id="590161181">
                  <w:marLeft w:val="0"/>
                  <w:marRight w:val="0"/>
                  <w:marTop w:val="0"/>
                  <w:marBottom w:val="0"/>
                  <w:divBdr>
                    <w:top w:val="none" w:sz="0" w:space="0" w:color="auto"/>
                    <w:left w:val="none" w:sz="0" w:space="0" w:color="auto"/>
                    <w:bottom w:val="none" w:sz="0" w:space="0" w:color="auto"/>
                    <w:right w:val="none" w:sz="0" w:space="0" w:color="auto"/>
                  </w:divBdr>
                  <w:divsChild>
                    <w:div w:id="2081948326">
                      <w:marLeft w:val="0"/>
                      <w:marRight w:val="0"/>
                      <w:marTop w:val="0"/>
                      <w:marBottom w:val="0"/>
                      <w:divBdr>
                        <w:top w:val="none" w:sz="0" w:space="0" w:color="auto"/>
                        <w:left w:val="none" w:sz="0" w:space="0" w:color="auto"/>
                        <w:bottom w:val="none" w:sz="0" w:space="0" w:color="auto"/>
                        <w:right w:val="none" w:sz="0" w:space="0" w:color="auto"/>
                      </w:divBdr>
                    </w:div>
                  </w:divsChild>
                </w:div>
                <w:div w:id="617833525">
                  <w:marLeft w:val="0"/>
                  <w:marRight w:val="0"/>
                  <w:marTop w:val="0"/>
                  <w:marBottom w:val="0"/>
                  <w:divBdr>
                    <w:top w:val="none" w:sz="0" w:space="0" w:color="auto"/>
                    <w:left w:val="none" w:sz="0" w:space="0" w:color="auto"/>
                    <w:bottom w:val="none" w:sz="0" w:space="0" w:color="auto"/>
                    <w:right w:val="none" w:sz="0" w:space="0" w:color="auto"/>
                  </w:divBdr>
                  <w:divsChild>
                    <w:div w:id="589850852">
                      <w:marLeft w:val="0"/>
                      <w:marRight w:val="0"/>
                      <w:marTop w:val="0"/>
                      <w:marBottom w:val="0"/>
                      <w:divBdr>
                        <w:top w:val="none" w:sz="0" w:space="0" w:color="auto"/>
                        <w:left w:val="none" w:sz="0" w:space="0" w:color="auto"/>
                        <w:bottom w:val="none" w:sz="0" w:space="0" w:color="auto"/>
                        <w:right w:val="none" w:sz="0" w:space="0" w:color="auto"/>
                      </w:divBdr>
                    </w:div>
                  </w:divsChild>
                </w:div>
                <w:div w:id="632835360">
                  <w:marLeft w:val="0"/>
                  <w:marRight w:val="0"/>
                  <w:marTop w:val="0"/>
                  <w:marBottom w:val="0"/>
                  <w:divBdr>
                    <w:top w:val="none" w:sz="0" w:space="0" w:color="auto"/>
                    <w:left w:val="none" w:sz="0" w:space="0" w:color="auto"/>
                    <w:bottom w:val="none" w:sz="0" w:space="0" w:color="auto"/>
                    <w:right w:val="none" w:sz="0" w:space="0" w:color="auto"/>
                  </w:divBdr>
                  <w:divsChild>
                    <w:div w:id="659818594">
                      <w:marLeft w:val="0"/>
                      <w:marRight w:val="0"/>
                      <w:marTop w:val="0"/>
                      <w:marBottom w:val="0"/>
                      <w:divBdr>
                        <w:top w:val="none" w:sz="0" w:space="0" w:color="auto"/>
                        <w:left w:val="none" w:sz="0" w:space="0" w:color="auto"/>
                        <w:bottom w:val="none" w:sz="0" w:space="0" w:color="auto"/>
                        <w:right w:val="none" w:sz="0" w:space="0" w:color="auto"/>
                      </w:divBdr>
                    </w:div>
                  </w:divsChild>
                </w:div>
                <w:div w:id="640310653">
                  <w:marLeft w:val="0"/>
                  <w:marRight w:val="0"/>
                  <w:marTop w:val="0"/>
                  <w:marBottom w:val="0"/>
                  <w:divBdr>
                    <w:top w:val="none" w:sz="0" w:space="0" w:color="auto"/>
                    <w:left w:val="none" w:sz="0" w:space="0" w:color="auto"/>
                    <w:bottom w:val="none" w:sz="0" w:space="0" w:color="auto"/>
                    <w:right w:val="none" w:sz="0" w:space="0" w:color="auto"/>
                  </w:divBdr>
                  <w:divsChild>
                    <w:div w:id="261257829">
                      <w:marLeft w:val="0"/>
                      <w:marRight w:val="0"/>
                      <w:marTop w:val="0"/>
                      <w:marBottom w:val="0"/>
                      <w:divBdr>
                        <w:top w:val="none" w:sz="0" w:space="0" w:color="auto"/>
                        <w:left w:val="none" w:sz="0" w:space="0" w:color="auto"/>
                        <w:bottom w:val="none" w:sz="0" w:space="0" w:color="auto"/>
                        <w:right w:val="none" w:sz="0" w:space="0" w:color="auto"/>
                      </w:divBdr>
                    </w:div>
                  </w:divsChild>
                </w:div>
                <w:div w:id="641079438">
                  <w:marLeft w:val="0"/>
                  <w:marRight w:val="0"/>
                  <w:marTop w:val="0"/>
                  <w:marBottom w:val="0"/>
                  <w:divBdr>
                    <w:top w:val="none" w:sz="0" w:space="0" w:color="auto"/>
                    <w:left w:val="none" w:sz="0" w:space="0" w:color="auto"/>
                    <w:bottom w:val="none" w:sz="0" w:space="0" w:color="auto"/>
                    <w:right w:val="none" w:sz="0" w:space="0" w:color="auto"/>
                  </w:divBdr>
                  <w:divsChild>
                    <w:div w:id="1124538938">
                      <w:marLeft w:val="0"/>
                      <w:marRight w:val="0"/>
                      <w:marTop w:val="0"/>
                      <w:marBottom w:val="0"/>
                      <w:divBdr>
                        <w:top w:val="none" w:sz="0" w:space="0" w:color="auto"/>
                        <w:left w:val="none" w:sz="0" w:space="0" w:color="auto"/>
                        <w:bottom w:val="none" w:sz="0" w:space="0" w:color="auto"/>
                        <w:right w:val="none" w:sz="0" w:space="0" w:color="auto"/>
                      </w:divBdr>
                    </w:div>
                  </w:divsChild>
                </w:div>
                <w:div w:id="661616587">
                  <w:marLeft w:val="0"/>
                  <w:marRight w:val="0"/>
                  <w:marTop w:val="0"/>
                  <w:marBottom w:val="0"/>
                  <w:divBdr>
                    <w:top w:val="none" w:sz="0" w:space="0" w:color="auto"/>
                    <w:left w:val="none" w:sz="0" w:space="0" w:color="auto"/>
                    <w:bottom w:val="none" w:sz="0" w:space="0" w:color="auto"/>
                    <w:right w:val="none" w:sz="0" w:space="0" w:color="auto"/>
                  </w:divBdr>
                  <w:divsChild>
                    <w:div w:id="1705640174">
                      <w:marLeft w:val="0"/>
                      <w:marRight w:val="0"/>
                      <w:marTop w:val="0"/>
                      <w:marBottom w:val="0"/>
                      <w:divBdr>
                        <w:top w:val="none" w:sz="0" w:space="0" w:color="auto"/>
                        <w:left w:val="none" w:sz="0" w:space="0" w:color="auto"/>
                        <w:bottom w:val="none" w:sz="0" w:space="0" w:color="auto"/>
                        <w:right w:val="none" w:sz="0" w:space="0" w:color="auto"/>
                      </w:divBdr>
                    </w:div>
                  </w:divsChild>
                </w:div>
                <w:div w:id="680666378">
                  <w:marLeft w:val="0"/>
                  <w:marRight w:val="0"/>
                  <w:marTop w:val="0"/>
                  <w:marBottom w:val="0"/>
                  <w:divBdr>
                    <w:top w:val="none" w:sz="0" w:space="0" w:color="auto"/>
                    <w:left w:val="none" w:sz="0" w:space="0" w:color="auto"/>
                    <w:bottom w:val="none" w:sz="0" w:space="0" w:color="auto"/>
                    <w:right w:val="none" w:sz="0" w:space="0" w:color="auto"/>
                  </w:divBdr>
                  <w:divsChild>
                    <w:div w:id="1641307037">
                      <w:marLeft w:val="0"/>
                      <w:marRight w:val="0"/>
                      <w:marTop w:val="0"/>
                      <w:marBottom w:val="0"/>
                      <w:divBdr>
                        <w:top w:val="none" w:sz="0" w:space="0" w:color="auto"/>
                        <w:left w:val="none" w:sz="0" w:space="0" w:color="auto"/>
                        <w:bottom w:val="none" w:sz="0" w:space="0" w:color="auto"/>
                        <w:right w:val="none" w:sz="0" w:space="0" w:color="auto"/>
                      </w:divBdr>
                    </w:div>
                  </w:divsChild>
                </w:div>
                <w:div w:id="695155239">
                  <w:marLeft w:val="0"/>
                  <w:marRight w:val="0"/>
                  <w:marTop w:val="0"/>
                  <w:marBottom w:val="0"/>
                  <w:divBdr>
                    <w:top w:val="none" w:sz="0" w:space="0" w:color="auto"/>
                    <w:left w:val="none" w:sz="0" w:space="0" w:color="auto"/>
                    <w:bottom w:val="none" w:sz="0" w:space="0" w:color="auto"/>
                    <w:right w:val="none" w:sz="0" w:space="0" w:color="auto"/>
                  </w:divBdr>
                  <w:divsChild>
                    <w:div w:id="929704170">
                      <w:marLeft w:val="0"/>
                      <w:marRight w:val="0"/>
                      <w:marTop w:val="0"/>
                      <w:marBottom w:val="0"/>
                      <w:divBdr>
                        <w:top w:val="none" w:sz="0" w:space="0" w:color="auto"/>
                        <w:left w:val="none" w:sz="0" w:space="0" w:color="auto"/>
                        <w:bottom w:val="none" w:sz="0" w:space="0" w:color="auto"/>
                        <w:right w:val="none" w:sz="0" w:space="0" w:color="auto"/>
                      </w:divBdr>
                    </w:div>
                  </w:divsChild>
                </w:div>
                <w:div w:id="708804592">
                  <w:marLeft w:val="0"/>
                  <w:marRight w:val="0"/>
                  <w:marTop w:val="0"/>
                  <w:marBottom w:val="0"/>
                  <w:divBdr>
                    <w:top w:val="none" w:sz="0" w:space="0" w:color="auto"/>
                    <w:left w:val="none" w:sz="0" w:space="0" w:color="auto"/>
                    <w:bottom w:val="none" w:sz="0" w:space="0" w:color="auto"/>
                    <w:right w:val="none" w:sz="0" w:space="0" w:color="auto"/>
                  </w:divBdr>
                  <w:divsChild>
                    <w:div w:id="1617718140">
                      <w:marLeft w:val="0"/>
                      <w:marRight w:val="0"/>
                      <w:marTop w:val="0"/>
                      <w:marBottom w:val="0"/>
                      <w:divBdr>
                        <w:top w:val="none" w:sz="0" w:space="0" w:color="auto"/>
                        <w:left w:val="none" w:sz="0" w:space="0" w:color="auto"/>
                        <w:bottom w:val="none" w:sz="0" w:space="0" w:color="auto"/>
                        <w:right w:val="none" w:sz="0" w:space="0" w:color="auto"/>
                      </w:divBdr>
                    </w:div>
                  </w:divsChild>
                </w:div>
                <w:div w:id="831674871">
                  <w:marLeft w:val="0"/>
                  <w:marRight w:val="0"/>
                  <w:marTop w:val="0"/>
                  <w:marBottom w:val="0"/>
                  <w:divBdr>
                    <w:top w:val="none" w:sz="0" w:space="0" w:color="auto"/>
                    <w:left w:val="none" w:sz="0" w:space="0" w:color="auto"/>
                    <w:bottom w:val="none" w:sz="0" w:space="0" w:color="auto"/>
                    <w:right w:val="none" w:sz="0" w:space="0" w:color="auto"/>
                  </w:divBdr>
                  <w:divsChild>
                    <w:div w:id="748692287">
                      <w:marLeft w:val="0"/>
                      <w:marRight w:val="0"/>
                      <w:marTop w:val="0"/>
                      <w:marBottom w:val="0"/>
                      <w:divBdr>
                        <w:top w:val="none" w:sz="0" w:space="0" w:color="auto"/>
                        <w:left w:val="none" w:sz="0" w:space="0" w:color="auto"/>
                        <w:bottom w:val="none" w:sz="0" w:space="0" w:color="auto"/>
                        <w:right w:val="none" w:sz="0" w:space="0" w:color="auto"/>
                      </w:divBdr>
                    </w:div>
                  </w:divsChild>
                </w:div>
                <w:div w:id="891311523">
                  <w:marLeft w:val="0"/>
                  <w:marRight w:val="0"/>
                  <w:marTop w:val="0"/>
                  <w:marBottom w:val="0"/>
                  <w:divBdr>
                    <w:top w:val="none" w:sz="0" w:space="0" w:color="auto"/>
                    <w:left w:val="none" w:sz="0" w:space="0" w:color="auto"/>
                    <w:bottom w:val="none" w:sz="0" w:space="0" w:color="auto"/>
                    <w:right w:val="none" w:sz="0" w:space="0" w:color="auto"/>
                  </w:divBdr>
                  <w:divsChild>
                    <w:div w:id="675232617">
                      <w:marLeft w:val="0"/>
                      <w:marRight w:val="0"/>
                      <w:marTop w:val="0"/>
                      <w:marBottom w:val="0"/>
                      <w:divBdr>
                        <w:top w:val="none" w:sz="0" w:space="0" w:color="auto"/>
                        <w:left w:val="none" w:sz="0" w:space="0" w:color="auto"/>
                        <w:bottom w:val="none" w:sz="0" w:space="0" w:color="auto"/>
                        <w:right w:val="none" w:sz="0" w:space="0" w:color="auto"/>
                      </w:divBdr>
                    </w:div>
                  </w:divsChild>
                </w:div>
                <w:div w:id="940643880">
                  <w:marLeft w:val="0"/>
                  <w:marRight w:val="0"/>
                  <w:marTop w:val="0"/>
                  <w:marBottom w:val="0"/>
                  <w:divBdr>
                    <w:top w:val="none" w:sz="0" w:space="0" w:color="auto"/>
                    <w:left w:val="none" w:sz="0" w:space="0" w:color="auto"/>
                    <w:bottom w:val="none" w:sz="0" w:space="0" w:color="auto"/>
                    <w:right w:val="none" w:sz="0" w:space="0" w:color="auto"/>
                  </w:divBdr>
                  <w:divsChild>
                    <w:div w:id="494608968">
                      <w:marLeft w:val="0"/>
                      <w:marRight w:val="0"/>
                      <w:marTop w:val="0"/>
                      <w:marBottom w:val="0"/>
                      <w:divBdr>
                        <w:top w:val="none" w:sz="0" w:space="0" w:color="auto"/>
                        <w:left w:val="none" w:sz="0" w:space="0" w:color="auto"/>
                        <w:bottom w:val="none" w:sz="0" w:space="0" w:color="auto"/>
                        <w:right w:val="none" w:sz="0" w:space="0" w:color="auto"/>
                      </w:divBdr>
                    </w:div>
                  </w:divsChild>
                </w:div>
                <w:div w:id="946888593">
                  <w:marLeft w:val="0"/>
                  <w:marRight w:val="0"/>
                  <w:marTop w:val="0"/>
                  <w:marBottom w:val="0"/>
                  <w:divBdr>
                    <w:top w:val="none" w:sz="0" w:space="0" w:color="auto"/>
                    <w:left w:val="none" w:sz="0" w:space="0" w:color="auto"/>
                    <w:bottom w:val="none" w:sz="0" w:space="0" w:color="auto"/>
                    <w:right w:val="none" w:sz="0" w:space="0" w:color="auto"/>
                  </w:divBdr>
                  <w:divsChild>
                    <w:div w:id="745415360">
                      <w:marLeft w:val="0"/>
                      <w:marRight w:val="0"/>
                      <w:marTop w:val="0"/>
                      <w:marBottom w:val="0"/>
                      <w:divBdr>
                        <w:top w:val="none" w:sz="0" w:space="0" w:color="auto"/>
                        <w:left w:val="none" w:sz="0" w:space="0" w:color="auto"/>
                        <w:bottom w:val="none" w:sz="0" w:space="0" w:color="auto"/>
                        <w:right w:val="none" w:sz="0" w:space="0" w:color="auto"/>
                      </w:divBdr>
                    </w:div>
                  </w:divsChild>
                </w:div>
                <w:div w:id="973484588">
                  <w:marLeft w:val="0"/>
                  <w:marRight w:val="0"/>
                  <w:marTop w:val="0"/>
                  <w:marBottom w:val="0"/>
                  <w:divBdr>
                    <w:top w:val="none" w:sz="0" w:space="0" w:color="auto"/>
                    <w:left w:val="none" w:sz="0" w:space="0" w:color="auto"/>
                    <w:bottom w:val="none" w:sz="0" w:space="0" w:color="auto"/>
                    <w:right w:val="none" w:sz="0" w:space="0" w:color="auto"/>
                  </w:divBdr>
                  <w:divsChild>
                    <w:div w:id="960649921">
                      <w:marLeft w:val="0"/>
                      <w:marRight w:val="0"/>
                      <w:marTop w:val="0"/>
                      <w:marBottom w:val="0"/>
                      <w:divBdr>
                        <w:top w:val="none" w:sz="0" w:space="0" w:color="auto"/>
                        <w:left w:val="none" w:sz="0" w:space="0" w:color="auto"/>
                        <w:bottom w:val="none" w:sz="0" w:space="0" w:color="auto"/>
                        <w:right w:val="none" w:sz="0" w:space="0" w:color="auto"/>
                      </w:divBdr>
                    </w:div>
                  </w:divsChild>
                </w:div>
                <w:div w:id="975373240">
                  <w:marLeft w:val="0"/>
                  <w:marRight w:val="0"/>
                  <w:marTop w:val="0"/>
                  <w:marBottom w:val="0"/>
                  <w:divBdr>
                    <w:top w:val="none" w:sz="0" w:space="0" w:color="auto"/>
                    <w:left w:val="none" w:sz="0" w:space="0" w:color="auto"/>
                    <w:bottom w:val="none" w:sz="0" w:space="0" w:color="auto"/>
                    <w:right w:val="none" w:sz="0" w:space="0" w:color="auto"/>
                  </w:divBdr>
                  <w:divsChild>
                    <w:div w:id="1978102433">
                      <w:marLeft w:val="0"/>
                      <w:marRight w:val="0"/>
                      <w:marTop w:val="0"/>
                      <w:marBottom w:val="0"/>
                      <w:divBdr>
                        <w:top w:val="none" w:sz="0" w:space="0" w:color="auto"/>
                        <w:left w:val="none" w:sz="0" w:space="0" w:color="auto"/>
                        <w:bottom w:val="none" w:sz="0" w:space="0" w:color="auto"/>
                        <w:right w:val="none" w:sz="0" w:space="0" w:color="auto"/>
                      </w:divBdr>
                    </w:div>
                  </w:divsChild>
                </w:div>
                <w:div w:id="979385020">
                  <w:marLeft w:val="0"/>
                  <w:marRight w:val="0"/>
                  <w:marTop w:val="0"/>
                  <w:marBottom w:val="0"/>
                  <w:divBdr>
                    <w:top w:val="none" w:sz="0" w:space="0" w:color="auto"/>
                    <w:left w:val="none" w:sz="0" w:space="0" w:color="auto"/>
                    <w:bottom w:val="none" w:sz="0" w:space="0" w:color="auto"/>
                    <w:right w:val="none" w:sz="0" w:space="0" w:color="auto"/>
                  </w:divBdr>
                  <w:divsChild>
                    <w:div w:id="730469766">
                      <w:marLeft w:val="0"/>
                      <w:marRight w:val="0"/>
                      <w:marTop w:val="0"/>
                      <w:marBottom w:val="0"/>
                      <w:divBdr>
                        <w:top w:val="none" w:sz="0" w:space="0" w:color="auto"/>
                        <w:left w:val="none" w:sz="0" w:space="0" w:color="auto"/>
                        <w:bottom w:val="none" w:sz="0" w:space="0" w:color="auto"/>
                        <w:right w:val="none" w:sz="0" w:space="0" w:color="auto"/>
                      </w:divBdr>
                    </w:div>
                  </w:divsChild>
                </w:div>
                <w:div w:id="1067417522">
                  <w:marLeft w:val="0"/>
                  <w:marRight w:val="0"/>
                  <w:marTop w:val="0"/>
                  <w:marBottom w:val="0"/>
                  <w:divBdr>
                    <w:top w:val="none" w:sz="0" w:space="0" w:color="auto"/>
                    <w:left w:val="none" w:sz="0" w:space="0" w:color="auto"/>
                    <w:bottom w:val="none" w:sz="0" w:space="0" w:color="auto"/>
                    <w:right w:val="none" w:sz="0" w:space="0" w:color="auto"/>
                  </w:divBdr>
                  <w:divsChild>
                    <w:div w:id="2136672422">
                      <w:marLeft w:val="0"/>
                      <w:marRight w:val="0"/>
                      <w:marTop w:val="0"/>
                      <w:marBottom w:val="0"/>
                      <w:divBdr>
                        <w:top w:val="none" w:sz="0" w:space="0" w:color="auto"/>
                        <w:left w:val="none" w:sz="0" w:space="0" w:color="auto"/>
                        <w:bottom w:val="none" w:sz="0" w:space="0" w:color="auto"/>
                        <w:right w:val="none" w:sz="0" w:space="0" w:color="auto"/>
                      </w:divBdr>
                    </w:div>
                  </w:divsChild>
                </w:div>
                <w:div w:id="1136726271">
                  <w:marLeft w:val="0"/>
                  <w:marRight w:val="0"/>
                  <w:marTop w:val="0"/>
                  <w:marBottom w:val="0"/>
                  <w:divBdr>
                    <w:top w:val="none" w:sz="0" w:space="0" w:color="auto"/>
                    <w:left w:val="none" w:sz="0" w:space="0" w:color="auto"/>
                    <w:bottom w:val="none" w:sz="0" w:space="0" w:color="auto"/>
                    <w:right w:val="none" w:sz="0" w:space="0" w:color="auto"/>
                  </w:divBdr>
                  <w:divsChild>
                    <w:div w:id="1173838439">
                      <w:marLeft w:val="0"/>
                      <w:marRight w:val="0"/>
                      <w:marTop w:val="0"/>
                      <w:marBottom w:val="0"/>
                      <w:divBdr>
                        <w:top w:val="none" w:sz="0" w:space="0" w:color="auto"/>
                        <w:left w:val="none" w:sz="0" w:space="0" w:color="auto"/>
                        <w:bottom w:val="none" w:sz="0" w:space="0" w:color="auto"/>
                        <w:right w:val="none" w:sz="0" w:space="0" w:color="auto"/>
                      </w:divBdr>
                    </w:div>
                  </w:divsChild>
                </w:div>
                <w:div w:id="1170171879">
                  <w:marLeft w:val="0"/>
                  <w:marRight w:val="0"/>
                  <w:marTop w:val="0"/>
                  <w:marBottom w:val="0"/>
                  <w:divBdr>
                    <w:top w:val="none" w:sz="0" w:space="0" w:color="auto"/>
                    <w:left w:val="none" w:sz="0" w:space="0" w:color="auto"/>
                    <w:bottom w:val="none" w:sz="0" w:space="0" w:color="auto"/>
                    <w:right w:val="none" w:sz="0" w:space="0" w:color="auto"/>
                  </w:divBdr>
                  <w:divsChild>
                    <w:div w:id="2071462667">
                      <w:marLeft w:val="0"/>
                      <w:marRight w:val="0"/>
                      <w:marTop w:val="0"/>
                      <w:marBottom w:val="0"/>
                      <w:divBdr>
                        <w:top w:val="none" w:sz="0" w:space="0" w:color="auto"/>
                        <w:left w:val="none" w:sz="0" w:space="0" w:color="auto"/>
                        <w:bottom w:val="none" w:sz="0" w:space="0" w:color="auto"/>
                        <w:right w:val="none" w:sz="0" w:space="0" w:color="auto"/>
                      </w:divBdr>
                    </w:div>
                  </w:divsChild>
                </w:div>
                <w:div w:id="1188368983">
                  <w:marLeft w:val="0"/>
                  <w:marRight w:val="0"/>
                  <w:marTop w:val="0"/>
                  <w:marBottom w:val="0"/>
                  <w:divBdr>
                    <w:top w:val="none" w:sz="0" w:space="0" w:color="auto"/>
                    <w:left w:val="none" w:sz="0" w:space="0" w:color="auto"/>
                    <w:bottom w:val="none" w:sz="0" w:space="0" w:color="auto"/>
                    <w:right w:val="none" w:sz="0" w:space="0" w:color="auto"/>
                  </w:divBdr>
                  <w:divsChild>
                    <w:div w:id="50540783">
                      <w:marLeft w:val="0"/>
                      <w:marRight w:val="0"/>
                      <w:marTop w:val="0"/>
                      <w:marBottom w:val="0"/>
                      <w:divBdr>
                        <w:top w:val="none" w:sz="0" w:space="0" w:color="auto"/>
                        <w:left w:val="none" w:sz="0" w:space="0" w:color="auto"/>
                        <w:bottom w:val="none" w:sz="0" w:space="0" w:color="auto"/>
                        <w:right w:val="none" w:sz="0" w:space="0" w:color="auto"/>
                      </w:divBdr>
                    </w:div>
                  </w:divsChild>
                </w:div>
                <w:div w:id="1190339256">
                  <w:marLeft w:val="0"/>
                  <w:marRight w:val="0"/>
                  <w:marTop w:val="0"/>
                  <w:marBottom w:val="0"/>
                  <w:divBdr>
                    <w:top w:val="none" w:sz="0" w:space="0" w:color="auto"/>
                    <w:left w:val="none" w:sz="0" w:space="0" w:color="auto"/>
                    <w:bottom w:val="none" w:sz="0" w:space="0" w:color="auto"/>
                    <w:right w:val="none" w:sz="0" w:space="0" w:color="auto"/>
                  </w:divBdr>
                  <w:divsChild>
                    <w:div w:id="1267930048">
                      <w:marLeft w:val="0"/>
                      <w:marRight w:val="0"/>
                      <w:marTop w:val="0"/>
                      <w:marBottom w:val="0"/>
                      <w:divBdr>
                        <w:top w:val="none" w:sz="0" w:space="0" w:color="auto"/>
                        <w:left w:val="none" w:sz="0" w:space="0" w:color="auto"/>
                        <w:bottom w:val="none" w:sz="0" w:space="0" w:color="auto"/>
                        <w:right w:val="none" w:sz="0" w:space="0" w:color="auto"/>
                      </w:divBdr>
                    </w:div>
                  </w:divsChild>
                </w:div>
                <w:div w:id="1216432040">
                  <w:marLeft w:val="0"/>
                  <w:marRight w:val="0"/>
                  <w:marTop w:val="0"/>
                  <w:marBottom w:val="0"/>
                  <w:divBdr>
                    <w:top w:val="none" w:sz="0" w:space="0" w:color="auto"/>
                    <w:left w:val="none" w:sz="0" w:space="0" w:color="auto"/>
                    <w:bottom w:val="none" w:sz="0" w:space="0" w:color="auto"/>
                    <w:right w:val="none" w:sz="0" w:space="0" w:color="auto"/>
                  </w:divBdr>
                  <w:divsChild>
                    <w:div w:id="1113789483">
                      <w:marLeft w:val="0"/>
                      <w:marRight w:val="0"/>
                      <w:marTop w:val="0"/>
                      <w:marBottom w:val="0"/>
                      <w:divBdr>
                        <w:top w:val="none" w:sz="0" w:space="0" w:color="auto"/>
                        <w:left w:val="none" w:sz="0" w:space="0" w:color="auto"/>
                        <w:bottom w:val="none" w:sz="0" w:space="0" w:color="auto"/>
                        <w:right w:val="none" w:sz="0" w:space="0" w:color="auto"/>
                      </w:divBdr>
                    </w:div>
                  </w:divsChild>
                </w:div>
                <w:div w:id="1236741658">
                  <w:marLeft w:val="0"/>
                  <w:marRight w:val="0"/>
                  <w:marTop w:val="0"/>
                  <w:marBottom w:val="0"/>
                  <w:divBdr>
                    <w:top w:val="none" w:sz="0" w:space="0" w:color="auto"/>
                    <w:left w:val="none" w:sz="0" w:space="0" w:color="auto"/>
                    <w:bottom w:val="none" w:sz="0" w:space="0" w:color="auto"/>
                    <w:right w:val="none" w:sz="0" w:space="0" w:color="auto"/>
                  </w:divBdr>
                  <w:divsChild>
                    <w:div w:id="992679696">
                      <w:marLeft w:val="0"/>
                      <w:marRight w:val="0"/>
                      <w:marTop w:val="0"/>
                      <w:marBottom w:val="0"/>
                      <w:divBdr>
                        <w:top w:val="none" w:sz="0" w:space="0" w:color="auto"/>
                        <w:left w:val="none" w:sz="0" w:space="0" w:color="auto"/>
                        <w:bottom w:val="none" w:sz="0" w:space="0" w:color="auto"/>
                        <w:right w:val="none" w:sz="0" w:space="0" w:color="auto"/>
                      </w:divBdr>
                    </w:div>
                  </w:divsChild>
                </w:div>
                <w:div w:id="1242131730">
                  <w:marLeft w:val="0"/>
                  <w:marRight w:val="0"/>
                  <w:marTop w:val="0"/>
                  <w:marBottom w:val="0"/>
                  <w:divBdr>
                    <w:top w:val="none" w:sz="0" w:space="0" w:color="auto"/>
                    <w:left w:val="none" w:sz="0" w:space="0" w:color="auto"/>
                    <w:bottom w:val="none" w:sz="0" w:space="0" w:color="auto"/>
                    <w:right w:val="none" w:sz="0" w:space="0" w:color="auto"/>
                  </w:divBdr>
                  <w:divsChild>
                    <w:div w:id="1784030769">
                      <w:marLeft w:val="0"/>
                      <w:marRight w:val="0"/>
                      <w:marTop w:val="0"/>
                      <w:marBottom w:val="0"/>
                      <w:divBdr>
                        <w:top w:val="none" w:sz="0" w:space="0" w:color="auto"/>
                        <w:left w:val="none" w:sz="0" w:space="0" w:color="auto"/>
                        <w:bottom w:val="none" w:sz="0" w:space="0" w:color="auto"/>
                        <w:right w:val="none" w:sz="0" w:space="0" w:color="auto"/>
                      </w:divBdr>
                    </w:div>
                  </w:divsChild>
                </w:div>
                <w:div w:id="1246182569">
                  <w:marLeft w:val="0"/>
                  <w:marRight w:val="0"/>
                  <w:marTop w:val="0"/>
                  <w:marBottom w:val="0"/>
                  <w:divBdr>
                    <w:top w:val="none" w:sz="0" w:space="0" w:color="auto"/>
                    <w:left w:val="none" w:sz="0" w:space="0" w:color="auto"/>
                    <w:bottom w:val="none" w:sz="0" w:space="0" w:color="auto"/>
                    <w:right w:val="none" w:sz="0" w:space="0" w:color="auto"/>
                  </w:divBdr>
                  <w:divsChild>
                    <w:div w:id="2040859707">
                      <w:marLeft w:val="0"/>
                      <w:marRight w:val="0"/>
                      <w:marTop w:val="0"/>
                      <w:marBottom w:val="0"/>
                      <w:divBdr>
                        <w:top w:val="none" w:sz="0" w:space="0" w:color="auto"/>
                        <w:left w:val="none" w:sz="0" w:space="0" w:color="auto"/>
                        <w:bottom w:val="none" w:sz="0" w:space="0" w:color="auto"/>
                        <w:right w:val="none" w:sz="0" w:space="0" w:color="auto"/>
                      </w:divBdr>
                    </w:div>
                  </w:divsChild>
                </w:div>
                <w:div w:id="1277057014">
                  <w:marLeft w:val="0"/>
                  <w:marRight w:val="0"/>
                  <w:marTop w:val="0"/>
                  <w:marBottom w:val="0"/>
                  <w:divBdr>
                    <w:top w:val="none" w:sz="0" w:space="0" w:color="auto"/>
                    <w:left w:val="none" w:sz="0" w:space="0" w:color="auto"/>
                    <w:bottom w:val="none" w:sz="0" w:space="0" w:color="auto"/>
                    <w:right w:val="none" w:sz="0" w:space="0" w:color="auto"/>
                  </w:divBdr>
                  <w:divsChild>
                    <w:div w:id="1789546096">
                      <w:marLeft w:val="0"/>
                      <w:marRight w:val="0"/>
                      <w:marTop w:val="0"/>
                      <w:marBottom w:val="0"/>
                      <w:divBdr>
                        <w:top w:val="none" w:sz="0" w:space="0" w:color="auto"/>
                        <w:left w:val="none" w:sz="0" w:space="0" w:color="auto"/>
                        <w:bottom w:val="none" w:sz="0" w:space="0" w:color="auto"/>
                        <w:right w:val="none" w:sz="0" w:space="0" w:color="auto"/>
                      </w:divBdr>
                    </w:div>
                  </w:divsChild>
                </w:div>
                <w:div w:id="1281693121">
                  <w:marLeft w:val="0"/>
                  <w:marRight w:val="0"/>
                  <w:marTop w:val="0"/>
                  <w:marBottom w:val="0"/>
                  <w:divBdr>
                    <w:top w:val="none" w:sz="0" w:space="0" w:color="auto"/>
                    <w:left w:val="none" w:sz="0" w:space="0" w:color="auto"/>
                    <w:bottom w:val="none" w:sz="0" w:space="0" w:color="auto"/>
                    <w:right w:val="none" w:sz="0" w:space="0" w:color="auto"/>
                  </w:divBdr>
                  <w:divsChild>
                    <w:div w:id="1165707564">
                      <w:marLeft w:val="0"/>
                      <w:marRight w:val="0"/>
                      <w:marTop w:val="0"/>
                      <w:marBottom w:val="0"/>
                      <w:divBdr>
                        <w:top w:val="none" w:sz="0" w:space="0" w:color="auto"/>
                        <w:left w:val="none" w:sz="0" w:space="0" w:color="auto"/>
                        <w:bottom w:val="none" w:sz="0" w:space="0" w:color="auto"/>
                        <w:right w:val="none" w:sz="0" w:space="0" w:color="auto"/>
                      </w:divBdr>
                    </w:div>
                  </w:divsChild>
                </w:div>
                <w:div w:id="1293176814">
                  <w:marLeft w:val="0"/>
                  <w:marRight w:val="0"/>
                  <w:marTop w:val="0"/>
                  <w:marBottom w:val="0"/>
                  <w:divBdr>
                    <w:top w:val="none" w:sz="0" w:space="0" w:color="auto"/>
                    <w:left w:val="none" w:sz="0" w:space="0" w:color="auto"/>
                    <w:bottom w:val="none" w:sz="0" w:space="0" w:color="auto"/>
                    <w:right w:val="none" w:sz="0" w:space="0" w:color="auto"/>
                  </w:divBdr>
                  <w:divsChild>
                    <w:div w:id="363872666">
                      <w:marLeft w:val="0"/>
                      <w:marRight w:val="0"/>
                      <w:marTop w:val="0"/>
                      <w:marBottom w:val="0"/>
                      <w:divBdr>
                        <w:top w:val="none" w:sz="0" w:space="0" w:color="auto"/>
                        <w:left w:val="none" w:sz="0" w:space="0" w:color="auto"/>
                        <w:bottom w:val="none" w:sz="0" w:space="0" w:color="auto"/>
                        <w:right w:val="none" w:sz="0" w:space="0" w:color="auto"/>
                      </w:divBdr>
                    </w:div>
                  </w:divsChild>
                </w:div>
                <w:div w:id="1300768260">
                  <w:marLeft w:val="0"/>
                  <w:marRight w:val="0"/>
                  <w:marTop w:val="0"/>
                  <w:marBottom w:val="0"/>
                  <w:divBdr>
                    <w:top w:val="none" w:sz="0" w:space="0" w:color="auto"/>
                    <w:left w:val="none" w:sz="0" w:space="0" w:color="auto"/>
                    <w:bottom w:val="none" w:sz="0" w:space="0" w:color="auto"/>
                    <w:right w:val="none" w:sz="0" w:space="0" w:color="auto"/>
                  </w:divBdr>
                  <w:divsChild>
                    <w:div w:id="1774544698">
                      <w:marLeft w:val="0"/>
                      <w:marRight w:val="0"/>
                      <w:marTop w:val="0"/>
                      <w:marBottom w:val="0"/>
                      <w:divBdr>
                        <w:top w:val="none" w:sz="0" w:space="0" w:color="auto"/>
                        <w:left w:val="none" w:sz="0" w:space="0" w:color="auto"/>
                        <w:bottom w:val="none" w:sz="0" w:space="0" w:color="auto"/>
                        <w:right w:val="none" w:sz="0" w:space="0" w:color="auto"/>
                      </w:divBdr>
                    </w:div>
                  </w:divsChild>
                </w:div>
                <w:div w:id="1311641330">
                  <w:marLeft w:val="0"/>
                  <w:marRight w:val="0"/>
                  <w:marTop w:val="0"/>
                  <w:marBottom w:val="0"/>
                  <w:divBdr>
                    <w:top w:val="none" w:sz="0" w:space="0" w:color="auto"/>
                    <w:left w:val="none" w:sz="0" w:space="0" w:color="auto"/>
                    <w:bottom w:val="none" w:sz="0" w:space="0" w:color="auto"/>
                    <w:right w:val="none" w:sz="0" w:space="0" w:color="auto"/>
                  </w:divBdr>
                  <w:divsChild>
                    <w:div w:id="1342007776">
                      <w:marLeft w:val="0"/>
                      <w:marRight w:val="0"/>
                      <w:marTop w:val="0"/>
                      <w:marBottom w:val="0"/>
                      <w:divBdr>
                        <w:top w:val="none" w:sz="0" w:space="0" w:color="auto"/>
                        <w:left w:val="none" w:sz="0" w:space="0" w:color="auto"/>
                        <w:bottom w:val="none" w:sz="0" w:space="0" w:color="auto"/>
                        <w:right w:val="none" w:sz="0" w:space="0" w:color="auto"/>
                      </w:divBdr>
                    </w:div>
                  </w:divsChild>
                </w:div>
                <w:div w:id="1316836679">
                  <w:marLeft w:val="0"/>
                  <w:marRight w:val="0"/>
                  <w:marTop w:val="0"/>
                  <w:marBottom w:val="0"/>
                  <w:divBdr>
                    <w:top w:val="none" w:sz="0" w:space="0" w:color="auto"/>
                    <w:left w:val="none" w:sz="0" w:space="0" w:color="auto"/>
                    <w:bottom w:val="none" w:sz="0" w:space="0" w:color="auto"/>
                    <w:right w:val="none" w:sz="0" w:space="0" w:color="auto"/>
                  </w:divBdr>
                  <w:divsChild>
                    <w:div w:id="1479108807">
                      <w:marLeft w:val="0"/>
                      <w:marRight w:val="0"/>
                      <w:marTop w:val="0"/>
                      <w:marBottom w:val="0"/>
                      <w:divBdr>
                        <w:top w:val="none" w:sz="0" w:space="0" w:color="auto"/>
                        <w:left w:val="none" w:sz="0" w:space="0" w:color="auto"/>
                        <w:bottom w:val="none" w:sz="0" w:space="0" w:color="auto"/>
                        <w:right w:val="none" w:sz="0" w:space="0" w:color="auto"/>
                      </w:divBdr>
                    </w:div>
                  </w:divsChild>
                </w:div>
                <w:div w:id="1321351546">
                  <w:marLeft w:val="0"/>
                  <w:marRight w:val="0"/>
                  <w:marTop w:val="0"/>
                  <w:marBottom w:val="0"/>
                  <w:divBdr>
                    <w:top w:val="none" w:sz="0" w:space="0" w:color="auto"/>
                    <w:left w:val="none" w:sz="0" w:space="0" w:color="auto"/>
                    <w:bottom w:val="none" w:sz="0" w:space="0" w:color="auto"/>
                    <w:right w:val="none" w:sz="0" w:space="0" w:color="auto"/>
                  </w:divBdr>
                  <w:divsChild>
                    <w:div w:id="440610918">
                      <w:marLeft w:val="0"/>
                      <w:marRight w:val="0"/>
                      <w:marTop w:val="0"/>
                      <w:marBottom w:val="0"/>
                      <w:divBdr>
                        <w:top w:val="none" w:sz="0" w:space="0" w:color="auto"/>
                        <w:left w:val="none" w:sz="0" w:space="0" w:color="auto"/>
                        <w:bottom w:val="none" w:sz="0" w:space="0" w:color="auto"/>
                        <w:right w:val="none" w:sz="0" w:space="0" w:color="auto"/>
                      </w:divBdr>
                    </w:div>
                  </w:divsChild>
                </w:div>
                <w:div w:id="1333989478">
                  <w:marLeft w:val="0"/>
                  <w:marRight w:val="0"/>
                  <w:marTop w:val="0"/>
                  <w:marBottom w:val="0"/>
                  <w:divBdr>
                    <w:top w:val="none" w:sz="0" w:space="0" w:color="auto"/>
                    <w:left w:val="none" w:sz="0" w:space="0" w:color="auto"/>
                    <w:bottom w:val="none" w:sz="0" w:space="0" w:color="auto"/>
                    <w:right w:val="none" w:sz="0" w:space="0" w:color="auto"/>
                  </w:divBdr>
                  <w:divsChild>
                    <w:div w:id="1554854274">
                      <w:marLeft w:val="0"/>
                      <w:marRight w:val="0"/>
                      <w:marTop w:val="0"/>
                      <w:marBottom w:val="0"/>
                      <w:divBdr>
                        <w:top w:val="none" w:sz="0" w:space="0" w:color="auto"/>
                        <w:left w:val="none" w:sz="0" w:space="0" w:color="auto"/>
                        <w:bottom w:val="none" w:sz="0" w:space="0" w:color="auto"/>
                        <w:right w:val="none" w:sz="0" w:space="0" w:color="auto"/>
                      </w:divBdr>
                    </w:div>
                  </w:divsChild>
                </w:div>
                <w:div w:id="1351371210">
                  <w:marLeft w:val="0"/>
                  <w:marRight w:val="0"/>
                  <w:marTop w:val="0"/>
                  <w:marBottom w:val="0"/>
                  <w:divBdr>
                    <w:top w:val="none" w:sz="0" w:space="0" w:color="auto"/>
                    <w:left w:val="none" w:sz="0" w:space="0" w:color="auto"/>
                    <w:bottom w:val="none" w:sz="0" w:space="0" w:color="auto"/>
                    <w:right w:val="none" w:sz="0" w:space="0" w:color="auto"/>
                  </w:divBdr>
                  <w:divsChild>
                    <w:div w:id="906572322">
                      <w:marLeft w:val="0"/>
                      <w:marRight w:val="0"/>
                      <w:marTop w:val="0"/>
                      <w:marBottom w:val="0"/>
                      <w:divBdr>
                        <w:top w:val="none" w:sz="0" w:space="0" w:color="auto"/>
                        <w:left w:val="none" w:sz="0" w:space="0" w:color="auto"/>
                        <w:bottom w:val="none" w:sz="0" w:space="0" w:color="auto"/>
                        <w:right w:val="none" w:sz="0" w:space="0" w:color="auto"/>
                      </w:divBdr>
                    </w:div>
                  </w:divsChild>
                </w:div>
                <w:div w:id="1380477105">
                  <w:marLeft w:val="0"/>
                  <w:marRight w:val="0"/>
                  <w:marTop w:val="0"/>
                  <w:marBottom w:val="0"/>
                  <w:divBdr>
                    <w:top w:val="none" w:sz="0" w:space="0" w:color="auto"/>
                    <w:left w:val="none" w:sz="0" w:space="0" w:color="auto"/>
                    <w:bottom w:val="none" w:sz="0" w:space="0" w:color="auto"/>
                    <w:right w:val="none" w:sz="0" w:space="0" w:color="auto"/>
                  </w:divBdr>
                  <w:divsChild>
                    <w:div w:id="541020571">
                      <w:marLeft w:val="0"/>
                      <w:marRight w:val="0"/>
                      <w:marTop w:val="0"/>
                      <w:marBottom w:val="0"/>
                      <w:divBdr>
                        <w:top w:val="none" w:sz="0" w:space="0" w:color="auto"/>
                        <w:left w:val="none" w:sz="0" w:space="0" w:color="auto"/>
                        <w:bottom w:val="none" w:sz="0" w:space="0" w:color="auto"/>
                        <w:right w:val="none" w:sz="0" w:space="0" w:color="auto"/>
                      </w:divBdr>
                    </w:div>
                  </w:divsChild>
                </w:div>
                <w:div w:id="1447264087">
                  <w:marLeft w:val="0"/>
                  <w:marRight w:val="0"/>
                  <w:marTop w:val="0"/>
                  <w:marBottom w:val="0"/>
                  <w:divBdr>
                    <w:top w:val="none" w:sz="0" w:space="0" w:color="auto"/>
                    <w:left w:val="none" w:sz="0" w:space="0" w:color="auto"/>
                    <w:bottom w:val="none" w:sz="0" w:space="0" w:color="auto"/>
                    <w:right w:val="none" w:sz="0" w:space="0" w:color="auto"/>
                  </w:divBdr>
                  <w:divsChild>
                    <w:div w:id="2078244478">
                      <w:marLeft w:val="0"/>
                      <w:marRight w:val="0"/>
                      <w:marTop w:val="0"/>
                      <w:marBottom w:val="0"/>
                      <w:divBdr>
                        <w:top w:val="none" w:sz="0" w:space="0" w:color="auto"/>
                        <w:left w:val="none" w:sz="0" w:space="0" w:color="auto"/>
                        <w:bottom w:val="none" w:sz="0" w:space="0" w:color="auto"/>
                        <w:right w:val="none" w:sz="0" w:space="0" w:color="auto"/>
                      </w:divBdr>
                    </w:div>
                  </w:divsChild>
                </w:div>
                <w:div w:id="1454398919">
                  <w:marLeft w:val="0"/>
                  <w:marRight w:val="0"/>
                  <w:marTop w:val="0"/>
                  <w:marBottom w:val="0"/>
                  <w:divBdr>
                    <w:top w:val="none" w:sz="0" w:space="0" w:color="auto"/>
                    <w:left w:val="none" w:sz="0" w:space="0" w:color="auto"/>
                    <w:bottom w:val="none" w:sz="0" w:space="0" w:color="auto"/>
                    <w:right w:val="none" w:sz="0" w:space="0" w:color="auto"/>
                  </w:divBdr>
                  <w:divsChild>
                    <w:div w:id="1857117159">
                      <w:marLeft w:val="0"/>
                      <w:marRight w:val="0"/>
                      <w:marTop w:val="0"/>
                      <w:marBottom w:val="0"/>
                      <w:divBdr>
                        <w:top w:val="none" w:sz="0" w:space="0" w:color="auto"/>
                        <w:left w:val="none" w:sz="0" w:space="0" w:color="auto"/>
                        <w:bottom w:val="none" w:sz="0" w:space="0" w:color="auto"/>
                        <w:right w:val="none" w:sz="0" w:space="0" w:color="auto"/>
                      </w:divBdr>
                    </w:div>
                  </w:divsChild>
                </w:div>
                <w:div w:id="1500344570">
                  <w:marLeft w:val="0"/>
                  <w:marRight w:val="0"/>
                  <w:marTop w:val="0"/>
                  <w:marBottom w:val="0"/>
                  <w:divBdr>
                    <w:top w:val="none" w:sz="0" w:space="0" w:color="auto"/>
                    <w:left w:val="none" w:sz="0" w:space="0" w:color="auto"/>
                    <w:bottom w:val="none" w:sz="0" w:space="0" w:color="auto"/>
                    <w:right w:val="none" w:sz="0" w:space="0" w:color="auto"/>
                  </w:divBdr>
                  <w:divsChild>
                    <w:div w:id="683357654">
                      <w:marLeft w:val="0"/>
                      <w:marRight w:val="0"/>
                      <w:marTop w:val="0"/>
                      <w:marBottom w:val="0"/>
                      <w:divBdr>
                        <w:top w:val="none" w:sz="0" w:space="0" w:color="auto"/>
                        <w:left w:val="none" w:sz="0" w:space="0" w:color="auto"/>
                        <w:bottom w:val="none" w:sz="0" w:space="0" w:color="auto"/>
                        <w:right w:val="none" w:sz="0" w:space="0" w:color="auto"/>
                      </w:divBdr>
                    </w:div>
                  </w:divsChild>
                </w:div>
                <w:div w:id="1511991803">
                  <w:marLeft w:val="0"/>
                  <w:marRight w:val="0"/>
                  <w:marTop w:val="0"/>
                  <w:marBottom w:val="0"/>
                  <w:divBdr>
                    <w:top w:val="none" w:sz="0" w:space="0" w:color="auto"/>
                    <w:left w:val="none" w:sz="0" w:space="0" w:color="auto"/>
                    <w:bottom w:val="none" w:sz="0" w:space="0" w:color="auto"/>
                    <w:right w:val="none" w:sz="0" w:space="0" w:color="auto"/>
                  </w:divBdr>
                  <w:divsChild>
                    <w:div w:id="804276788">
                      <w:marLeft w:val="0"/>
                      <w:marRight w:val="0"/>
                      <w:marTop w:val="0"/>
                      <w:marBottom w:val="0"/>
                      <w:divBdr>
                        <w:top w:val="none" w:sz="0" w:space="0" w:color="auto"/>
                        <w:left w:val="none" w:sz="0" w:space="0" w:color="auto"/>
                        <w:bottom w:val="none" w:sz="0" w:space="0" w:color="auto"/>
                        <w:right w:val="none" w:sz="0" w:space="0" w:color="auto"/>
                      </w:divBdr>
                    </w:div>
                  </w:divsChild>
                </w:div>
                <w:div w:id="1529025294">
                  <w:marLeft w:val="0"/>
                  <w:marRight w:val="0"/>
                  <w:marTop w:val="0"/>
                  <w:marBottom w:val="0"/>
                  <w:divBdr>
                    <w:top w:val="none" w:sz="0" w:space="0" w:color="auto"/>
                    <w:left w:val="none" w:sz="0" w:space="0" w:color="auto"/>
                    <w:bottom w:val="none" w:sz="0" w:space="0" w:color="auto"/>
                    <w:right w:val="none" w:sz="0" w:space="0" w:color="auto"/>
                  </w:divBdr>
                  <w:divsChild>
                    <w:div w:id="2005353726">
                      <w:marLeft w:val="0"/>
                      <w:marRight w:val="0"/>
                      <w:marTop w:val="0"/>
                      <w:marBottom w:val="0"/>
                      <w:divBdr>
                        <w:top w:val="none" w:sz="0" w:space="0" w:color="auto"/>
                        <w:left w:val="none" w:sz="0" w:space="0" w:color="auto"/>
                        <w:bottom w:val="none" w:sz="0" w:space="0" w:color="auto"/>
                        <w:right w:val="none" w:sz="0" w:space="0" w:color="auto"/>
                      </w:divBdr>
                    </w:div>
                  </w:divsChild>
                </w:div>
                <w:div w:id="1537541983">
                  <w:marLeft w:val="0"/>
                  <w:marRight w:val="0"/>
                  <w:marTop w:val="0"/>
                  <w:marBottom w:val="0"/>
                  <w:divBdr>
                    <w:top w:val="none" w:sz="0" w:space="0" w:color="auto"/>
                    <w:left w:val="none" w:sz="0" w:space="0" w:color="auto"/>
                    <w:bottom w:val="none" w:sz="0" w:space="0" w:color="auto"/>
                    <w:right w:val="none" w:sz="0" w:space="0" w:color="auto"/>
                  </w:divBdr>
                  <w:divsChild>
                    <w:div w:id="1421758438">
                      <w:marLeft w:val="0"/>
                      <w:marRight w:val="0"/>
                      <w:marTop w:val="0"/>
                      <w:marBottom w:val="0"/>
                      <w:divBdr>
                        <w:top w:val="none" w:sz="0" w:space="0" w:color="auto"/>
                        <w:left w:val="none" w:sz="0" w:space="0" w:color="auto"/>
                        <w:bottom w:val="none" w:sz="0" w:space="0" w:color="auto"/>
                        <w:right w:val="none" w:sz="0" w:space="0" w:color="auto"/>
                      </w:divBdr>
                    </w:div>
                  </w:divsChild>
                </w:div>
                <w:div w:id="1558391972">
                  <w:marLeft w:val="0"/>
                  <w:marRight w:val="0"/>
                  <w:marTop w:val="0"/>
                  <w:marBottom w:val="0"/>
                  <w:divBdr>
                    <w:top w:val="none" w:sz="0" w:space="0" w:color="auto"/>
                    <w:left w:val="none" w:sz="0" w:space="0" w:color="auto"/>
                    <w:bottom w:val="none" w:sz="0" w:space="0" w:color="auto"/>
                    <w:right w:val="none" w:sz="0" w:space="0" w:color="auto"/>
                  </w:divBdr>
                  <w:divsChild>
                    <w:div w:id="224724668">
                      <w:marLeft w:val="0"/>
                      <w:marRight w:val="0"/>
                      <w:marTop w:val="0"/>
                      <w:marBottom w:val="0"/>
                      <w:divBdr>
                        <w:top w:val="none" w:sz="0" w:space="0" w:color="auto"/>
                        <w:left w:val="none" w:sz="0" w:space="0" w:color="auto"/>
                        <w:bottom w:val="none" w:sz="0" w:space="0" w:color="auto"/>
                        <w:right w:val="none" w:sz="0" w:space="0" w:color="auto"/>
                      </w:divBdr>
                    </w:div>
                  </w:divsChild>
                </w:div>
                <w:div w:id="1564874454">
                  <w:marLeft w:val="0"/>
                  <w:marRight w:val="0"/>
                  <w:marTop w:val="0"/>
                  <w:marBottom w:val="0"/>
                  <w:divBdr>
                    <w:top w:val="none" w:sz="0" w:space="0" w:color="auto"/>
                    <w:left w:val="none" w:sz="0" w:space="0" w:color="auto"/>
                    <w:bottom w:val="none" w:sz="0" w:space="0" w:color="auto"/>
                    <w:right w:val="none" w:sz="0" w:space="0" w:color="auto"/>
                  </w:divBdr>
                  <w:divsChild>
                    <w:div w:id="134225904">
                      <w:marLeft w:val="0"/>
                      <w:marRight w:val="0"/>
                      <w:marTop w:val="0"/>
                      <w:marBottom w:val="0"/>
                      <w:divBdr>
                        <w:top w:val="none" w:sz="0" w:space="0" w:color="auto"/>
                        <w:left w:val="none" w:sz="0" w:space="0" w:color="auto"/>
                        <w:bottom w:val="none" w:sz="0" w:space="0" w:color="auto"/>
                        <w:right w:val="none" w:sz="0" w:space="0" w:color="auto"/>
                      </w:divBdr>
                    </w:div>
                  </w:divsChild>
                </w:div>
                <w:div w:id="1595822000">
                  <w:marLeft w:val="0"/>
                  <w:marRight w:val="0"/>
                  <w:marTop w:val="0"/>
                  <w:marBottom w:val="0"/>
                  <w:divBdr>
                    <w:top w:val="none" w:sz="0" w:space="0" w:color="auto"/>
                    <w:left w:val="none" w:sz="0" w:space="0" w:color="auto"/>
                    <w:bottom w:val="none" w:sz="0" w:space="0" w:color="auto"/>
                    <w:right w:val="none" w:sz="0" w:space="0" w:color="auto"/>
                  </w:divBdr>
                  <w:divsChild>
                    <w:div w:id="147938680">
                      <w:marLeft w:val="0"/>
                      <w:marRight w:val="0"/>
                      <w:marTop w:val="0"/>
                      <w:marBottom w:val="0"/>
                      <w:divBdr>
                        <w:top w:val="none" w:sz="0" w:space="0" w:color="auto"/>
                        <w:left w:val="none" w:sz="0" w:space="0" w:color="auto"/>
                        <w:bottom w:val="none" w:sz="0" w:space="0" w:color="auto"/>
                        <w:right w:val="none" w:sz="0" w:space="0" w:color="auto"/>
                      </w:divBdr>
                    </w:div>
                  </w:divsChild>
                </w:div>
                <w:div w:id="1599828885">
                  <w:marLeft w:val="0"/>
                  <w:marRight w:val="0"/>
                  <w:marTop w:val="0"/>
                  <w:marBottom w:val="0"/>
                  <w:divBdr>
                    <w:top w:val="none" w:sz="0" w:space="0" w:color="auto"/>
                    <w:left w:val="none" w:sz="0" w:space="0" w:color="auto"/>
                    <w:bottom w:val="none" w:sz="0" w:space="0" w:color="auto"/>
                    <w:right w:val="none" w:sz="0" w:space="0" w:color="auto"/>
                  </w:divBdr>
                  <w:divsChild>
                    <w:div w:id="824980359">
                      <w:marLeft w:val="0"/>
                      <w:marRight w:val="0"/>
                      <w:marTop w:val="0"/>
                      <w:marBottom w:val="0"/>
                      <w:divBdr>
                        <w:top w:val="none" w:sz="0" w:space="0" w:color="auto"/>
                        <w:left w:val="none" w:sz="0" w:space="0" w:color="auto"/>
                        <w:bottom w:val="none" w:sz="0" w:space="0" w:color="auto"/>
                        <w:right w:val="none" w:sz="0" w:space="0" w:color="auto"/>
                      </w:divBdr>
                    </w:div>
                  </w:divsChild>
                </w:div>
                <w:div w:id="1613827596">
                  <w:marLeft w:val="0"/>
                  <w:marRight w:val="0"/>
                  <w:marTop w:val="0"/>
                  <w:marBottom w:val="0"/>
                  <w:divBdr>
                    <w:top w:val="none" w:sz="0" w:space="0" w:color="auto"/>
                    <w:left w:val="none" w:sz="0" w:space="0" w:color="auto"/>
                    <w:bottom w:val="none" w:sz="0" w:space="0" w:color="auto"/>
                    <w:right w:val="none" w:sz="0" w:space="0" w:color="auto"/>
                  </w:divBdr>
                  <w:divsChild>
                    <w:div w:id="218713042">
                      <w:marLeft w:val="0"/>
                      <w:marRight w:val="0"/>
                      <w:marTop w:val="0"/>
                      <w:marBottom w:val="0"/>
                      <w:divBdr>
                        <w:top w:val="none" w:sz="0" w:space="0" w:color="auto"/>
                        <w:left w:val="none" w:sz="0" w:space="0" w:color="auto"/>
                        <w:bottom w:val="none" w:sz="0" w:space="0" w:color="auto"/>
                        <w:right w:val="none" w:sz="0" w:space="0" w:color="auto"/>
                      </w:divBdr>
                    </w:div>
                  </w:divsChild>
                </w:div>
                <w:div w:id="1626157284">
                  <w:marLeft w:val="0"/>
                  <w:marRight w:val="0"/>
                  <w:marTop w:val="0"/>
                  <w:marBottom w:val="0"/>
                  <w:divBdr>
                    <w:top w:val="none" w:sz="0" w:space="0" w:color="auto"/>
                    <w:left w:val="none" w:sz="0" w:space="0" w:color="auto"/>
                    <w:bottom w:val="none" w:sz="0" w:space="0" w:color="auto"/>
                    <w:right w:val="none" w:sz="0" w:space="0" w:color="auto"/>
                  </w:divBdr>
                  <w:divsChild>
                    <w:div w:id="1487281407">
                      <w:marLeft w:val="0"/>
                      <w:marRight w:val="0"/>
                      <w:marTop w:val="0"/>
                      <w:marBottom w:val="0"/>
                      <w:divBdr>
                        <w:top w:val="none" w:sz="0" w:space="0" w:color="auto"/>
                        <w:left w:val="none" w:sz="0" w:space="0" w:color="auto"/>
                        <w:bottom w:val="none" w:sz="0" w:space="0" w:color="auto"/>
                        <w:right w:val="none" w:sz="0" w:space="0" w:color="auto"/>
                      </w:divBdr>
                    </w:div>
                  </w:divsChild>
                </w:div>
                <w:div w:id="1656497179">
                  <w:marLeft w:val="0"/>
                  <w:marRight w:val="0"/>
                  <w:marTop w:val="0"/>
                  <w:marBottom w:val="0"/>
                  <w:divBdr>
                    <w:top w:val="none" w:sz="0" w:space="0" w:color="auto"/>
                    <w:left w:val="none" w:sz="0" w:space="0" w:color="auto"/>
                    <w:bottom w:val="none" w:sz="0" w:space="0" w:color="auto"/>
                    <w:right w:val="none" w:sz="0" w:space="0" w:color="auto"/>
                  </w:divBdr>
                  <w:divsChild>
                    <w:div w:id="1375429635">
                      <w:marLeft w:val="0"/>
                      <w:marRight w:val="0"/>
                      <w:marTop w:val="0"/>
                      <w:marBottom w:val="0"/>
                      <w:divBdr>
                        <w:top w:val="none" w:sz="0" w:space="0" w:color="auto"/>
                        <w:left w:val="none" w:sz="0" w:space="0" w:color="auto"/>
                        <w:bottom w:val="none" w:sz="0" w:space="0" w:color="auto"/>
                        <w:right w:val="none" w:sz="0" w:space="0" w:color="auto"/>
                      </w:divBdr>
                    </w:div>
                  </w:divsChild>
                </w:div>
                <w:div w:id="1686593290">
                  <w:marLeft w:val="0"/>
                  <w:marRight w:val="0"/>
                  <w:marTop w:val="0"/>
                  <w:marBottom w:val="0"/>
                  <w:divBdr>
                    <w:top w:val="none" w:sz="0" w:space="0" w:color="auto"/>
                    <w:left w:val="none" w:sz="0" w:space="0" w:color="auto"/>
                    <w:bottom w:val="none" w:sz="0" w:space="0" w:color="auto"/>
                    <w:right w:val="none" w:sz="0" w:space="0" w:color="auto"/>
                  </w:divBdr>
                  <w:divsChild>
                    <w:div w:id="471410513">
                      <w:marLeft w:val="0"/>
                      <w:marRight w:val="0"/>
                      <w:marTop w:val="0"/>
                      <w:marBottom w:val="0"/>
                      <w:divBdr>
                        <w:top w:val="none" w:sz="0" w:space="0" w:color="auto"/>
                        <w:left w:val="none" w:sz="0" w:space="0" w:color="auto"/>
                        <w:bottom w:val="none" w:sz="0" w:space="0" w:color="auto"/>
                        <w:right w:val="none" w:sz="0" w:space="0" w:color="auto"/>
                      </w:divBdr>
                    </w:div>
                  </w:divsChild>
                </w:div>
                <w:div w:id="1688829514">
                  <w:marLeft w:val="0"/>
                  <w:marRight w:val="0"/>
                  <w:marTop w:val="0"/>
                  <w:marBottom w:val="0"/>
                  <w:divBdr>
                    <w:top w:val="none" w:sz="0" w:space="0" w:color="auto"/>
                    <w:left w:val="none" w:sz="0" w:space="0" w:color="auto"/>
                    <w:bottom w:val="none" w:sz="0" w:space="0" w:color="auto"/>
                    <w:right w:val="none" w:sz="0" w:space="0" w:color="auto"/>
                  </w:divBdr>
                  <w:divsChild>
                    <w:div w:id="1880849416">
                      <w:marLeft w:val="0"/>
                      <w:marRight w:val="0"/>
                      <w:marTop w:val="0"/>
                      <w:marBottom w:val="0"/>
                      <w:divBdr>
                        <w:top w:val="none" w:sz="0" w:space="0" w:color="auto"/>
                        <w:left w:val="none" w:sz="0" w:space="0" w:color="auto"/>
                        <w:bottom w:val="none" w:sz="0" w:space="0" w:color="auto"/>
                        <w:right w:val="none" w:sz="0" w:space="0" w:color="auto"/>
                      </w:divBdr>
                    </w:div>
                  </w:divsChild>
                </w:div>
                <w:div w:id="1692025663">
                  <w:marLeft w:val="0"/>
                  <w:marRight w:val="0"/>
                  <w:marTop w:val="0"/>
                  <w:marBottom w:val="0"/>
                  <w:divBdr>
                    <w:top w:val="none" w:sz="0" w:space="0" w:color="auto"/>
                    <w:left w:val="none" w:sz="0" w:space="0" w:color="auto"/>
                    <w:bottom w:val="none" w:sz="0" w:space="0" w:color="auto"/>
                    <w:right w:val="none" w:sz="0" w:space="0" w:color="auto"/>
                  </w:divBdr>
                  <w:divsChild>
                    <w:div w:id="770515913">
                      <w:marLeft w:val="0"/>
                      <w:marRight w:val="0"/>
                      <w:marTop w:val="0"/>
                      <w:marBottom w:val="0"/>
                      <w:divBdr>
                        <w:top w:val="none" w:sz="0" w:space="0" w:color="auto"/>
                        <w:left w:val="none" w:sz="0" w:space="0" w:color="auto"/>
                        <w:bottom w:val="none" w:sz="0" w:space="0" w:color="auto"/>
                        <w:right w:val="none" w:sz="0" w:space="0" w:color="auto"/>
                      </w:divBdr>
                    </w:div>
                  </w:divsChild>
                </w:div>
                <w:div w:id="1723022958">
                  <w:marLeft w:val="0"/>
                  <w:marRight w:val="0"/>
                  <w:marTop w:val="0"/>
                  <w:marBottom w:val="0"/>
                  <w:divBdr>
                    <w:top w:val="none" w:sz="0" w:space="0" w:color="auto"/>
                    <w:left w:val="none" w:sz="0" w:space="0" w:color="auto"/>
                    <w:bottom w:val="none" w:sz="0" w:space="0" w:color="auto"/>
                    <w:right w:val="none" w:sz="0" w:space="0" w:color="auto"/>
                  </w:divBdr>
                  <w:divsChild>
                    <w:div w:id="906112356">
                      <w:marLeft w:val="0"/>
                      <w:marRight w:val="0"/>
                      <w:marTop w:val="0"/>
                      <w:marBottom w:val="0"/>
                      <w:divBdr>
                        <w:top w:val="none" w:sz="0" w:space="0" w:color="auto"/>
                        <w:left w:val="none" w:sz="0" w:space="0" w:color="auto"/>
                        <w:bottom w:val="none" w:sz="0" w:space="0" w:color="auto"/>
                        <w:right w:val="none" w:sz="0" w:space="0" w:color="auto"/>
                      </w:divBdr>
                    </w:div>
                  </w:divsChild>
                </w:div>
                <w:div w:id="1747997061">
                  <w:marLeft w:val="0"/>
                  <w:marRight w:val="0"/>
                  <w:marTop w:val="0"/>
                  <w:marBottom w:val="0"/>
                  <w:divBdr>
                    <w:top w:val="none" w:sz="0" w:space="0" w:color="auto"/>
                    <w:left w:val="none" w:sz="0" w:space="0" w:color="auto"/>
                    <w:bottom w:val="none" w:sz="0" w:space="0" w:color="auto"/>
                    <w:right w:val="none" w:sz="0" w:space="0" w:color="auto"/>
                  </w:divBdr>
                  <w:divsChild>
                    <w:div w:id="1781679775">
                      <w:marLeft w:val="0"/>
                      <w:marRight w:val="0"/>
                      <w:marTop w:val="0"/>
                      <w:marBottom w:val="0"/>
                      <w:divBdr>
                        <w:top w:val="none" w:sz="0" w:space="0" w:color="auto"/>
                        <w:left w:val="none" w:sz="0" w:space="0" w:color="auto"/>
                        <w:bottom w:val="none" w:sz="0" w:space="0" w:color="auto"/>
                        <w:right w:val="none" w:sz="0" w:space="0" w:color="auto"/>
                      </w:divBdr>
                    </w:div>
                  </w:divsChild>
                </w:div>
                <w:div w:id="1759787058">
                  <w:marLeft w:val="0"/>
                  <w:marRight w:val="0"/>
                  <w:marTop w:val="0"/>
                  <w:marBottom w:val="0"/>
                  <w:divBdr>
                    <w:top w:val="none" w:sz="0" w:space="0" w:color="auto"/>
                    <w:left w:val="none" w:sz="0" w:space="0" w:color="auto"/>
                    <w:bottom w:val="none" w:sz="0" w:space="0" w:color="auto"/>
                    <w:right w:val="none" w:sz="0" w:space="0" w:color="auto"/>
                  </w:divBdr>
                  <w:divsChild>
                    <w:div w:id="1002586159">
                      <w:marLeft w:val="0"/>
                      <w:marRight w:val="0"/>
                      <w:marTop w:val="0"/>
                      <w:marBottom w:val="0"/>
                      <w:divBdr>
                        <w:top w:val="none" w:sz="0" w:space="0" w:color="auto"/>
                        <w:left w:val="none" w:sz="0" w:space="0" w:color="auto"/>
                        <w:bottom w:val="none" w:sz="0" w:space="0" w:color="auto"/>
                        <w:right w:val="none" w:sz="0" w:space="0" w:color="auto"/>
                      </w:divBdr>
                    </w:div>
                  </w:divsChild>
                </w:div>
                <w:div w:id="1864395776">
                  <w:marLeft w:val="0"/>
                  <w:marRight w:val="0"/>
                  <w:marTop w:val="0"/>
                  <w:marBottom w:val="0"/>
                  <w:divBdr>
                    <w:top w:val="none" w:sz="0" w:space="0" w:color="auto"/>
                    <w:left w:val="none" w:sz="0" w:space="0" w:color="auto"/>
                    <w:bottom w:val="none" w:sz="0" w:space="0" w:color="auto"/>
                    <w:right w:val="none" w:sz="0" w:space="0" w:color="auto"/>
                  </w:divBdr>
                  <w:divsChild>
                    <w:div w:id="1656369929">
                      <w:marLeft w:val="0"/>
                      <w:marRight w:val="0"/>
                      <w:marTop w:val="0"/>
                      <w:marBottom w:val="0"/>
                      <w:divBdr>
                        <w:top w:val="none" w:sz="0" w:space="0" w:color="auto"/>
                        <w:left w:val="none" w:sz="0" w:space="0" w:color="auto"/>
                        <w:bottom w:val="none" w:sz="0" w:space="0" w:color="auto"/>
                        <w:right w:val="none" w:sz="0" w:space="0" w:color="auto"/>
                      </w:divBdr>
                    </w:div>
                  </w:divsChild>
                </w:div>
                <w:div w:id="1932933667">
                  <w:marLeft w:val="0"/>
                  <w:marRight w:val="0"/>
                  <w:marTop w:val="0"/>
                  <w:marBottom w:val="0"/>
                  <w:divBdr>
                    <w:top w:val="none" w:sz="0" w:space="0" w:color="auto"/>
                    <w:left w:val="none" w:sz="0" w:space="0" w:color="auto"/>
                    <w:bottom w:val="none" w:sz="0" w:space="0" w:color="auto"/>
                    <w:right w:val="none" w:sz="0" w:space="0" w:color="auto"/>
                  </w:divBdr>
                  <w:divsChild>
                    <w:div w:id="903025752">
                      <w:marLeft w:val="0"/>
                      <w:marRight w:val="0"/>
                      <w:marTop w:val="0"/>
                      <w:marBottom w:val="0"/>
                      <w:divBdr>
                        <w:top w:val="none" w:sz="0" w:space="0" w:color="auto"/>
                        <w:left w:val="none" w:sz="0" w:space="0" w:color="auto"/>
                        <w:bottom w:val="none" w:sz="0" w:space="0" w:color="auto"/>
                        <w:right w:val="none" w:sz="0" w:space="0" w:color="auto"/>
                      </w:divBdr>
                    </w:div>
                  </w:divsChild>
                </w:div>
                <w:div w:id="1943145096">
                  <w:marLeft w:val="0"/>
                  <w:marRight w:val="0"/>
                  <w:marTop w:val="0"/>
                  <w:marBottom w:val="0"/>
                  <w:divBdr>
                    <w:top w:val="none" w:sz="0" w:space="0" w:color="auto"/>
                    <w:left w:val="none" w:sz="0" w:space="0" w:color="auto"/>
                    <w:bottom w:val="none" w:sz="0" w:space="0" w:color="auto"/>
                    <w:right w:val="none" w:sz="0" w:space="0" w:color="auto"/>
                  </w:divBdr>
                  <w:divsChild>
                    <w:div w:id="1061905888">
                      <w:marLeft w:val="0"/>
                      <w:marRight w:val="0"/>
                      <w:marTop w:val="0"/>
                      <w:marBottom w:val="0"/>
                      <w:divBdr>
                        <w:top w:val="none" w:sz="0" w:space="0" w:color="auto"/>
                        <w:left w:val="none" w:sz="0" w:space="0" w:color="auto"/>
                        <w:bottom w:val="none" w:sz="0" w:space="0" w:color="auto"/>
                        <w:right w:val="none" w:sz="0" w:space="0" w:color="auto"/>
                      </w:divBdr>
                    </w:div>
                  </w:divsChild>
                </w:div>
                <w:div w:id="2002198294">
                  <w:marLeft w:val="0"/>
                  <w:marRight w:val="0"/>
                  <w:marTop w:val="0"/>
                  <w:marBottom w:val="0"/>
                  <w:divBdr>
                    <w:top w:val="none" w:sz="0" w:space="0" w:color="auto"/>
                    <w:left w:val="none" w:sz="0" w:space="0" w:color="auto"/>
                    <w:bottom w:val="none" w:sz="0" w:space="0" w:color="auto"/>
                    <w:right w:val="none" w:sz="0" w:space="0" w:color="auto"/>
                  </w:divBdr>
                  <w:divsChild>
                    <w:div w:id="1530796090">
                      <w:marLeft w:val="0"/>
                      <w:marRight w:val="0"/>
                      <w:marTop w:val="0"/>
                      <w:marBottom w:val="0"/>
                      <w:divBdr>
                        <w:top w:val="none" w:sz="0" w:space="0" w:color="auto"/>
                        <w:left w:val="none" w:sz="0" w:space="0" w:color="auto"/>
                        <w:bottom w:val="none" w:sz="0" w:space="0" w:color="auto"/>
                        <w:right w:val="none" w:sz="0" w:space="0" w:color="auto"/>
                      </w:divBdr>
                    </w:div>
                  </w:divsChild>
                </w:div>
                <w:div w:id="2035425284">
                  <w:marLeft w:val="0"/>
                  <w:marRight w:val="0"/>
                  <w:marTop w:val="0"/>
                  <w:marBottom w:val="0"/>
                  <w:divBdr>
                    <w:top w:val="none" w:sz="0" w:space="0" w:color="auto"/>
                    <w:left w:val="none" w:sz="0" w:space="0" w:color="auto"/>
                    <w:bottom w:val="none" w:sz="0" w:space="0" w:color="auto"/>
                    <w:right w:val="none" w:sz="0" w:space="0" w:color="auto"/>
                  </w:divBdr>
                  <w:divsChild>
                    <w:div w:id="1894385948">
                      <w:marLeft w:val="0"/>
                      <w:marRight w:val="0"/>
                      <w:marTop w:val="0"/>
                      <w:marBottom w:val="0"/>
                      <w:divBdr>
                        <w:top w:val="none" w:sz="0" w:space="0" w:color="auto"/>
                        <w:left w:val="none" w:sz="0" w:space="0" w:color="auto"/>
                        <w:bottom w:val="none" w:sz="0" w:space="0" w:color="auto"/>
                        <w:right w:val="none" w:sz="0" w:space="0" w:color="auto"/>
                      </w:divBdr>
                    </w:div>
                  </w:divsChild>
                </w:div>
                <w:div w:id="2108381003">
                  <w:marLeft w:val="0"/>
                  <w:marRight w:val="0"/>
                  <w:marTop w:val="0"/>
                  <w:marBottom w:val="0"/>
                  <w:divBdr>
                    <w:top w:val="none" w:sz="0" w:space="0" w:color="auto"/>
                    <w:left w:val="none" w:sz="0" w:space="0" w:color="auto"/>
                    <w:bottom w:val="none" w:sz="0" w:space="0" w:color="auto"/>
                    <w:right w:val="none" w:sz="0" w:space="0" w:color="auto"/>
                  </w:divBdr>
                  <w:divsChild>
                    <w:div w:id="1993832032">
                      <w:marLeft w:val="0"/>
                      <w:marRight w:val="0"/>
                      <w:marTop w:val="0"/>
                      <w:marBottom w:val="0"/>
                      <w:divBdr>
                        <w:top w:val="none" w:sz="0" w:space="0" w:color="auto"/>
                        <w:left w:val="none" w:sz="0" w:space="0" w:color="auto"/>
                        <w:bottom w:val="none" w:sz="0" w:space="0" w:color="auto"/>
                        <w:right w:val="none" w:sz="0" w:space="0" w:color="auto"/>
                      </w:divBdr>
                    </w:div>
                  </w:divsChild>
                </w:div>
                <w:div w:id="2123064182">
                  <w:marLeft w:val="0"/>
                  <w:marRight w:val="0"/>
                  <w:marTop w:val="0"/>
                  <w:marBottom w:val="0"/>
                  <w:divBdr>
                    <w:top w:val="none" w:sz="0" w:space="0" w:color="auto"/>
                    <w:left w:val="none" w:sz="0" w:space="0" w:color="auto"/>
                    <w:bottom w:val="none" w:sz="0" w:space="0" w:color="auto"/>
                    <w:right w:val="none" w:sz="0" w:space="0" w:color="auto"/>
                  </w:divBdr>
                  <w:divsChild>
                    <w:div w:id="87778364">
                      <w:marLeft w:val="0"/>
                      <w:marRight w:val="0"/>
                      <w:marTop w:val="0"/>
                      <w:marBottom w:val="0"/>
                      <w:divBdr>
                        <w:top w:val="none" w:sz="0" w:space="0" w:color="auto"/>
                        <w:left w:val="none" w:sz="0" w:space="0" w:color="auto"/>
                        <w:bottom w:val="none" w:sz="0" w:space="0" w:color="auto"/>
                        <w:right w:val="none" w:sz="0" w:space="0" w:color="auto"/>
                      </w:divBdr>
                    </w:div>
                  </w:divsChild>
                </w:div>
                <w:div w:id="2126656399">
                  <w:marLeft w:val="0"/>
                  <w:marRight w:val="0"/>
                  <w:marTop w:val="0"/>
                  <w:marBottom w:val="0"/>
                  <w:divBdr>
                    <w:top w:val="none" w:sz="0" w:space="0" w:color="auto"/>
                    <w:left w:val="none" w:sz="0" w:space="0" w:color="auto"/>
                    <w:bottom w:val="none" w:sz="0" w:space="0" w:color="auto"/>
                    <w:right w:val="none" w:sz="0" w:space="0" w:color="auto"/>
                  </w:divBdr>
                  <w:divsChild>
                    <w:div w:id="928537086">
                      <w:marLeft w:val="0"/>
                      <w:marRight w:val="0"/>
                      <w:marTop w:val="0"/>
                      <w:marBottom w:val="0"/>
                      <w:divBdr>
                        <w:top w:val="none" w:sz="0" w:space="0" w:color="auto"/>
                        <w:left w:val="none" w:sz="0" w:space="0" w:color="auto"/>
                        <w:bottom w:val="none" w:sz="0" w:space="0" w:color="auto"/>
                        <w:right w:val="none" w:sz="0" w:space="0" w:color="auto"/>
                      </w:divBdr>
                    </w:div>
                  </w:divsChild>
                </w:div>
                <w:div w:id="2138527164">
                  <w:marLeft w:val="0"/>
                  <w:marRight w:val="0"/>
                  <w:marTop w:val="0"/>
                  <w:marBottom w:val="0"/>
                  <w:divBdr>
                    <w:top w:val="none" w:sz="0" w:space="0" w:color="auto"/>
                    <w:left w:val="none" w:sz="0" w:space="0" w:color="auto"/>
                    <w:bottom w:val="none" w:sz="0" w:space="0" w:color="auto"/>
                    <w:right w:val="none" w:sz="0" w:space="0" w:color="auto"/>
                  </w:divBdr>
                  <w:divsChild>
                    <w:div w:id="1959752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49740196">
      <w:bodyDiv w:val="1"/>
      <w:marLeft w:val="0"/>
      <w:marRight w:val="0"/>
      <w:marTop w:val="0"/>
      <w:marBottom w:val="0"/>
      <w:divBdr>
        <w:top w:val="none" w:sz="0" w:space="0" w:color="auto"/>
        <w:left w:val="none" w:sz="0" w:space="0" w:color="auto"/>
        <w:bottom w:val="none" w:sz="0" w:space="0" w:color="auto"/>
        <w:right w:val="none" w:sz="0" w:space="0" w:color="auto"/>
      </w:divBdr>
      <w:divsChild>
        <w:div w:id="1536313892">
          <w:marLeft w:val="0"/>
          <w:marRight w:val="0"/>
          <w:marTop w:val="0"/>
          <w:marBottom w:val="0"/>
          <w:divBdr>
            <w:top w:val="none" w:sz="0" w:space="0" w:color="auto"/>
            <w:left w:val="none" w:sz="0" w:space="0" w:color="auto"/>
            <w:bottom w:val="none" w:sz="0" w:space="0" w:color="auto"/>
            <w:right w:val="none" w:sz="0" w:space="0" w:color="auto"/>
          </w:divBdr>
        </w:div>
        <w:div w:id="1761414099">
          <w:marLeft w:val="0"/>
          <w:marRight w:val="0"/>
          <w:marTop w:val="0"/>
          <w:marBottom w:val="0"/>
          <w:divBdr>
            <w:top w:val="none" w:sz="0" w:space="0" w:color="auto"/>
            <w:left w:val="none" w:sz="0" w:space="0" w:color="auto"/>
            <w:bottom w:val="none" w:sz="0" w:space="0" w:color="auto"/>
            <w:right w:val="none" w:sz="0" w:space="0" w:color="auto"/>
          </w:divBdr>
        </w:div>
      </w:divsChild>
    </w:div>
    <w:div w:id="810249104">
      <w:bodyDiv w:val="1"/>
      <w:marLeft w:val="0"/>
      <w:marRight w:val="0"/>
      <w:marTop w:val="0"/>
      <w:marBottom w:val="0"/>
      <w:divBdr>
        <w:top w:val="none" w:sz="0" w:space="0" w:color="auto"/>
        <w:left w:val="none" w:sz="0" w:space="0" w:color="auto"/>
        <w:bottom w:val="none" w:sz="0" w:space="0" w:color="auto"/>
        <w:right w:val="none" w:sz="0" w:space="0" w:color="auto"/>
      </w:divBdr>
      <w:divsChild>
        <w:div w:id="103693576">
          <w:marLeft w:val="0"/>
          <w:marRight w:val="0"/>
          <w:marTop w:val="0"/>
          <w:marBottom w:val="0"/>
          <w:divBdr>
            <w:top w:val="none" w:sz="0" w:space="0" w:color="auto"/>
            <w:left w:val="none" w:sz="0" w:space="0" w:color="auto"/>
            <w:bottom w:val="none" w:sz="0" w:space="0" w:color="auto"/>
            <w:right w:val="none" w:sz="0" w:space="0" w:color="auto"/>
          </w:divBdr>
        </w:div>
        <w:div w:id="1490636917">
          <w:marLeft w:val="0"/>
          <w:marRight w:val="0"/>
          <w:marTop w:val="0"/>
          <w:marBottom w:val="0"/>
          <w:divBdr>
            <w:top w:val="none" w:sz="0" w:space="0" w:color="auto"/>
            <w:left w:val="none" w:sz="0" w:space="0" w:color="auto"/>
            <w:bottom w:val="none" w:sz="0" w:space="0" w:color="auto"/>
            <w:right w:val="none" w:sz="0" w:space="0" w:color="auto"/>
          </w:divBdr>
          <w:divsChild>
            <w:div w:id="901017827">
              <w:marLeft w:val="0"/>
              <w:marRight w:val="0"/>
              <w:marTop w:val="30"/>
              <w:marBottom w:val="30"/>
              <w:divBdr>
                <w:top w:val="none" w:sz="0" w:space="0" w:color="auto"/>
                <w:left w:val="none" w:sz="0" w:space="0" w:color="auto"/>
                <w:bottom w:val="none" w:sz="0" w:space="0" w:color="auto"/>
                <w:right w:val="none" w:sz="0" w:space="0" w:color="auto"/>
              </w:divBdr>
              <w:divsChild>
                <w:div w:id="36323328">
                  <w:marLeft w:val="0"/>
                  <w:marRight w:val="0"/>
                  <w:marTop w:val="0"/>
                  <w:marBottom w:val="0"/>
                  <w:divBdr>
                    <w:top w:val="none" w:sz="0" w:space="0" w:color="auto"/>
                    <w:left w:val="none" w:sz="0" w:space="0" w:color="auto"/>
                    <w:bottom w:val="none" w:sz="0" w:space="0" w:color="auto"/>
                    <w:right w:val="none" w:sz="0" w:space="0" w:color="auto"/>
                  </w:divBdr>
                  <w:divsChild>
                    <w:div w:id="1022972710">
                      <w:marLeft w:val="0"/>
                      <w:marRight w:val="0"/>
                      <w:marTop w:val="0"/>
                      <w:marBottom w:val="0"/>
                      <w:divBdr>
                        <w:top w:val="none" w:sz="0" w:space="0" w:color="auto"/>
                        <w:left w:val="none" w:sz="0" w:space="0" w:color="auto"/>
                        <w:bottom w:val="none" w:sz="0" w:space="0" w:color="auto"/>
                        <w:right w:val="none" w:sz="0" w:space="0" w:color="auto"/>
                      </w:divBdr>
                    </w:div>
                  </w:divsChild>
                </w:div>
                <w:div w:id="37315122">
                  <w:marLeft w:val="0"/>
                  <w:marRight w:val="0"/>
                  <w:marTop w:val="0"/>
                  <w:marBottom w:val="0"/>
                  <w:divBdr>
                    <w:top w:val="none" w:sz="0" w:space="0" w:color="auto"/>
                    <w:left w:val="none" w:sz="0" w:space="0" w:color="auto"/>
                    <w:bottom w:val="none" w:sz="0" w:space="0" w:color="auto"/>
                    <w:right w:val="none" w:sz="0" w:space="0" w:color="auto"/>
                  </w:divBdr>
                  <w:divsChild>
                    <w:div w:id="1880045842">
                      <w:marLeft w:val="0"/>
                      <w:marRight w:val="0"/>
                      <w:marTop w:val="0"/>
                      <w:marBottom w:val="0"/>
                      <w:divBdr>
                        <w:top w:val="none" w:sz="0" w:space="0" w:color="auto"/>
                        <w:left w:val="none" w:sz="0" w:space="0" w:color="auto"/>
                        <w:bottom w:val="none" w:sz="0" w:space="0" w:color="auto"/>
                        <w:right w:val="none" w:sz="0" w:space="0" w:color="auto"/>
                      </w:divBdr>
                    </w:div>
                  </w:divsChild>
                </w:div>
                <w:div w:id="47267700">
                  <w:marLeft w:val="0"/>
                  <w:marRight w:val="0"/>
                  <w:marTop w:val="0"/>
                  <w:marBottom w:val="0"/>
                  <w:divBdr>
                    <w:top w:val="none" w:sz="0" w:space="0" w:color="auto"/>
                    <w:left w:val="none" w:sz="0" w:space="0" w:color="auto"/>
                    <w:bottom w:val="none" w:sz="0" w:space="0" w:color="auto"/>
                    <w:right w:val="none" w:sz="0" w:space="0" w:color="auto"/>
                  </w:divBdr>
                  <w:divsChild>
                    <w:div w:id="1851946729">
                      <w:marLeft w:val="0"/>
                      <w:marRight w:val="0"/>
                      <w:marTop w:val="0"/>
                      <w:marBottom w:val="0"/>
                      <w:divBdr>
                        <w:top w:val="none" w:sz="0" w:space="0" w:color="auto"/>
                        <w:left w:val="none" w:sz="0" w:space="0" w:color="auto"/>
                        <w:bottom w:val="none" w:sz="0" w:space="0" w:color="auto"/>
                        <w:right w:val="none" w:sz="0" w:space="0" w:color="auto"/>
                      </w:divBdr>
                    </w:div>
                  </w:divsChild>
                </w:div>
                <w:div w:id="59644138">
                  <w:marLeft w:val="0"/>
                  <w:marRight w:val="0"/>
                  <w:marTop w:val="0"/>
                  <w:marBottom w:val="0"/>
                  <w:divBdr>
                    <w:top w:val="none" w:sz="0" w:space="0" w:color="auto"/>
                    <w:left w:val="none" w:sz="0" w:space="0" w:color="auto"/>
                    <w:bottom w:val="none" w:sz="0" w:space="0" w:color="auto"/>
                    <w:right w:val="none" w:sz="0" w:space="0" w:color="auto"/>
                  </w:divBdr>
                  <w:divsChild>
                    <w:div w:id="1152327939">
                      <w:marLeft w:val="0"/>
                      <w:marRight w:val="0"/>
                      <w:marTop w:val="0"/>
                      <w:marBottom w:val="0"/>
                      <w:divBdr>
                        <w:top w:val="none" w:sz="0" w:space="0" w:color="auto"/>
                        <w:left w:val="none" w:sz="0" w:space="0" w:color="auto"/>
                        <w:bottom w:val="none" w:sz="0" w:space="0" w:color="auto"/>
                        <w:right w:val="none" w:sz="0" w:space="0" w:color="auto"/>
                      </w:divBdr>
                    </w:div>
                  </w:divsChild>
                </w:div>
                <w:div w:id="62223157">
                  <w:marLeft w:val="0"/>
                  <w:marRight w:val="0"/>
                  <w:marTop w:val="0"/>
                  <w:marBottom w:val="0"/>
                  <w:divBdr>
                    <w:top w:val="none" w:sz="0" w:space="0" w:color="auto"/>
                    <w:left w:val="none" w:sz="0" w:space="0" w:color="auto"/>
                    <w:bottom w:val="none" w:sz="0" w:space="0" w:color="auto"/>
                    <w:right w:val="none" w:sz="0" w:space="0" w:color="auto"/>
                  </w:divBdr>
                  <w:divsChild>
                    <w:div w:id="1367833705">
                      <w:marLeft w:val="0"/>
                      <w:marRight w:val="0"/>
                      <w:marTop w:val="0"/>
                      <w:marBottom w:val="0"/>
                      <w:divBdr>
                        <w:top w:val="none" w:sz="0" w:space="0" w:color="auto"/>
                        <w:left w:val="none" w:sz="0" w:space="0" w:color="auto"/>
                        <w:bottom w:val="none" w:sz="0" w:space="0" w:color="auto"/>
                        <w:right w:val="none" w:sz="0" w:space="0" w:color="auto"/>
                      </w:divBdr>
                    </w:div>
                  </w:divsChild>
                </w:div>
                <w:div w:id="109785718">
                  <w:marLeft w:val="0"/>
                  <w:marRight w:val="0"/>
                  <w:marTop w:val="0"/>
                  <w:marBottom w:val="0"/>
                  <w:divBdr>
                    <w:top w:val="none" w:sz="0" w:space="0" w:color="auto"/>
                    <w:left w:val="none" w:sz="0" w:space="0" w:color="auto"/>
                    <w:bottom w:val="none" w:sz="0" w:space="0" w:color="auto"/>
                    <w:right w:val="none" w:sz="0" w:space="0" w:color="auto"/>
                  </w:divBdr>
                  <w:divsChild>
                    <w:div w:id="2002001919">
                      <w:marLeft w:val="0"/>
                      <w:marRight w:val="0"/>
                      <w:marTop w:val="0"/>
                      <w:marBottom w:val="0"/>
                      <w:divBdr>
                        <w:top w:val="none" w:sz="0" w:space="0" w:color="auto"/>
                        <w:left w:val="none" w:sz="0" w:space="0" w:color="auto"/>
                        <w:bottom w:val="none" w:sz="0" w:space="0" w:color="auto"/>
                        <w:right w:val="none" w:sz="0" w:space="0" w:color="auto"/>
                      </w:divBdr>
                    </w:div>
                  </w:divsChild>
                </w:div>
                <w:div w:id="123085582">
                  <w:marLeft w:val="0"/>
                  <w:marRight w:val="0"/>
                  <w:marTop w:val="0"/>
                  <w:marBottom w:val="0"/>
                  <w:divBdr>
                    <w:top w:val="none" w:sz="0" w:space="0" w:color="auto"/>
                    <w:left w:val="none" w:sz="0" w:space="0" w:color="auto"/>
                    <w:bottom w:val="none" w:sz="0" w:space="0" w:color="auto"/>
                    <w:right w:val="none" w:sz="0" w:space="0" w:color="auto"/>
                  </w:divBdr>
                  <w:divsChild>
                    <w:div w:id="1784492249">
                      <w:marLeft w:val="0"/>
                      <w:marRight w:val="0"/>
                      <w:marTop w:val="0"/>
                      <w:marBottom w:val="0"/>
                      <w:divBdr>
                        <w:top w:val="none" w:sz="0" w:space="0" w:color="auto"/>
                        <w:left w:val="none" w:sz="0" w:space="0" w:color="auto"/>
                        <w:bottom w:val="none" w:sz="0" w:space="0" w:color="auto"/>
                        <w:right w:val="none" w:sz="0" w:space="0" w:color="auto"/>
                      </w:divBdr>
                    </w:div>
                  </w:divsChild>
                </w:div>
                <w:div w:id="195434311">
                  <w:marLeft w:val="0"/>
                  <w:marRight w:val="0"/>
                  <w:marTop w:val="0"/>
                  <w:marBottom w:val="0"/>
                  <w:divBdr>
                    <w:top w:val="none" w:sz="0" w:space="0" w:color="auto"/>
                    <w:left w:val="none" w:sz="0" w:space="0" w:color="auto"/>
                    <w:bottom w:val="none" w:sz="0" w:space="0" w:color="auto"/>
                    <w:right w:val="none" w:sz="0" w:space="0" w:color="auto"/>
                  </w:divBdr>
                  <w:divsChild>
                    <w:div w:id="517431510">
                      <w:marLeft w:val="0"/>
                      <w:marRight w:val="0"/>
                      <w:marTop w:val="0"/>
                      <w:marBottom w:val="0"/>
                      <w:divBdr>
                        <w:top w:val="none" w:sz="0" w:space="0" w:color="auto"/>
                        <w:left w:val="none" w:sz="0" w:space="0" w:color="auto"/>
                        <w:bottom w:val="none" w:sz="0" w:space="0" w:color="auto"/>
                        <w:right w:val="none" w:sz="0" w:space="0" w:color="auto"/>
                      </w:divBdr>
                    </w:div>
                  </w:divsChild>
                </w:div>
                <w:div w:id="196627034">
                  <w:marLeft w:val="0"/>
                  <w:marRight w:val="0"/>
                  <w:marTop w:val="0"/>
                  <w:marBottom w:val="0"/>
                  <w:divBdr>
                    <w:top w:val="none" w:sz="0" w:space="0" w:color="auto"/>
                    <w:left w:val="none" w:sz="0" w:space="0" w:color="auto"/>
                    <w:bottom w:val="none" w:sz="0" w:space="0" w:color="auto"/>
                    <w:right w:val="none" w:sz="0" w:space="0" w:color="auto"/>
                  </w:divBdr>
                  <w:divsChild>
                    <w:div w:id="832991634">
                      <w:marLeft w:val="0"/>
                      <w:marRight w:val="0"/>
                      <w:marTop w:val="0"/>
                      <w:marBottom w:val="0"/>
                      <w:divBdr>
                        <w:top w:val="none" w:sz="0" w:space="0" w:color="auto"/>
                        <w:left w:val="none" w:sz="0" w:space="0" w:color="auto"/>
                        <w:bottom w:val="none" w:sz="0" w:space="0" w:color="auto"/>
                        <w:right w:val="none" w:sz="0" w:space="0" w:color="auto"/>
                      </w:divBdr>
                    </w:div>
                  </w:divsChild>
                </w:div>
                <w:div w:id="219828835">
                  <w:marLeft w:val="0"/>
                  <w:marRight w:val="0"/>
                  <w:marTop w:val="0"/>
                  <w:marBottom w:val="0"/>
                  <w:divBdr>
                    <w:top w:val="none" w:sz="0" w:space="0" w:color="auto"/>
                    <w:left w:val="none" w:sz="0" w:space="0" w:color="auto"/>
                    <w:bottom w:val="none" w:sz="0" w:space="0" w:color="auto"/>
                    <w:right w:val="none" w:sz="0" w:space="0" w:color="auto"/>
                  </w:divBdr>
                  <w:divsChild>
                    <w:div w:id="1401634137">
                      <w:marLeft w:val="0"/>
                      <w:marRight w:val="0"/>
                      <w:marTop w:val="0"/>
                      <w:marBottom w:val="0"/>
                      <w:divBdr>
                        <w:top w:val="none" w:sz="0" w:space="0" w:color="auto"/>
                        <w:left w:val="none" w:sz="0" w:space="0" w:color="auto"/>
                        <w:bottom w:val="none" w:sz="0" w:space="0" w:color="auto"/>
                        <w:right w:val="none" w:sz="0" w:space="0" w:color="auto"/>
                      </w:divBdr>
                    </w:div>
                  </w:divsChild>
                </w:div>
                <w:div w:id="226188322">
                  <w:marLeft w:val="0"/>
                  <w:marRight w:val="0"/>
                  <w:marTop w:val="0"/>
                  <w:marBottom w:val="0"/>
                  <w:divBdr>
                    <w:top w:val="none" w:sz="0" w:space="0" w:color="auto"/>
                    <w:left w:val="none" w:sz="0" w:space="0" w:color="auto"/>
                    <w:bottom w:val="none" w:sz="0" w:space="0" w:color="auto"/>
                    <w:right w:val="none" w:sz="0" w:space="0" w:color="auto"/>
                  </w:divBdr>
                  <w:divsChild>
                    <w:div w:id="1154182756">
                      <w:marLeft w:val="0"/>
                      <w:marRight w:val="0"/>
                      <w:marTop w:val="0"/>
                      <w:marBottom w:val="0"/>
                      <w:divBdr>
                        <w:top w:val="none" w:sz="0" w:space="0" w:color="auto"/>
                        <w:left w:val="none" w:sz="0" w:space="0" w:color="auto"/>
                        <w:bottom w:val="none" w:sz="0" w:space="0" w:color="auto"/>
                        <w:right w:val="none" w:sz="0" w:space="0" w:color="auto"/>
                      </w:divBdr>
                    </w:div>
                  </w:divsChild>
                </w:div>
                <w:div w:id="228540131">
                  <w:marLeft w:val="0"/>
                  <w:marRight w:val="0"/>
                  <w:marTop w:val="0"/>
                  <w:marBottom w:val="0"/>
                  <w:divBdr>
                    <w:top w:val="none" w:sz="0" w:space="0" w:color="auto"/>
                    <w:left w:val="none" w:sz="0" w:space="0" w:color="auto"/>
                    <w:bottom w:val="none" w:sz="0" w:space="0" w:color="auto"/>
                    <w:right w:val="none" w:sz="0" w:space="0" w:color="auto"/>
                  </w:divBdr>
                  <w:divsChild>
                    <w:div w:id="2027560629">
                      <w:marLeft w:val="0"/>
                      <w:marRight w:val="0"/>
                      <w:marTop w:val="0"/>
                      <w:marBottom w:val="0"/>
                      <w:divBdr>
                        <w:top w:val="none" w:sz="0" w:space="0" w:color="auto"/>
                        <w:left w:val="none" w:sz="0" w:space="0" w:color="auto"/>
                        <w:bottom w:val="none" w:sz="0" w:space="0" w:color="auto"/>
                        <w:right w:val="none" w:sz="0" w:space="0" w:color="auto"/>
                      </w:divBdr>
                    </w:div>
                  </w:divsChild>
                </w:div>
                <w:div w:id="243339160">
                  <w:marLeft w:val="0"/>
                  <w:marRight w:val="0"/>
                  <w:marTop w:val="0"/>
                  <w:marBottom w:val="0"/>
                  <w:divBdr>
                    <w:top w:val="none" w:sz="0" w:space="0" w:color="auto"/>
                    <w:left w:val="none" w:sz="0" w:space="0" w:color="auto"/>
                    <w:bottom w:val="none" w:sz="0" w:space="0" w:color="auto"/>
                    <w:right w:val="none" w:sz="0" w:space="0" w:color="auto"/>
                  </w:divBdr>
                  <w:divsChild>
                    <w:div w:id="58944913">
                      <w:marLeft w:val="0"/>
                      <w:marRight w:val="0"/>
                      <w:marTop w:val="0"/>
                      <w:marBottom w:val="0"/>
                      <w:divBdr>
                        <w:top w:val="none" w:sz="0" w:space="0" w:color="auto"/>
                        <w:left w:val="none" w:sz="0" w:space="0" w:color="auto"/>
                        <w:bottom w:val="none" w:sz="0" w:space="0" w:color="auto"/>
                        <w:right w:val="none" w:sz="0" w:space="0" w:color="auto"/>
                      </w:divBdr>
                    </w:div>
                  </w:divsChild>
                </w:div>
                <w:div w:id="256641097">
                  <w:marLeft w:val="0"/>
                  <w:marRight w:val="0"/>
                  <w:marTop w:val="0"/>
                  <w:marBottom w:val="0"/>
                  <w:divBdr>
                    <w:top w:val="none" w:sz="0" w:space="0" w:color="auto"/>
                    <w:left w:val="none" w:sz="0" w:space="0" w:color="auto"/>
                    <w:bottom w:val="none" w:sz="0" w:space="0" w:color="auto"/>
                    <w:right w:val="none" w:sz="0" w:space="0" w:color="auto"/>
                  </w:divBdr>
                  <w:divsChild>
                    <w:div w:id="1645811987">
                      <w:marLeft w:val="0"/>
                      <w:marRight w:val="0"/>
                      <w:marTop w:val="0"/>
                      <w:marBottom w:val="0"/>
                      <w:divBdr>
                        <w:top w:val="none" w:sz="0" w:space="0" w:color="auto"/>
                        <w:left w:val="none" w:sz="0" w:space="0" w:color="auto"/>
                        <w:bottom w:val="none" w:sz="0" w:space="0" w:color="auto"/>
                        <w:right w:val="none" w:sz="0" w:space="0" w:color="auto"/>
                      </w:divBdr>
                    </w:div>
                  </w:divsChild>
                </w:div>
                <w:div w:id="277569314">
                  <w:marLeft w:val="0"/>
                  <w:marRight w:val="0"/>
                  <w:marTop w:val="0"/>
                  <w:marBottom w:val="0"/>
                  <w:divBdr>
                    <w:top w:val="none" w:sz="0" w:space="0" w:color="auto"/>
                    <w:left w:val="none" w:sz="0" w:space="0" w:color="auto"/>
                    <w:bottom w:val="none" w:sz="0" w:space="0" w:color="auto"/>
                    <w:right w:val="none" w:sz="0" w:space="0" w:color="auto"/>
                  </w:divBdr>
                  <w:divsChild>
                    <w:div w:id="1655185577">
                      <w:marLeft w:val="0"/>
                      <w:marRight w:val="0"/>
                      <w:marTop w:val="0"/>
                      <w:marBottom w:val="0"/>
                      <w:divBdr>
                        <w:top w:val="none" w:sz="0" w:space="0" w:color="auto"/>
                        <w:left w:val="none" w:sz="0" w:space="0" w:color="auto"/>
                        <w:bottom w:val="none" w:sz="0" w:space="0" w:color="auto"/>
                        <w:right w:val="none" w:sz="0" w:space="0" w:color="auto"/>
                      </w:divBdr>
                    </w:div>
                  </w:divsChild>
                </w:div>
                <w:div w:id="281306434">
                  <w:marLeft w:val="0"/>
                  <w:marRight w:val="0"/>
                  <w:marTop w:val="0"/>
                  <w:marBottom w:val="0"/>
                  <w:divBdr>
                    <w:top w:val="none" w:sz="0" w:space="0" w:color="auto"/>
                    <w:left w:val="none" w:sz="0" w:space="0" w:color="auto"/>
                    <w:bottom w:val="none" w:sz="0" w:space="0" w:color="auto"/>
                    <w:right w:val="none" w:sz="0" w:space="0" w:color="auto"/>
                  </w:divBdr>
                  <w:divsChild>
                    <w:div w:id="1948460685">
                      <w:marLeft w:val="0"/>
                      <w:marRight w:val="0"/>
                      <w:marTop w:val="0"/>
                      <w:marBottom w:val="0"/>
                      <w:divBdr>
                        <w:top w:val="none" w:sz="0" w:space="0" w:color="auto"/>
                        <w:left w:val="none" w:sz="0" w:space="0" w:color="auto"/>
                        <w:bottom w:val="none" w:sz="0" w:space="0" w:color="auto"/>
                        <w:right w:val="none" w:sz="0" w:space="0" w:color="auto"/>
                      </w:divBdr>
                    </w:div>
                  </w:divsChild>
                </w:div>
                <w:div w:id="296373508">
                  <w:marLeft w:val="0"/>
                  <w:marRight w:val="0"/>
                  <w:marTop w:val="0"/>
                  <w:marBottom w:val="0"/>
                  <w:divBdr>
                    <w:top w:val="none" w:sz="0" w:space="0" w:color="auto"/>
                    <w:left w:val="none" w:sz="0" w:space="0" w:color="auto"/>
                    <w:bottom w:val="none" w:sz="0" w:space="0" w:color="auto"/>
                    <w:right w:val="none" w:sz="0" w:space="0" w:color="auto"/>
                  </w:divBdr>
                  <w:divsChild>
                    <w:div w:id="1426413951">
                      <w:marLeft w:val="0"/>
                      <w:marRight w:val="0"/>
                      <w:marTop w:val="0"/>
                      <w:marBottom w:val="0"/>
                      <w:divBdr>
                        <w:top w:val="none" w:sz="0" w:space="0" w:color="auto"/>
                        <w:left w:val="none" w:sz="0" w:space="0" w:color="auto"/>
                        <w:bottom w:val="none" w:sz="0" w:space="0" w:color="auto"/>
                        <w:right w:val="none" w:sz="0" w:space="0" w:color="auto"/>
                      </w:divBdr>
                    </w:div>
                  </w:divsChild>
                </w:div>
                <w:div w:id="312300671">
                  <w:marLeft w:val="0"/>
                  <w:marRight w:val="0"/>
                  <w:marTop w:val="0"/>
                  <w:marBottom w:val="0"/>
                  <w:divBdr>
                    <w:top w:val="none" w:sz="0" w:space="0" w:color="auto"/>
                    <w:left w:val="none" w:sz="0" w:space="0" w:color="auto"/>
                    <w:bottom w:val="none" w:sz="0" w:space="0" w:color="auto"/>
                    <w:right w:val="none" w:sz="0" w:space="0" w:color="auto"/>
                  </w:divBdr>
                  <w:divsChild>
                    <w:div w:id="1592473020">
                      <w:marLeft w:val="0"/>
                      <w:marRight w:val="0"/>
                      <w:marTop w:val="0"/>
                      <w:marBottom w:val="0"/>
                      <w:divBdr>
                        <w:top w:val="none" w:sz="0" w:space="0" w:color="auto"/>
                        <w:left w:val="none" w:sz="0" w:space="0" w:color="auto"/>
                        <w:bottom w:val="none" w:sz="0" w:space="0" w:color="auto"/>
                        <w:right w:val="none" w:sz="0" w:space="0" w:color="auto"/>
                      </w:divBdr>
                    </w:div>
                  </w:divsChild>
                </w:div>
                <w:div w:id="312368088">
                  <w:marLeft w:val="0"/>
                  <w:marRight w:val="0"/>
                  <w:marTop w:val="0"/>
                  <w:marBottom w:val="0"/>
                  <w:divBdr>
                    <w:top w:val="none" w:sz="0" w:space="0" w:color="auto"/>
                    <w:left w:val="none" w:sz="0" w:space="0" w:color="auto"/>
                    <w:bottom w:val="none" w:sz="0" w:space="0" w:color="auto"/>
                    <w:right w:val="none" w:sz="0" w:space="0" w:color="auto"/>
                  </w:divBdr>
                  <w:divsChild>
                    <w:div w:id="1183014425">
                      <w:marLeft w:val="0"/>
                      <w:marRight w:val="0"/>
                      <w:marTop w:val="0"/>
                      <w:marBottom w:val="0"/>
                      <w:divBdr>
                        <w:top w:val="none" w:sz="0" w:space="0" w:color="auto"/>
                        <w:left w:val="none" w:sz="0" w:space="0" w:color="auto"/>
                        <w:bottom w:val="none" w:sz="0" w:space="0" w:color="auto"/>
                        <w:right w:val="none" w:sz="0" w:space="0" w:color="auto"/>
                      </w:divBdr>
                    </w:div>
                  </w:divsChild>
                </w:div>
                <w:div w:id="323356355">
                  <w:marLeft w:val="0"/>
                  <w:marRight w:val="0"/>
                  <w:marTop w:val="0"/>
                  <w:marBottom w:val="0"/>
                  <w:divBdr>
                    <w:top w:val="none" w:sz="0" w:space="0" w:color="auto"/>
                    <w:left w:val="none" w:sz="0" w:space="0" w:color="auto"/>
                    <w:bottom w:val="none" w:sz="0" w:space="0" w:color="auto"/>
                    <w:right w:val="none" w:sz="0" w:space="0" w:color="auto"/>
                  </w:divBdr>
                  <w:divsChild>
                    <w:div w:id="553198188">
                      <w:marLeft w:val="0"/>
                      <w:marRight w:val="0"/>
                      <w:marTop w:val="0"/>
                      <w:marBottom w:val="0"/>
                      <w:divBdr>
                        <w:top w:val="none" w:sz="0" w:space="0" w:color="auto"/>
                        <w:left w:val="none" w:sz="0" w:space="0" w:color="auto"/>
                        <w:bottom w:val="none" w:sz="0" w:space="0" w:color="auto"/>
                        <w:right w:val="none" w:sz="0" w:space="0" w:color="auto"/>
                      </w:divBdr>
                    </w:div>
                  </w:divsChild>
                </w:div>
                <w:div w:id="326369577">
                  <w:marLeft w:val="0"/>
                  <w:marRight w:val="0"/>
                  <w:marTop w:val="0"/>
                  <w:marBottom w:val="0"/>
                  <w:divBdr>
                    <w:top w:val="none" w:sz="0" w:space="0" w:color="auto"/>
                    <w:left w:val="none" w:sz="0" w:space="0" w:color="auto"/>
                    <w:bottom w:val="none" w:sz="0" w:space="0" w:color="auto"/>
                    <w:right w:val="none" w:sz="0" w:space="0" w:color="auto"/>
                  </w:divBdr>
                  <w:divsChild>
                    <w:div w:id="49547058">
                      <w:marLeft w:val="0"/>
                      <w:marRight w:val="0"/>
                      <w:marTop w:val="0"/>
                      <w:marBottom w:val="0"/>
                      <w:divBdr>
                        <w:top w:val="none" w:sz="0" w:space="0" w:color="auto"/>
                        <w:left w:val="none" w:sz="0" w:space="0" w:color="auto"/>
                        <w:bottom w:val="none" w:sz="0" w:space="0" w:color="auto"/>
                        <w:right w:val="none" w:sz="0" w:space="0" w:color="auto"/>
                      </w:divBdr>
                    </w:div>
                  </w:divsChild>
                </w:div>
                <w:div w:id="410855385">
                  <w:marLeft w:val="0"/>
                  <w:marRight w:val="0"/>
                  <w:marTop w:val="0"/>
                  <w:marBottom w:val="0"/>
                  <w:divBdr>
                    <w:top w:val="none" w:sz="0" w:space="0" w:color="auto"/>
                    <w:left w:val="none" w:sz="0" w:space="0" w:color="auto"/>
                    <w:bottom w:val="none" w:sz="0" w:space="0" w:color="auto"/>
                    <w:right w:val="none" w:sz="0" w:space="0" w:color="auto"/>
                  </w:divBdr>
                  <w:divsChild>
                    <w:div w:id="809787106">
                      <w:marLeft w:val="0"/>
                      <w:marRight w:val="0"/>
                      <w:marTop w:val="0"/>
                      <w:marBottom w:val="0"/>
                      <w:divBdr>
                        <w:top w:val="none" w:sz="0" w:space="0" w:color="auto"/>
                        <w:left w:val="none" w:sz="0" w:space="0" w:color="auto"/>
                        <w:bottom w:val="none" w:sz="0" w:space="0" w:color="auto"/>
                        <w:right w:val="none" w:sz="0" w:space="0" w:color="auto"/>
                      </w:divBdr>
                    </w:div>
                  </w:divsChild>
                </w:div>
                <w:div w:id="457072606">
                  <w:marLeft w:val="0"/>
                  <w:marRight w:val="0"/>
                  <w:marTop w:val="0"/>
                  <w:marBottom w:val="0"/>
                  <w:divBdr>
                    <w:top w:val="none" w:sz="0" w:space="0" w:color="auto"/>
                    <w:left w:val="none" w:sz="0" w:space="0" w:color="auto"/>
                    <w:bottom w:val="none" w:sz="0" w:space="0" w:color="auto"/>
                    <w:right w:val="none" w:sz="0" w:space="0" w:color="auto"/>
                  </w:divBdr>
                  <w:divsChild>
                    <w:div w:id="1730424542">
                      <w:marLeft w:val="0"/>
                      <w:marRight w:val="0"/>
                      <w:marTop w:val="0"/>
                      <w:marBottom w:val="0"/>
                      <w:divBdr>
                        <w:top w:val="none" w:sz="0" w:space="0" w:color="auto"/>
                        <w:left w:val="none" w:sz="0" w:space="0" w:color="auto"/>
                        <w:bottom w:val="none" w:sz="0" w:space="0" w:color="auto"/>
                        <w:right w:val="none" w:sz="0" w:space="0" w:color="auto"/>
                      </w:divBdr>
                    </w:div>
                  </w:divsChild>
                </w:div>
                <w:div w:id="468474874">
                  <w:marLeft w:val="0"/>
                  <w:marRight w:val="0"/>
                  <w:marTop w:val="0"/>
                  <w:marBottom w:val="0"/>
                  <w:divBdr>
                    <w:top w:val="none" w:sz="0" w:space="0" w:color="auto"/>
                    <w:left w:val="none" w:sz="0" w:space="0" w:color="auto"/>
                    <w:bottom w:val="none" w:sz="0" w:space="0" w:color="auto"/>
                    <w:right w:val="none" w:sz="0" w:space="0" w:color="auto"/>
                  </w:divBdr>
                  <w:divsChild>
                    <w:div w:id="668361665">
                      <w:marLeft w:val="0"/>
                      <w:marRight w:val="0"/>
                      <w:marTop w:val="0"/>
                      <w:marBottom w:val="0"/>
                      <w:divBdr>
                        <w:top w:val="none" w:sz="0" w:space="0" w:color="auto"/>
                        <w:left w:val="none" w:sz="0" w:space="0" w:color="auto"/>
                        <w:bottom w:val="none" w:sz="0" w:space="0" w:color="auto"/>
                        <w:right w:val="none" w:sz="0" w:space="0" w:color="auto"/>
                      </w:divBdr>
                    </w:div>
                  </w:divsChild>
                </w:div>
                <w:div w:id="490413981">
                  <w:marLeft w:val="0"/>
                  <w:marRight w:val="0"/>
                  <w:marTop w:val="0"/>
                  <w:marBottom w:val="0"/>
                  <w:divBdr>
                    <w:top w:val="none" w:sz="0" w:space="0" w:color="auto"/>
                    <w:left w:val="none" w:sz="0" w:space="0" w:color="auto"/>
                    <w:bottom w:val="none" w:sz="0" w:space="0" w:color="auto"/>
                    <w:right w:val="none" w:sz="0" w:space="0" w:color="auto"/>
                  </w:divBdr>
                  <w:divsChild>
                    <w:div w:id="682241401">
                      <w:marLeft w:val="0"/>
                      <w:marRight w:val="0"/>
                      <w:marTop w:val="0"/>
                      <w:marBottom w:val="0"/>
                      <w:divBdr>
                        <w:top w:val="none" w:sz="0" w:space="0" w:color="auto"/>
                        <w:left w:val="none" w:sz="0" w:space="0" w:color="auto"/>
                        <w:bottom w:val="none" w:sz="0" w:space="0" w:color="auto"/>
                        <w:right w:val="none" w:sz="0" w:space="0" w:color="auto"/>
                      </w:divBdr>
                    </w:div>
                  </w:divsChild>
                </w:div>
                <w:div w:id="515731675">
                  <w:marLeft w:val="0"/>
                  <w:marRight w:val="0"/>
                  <w:marTop w:val="0"/>
                  <w:marBottom w:val="0"/>
                  <w:divBdr>
                    <w:top w:val="none" w:sz="0" w:space="0" w:color="auto"/>
                    <w:left w:val="none" w:sz="0" w:space="0" w:color="auto"/>
                    <w:bottom w:val="none" w:sz="0" w:space="0" w:color="auto"/>
                    <w:right w:val="none" w:sz="0" w:space="0" w:color="auto"/>
                  </w:divBdr>
                  <w:divsChild>
                    <w:div w:id="1856766416">
                      <w:marLeft w:val="0"/>
                      <w:marRight w:val="0"/>
                      <w:marTop w:val="0"/>
                      <w:marBottom w:val="0"/>
                      <w:divBdr>
                        <w:top w:val="none" w:sz="0" w:space="0" w:color="auto"/>
                        <w:left w:val="none" w:sz="0" w:space="0" w:color="auto"/>
                        <w:bottom w:val="none" w:sz="0" w:space="0" w:color="auto"/>
                        <w:right w:val="none" w:sz="0" w:space="0" w:color="auto"/>
                      </w:divBdr>
                    </w:div>
                  </w:divsChild>
                </w:div>
                <w:div w:id="539056591">
                  <w:marLeft w:val="0"/>
                  <w:marRight w:val="0"/>
                  <w:marTop w:val="0"/>
                  <w:marBottom w:val="0"/>
                  <w:divBdr>
                    <w:top w:val="none" w:sz="0" w:space="0" w:color="auto"/>
                    <w:left w:val="none" w:sz="0" w:space="0" w:color="auto"/>
                    <w:bottom w:val="none" w:sz="0" w:space="0" w:color="auto"/>
                    <w:right w:val="none" w:sz="0" w:space="0" w:color="auto"/>
                  </w:divBdr>
                  <w:divsChild>
                    <w:div w:id="1132016568">
                      <w:marLeft w:val="0"/>
                      <w:marRight w:val="0"/>
                      <w:marTop w:val="0"/>
                      <w:marBottom w:val="0"/>
                      <w:divBdr>
                        <w:top w:val="none" w:sz="0" w:space="0" w:color="auto"/>
                        <w:left w:val="none" w:sz="0" w:space="0" w:color="auto"/>
                        <w:bottom w:val="none" w:sz="0" w:space="0" w:color="auto"/>
                        <w:right w:val="none" w:sz="0" w:space="0" w:color="auto"/>
                      </w:divBdr>
                    </w:div>
                  </w:divsChild>
                </w:div>
                <w:div w:id="541483014">
                  <w:marLeft w:val="0"/>
                  <w:marRight w:val="0"/>
                  <w:marTop w:val="0"/>
                  <w:marBottom w:val="0"/>
                  <w:divBdr>
                    <w:top w:val="none" w:sz="0" w:space="0" w:color="auto"/>
                    <w:left w:val="none" w:sz="0" w:space="0" w:color="auto"/>
                    <w:bottom w:val="none" w:sz="0" w:space="0" w:color="auto"/>
                    <w:right w:val="none" w:sz="0" w:space="0" w:color="auto"/>
                  </w:divBdr>
                  <w:divsChild>
                    <w:div w:id="1410075129">
                      <w:marLeft w:val="0"/>
                      <w:marRight w:val="0"/>
                      <w:marTop w:val="0"/>
                      <w:marBottom w:val="0"/>
                      <w:divBdr>
                        <w:top w:val="none" w:sz="0" w:space="0" w:color="auto"/>
                        <w:left w:val="none" w:sz="0" w:space="0" w:color="auto"/>
                        <w:bottom w:val="none" w:sz="0" w:space="0" w:color="auto"/>
                        <w:right w:val="none" w:sz="0" w:space="0" w:color="auto"/>
                      </w:divBdr>
                    </w:div>
                  </w:divsChild>
                </w:div>
                <w:div w:id="545681825">
                  <w:marLeft w:val="0"/>
                  <w:marRight w:val="0"/>
                  <w:marTop w:val="0"/>
                  <w:marBottom w:val="0"/>
                  <w:divBdr>
                    <w:top w:val="none" w:sz="0" w:space="0" w:color="auto"/>
                    <w:left w:val="none" w:sz="0" w:space="0" w:color="auto"/>
                    <w:bottom w:val="none" w:sz="0" w:space="0" w:color="auto"/>
                    <w:right w:val="none" w:sz="0" w:space="0" w:color="auto"/>
                  </w:divBdr>
                  <w:divsChild>
                    <w:div w:id="2138639959">
                      <w:marLeft w:val="0"/>
                      <w:marRight w:val="0"/>
                      <w:marTop w:val="0"/>
                      <w:marBottom w:val="0"/>
                      <w:divBdr>
                        <w:top w:val="none" w:sz="0" w:space="0" w:color="auto"/>
                        <w:left w:val="none" w:sz="0" w:space="0" w:color="auto"/>
                        <w:bottom w:val="none" w:sz="0" w:space="0" w:color="auto"/>
                        <w:right w:val="none" w:sz="0" w:space="0" w:color="auto"/>
                      </w:divBdr>
                    </w:div>
                  </w:divsChild>
                </w:div>
                <w:div w:id="584219907">
                  <w:marLeft w:val="0"/>
                  <w:marRight w:val="0"/>
                  <w:marTop w:val="0"/>
                  <w:marBottom w:val="0"/>
                  <w:divBdr>
                    <w:top w:val="none" w:sz="0" w:space="0" w:color="auto"/>
                    <w:left w:val="none" w:sz="0" w:space="0" w:color="auto"/>
                    <w:bottom w:val="none" w:sz="0" w:space="0" w:color="auto"/>
                    <w:right w:val="none" w:sz="0" w:space="0" w:color="auto"/>
                  </w:divBdr>
                  <w:divsChild>
                    <w:div w:id="1064259343">
                      <w:marLeft w:val="0"/>
                      <w:marRight w:val="0"/>
                      <w:marTop w:val="0"/>
                      <w:marBottom w:val="0"/>
                      <w:divBdr>
                        <w:top w:val="none" w:sz="0" w:space="0" w:color="auto"/>
                        <w:left w:val="none" w:sz="0" w:space="0" w:color="auto"/>
                        <w:bottom w:val="none" w:sz="0" w:space="0" w:color="auto"/>
                        <w:right w:val="none" w:sz="0" w:space="0" w:color="auto"/>
                      </w:divBdr>
                    </w:div>
                  </w:divsChild>
                </w:div>
                <w:div w:id="682320002">
                  <w:marLeft w:val="0"/>
                  <w:marRight w:val="0"/>
                  <w:marTop w:val="0"/>
                  <w:marBottom w:val="0"/>
                  <w:divBdr>
                    <w:top w:val="none" w:sz="0" w:space="0" w:color="auto"/>
                    <w:left w:val="none" w:sz="0" w:space="0" w:color="auto"/>
                    <w:bottom w:val="none" w:sz="0" w:space="0" w:color="auto"/>
                    <w:right w:val="none" w:sz="0" w:space="0" w:color="auto"/>
                  </w:divBdr>
                  <w:divsChild>
                    <w:div w:id="857155207">
                      <w:marLeft w:val="0"/>
                      <w:marRight w:val="0"/>
                      <w:marTop w:val="0"/>
                      <w:marBottom w:val="0"/>
                      <w:divBdr>
                        <w:top w:val="none" w:sz="0" w:space="0" w:color="auto"/>
                        <w:left w:val="none" w:sz="0" w:space="0" w:color="auto"/>
                        <w:bottom w:val="none" w:sz="0" w:space="0" w:color="auto"/>
                        <w:right w:val="none" w:sz="0" w:space="0" w:color="auto"/>
                      </w:divBdr>
                    </w:div>
                  </w:divsChild>
                </w:div>
                <w:div w:id="697438395">
                  <w:marLeft w:val="0"/>
                  <w:marRight w:val="0"/>
                  <w:marTop w:val="0"/>
                  <w:marBottom w:val="0"/>
                  <w:divBdr>
                    <w:top w:val="none" w:sz="0" w:space="0" w:color="auto"/>
                    <w:left w:val="none" w:sz="0" w:space="0" w:color="auto"/>
                    <w:bottom w:val="none" w:sz="0" w:space="0" w:color="auto"/>
                    <w:right w:val="none" w:sz="0" w:space="0" w:color="auto"/>
                  </w:divBdr>
                  <w:divsChild>
                    <w:div w:id="1676490590">
                      <w:marLeft w:val="0"/>
                      <w:marRight w:val="0"/>
                      <w:marTop w:val="0"/>
                      <w:marBottom w:val="0"/>
                      <w:divBdr>
                        <w:top w:val="none" w:sz="0" w:space="0" w:color="auto"/>
                        <w:left w:val="none" w:sz="0" w:space="0" w:color="auto"/>
                        <w:bottom w:val="none" w:sz="0" w:space="0" w:color="auto"/>
                        <w:right w:val="none" w:sz="0" w:space="0" w:color="auto"/>
                      </w:divBdr>
                    </w:div>
                  </w:divsChild>
                </w:div>
                <w:div w:id="747076134">
                  <w:marLeft w:val="0"/>
                  <w:marRight w:val="0"/>
                  <w:marTop w:val="0"/>
                  <w:marBottom w:val="0"/>
                  <w:divBdr>
                    <w:top w:val="none" w:sz="0" w:space="0" w:color="auto"/>
                    <w:left w:val="none" w:sz="0" w:space="0" w:color="auto"/>
                    <w:bottom w:val="none" w:sz="0" w:space="0" w:color="auto"/>
                    <w:right w:val="none" w:sz="0" w:space="0" w:color="auto"/>
                  </w:divBdr>
                  <w:divsChild>
                    <w:div w:id="1214657701">
                      <w:marLeft w:val="0"/>
                      <w:marRight w:val="0"/>
                      <w:marTop w:val="0"/>
                      <w:marBottom w:val="0"/>
                      <w:divBdr>
                        <w:top w:val="none" w:sz="0" w:space="0" w:color="auto"/>
                        <w:left w:val="none" w:sz="0" w:space="0" w:color="auto"/>
                        <w:bottom w:val="none" w:sz="0" w:space="0" w:color="auto"/>
                        <w:right w:val="none" w:sz="0" w:space="0" w:color="auto"/>
                      </w:divBdr>
                    </w:div>
                  </w:divsChild>
                </w:div>
                <w:div w:id="751708392">
                  <w:marLeft w:val="0"/>
                  <w:marRight w:val="0"/>
                  <w:marTop w:val="0"/>
                  <w:marBottom w:val="0"/>
                  <w:divBdr>
                    <w:top w:val="none" w:sz="0" w:space="0" w:color="auto"/>
                    <w:left w:val="none" w:sz="0" w:space="0" w:color="auto"/>
                    <w:bottom w:val="none" w:sz="0" w:space="0" w:color="auto"/>
                    <w:right w:val="none" w:sz="0" w:space="0" w:color="auto"/>
                  </w:divBdr>
                  <w:divsChild>
                    <w:div w:id="1788507742">
                      <w:marLeft w:val="0"/>
                      <w:marRight w:val="0"/>
                      <w:marTop w:val="0"/>
                      <w:marBottom w:val="0"/>
                      <w:divBdr>
                        <w:top w:val="none" w:sz="0" w:space="0" w:color="auto"/>
                        <w:left w:val="none" w:sz="0" w:space="0" w:color="auto"/>
                        <w:bottom w:val="none" w:sz="0" w:space="0" w:color="auto"/>
                        <w:right w:val="none" w:sz="0" w:space="0" w:color="auto"/>
                      </w:divBdr>
                    </w:div>
                  </w:divsChild>
                </w:div>
                <w:div w:id="754594750">
                  <w:marLeft w:val="0"/>
                  <w:marRight w:val="0"/>
                  <w:marTop w:val="0"/>
                  <w:marBottom w:val="0"/>
                  <w:divBdr>
                    <w:top w:val="none" w:sz="0" w:space="0" w:color="auto"/>
                    <w:left w:val="none" w:sz="0" w:space="0" w:color="auto"/>
                    <w:bottom w:val="none" w:sz="0" w:space="0" w:color="auto"/>
                    <w:right w:val="none" w:sz="0" w:space="0" w:color="auto"/>
                  </w:divBdr>
                  <w:divsChild>
                    <w:div w:id="1491948050">
                      <w:marLeft w:val="0"/>
                      <w:marRight w:val="0"/>
                      <w:marTop w:val="0"/>
                      <w:marBottom w:val="0"/>
                      <w:divBdr>
                        <w:top w:val="none" w:sz="0" w:space="0" w:color="auto"/>
                        <w:left w:val="none" w:sz="0" w:space="0" w:color="auto"/>
                        <w:bottom w:val="none" w:sz="0" w:space="0" w:color="auto"/>
                        <w:right w:val="none" w:sz="0" w:space="0" w:color="auto"/>
                      </w:divBdr>
                    </w:div>
                  </w:divsChild>
                </w:div>
                <w:div w:id="778991029">
                  <w:marLeft w:val="0"/>
                  <w:marRight w:val="0"/>
                  <w:marTop w:val="0"/>
                  <w:marBottom w:val="0"/>
                  <w:divBdr>
                    <w:top w:val="none" w:sz="0" w:space="0" w:color="auto"/>
                    <w:left w:val="none" w:sz="0" w:space="0" w:color="auto"/>
                    <w:bottom w:val="none" w:sz="0" w:space="0" w:color="auto"/>
                    <w:right w:val="none" w:sz="0" w:space="0" w:color="auto"/>
                  </w:divBdr>
                  <w:divsChild>
                    <w:div w:id="125205414">
                      <w:marLeft w:val="0"/>
                      <w:marRight w:val="0"/>
                      <w:marTop w:val="0"/>
                      <w:marBottom w:val="0"/>
                      <w:divBdr>
                        <w:top w:val="none" w:sz="0" w:space="0" w:color="auto"/>
                        <w:left w:val="none" w:sz="0" w:space="0" w:color="auto"/>
                        <w:bottom w:val="none" w:sz="0" w:space="0" w:color="auto"/>
                        <w:right w:val="none" w:sz="0" w:space="0" w:color="auto"/>
                      </w:divBdr>
                    </w:div>
                  </w:divsChild>
                </w:div>
                <w:div w:id="832141177">
                  <w:marLeft w:val="0"/>
                  <w:marRight w:val="0"/>
                  <w:marTop w:val="0"/>
                  <w:marBottom w:val="0"/>
                  <w:divBdr>
                    <w:top w:val="none" w:sz="0" w:space="0" w:color="auto"/>
                    <w:left w:val="none" w:sz="0" w:space="0" w:color="auto"/>
                    <w:bottom w:val="none" w:sz="0" w:space="0" w:color="auto"/>
                    <w:right w:val="none" w:sz="0" w:space="0" w:color="auto"/>
                  </w:divBdr>
                  <w:divsChild>
                    <w:div w:id="1040667378">
                      <w:marLeft w:val="0"/>
                      <w:marRight w:val="0"/>
                      <w:marTop w:val="0"/>
                      <w:marBottom w:val="0"/>
                      <w:divBdr>
                        <w:top w:val="none" w:sz="0" w:space="0" w:color="auto"/>
                        <w:left w:val="none" w:sz="0" w:space="0" w:color="auto"/>
                        <w:bottom w:val="none" w:sz="0" w:space="0" w:color="auto"/>
                        <w:right w:val="none" w:sz="0" w:space="0" w:color="auto"/>
                      </w:divBdr>
                    </w:div>
                  </w:divsChild>
                </w:div>
                <w:div w:id="855653429">
                  <w:marLeft w:val="0"/>
                  <w:marRight w:val="0"/>
                  <w:marTop w:val="0"/>
                  <w:marBottom w:val="0"/>
                  <w:divBdr>
                    <w:top w:val="none" w:sz="0" w:space="0" w:color="auto"/>
                    <w:left w:val="none" w:sz="0" w:space="0" w:color="auto"/>
                    <w:bottom w:val="none" w:sz="0" w:space="0" w:color="auto"/>
                    <w:right w:val="none" w:sz="0" w:space="0" w:color="auto"/>
                  </w:divBdr>
                  <w:divsChild>
                    <w:div w:id="2031372471">
                      <w:marLeft w:val="0"/>
                      <w:marRight w:val="0"/>
                      <w:marTop w:val="0"/>
                      <w:marBottom w:val="0"/>
                      <w:divBdr>
                        <w:top w:val="none" w:sz="0" w:space="0" w:color="auto"/>
                        <w:left w:val="none" w:sz="0" w:space="0" w:color="auto"/>
                        <w:bottom w:val="none" w:sz="0" w:space="0" w:color="auto"/>
                        <w:right w:val="none" w:sz="0" w:space="0" w:color="auto"/>
                      </w:divBdr>
                    </w:div>
                  </w:divsChild>
                </w:div>
                <w:div w:id="859927529">
                  <w:marLeft w:val="0"/>
                  <w:marRight w:val="0"/>
                  <w:marTop w:val="0"/>
                  <w:marBottom w:val="0"/>
                  <w:divBdr>
                    <w:top w:val="none" w:sz="0" w:space="0" w:color="auto"/>
                    <w:left w:val="none" w:sz="0" w:space="0" w:color="auto"/>
                    <w:bottom w:val="none" w:sz="0" w:space="0" w:color="auto"/>
                    <w:right w:val="none" w:sz="0" w:space="0" w:color="auto"/>
                  </w:divBdr>
                  <w:divsChild>
                    <w:div w:id="2072381095">
                      <w:marLeft w:val="0"/>
                      <w:marRight w:val="0"/>
                      <w:marTop w:val="0"/>
                      <w:marBottom w:val="0"/>
                      <w:divBdr>
                        <w:top w:val="none" w:sz="0" w:space="0" w:color="auto"/>
                        <w:left w:val="none" w:sz="0" w:space="0" w:color="auto"/>
                        <w:bottom w:val="none" w:sz="0" w:space="0" w:color="auto"/>
                        <w:right w:val="none" w:sz="0" w:space="0" w:color="auto"/>
                      </w:divBdr>
                    </w:div>
                  </w:divsChild>
                </w:div>
                <w:div w:id="872153178">
                  <w:marLeft w:val="0"/>
                  <w:marRight w:val="0"/>
                  <w:marTop w:val="0"/>
                  <w:marBottom w:val="0"/>
                  <w:divBdr>
                    <w:top w:val="none" w:sz="0" w:space="0" w:color="auto"/>
                    <w:left w:val="none" w:sz="0" w:space="0" w:color="auto"/>
                    <w:bottom w:val="none" w:sz="0" w:space="0" w:color="auto"/>
                    <w:right w:val="none" w:sz="0" w:space="0" w:color="auto"/>
                  </w:divBdr>
                  <w:divsChild>
                    <w:div w:id="1843622564">
                      <w:marLeft w:val="0"/>
                      <w:marRight w:val="0"/>
                      <w:marTop w:val="0"/>
                      <w:marBottom w:val="0"/>
                      <w:divBdr>
                        <w:top w:val="none" w:sz="0" w:space="0" w:color="auto"/>
                        <w:left w:val="none" w:sz="0" w:space="0" w:color="auto"/>
                        <w:bottom w:val="none" w:sz="0" w:space="0" w:color="auto"/>
                        <w:right w:val="none" w:sz="0" w:space="0" w:color="auto"/>
                      </w:divBdr>
                    </w:div>
                  </w:divsChild>
                </w:div>
                <w:div w:id="874003650">
                  <w:marLeft w:val="0"/>
                  <w:marRight w:val="0"/>
                  <w:marTop w:val="0"/>
                  <w:marBottom w:val="0"/>
                  <w:divBdr>
                    <w:top w:val="none" w:sz="0" w:space="0" w:color="auto"/>
                    <w:left w:val="none" w:sz="0" w:space="0" w:color="auto"/>
                    <w:bottom w:val="none" w:sz="0" w:space="0" w:color="auto"/>
                    <w:right w:val="none" w:sz="0" w:space="0" w:color="auto"/>
                  </w:divBdr>
                  <w:divsChild>
                    <w:div w:id="1369598514">
                      <w:marLeft w:val="0"/>
                      <w:marRight w:val="0"/>
                      <w:marTop w:val="0"/>
                      <w:marBottom w:val="0"/>
                      <w:divBdr>
                        <w:top w:val="none" w:sz="0" w:space="0" w:color="auto"/>
                        <w:left w:val="none" w:sz="0" w:space="0" w:color="auto"/>
                        <w:bottom w:val="none" w:sz="0" w:space="0" w:color="auto"/>
                        <w:right w:val="none" w:sz="0" w:space="0" w:color="auto"/>
                      </w:divBdr>
                    </w:div>
                  </w:divsChild>
                </w:div>
                <w:div w:id="882205506">
                  <w:marLeft w:val="0"/>
                  <w:marRight w:val="0"/>
                  <w:marTop w:val="0"/>
                  <w:marBottom w:val="0"/>
                  <w:divBdr>
                    <w:top w:val="none" w:sz="0" w:space="0" w:color="auto"/>
                    <w:left w:val="none" w:sz="0" w:space="0" w:color="auto"/>
                    <w:bottom w:val="none" w:sz="0" w:space="0" w:color="auto"/>
                    <w:right w:val="none" w:sz="0" w:space="0" w:color="auto"/>
                  </w:divBdr>
                  <w:divsChild>
                    <w:div w:id="1296714895">
                      <w:marLeft w:val="0"/>
                      <w:marRight w:val="0"/>
                      <w:marTop w:val="0"/>
                      <w:marBottom w:val="0"/>
                      <w:divBdr>
                        <w:top w:val="none" w:sz="0" w:space="0" w:color="auto"/>
                        <w:left w:val="none" w:sz="0" w:space="0" w:color="auto"/>
                        <w:bottom w:val="none" w:sz="0" w:space="0" w:color="auto"/>
                        <w:right w:val="none" w:sz="0" w:space="0" w:color="auto"/>
                      </w:divBdr>
                    </w:div>
                  </w:divsChild>
                </w:div>
                <w:div w:id="901908962">
                  <w:marLeft w:val="0"/>
                  <w:marRight w:val="0"/>
                  <w:marTop w:val="0"/>
                  <w:marBottom w:val="0"/>
                  <w:divBdr>
                    <w:top w:val="none" w:sz="0" w:space="0" w:color="auto"/>
                    <w:left w:val="none" w:sz="0" w:space="0" w:color="auto"/>
                    <w:bottom w:val="none" w:sz="0" w:space="0" w:color="auto"/>
                    <w:right w:val="none" w:sz="0" w:space="0" w:color="auto"/>
                  </w:divBdr>
                  <w:divsChild>
                    <w:div w:id="916667931">
                      <w:marLeft w:val="0"/>
                      <w:marRight w:val="0"/>
                      <w:marTop w:val="0"/>
                      <w:marBottom w:val="0"/>
                      <w:divBdr>
                        <w:top w:val="none" w:sz="0" w:space="0" w:color="auto"/>
                        <w:left w:val="none" w:sz="0" w:space="0" w:color="auto"/>
                        <w:bottom w:val="none" w:sz="0" w:space="0" w:color="auto"/>
                        <w:right w:val="none" w:sz="0" w:space="0" w:color="auto"/>
                      </w:divBdr>
                    </w:div>
                  </w:divsChild>
                </w:div>
                <w:div w:id="932586257">
                  <w:marLeft w:val="0"/>
                  <w:marRight w:val="0"/>
                  <w:marTop w:val="0"/>
                  <w:marBottom w:val="0"/>
                  <w:divBdr>
                    <w:top w:val="none" w:sz="0" w:space="0" w:color="auto"/>
                    <w:left w:val="none" w:sz="0" w:space="0" w:color="auto"/>
                    <w:bottom w:val="none" w:sz="0" w:space="0" w:color="auto"/>
                    <w:right w:val="none" w:sz="0" w:space="0" w:color="auto"/>
                  </w:divBdr>
                  <w:divsChild>
                    <w:div w:id="1912036026">
                      <w:marLeft w:val="0"/>
                      <w:marRight w:val="0"/>
                      <w:marTop w:val="0"/>
                      <w:marBottom w:val="0"/>
                      <w:divBdr>
                        <w:top w:val="none" w:sz="0" w:space="0" w:color="auto"/>
                        <w:left w:val="none" w:sz="0" w:space="0" w:color="auto"/>
                        <w:bottom w:val="none" w:sz="0" w:space="0" w:color="auto"/>
                        <w:right w:val="none" w:sz="0" w:space="0" w:color="auto"/>
                      </w:divBdr>
                    </w:div>
                  </w:divsChild>
                </w:div>
                <w:div w:id="945387470">
                  <w:marLeft w:val="0"/>
                  <w:marRight w:val="0"/>
                  <w:marTop w:val="0"/>
                  <w:marBottom w:val="0"/>
                  <w:divBdr>
                    <w:top w:val="none" w:sz="0" w:space="0" w:color="auto"/>
                    <w:left w:val="none" w:sz="0" w:space="0" w:color="auto"/>
                    <w:bottom w:val="none" w:sz="0" w:space="0" w:color="auto"/>
                    <w:right w:val="none" w:sz="0" w:space="0" w:color="auto"/>
                  </w:divBdr>
                  <w:divsChild>
                    <w:div w:id="1512451764">
                      <w:marLeft w:val="0"/>
                      <w:marRight w:val="0"/>
                      <w:marTop w:val="0"/>
                      <w:marBottom w:val="0"/>
                      <w:divBdr>
                        <w:top w:val="none" w:sz="0" w:space="0" w:color="auto"/>
                        <w:left w:val="none" w:sz="0" w:space="0" w:color="auto"/>
                        <w:bottom w:val="none" w:sz="0" w:space="0" w:color="auto"/>
                        <w:right w:val="none" w:sz="0" w:space="0" w:color="auto"/>
                      </w:divBdr>
                    </w:div>
                  </w:divsChild>
                </w:div>
                <w:div w:id="972251272">
                  <w:marLeft w:val="0"/>
                  <w:marRight w:val="0"/>
                  <w:marTop w:val="0"/>
                  <w:marBottom w:val="0"/>
                  <w:divBdr>
                    <w:top w:val="none" w:sz="0" w:space="0" w:color="auto"/>
                    <w:left w:val="none" w:sz="0" w:space="0" w:color="auto"/>
                    <w:bottom w:val="none" w:sz="0" w:space="0" w:color="auto"/>
                    <w:right w:val="none" w:sz="0" w:space="0" w:color="auto"/>
                  </w:divBdr>
                  <w:divsChild>
                    <w:div w:id="1185632843">
                      <w:marLeft w:val="0"/>
                      <w:marRight w:val="0"/>
                      <w:marTop w:val="0"/>
                      <w:marBottom w:val="0"/>
                      <w:divBdr>
                        <w:top w:val="none" w:sz="0" w:space="0" w:color="auto"/>
                        <w:left w:val="none" w:sz="0" w:space="0" w:color="auto"/>
                        <w:bottom w:val="none" w:sz="0" w:space="0" w:color="auto"/>
                        <w:right w:val="none" w:sz="0" w:space="0" w:color="auto"/>
                      </w:divBdr>
                    </w:div>
                  </w:divsChild>
                </w:div>
                <w:div w:id="989212760">
                  <w:marLeft w:val="0"/>
                  <w:marRight w:val="0"/>
                  <w:marTop w:val="0"/>
                  <w:marBottom w:val="0"/>
                  <w:divBdr>
                    <w:top w:val="none" w:sz="0" w:space="0" w:color="auto"/>
                    <w:left w:val="none" w:sz="0" w:space="0" w:color="auto"/>
                    <w:bottom w:val="none" w:sz="0" w:space="0" w:color="auto"/>
                    <w:right w:val="none" w:sz="0" w:space="0" w:color="auto"/>
                  </w:divBdr>
                  <w:divsChild>
                    <w:div w:id="735201126">
                      <w:marLeft w:val="0"/>
                      <w:marRight w:val="0"/>
                      <w:marTop w:val="0"/>
                      <w:marBottom w:val="0"/>
                      <w:divBdr>
                        <w:top w:val="none" w:sz="0" w:space="0" w:color="auto"/>
                        <w:left w:val="none" w:sz="0" w:space="0" w:color="auto"/>
                        <w:bottom w:val="none" w:sz="0" w:space="0" w:color="auto"/>
                        <w:right w:val="none" w:sz="0" w:space="0" w:color="auto"/>
                      </w:divBdr>
                    </w:div>
                  </w:divsChild>
                </w:div>
                <w:div w:id="1031802989">
                  <w:marLeft w:val="0"/>
                  <w:marRight w:val="0"/>
                  <w:marTop w:val="0"/>
                  <w:marBottom w:val="0"/>
                  <w:divBdr>
                    <w:top w:val="none" w:sz="0" w:space="0" w:color="auto"/>
                    <w:left w:val="none" w:sz="0" w:space="0" w:color="auto"/>
                    <w:bottom w:val="none" w:sz="0" w:space="0" w:color="auto"/>
                    <w:right w:val="none" w:sz="0" w:space="0" w:color="auto"/>
                  </w:divBdr>
                  <w:divsChild>
                    <w:div w:id="734429158">
                      <w:marLeft w:val="0"/>
                      <w:marRight w:val="0"/>
                      <w:marTop w:val="0"/>
                      <w:marBottom w:val="0"/>
                      <w:divBdr>
                        <w:top w:val="none" w:sz="0" w:space="0" w:color="auto"/>
                        <w:left w:val="none" w:sz="0" w:space="0" w:color="auto"/>
                        <w:bottom w:val="none" w:sz="0" w:space="0" w:color="auto"/>
                        <w:right w:val="none" w:sz="0" w:space="0" w:color="auto"/>
                      </w:divBdr>
                    </w:div>
                  </w:divsChild>
                </w:div>
                <w:div w:id="1035498257">
                  <w:marLeft w:val="0"/>
                  <w:marRight w:val="0"/>
                  <w:marTop w:val="0"/>
                  <w:marBottom w:val="0"/>
                  <w:divBdr>
                    <w:top w:val="none" w:sz="0" w:space="0" w:color="auto"/>
                    <w:left w:val="none" w:sz="0" w:space="0" w:color="auto"/>
                    <w:bottom w:val="none" w:sz="0" w:space="0" w:color="auto"/>
                    <w:right w:val="none" w:sz="0" w:space="0" w:color="auto"/>
                  </w:divBdr>
                  <w:divsChild>
                    <w:div w:id="1736052819">
                      <w:marLeft w:val="0"/>
                      <w:marRight w:val="0"/>
                      <w:marTop w:val="0"/>
                      <w:marBottom w:val="0"/>
                      <w:divBdr>
                        <w:top w:val="none" w:sz="0" w:space="0" w:color="auto"/>
                        <w:left w:val="none" w:sz="0" w:space="0" w:color="auto"/>
                        <w:bottom w:val="none" w:sz="0" w:space="0" w:color="auto"/>
                        <w:right w:val="none" w:sz="0" w:space="0" w:color="auto"/>
                      </w:divBdr>
                    </w:div>
                  </w:divsChild>
                </w:div>
                <w:div w:id="1087458039">
                  <w:marLeft w:val="0"/>
                  <w:marRight w:val="0"/>
                  <w:marTop w:val="0"/>
                  <w:marBottom w:val="0"/>
                  <w:divBdr>
                    <w:top w:val="none" w:sz="0" w:space="0" w:color="auto"/>
                    <w:left w:val="none" w:sz="0" w:space="0" w:color="auto"/>
                    <w:bottom w:val="none" w:sz="0" w:space="0" w:color="auto"/>
                    <w:right w:val="none" w:sz="0" w:space="0" w:color="auto"/>
                  </w:divBdr>
                  <w:divsChild>
                    <w:div w:id="55474943">
                      <w:marLeft w:val="0"/>
                      <w:marRight w:val="0"/>
                      <w:marTop w:val="0"/>
                      <w:marBottom w:val="0"/>
                      <w:divBdr>
                        <w:top w:val="none" w:sz="0" w:space="0" w:color="auto"/>
                        <w:left w:val="none" w:sz="0" w:space="0" w:color="auto"/>
                        <w:bottom w:val="none" w:sz="0" w:space="0" w:color="auto"/>
                        <w:right w:val="none" w:sz="0" w:space="0" w:color="auto"/>
                      </w:divBdr>
                    </w:div>
                  </w:divsChild>
                </w:div>
                <w:div w:id="1134520905">
                  <w:marLeft w:val="0"/>
                  <w:marRight w:val="0"/>
                  <w:marTop w:val="0"/>
                  <w:marBottom w:val="0"/>
                  <w:divBdr>
                    <w:top w:val="none" w:sz="0" w:space="0" w:color="auto"/>
                    <w:left w:val="none" w:sz="0" w:space="0" w:color="auto"/>
                    <w:bottom w:val="none" w:sz="0" w:space="0" w:color="auto"/>
                    <w:right w:val="none" w:sz="0" w:space="0" w:color="auto"/>
                  </w:divBdr>
                  <w:divsChild>
                    <w:div w:id="1615135259">
                      <w:marLeft w:val="0"/>
                      <w:marRight w:val="0"/>
                      <w:marTop w:val="0"/>
                      <w:marBottom w:val="0"/>
                      <w:divBdr>
                        <w:top w:val="none" w:sz="0" w:space="0" w:color="auto"/>
                        <w:left w:val="none" w:sz="0" w:space="0" w:color="auto"/>
                        <w:bottom w:val="none" w:sz="0" w:space="0" w:color="auto"/>
                        <w:right w:val="none" w:sz="0" w:space="0" w:color="auto"/>
                      </w:divBdr>
                    </w:div>
                  </w:divsChild>
                </w:div>
                <w:div w:id="1152332883">
                  <w:marLeft w:val="0"/>
                  <w:marRight w:val="0"/>
                  <w:marTop w:val="0"/>
                  <w:marBottom w:val="0"/>
                  <w:divBdr>
                    <w:top w:val="none" w:sz="0" w:space="0" w:color="auto"/>
                    <w:left w:val="none" w:sz="0" w:space="0" w:color="auto"/>
                    <w:bottom w:val="none" w:sz="0" w:space="0" w:color="auto"/>
                    <w:right w:val="none" w:sz="0" w:space="0" w:color="auto"/>
                  </w:divBdr>
                  <w:divsChild>
                    <w:div w:id="542639133">
                      <w:marLeft w:val="0"/>
                      <w:marRight w:val="0"/>
                      <w:marTop w:val="0"/>
                      <w:marBottom w:val="0"/>
                      <w:divBdr>
                        <w:top w:val="none" w:sz="0" w:space="0" w:color="auto"/>
                        <w:left w:val="none" w:sz="0" w:space="0" w:color="auto"/>
                        <w:bottom w:val="none" w:sz="0" w:space="0" w:color="auto"/>
                        <w:right w:val="none" w:sz="0" w:space="0" w:color="auto"/>
                      </w:divBdr>
                    </w:div>
                  </w:divsChild>
                </w:div>
                <w:div w:id="1162047157">
                  <w:marLeft w:val="0"/>
                  <w:marRight w:val="0"/>
                  <w:marTop w:val="0"/>
                  <w:marBottom w:val="0"/>
                  <w:divBdr>
                    <w:top w:val="none" w:sz="0" w:space="0" w:color="auto"/>
                    <w:left w:val="none" w:sz="0" w:space="0" w:color="auto"/>
                    <w:bottom w:val="none" w:sz="0" w:space="0" w:color="auto"/>
                    <w:right w:val="none" w:sz="0" w:space="0" w:color="auto"/>
                  </w:divBdr>
                  <w:divsChild>
                    <w:div w:id="1201552660">
                      <w:marLeft w:val="0"/>
                      <w:marRight w:val="0"/>
                      <w:marTop w:val="0"/>
                      <w:marBottom w:val="0"/>
                      <w:divBdr>
                        <w:top w:val="none" w:sz="0" w:space="0" w:color="auto"/>
                        <w:left w:val="none" w:sz="0" w:space="0" w:color="auto"/>
                        <w:bottom w:val="none" w:sz="0" w:space="0" w:color="auto"/>
                        <w:right w:val="none" w:sz="0" w:space="0" w:color="auto"/>
                      </w:divBdr>
                    </w:div>
                  </w:divsChild>
                </w:div>
                <w:div w:id="1175530132">
                  <w:marLeft w:val="0"/>
                  <w:marRight w:val="0"/>
                  <w:marTop w:val="0"/>
                  <w:marBottom w:val="0"/>
                  <w:divBdr>
                    <w:top w:val="none" w:sz="0" w:space="0" w:color="auto"/>
                    <w:left w:val="none" w:sz="0" w:space="0" w:color="auto"/>
                    <w:bottom w:val="none" w:sz="0" w:space="0" w:color="auto"/>
                    <w:right w:val="none" w:sz="0" w:space="0" w:color="auto"/>
                  </w:divBdr>
                  <w:divsChild>
                    <w:div w:id="308629301">
                      <w:marLeft w:val="0"/>
                      <w:marRight w:val="0"/>
                      <w:marTop w:val="0"/>
                      <w:marBottom w:val="0"/>
                      <w:divBdr>
                        <w:top w:val="none" w:sz="0" w:space="0" w:color="auto"/>
                        <w:left w:val="none" w:sz="0" w:space="0" w:color="auto"/>
                        <w:bottom w:val="none" w:sz="0" w:space="0" w:color="auto"/>
                        <w:right w:val="none" w:sz="0" w:space="0" w:color="auto"/>
                      </w:divBdr>
                    </w:div>
                  </w:divsChild>
                </w:div>
                <w:div w:id="1205144388">
                  <w:marLeft w:val="0"/>
                  <w:marRight w:val="0"/>
                  <w:marTop w:val="0"/>
                  <w:marBottom w:val="0"/>
                  <w:divBdr>
                    <w:top w:val="none" w:sz="0" w:space="0" w:color="auto"/>
                    <w:left w:val="none" w:sz="0" w:space="0" w:color="auto"/>
                    <w:bottom w:val="none" w:sz="0" w:space="0" w:color="auto"/>
                    <w:right w:val="none" w:sz="0" w:space="0" w:color="auto"/>
                  </w:divBdr>
                  <w:divsChild>
                    <w:div w:id="1852336524">
                      <w:marLeft w:val="0"/>
                      <w:marRight w:val="0"/>
                      <w:marTop w:val="0"/>
                      <w:marBottom w:val="0"/>
                      <w:divBdr>
                        <w:top w:val="none" w:sz="0" w:space="0" w:color="auto"/>
                        <w:left w:val="none" w:sz="0" w:space="0" w:color="auto"/>
                        <w:bottom w:val="none" w:sz="0" w:space="0" w:color="auto"/>
                        <w:right w:val="none" w:sz="0" w:space="0" w:color="auto"/>
                      </w:divBdr>
                    </w:div>
                  </w:divsChild>
                </w:div>
                <w:div w:id="1217428875">
                  <w:marLeft w:val="0"/>
                  <w:marRight w:val="0"/>
                  <w:marTop w:val="0"/>
                  <w:marBottom w:val="0"/>
                  <w:divBdr>
                    <w:top w:val="none" w:sz="0" w:space="0" w:color="auto"/>
                    <w:left w:val="none" w:sz="0" w:space="0" w:color="auto"/>
                    <w:bottom w:val="none" w:sz="0" w:space="0" w:color="auto"/>
                    <w:right w:val="none" w:sz="0" w:space="0" w:color="auto"/>
                  </w:divBdr>
                  <w:divsChild>
                    <w:div w:id="726415366">
                      <w:marLeft w:val="0"/>
                      <w:marRight w:val="0"/>
                      <w:marTop w:val="0"/>
                      <w:marBottom w:val="0"/>
                      <w:divBdr>
                        <w:top w:val="none" w:sz="0" w:space="0" w:color="auto"/>
                        <w:left w:val="none" w:sz="0" w:space="0" w:color="auto"/>
                        <w:bottom w:val="none" w:sz="0" w:space="0" w:color="auto"/>
                        <w:right w:val="none" w:sz="0" w:space="0" w:color="auto"/>
                      </w:divBdr>
                    </w:div>
                  </w:divsChild>
                </w:div>
                <w:div w:id="1236015054">
                  <w:marLeft w:val="0"/>
                  <w:marRight w:val="0"/>
                  <w:marTop w:val="0"/>
                  <w:marBottom w:val="0"/>
                  <w:divBdr>
                    <w:top w:val="none" w:sz="0" w:space="0" w:color="auto"/>
                    <w:left w:val="none" w:sz="0" w:space="0" w:color="auto"/>
                    <w:bottom w:val="none" w:sz="0" w:space="0" w:color="auto"/>
                    <w:right w:val="none" w:sz="0" w:space="0" w:color="auto"/>
                  </w:divBdr>
                  <w:divsChild>
                    <w:div w:id="672995795">
                      <w:marLeft w:val="0"/>
                      <w:marRight w:val="0"/>
                      <w:marTop w:val="0"/>
                      <w:marBottom w:val="0"/>
                      <w:divBdr>
                        <w:top w:val="none" w:sz="0" w:space="0" w:color="auto"/>
                        <w:left w:val="none" w:sz="0" w:space="0" w:color="auto"/>
                        <w:bottom w:val="none" w:sz="0" w:space="0" w:color="auto"/>
                        <w:right w:val="none" w:sz="0" w:space="0" w:color="auto"/>
                      </w:divBdr>
                    </w:div>
                  </w:divsChild>
                </w:div>
                <w:div w:id="1251351805">
                  <w:marLeft w:val="0"/>
                  <w:marRight w:val="0"/>
                  <w:marTop w:val="0"/>
                  <w:marBottom w:val="0"/>
                  <w:divBdr>
                    <w:top w:val="none" w:sz="0" w:space="0" w:color="auto"/>
                    <w:left w:val="none" w:sz="0" w:space="0" w:color="auto"/>
                    <w:bottom w:val="none" w:sz="0" w:space="0" w:color="auto"/>
                    <w:right w:val="none" w:sz="0" w:space="0" w:color="auto"/>
                  </w:divBdr>
                  <w:divsChild>
                    <w:div w:id="1825734430">
                      <w:marLeft w:val="0"/>
                      <w:marRight w:val="0"/>
                      <w:marTop w:val="0"/>
                      <w:marBottom w:val="0"/>
                      <w:divBdr>
                        <w:top w:val="none" w:sz="0" w:space="0" w:color="auto"/>
                        <w:left w:val="none" w:sz="0" w:space="0" w:color="auto"/>
                        <w:bottom w:val="none" w:sz="0" w:space="0" w:color="auto"/>
                        <w:right w:val="none" w:sz="0" w:space="0" w:color="auto"/>
                      </w:divBdr>
                    </w:div>
                  </w:divsChild>
                </w:div>
                <w:div w:id="1290479026">
                  <w:marLeft w:val="0"/>
                  <w:marRight w:val="0"/>
                  <w:marTop w:val="0"/>
                  <w:marBottom w:val="0"/>
                  <w:divBdr>
                    <w:top w:val="none" w:sz="0" w:space="0" w:color="auto"/>
                    <w:left w:val="none" w:sz="0" w:space="0" w:color="auto"/>
                    <w:bottom w:val="none" w:sz="0" w:space="0" w:color="auto"/>
                    <w:right w:val="none" w:sz="0" w:space="0" w:color="auto"/>
                  </w:divBdr>
                  <w:divsChild>
                    <w:div w:id="951470978">
                      <w:marLeft w:val="0"/>
                      <w:marRight w:val="0"/>
                      <w:marTop w:val="0"/>
                      <w:marBottom w:val="0"/>
                      <w:divBdr>
                        <w:top w:val="none" w:sz="0" w:space="0" w:color="auto"/>
                        <w:left w:val="none" w:sz="0" w:space="0" w:color="auto"/>
                        <w:bottom w:val="none" w:sz="0" w:space="0" w:color="auto"/>
                        <w:right w:val="none" w:sz="0" w:space="0" w:color="auto"/>
                      </w:divBdr>
                    </w:div>
                  </w:divsChild>
                </w:div>
                <w:div w:id="1358627653">
                  <w:marLeft w:val="0"/>
                  <w:marRight w:val="0"/>
                  <w:marTop w:val="0"/>
                  <w:marBottom w:val="0"/>
                  <w:divBdr>
                    <w:top w:val="none" w:sz="0" w:space="0" w:color="auto"/>
                    <w:left w:val="none" w:sz="0" w:space="0" w:color="auto"/>
                    <w:bottom w:val="none" w:sz="0" w:space="0" w:color="auto"/>
                    <w:right w:val="none" w:sz="0" w:space="0" w:color="auto"/>
                  </w:divBdr>
                  <w:divsChild>
                    <w:div w:id="740521504">
                      <w:marLeft w:val="0"/>
                      <w:marRight w:val="0"/>
                      <w:marTop w:val="0"/>
                      <w:marBottom w:val="0"/>
                      <w:divBdr>
                        <w:top w:val="none" w:sz="0" w:space="0" w:color="auto"/>
                        <w:left w:val="none" w:sz="0" w:space="0" w:color="auto"/>
                        <w:bottom w:val="none" w:sz="0" w:space="0" w:color="auto"/>
                        <w:right w:val="none" w:sz="0" w:space="0" w:color="auto"/>
                      </w:divBdr>
                    </w:div>
                  </w:divsChild>
                </w:div>
                <w:div w:id="1359626056">
                  <w:marLeft w:val="0"/>
                  <w:marRight w:val="0"/>
                  <w:marTop w:val="0"/>
                  <w:marBottom w:val="0"/>
                  <w:divBdr>
                    <w:top w:val="none" w:sz="0" w:space="0" w:color="auto"/>
                    <w:left w:val="none" w:sz="0" w:space="0" w:color="auto"/>
                    <w:bottom w:val="none" w:sz="0" w:space="0" w:color="auto"/>
                    <w:right w:val="none" w:sz="0" w:space="0" w:color="auto"/>
                  </w:divBdr>
                  <w:divsChild>
                    <w:div w:id="323093840">
                      <w:marLeft w:val="0"/>
                      <w:marRight w:val="0"/>
                      <w:marTop w:val="0"/>
                      <w:marBottom w:val="0"/>
                      <w:divBdr>
                        <w:top w:val="none" w:sz="0" w:space="0" w:color="auto"/>
                        <w:left w:val="none" w:sz="0" w:space="0" w:color="auto"/>
                        <w:bottom w:val="none" w:sz="0" w:space="0" w:color="auto"/>
                        <w:right w:val="none" w:sz="0" w:space="0" w:color="auto"/>
                      </w:divBdr>
                    </w:div>
                  </w:divsChild>
                </w:div>
                <w:div w:id="1421950190">
                  <w:marLeft w:val="0"/>
                  <w:marRight w:val="0"/>
                  <w:marTop w:val="0"/>
                  <w:marBottom w:val="0"/>
                  <w:divBdr>
                    <w:top w:val="none" w:sz="0" w:space="0" w:color="auto"/>
                    <w:left w:val="none" w:sz="0" w:space="0" w:color="auto"/>
                    <w:bottom w:val="none" w:sz="0" w:space="0" w:color="auto"/>
                    <w:right w:val="none" w:sz="0" w:space="0" w:color="auto"/>
                  </w:divBdr>
                  <w:divsChild>
                    <w:div w:id="589316059">
                      <w:marLeft w:val="0"/>
                      <w:marRight w:val="0"/>
                      <w:marTop w:val="0"/>
                      <w:marBottom w:val="0"/>
                      <w:divBdr>
                        <w:top w:val="none" w:sz="0" w:space="0" w:color="auto"/>
                        <w:left w:val="none" w:sz="0" w:space="0" w:color="auto"/>
                        <w:bottom w:val="none" w:sz="0" w:space="0" w:color="auto"/>
                        <w:right w:val="none" w:sz="0" w:space="0" w:color="auto"/>
                      </w:divBdr>
                    </w:div>
                  </w:divsChild>
                </w:div>
                <w:div w:id="1437484899">
                  <w:marLeft w:val="0"/>
                  <w:marRight w:val="0"/>
                  <w:marTop w:val="0"/>
                  <w:marBottom w:val="0"/>
                  <w:divBdr>
                    <w:top w:val="none" w:sz="0" w:space="0" w:color="auto"/>
                    <w:left w:val="none" w:sz="0" w:space="0" w:color="auto"/>
                    <w:bottom w:val="none" w:sz="0" w:space="0" w:color="auto"/>
                    <w:right w:val="none" w:sz="0" w:space="0" w:color="auto"/>
                  </w:divBdr>
                  <w:divsChild>
                    <w:div w:id="1882790589">
                      <w:marLeft w:val="0"/>
                      <w:marRight w:val="0"/>
                      <w:marTop w:val="0"/>
                      <w:marBottom w:val="0"/>
                      <w:divBdr>
                        <w:top w:val="none" w:sz="0" w:space="0" w:color="auto"/>
                        <w:left w:val="none" w:sz="0" w:space="0" w:color="auto"/>
                        <w:bottom w:val="none" w:sz="0" w:space="0" w:color="auto"/>
                        <w:right w:val="none" w:sz="0" w:space="0" w:color="auto"/>
                      </w:divBdr>
                    </w:div>
                  </w:divsChild>
                </w:div>
                <w:div w:id="1505898984">
                  <w:marLeft w:val="0"/>
                  <w:marRight w:val="0"/>
                  <w:marTop w:val="0"/>
                  <w:marBottom w:val="0"/>
                  <w:divBdr>
                    <w:top w:val="none" w:sz="0" w:space="0" w:color="auto"/>
                    <w:left w:val="none" w:sz="0" w:space="0" w:color="auto"/>
                    <w:bottom w:val="none" w:sz="0" w:space="0" w:color="auto"/>
                    <w:right w:val="none" w:sz="0" w:space="0" w:color="auto"/>
                  </w:divBdr>
                  <w:divsChild>
                    <w:div w:id="38358364">
                      <w:marLeft w:val="0"/>
                      <w:marRight w:val="0"/>
                      <w:marTop w:val="0"/>
                      <w:marBottom w:val="0"/>
                      <w:divBdr>
                        <w:top w:val="none" w:sz="0" w:space="0" w:color="auto"/>
                        <w:left w:val="none" w:sz="0" w:space="0" w:color="auto"/>
                        <w:bottom w:val="none" w:sz="0" w:space="0" w:color="auto"/>
                        <w:right w:val="none" w:sz="0" w:space="0" w:color="auto"/>
                      </w:divBdr>
                    </w:div>
                  </w:divsChild>
                </w:div>
                <w:div w:id="1548759040">
                  <w:marLeft w:val="0"/>
                  <w:marRight w:val="0"/>
                  <w:marTop w:val="0"/>
                  <w:marBottom w:val="0"/>
                  <w:divBdr>
                    <w:top w:val="none" w:sz="0" w:space="0" w:color="auto"/>
                    <w:left w:val="none" w:sz="0" w:space="0" w:color="auto"/>
                    <w:bottom w:val="none" w:sz="0" w:space="0" w:color="auto"/>
                    <w:right w:val="none" w:sz="0" w:space="0" w:color="auto"/>
                  </w:divBdr>
                  <w:divsChild>
                    <w:div w:id="117309519">
                      <w:marLeft w:val="0"/>
                      <w:marRight w:val="0"/>
                      <w:marTop w:val="0"/>
                      <w:marBottom w:val="0"/>
                      <w:divBdr>
                        <w:top w:val="none" w:sz="0" w:space="0" w:color="auto"/>
                        <w:left w:val="none" w:sz="0" w:space="0" w:color="auto"/>
                        <w:bottom w:val="none" w:sz="0" w:space="0" w:color="auto"/>
                        <w:right w:val="none" w:sz="0" w:space="0" w:color="auto"/>
                      </w:divBdr>
                    </w:div>
                  </w:divsChild>
                </w:div>
                <w:div w:id="1619751045">
                  <w:marLeft w:val="0"/>
                  <w:marRight w:val="0"/>
                  <w:marTop w:val="0"/>
                  <w:marBottom w:val="0"/>
                  <w:divBdr>
                    <w:top w:val="none" w:sz="0" w:space="0" w:color="auto"/>
                    <w:left w:val="none" w:sz="0" w:space="0" w:color="auto"/>
                    <w:bottom w:val="none" w:sz="0" w:space="0" w:color="auto"/>
                    <w:right w:val="none" w:sz="0" w:space="0" w:color="auto"/>
                  </w:divBdr>
                  <w:divsChild>
                    <w:div w:id="807749316">
                      <w:marLeft w:val="0"/>
                      <w:marRight w:val="0"/>
                      <w:marTop w:val="0"/>
                      <w:marBottom w:val="0"/>
                      <w:divBdr>
                        <w:top w:val="none" w:sz="0" w:space="0" w:color="auto"/>
                        <w:left w:val="none" w:sz="0" w:space="0" w:color="auto"/>
                        <w:bottom w:val="none" w:sz="0" w:space="0" w:color="auto"/>
                        <w:right w:val="none" w:sz="0" w:space="0" w:color="auto"/>
                      </w:divBdr>
                    </w:div>
                  </w:divsChild>
                </w:div>
                <w:div w:id="1632243738">
                  <w:marLeft w:val="0"/>
                  <w:marRight w:val="0"/>
                  <w:marTop w:val="0"/>
                  <w:marBottom w:val="0"/>
                  <w:divBdr>
                    <w:top w:val="none" w:sz="0" w:space="0" w:color="auto"/>
                    <w:left w:val="none" w:sz="0" w:space="0" w:color="auto"/>
                    <w:bottom w:val="none" w:sz="0" w:space="0" w:color="auto"/>
                    <w:right w:val="none" w:sz="0" w:space="0" w:color="auto"/>
                  </w:divBdr>
                  <w:divsChild>
                    <w:div w:id="1000081287">
                      <w:marLeft w:val="0"/>
                      <w:marRight w:val="0"/>
                      <w:marTop w:val="0"/>
                      <w:marBottom w:val="0"/>
                      <w:divBdr>
                        <w:top w:val="none" w:sz="0" w:space="0" w:color="auto"/>
                        <w:left w:val="none" w:sz="0" w:space="0" w:color="auto"/>
                        <w:bottom w:val="none" w:sz="0" w:space="0" w:color="auto"/>
                        <w:right w:val="none" w:sz="0" w:space="0" w:color="auto"/>
                      </w:divBdr>
                    </w:div>
                  </w:divsChild>
                </w:div>
                <w:div w:id="1644239429">
                  <w:marLeft w:val="0"/>
                  <w:marRight w:val="0"/>
                  <w:marTop w:val="0"/>
                  <w:marBottom w:val="0"/>
                  <w:divBdr>
                    <w:top w:val="none" w:sz="0" w:space="0" w:color="auto"/>
                    <w:left w:val="none" w:sz="0" w:space="0" w:color="auto"/>
                    <w:bottom w:val="none" w:sz="0" w:space="0" w:color="auto"/>
                    <w:right w:val="none" w:sz="0" w:space="0" w:color="auto"/>
                  </w:divBdr>
                  <w:divsChild>
                    <w:div w:id="257834064">
                      <w:marLeft w:val="0"/>
                      <w:marRight w:val="0"/>
                      <w:marTop w:val="0"/>
                      <w:marBottom w:val="0"/>
                      <w:divBdr>
                        <w:top w:val="none" w:sz="0" w:space="0" w:color="auto"/>
                        <w:left w:val="none" w:sz="0" w:space="0" w:color="auto"/>
                        <w:bottom w:val="none" w:sz="0" w:space="0" w:color="auto"/>
                        <w:right w:val="none" w:sz="0" w:space="0" w:color="auto"/>
                      </w:divBdr>
                    </w:div>
                  </w:divsChild>
                </w:div>
                <w:div w:id="1674605128">
                  <w:marLeft w:val="0"/>
                  <w:marRight w:val="0"/>
                  <w:marTop w:val="0"/>
                  <w:marBottom w:val="0"/>
                  <w:divBdr>
                    <w:top w:val="none" w:sz="0" w:space="0" w:color="auto"/>
                    <w:left w:val="none" w:sz="0" w:space="0" w:color="auto"/>
                    <w:bottom w:val="none" w:sz="0" w:space="0" w:color="auto"/>
                    <w:right w:val="none" w:sz="0" w:space="0" w:color="auto"/>
                  </w:divBdr>
                  <w:divsChild>
                    <w:div w:id="1412041925">
                      <w:marLeft w:val="0"/>
                      <w:marRight w:val="0"/>
                      <w:marTop w:val="0"/>
                      <w:marBottom w:val="0"/>
                      <w:divBdr>
                        <w:top w:val="none" w:sz="0" w:space="0" w:color="auto"/>
                        <w:left w:val="none" w:sz="0" w:space="0" w:color="auto"/>
                        <w:bottom w:val="none" w:sz="0" w:space="0" w:color="auto"/>
                        <w:right w:val="none" w:sz="0" w:space="0" w:color="auto"/>
                      </w:divBdr>
                    </w:div>
                  </w:divsChild>
                </w:div>
                <w:div w:id="1676836521">
                  <w:marLeft w:val="0"/>
                  <w:marRight w:val="0"/>
                  <w:marTop w:val="0"/>
                  <w:marBottom w:val="0"/>
                  <w:divBdr>
                    <w:top w:val="none" w:sz="0" w:space="0" w:color="auto"/>
                    <w:left w:val="none" w:sz="0" w:space="0" w:color="auto"/>
                    <w:bottom w:val="none" w:sz="0" w:space="0" w:color="auto"/>
                    <w:right w:val="none" w:sz="0" w:space="0" w:color="auto"/>
                  </w:divBdr>
                  <w:divsChild>
                    <w:div w:id="1360856013">
                      <w:marLeft w:val="0"/>
                      <w:marRight w:val="0"/>
                      <w:marTop w:val="0"/>
                      <w:marBottom w:val="0"/>
                      <w:divBdr>
                        <w:top w:val="none" w:sz="0" w:space="0" w:color="auto"/>
                        <w:left w:val="none" w:sz="0" w:space="0" w:color="auto"/>
                        <w:bottom w:val="none" w:sz="0" w:space="0" w:color="auto"/>
                        <w:right w:val="none" w:sz="0" w:space="0" w:color="auto"/>
                      </w:divBdr>
                    </w:div>
                  </w:divsChild>
                </w:div>
                <w:div w:id="1702395297">
                  <w:marLeft w:val="0"/>
                  <w:marRight w:val="0"/>
                  <w:marTop w:val="0"/>
                  <w:marBottom w:val="0"/>
                  <w:divBdr>
                    <w:top w:val="none" w:sz="0" w:space="0" w:color="auto"/>
                    <w:left w:val="none" w:sz="0" w:space="0" w:color="auto"/>
                    <w:bottom w:val="none" w:sz="0" w:space="0" w:color="auto"/>
                    <w:right w:val="none" w:sz="0" w:space="0" w:color="auto"/>
                  </w:divBdr>
                  <w:divsChild>
                    <w:div w:id="285935152">
                      <w:marLeft w:val="0"/>
                      <w:marRight w:val="0"/>
                      <w:marTop w:val="0"/>
                      <w:marBottom w:val="0"/>
                      <w:divBdr>
                        <w:top w:val="none" w:sz="0" w:space="0" w:color="auto"/>
                        <w:left w:val="none" w:sz="0" w:space="0" w:color="auto"/>
                        <w:bottom w:val="none" w:sz="0" w:space="0" w:color="auto"/>
                        <w:right w:val="none" w:sz="0" w:space="0" w:color="auto"/>
                      </w:divBdr>
                    </w:div>
                  </w:divsChild>
                </w:div>
                <w:div w:id="1703944496">
                  <w:marLeft w:val="0"/>
                  <w:marRight w:val="0"/>
                  <w:marTop w:val="0"/>
                  <w:marBottom w:val="0"/>
                  <w:divBdr>
                    <w:top w:val="none" w:sz="0" w:space="0" w:color="auto"/>
                    <w:left w:val="none" w:sz="0" w:space="0" w:color="auto"/>
                    <w:bottom w:val="none" w:sz="0" w:space="0" w:color="auto"/>
                    <w:right w:val="none" w:sz="0" w:space="0" w:color="auto"/>
                  </w:divBdr>
                  <w:divsChild>
                    <w:div w:id="1693994589">
                      <w:marLeft w:val="0"/>
                      <w:marRight w:val="0"/>
                      <w:marTop w:val="0"/>
                      <w:marBottom w:val="0"/>
                      <w:divBdr>
                        <w:top w:val="none" w:sz="0" w:space="0" w:color="auto"/>
                        <w:left w:val="none" w:sz="0" w:space="0" w:color="auto"/>
                        <w:bottom w:val="none" w:sz="0" w:space="0" w:color="auto"/>
                        <w:right w:val="none" w:sz="0" w:space="0" w:color="auto"/>
                      </w:divBdr>
                    </w:div>
                  </w:divsChild>
                </w:div>
                <w:div w:id="1726877612">
                  <w:marLeft w:val="0"/>
                  <w:marRight w:val="0"/>
                  <w:marTop w:val="0"/>
                  <w:marBottom w:val="0"/>
                  <w:divBdr>
                    <w:top w:val="none" w:sz="0" w:space="0" w:color="auto"/>
                    <w:left w:val="none" w:sz="0" w:space="0" w:color="auto"/>
                    <w:bottom w:val="none" w:sz="0" w:space="0" w:color="auto"/>
                    <w:right w:val="none" w:sz="0" w:space="0" w:color="auto"/>
                  </w:divBdr>
                  <w:divsChild>
                    <w:div w:id="1308171972">
                      <w:marLeft w:val="0"/>
                      <w:marRight w:val="0"/>
                      <w:marTop w:val="0"/>
                      <w:marBottom w:val="0"/>
                      <w:divBdr>
                        <w:top w:val="none" w:sz="0" w:space="0" w:color="auto"/>
                        <w:left w:val="none" w:sz="0" w:space="0" w:color="auto"/>
                        <w:bottom w:val="none" w:sz="0" w:space="0" w:color="auto"/>
                        <w:right w:val="none" w:sz="0" w:space="0" w:color="auto"/>
                      </w:divBdr>
                    </w:div>
                  </w:divsChild>
                </w:div>
                <w:div w:id="1795175656">
                  <w:marLeft w:val="0"/>
                  <w:marRight w:val="0"/>
                  <w:marTop w:val="0"/>
                  <w:marBottom w:val="0"/>
                  <w:divBdr>
                    <w:top w:val="none" w:sz="0" w:space="0" w:color="auto"/>
                    <w:left w:val="none" w:sz="0" w:space="0" w:color="auto"/>
                    <w:bottom w:val="none" w:sz="0" w:space="0" w:color="auto"/>
                    <w:right w:val="none" w:sz="0" w:space="0" w:color="auto"/>
                  </w:divBdr>
                  <w:divsChild>
                    <w:div w:id="1162114409">
                      <w:marLeft w:val="0"/>
                      <w:marRight w:val="0"/>
                      <w:marTop w:val="0"/>
                      <w:marBottom w:val="0"/>
                      <w:divBdr>
                        <w:top w:val="none" w:sz="0" w:space="0" w:color="auto"/>
                        <w:left w:val="none" w:sz="0" w:space="0" w:color="auto"/>
                        <w:bottom w:val="none" w:sz="0" w:space="0" w:color="auto"/>
                        <w:right w:val="none" w:sz="0" w:space="0" w:color="auto"/>
                      </w:divBdr>
                    </w:div>
                  </w:divsChild>
                </w:div>
                <w:div w:id="1803229625">
                  <w:marLeft w:val="0"/>
                  <w:marRight w:val="0"/>
                  <w:marTop w:val="0"/>
                  <w:marBottom w:val="0"/>
                  <w:divBdr>
                    <w:top w:val="none" w:sz="0" w:space="0" w:color="auto"/>
                    <w:left w:val="none" w:sz="0" w:space="0" w:color="auto"/>
                    <w:bottom w:val="none" w:sz="0" w:space="0" w:color="auto"/>
                    <w:right w:val="none" w:sz="0" w:space="0" w:color="auto"/>
                  </w:divBdr>
                  <w:divsChild>
                    <w:div w:id="428241190">
                      <w:marLeft w:val="0"/>
                      <w:marRight w:val="0"/>
                      <w:marTop w:val="0"/>
                      <w:marBottom w:val="0"/>
                      <w:divBdr>
                        <w:top w:val="none" w:sz="0" w:space="0" w:color="auto"/>
                        <w:left w:val="none" w:sz="0" w:space="0" w:color="auto"/>
                        <w:bottom w:val="none" w:sz="0" w:space="0" w:color="auto"/>
                        <w:right w:val="none" w:sz="0" w:space="0" w:color="auto"/>
                      </w:divBdr>
                    </w:div>
                  </w:divsChild>
                </w:div>
                <w:div w:id="1811896473">
                  <w:marLeft w:val="0"/>
                  <w:marRight w:val="0"/>
                  <w:marTop w:val="0"/>
                  <w:marBottom w:val="0"/>
                  <w:divBdr>
                    <w:top w:val="none" w:sz="0" w:space="0" w:color="auto"/>
                    <w:left w:val="none" w:sz="0" w:space="0" w:color="auto"/>
                    <w:bottom w:val="none" w:sz="0" w:space="0" w:color="auto"/>
                    <w:right w:val="none" w:sz="0" w:space="0" w:color="auto"/>
                  </w:divBdr>
                  <w:divsChild>
                    <w:div w:id="176893277">
                      <w:marLeft w:val="0"/>
                      <w:marRight w:val="0"/>
                      <w:marTop w:val="0"/>
                      <w:marBottom w:val="0"/>
                      <w:divBdr>
                        <w:top w:val="none" w:sz="0" w:space="0" w:color="auto"/>
                        <w:left w:val="none" w:sz="0" w:space="0" w:color="auto"/>
                        <w:bottom w:val="none" w:sz="0" w:space="0" w:color="auto"/>
                        <w:right w:val="none" w:sz="0" w:space="0" w:color="auto"/>
                      </w:divBdr>
                    </w:div>
                  </w:divsChild>
                </w:div>
                <w:div w:id="1819227277">
                  <w:marLeft w:val="0"/>
                  <w:marRight w:val="0"/>
                  <w:marTop w:val="0"/>
                  <w:marBottom w:val="0"/>
                  <w:divBdr>
                    <w:top w:val="none" w:sz="0" w:space="0" w:color="auto"/>
                    <w:left w:val="none" w:sz="0" w:space="0" w:color="auto"/>
                    <w:bottom w:val="none" w:sz="0" w:space="0" w:color="auto"/>
                    <w:right w:val="none" w:sz="0" w:space="0" w:color="auto"/>
                  </w:divBdr>
                  <w:divsChild>
                    <w:div w:id="1643804336">
                      <w:marLeft w:val="0"/>
                      <w:marRight w:val="0"/>
                      <w:marTop w:val="0"/>
                      <w:marBottom w:val="0"/>
                      <w:divBdr>
                        <w:top w:val="none" w:sz="0" w:space="0" w:color="auto"/>
                        <w:left w:val="none" w:sz="0" w:space="0" w:color="auto"/>
                        <w:bottom w:val="none" w:sz="0" w:space="0" w:color="auto"/>
                        <w:right w:val="none" w:sz="0" w:space="0" w:color="auto"/>
                      </w:divBdr>
                    </w:div>
                  </w:divsChild>
                </w:div>
                <w:div w:id="1873766527">
                  <w:marLeft w:val="0"/>
                  <w:marRight w:val="0"/>
                  <w:marTop w:val="0"/>
                  <w:marBottom w:val="0"/>
                  <w:divBdr>
                    <w:top w:val="none" w:sz="0" w:space="0" w:color="auto"/>
                    <w:left w:val="none" w:sz="0" w:space="0" w:color="auto"/>
                    <w:bottom w:val="none" w:sz="0" w:space="0" w:color="auto"/>
                    <w:right w:val="none" w:sz="0" w:space="0" w:color="auto"/>
                  </w:divBdr>
                  <w:divsChild>
                    <w:div w:id="506754626">
                      <w:marLeft w:val="0"/>
                      <w:marRight w:val="0"/>
                      <w:marTop w:val="0"/>
                      <w:marBottom w:val="0"/>
                      <w:divBdr>
                        <w:top w:val="none" w:sz="0" w:space="0" w:color="auto"/>
                        <w:left w:val="none" w:sz="0" w:space="0" w:color="auto"/>
                        <w:bottom w:val="none" w:sz="0" w:space="0" w:color="auto"/>
                        <w:right w:val="none" w:sz="0" w:space="0" w:color="auto"/>
                      </w:divBdr>
                    </w:div>
                  </w:divsChild>
                </w:div>
                <w:div w:id="1894385797">
                  <w:marLeft w:val="0"/>
                  <w:marRight w:val="0"/>
                  <w:marTop w:val="0"/>
                  <w:marBottom w:val="0"/>
                  <w:divBdr>
                    <w:top w:val="none" w:sz="0" w:space="0" w:color="auto"/>
                    <w:left w:val="none" w:sz="0" w:space="0" w:color="auto"/>
                    <w:bottom w:val="none" w:sz="0" w:space="0" w:color="auto"/>
                    <w:right w:val="none" w:sz="0" w:space="0" w:color="auto"/>
                  </w:divBdr>
                  <w:divsChild>
                    <w:div w:id="872838465">
                      <w:marLeft w:val="0"/>
                      <w:marRight w:val="0"/>
                      <w:marTop w:val="0"/>
                      <w:marBottom w:val="0"/>
                      <w:divBdr>
                        <w:top w:val="none" w:sz="0" w:space="0" w:color="auto"/>
                        <w:left w:val="none" w:sz="0" w:space="0" w:color="auto"/>
                        <w:bottom w:val="none" w:sz="0" w:space="0" w:color="auto"/>
                        <w:right w:val="none" w:sz="0" w:space="0" w:color="auto"/>
                      </w:divBdr>
                    </w:div>
                  </w:divsChild>
                </w:div>
                <w:div w:id="1919711777">
                  <w:marLeft w:val="0"/>
                  <w:marRight w:val="0"/>
                  <w:marTop w:val="0"/>
                  <w:marBottom w:val="0"/>
                  <w:divBdr>
                    <w:top w:val="none" w:sz="0" w:space="0" w:color="auto"/>
                    <w:left w:val="none" w:sz="0" w:space="0" w:color="auto"/>
                    <w:bottom w:val="none" w:sz="0" w:space="0" w:color="auto"/>
                    <w:right w:val="none" w:sz="0" w:space="0" w:color="auto"/>
                  </w:divBdr>
                  <w:divsChild>
                    <w:div w:id="1625235207">
                      <w:marLeft w:val="0"/>
                      <w:marRight w:val="0"/>
                      <w:marTop w:val="0"/>
                      <w:marBottom w:val="0"/>
                      <w:divBdr>
                        <w:top w:val="none" w:sz="0" w:space="0" w:color="auto"/>
                        <w:left w:val="none" w:sz="0" w:space="0" w:color="auto"/>
                        <w:bottom w:val="none" w:sz="0" w:space="0" w:color="auto"/>
                        <w:right w:val="none" w:sz="0" w:space="0" w:color="auto"/>
                      </w:divBdr>
                    </w:div>
                  </w:divsChild>
                </w:div>
                <w:div w:id="1989245599">
                  <w:marLeft w:val="0"/>
                  <w:marRight w:val="0"/>
                  <w:marTop w:val="0"/>
                  <w:marBottom w:val="0"/>
                  <w:divBdr>
                    <w:top w:val="none" w:sz="0" w:space="0" w:color="auto"/>
                    <w:left w:val="none" w:sz="0" w:space="0" w:color="auto"/>
                    <w:bottom w:val="none" w:sz="0" w:space="0" w:color="auto"/>
                    <w:right w:val="none" w:sz="0" w:space="0" w:color="auto"/>
                  </w:divBdr>
                  <w:divsChild>
                    <w:div w:id="403798004">
                      <w:marLeft w:val="0"/>
                      <w:marRight w:val="0"/>
                      <w:marTop w:val="0"/>
                      <w:marBottom w:val="0"/>
                      <w:divBdr>
                        <w:top w:val="none" w:sz="0" w:space="0" w:color="auto"/>
                        <w:left w:val="none" w:sz="0" w:space="0" w:color="auto"/>
                        <w:bottom w:val="none" w:sz="0" w:space="0" w:color="auto"/>
                        <w:right w:val="none" w:sz="0" w:space="0" w:color="auto"/>
                      </w:divBdr>
                    </w:div>
                  </w:divsChild>
                </w:div>
                <w:div w:id="1990162161">
                  <w:marLeft w:val="0"/>
                  <w:marRight w:val="0"/>
                  <w:marTop w:val="0"/>
                  <w:marBottom w:val="0"/>
                  <w:divBdr>
                    <w:top w:val="none" w:sz="0" w:space="0" w:color="auto"/>
                    <w:left w:val="none" w:sz="0" w:space="0" w:color="auto"/>
                    <w:bottom w:val="none" w:sz="0" w:space="0" w:color="auto"/>
                    <w:right w:val="none" w:sz="0" w:space="0" w:color="auto"/>
                  </w:divBdr>
                  <w:divsChild>
                    <w:div w:id="1612781633">
                      <w:marLeft w:val="0"/>
                      <w:marRight w:val="0"/>
                      <w:marTop w:val="0"/>
                      <w:marBottom w:val="0"/>
                      <w:divBdr>
                        <w:top w:val="none" w:sz="0" w:space="0" w:color="auto"/>
                        <w:left w:val="none" w:sz="0" w:space="0" w:color="auto"/>
                        <w:bottom w:val="none" w:sz="0" w:space="0" w:color="auto"/>
                        <w:right w:val="none" w:sz="0" w:space="0" w:color="auto"/>
                      </w:divBdr>
                    </w:div>
                  </w:divsChild>
                </w:div>
                <w:div w:id="2125150900">
                  <w:marLeft w:val="0"/>
                  <w:marRight w:val="0"/>
                  <w:marTop w:val="0"/>
                  <w:marBottom w:val="0"/>
                  <w:divBdr>
                    <w:top w:val="none" w:sz="0" w:space="0" w:color="auto"/>
                    <w:left w:val="none" w:sz="0" w:space="0" w:color="auto"/>
                    <w:bottom w:val="none" w:sz="0" w:space="0" w:color="auto"/>
                    <w:right w:val="none" w:sz="0" w:space="0" w:color="auto"/>
                  </w:divBdr>
                  <w:divsChild>
                    <w:div w:id="11074308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34870003">
      <w:bodyDiv w:val="1"/>
      <w:marLeft w:val="0"/>
      <w:marRight w:val="0"/>
      <w:marTop w:val="0"/>
      <w:marBottom w:val="0"/>
      <w:divBdr>
        <w:top w:val="none" w:sz="0" w:space="0" w:color="auto"/>
        <w:left w:val="none" w:sz="0" w:space="0" w:color="auto"/>
        <w:bottom w:val="none" w:sz="0" w:space="0" w:color="auto"/>
        <w:right w:val="none" w:sz="0" w:space="0" w:color="auto"/>
      </w:divBdr>
    </w:div>
    <w:div w:id="1407266412">
      <w:bodyDiv w:val="1"/>
      <w:marLeft w:val="0"/>
      <w:marRight w:val="0"/>
      <w:marTop w:val="0"/>
      <w:marBottom w:val="0"/>
      <w:divBdr>
        <w:top w:val="none" w:sz="0" w:space="0" w:color="auto"/>
        <w:left w:val="none" w:sz="0" w:space="0" w:color="auto"/>
        <w:bottom w:val="none" w:sz="0" w:space="0" w:color="auto"/>
        <w:right w:val="none" w:sz="0" w:space="0" w:color="auto"/>
      </w:divBdr>
      <w:divsChild>
        <w:div w:id="1568414067">
          <w:marLeft w:val="0"/>
          <w:marRight w:val="0"/>
          <w:marTop w:val="0"/>
          <w:marBottom w:val="0"/>
          <w:divBdr>
            <w:top w:val="none" w:sz="0" w:space="0" w:color="auto"/>
            <w:left w:val="none" w:sz="0" w:space="0" w:color="auto"/>
            <w:bottom w:val="none" w:sz="0" w:space="0" w:color="auto"/>
            <w:right w:val="none" w:sz="0" w:space="0" w:color="auto"/>
          </w:divBdr>
        </w:div>
      </w:divsChild>
    </w:div>
    <w:div w:id="1900096050">
      <w:bodyDiv w:val="1"/>
      <w:marLeft w:val="0"/>
      <w:marRight w:val="0"/>
      <w:marTop w:val="0"/>
      <w:marBottom w:val="0"/>
      <w:divBdr>
        <w:top w:val="none" w:sz="0" w:space="0" w:color="auto"/>
        <w:left w:val="none" w:sz="0" w:space="0" w:color="auto"/>
        <w:bottom w:val="none" w:sz="0" w:space="0" w:color="auto"/>
        <w:right w:val="none" w:sz="0" w:space="0" w:color="auto"/>
      </w:divBdr>
    </w:div>
    <w:div w:id="1909994584">
      <w:bodyDiv w:val="1"/>
      <w:marLeft w:val="0"/>
      <w:marRight w:val="0"/>
      <w:marTop w:val="0"/>
      <w:marBottom w:val="0"/>
      <w:divBdr>
        <w:top w:val="none" w:sz="0" w:space="0" w:color="auto"/>
        <w:left w:val="none" w:sz="0" w:space="0" w:color="auto"/>
        <w:bottom w:val="none" w:sz="0" w:space="0" w:color="auto"/>
        <w:right w:val="none" w:sz="0" w:space="0" w:color="auto"/>
      </w:divBdr>
    </w:div>
    <w:div w:id="19915950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eader" Target="header2.xml"/><Relationship Id="rId18" Type="http://schemas.openxmlformats.org/officeDocument/2006/relationships/header" Target="header4.xml"/><Relationship Id="rId26" Type="http://schemas.openxmlformats.org/officeDocument/2006/relationships/header" Target="header8.xml"/><Relationship Id="rId39" Type="http://schemas.openxmlformats.org/officeDocument/2006/relationships/header" Target="header11.xml"/><Relationship Id="rId21" Type="http://schemas.openxmlformats.org/officeDocument/2006/relationships/footer" Target="footer5.xml"/><Relationship Id="rId34" Type="http://schemas.openxmlformats.org/officeDocument/2006/relationships/image" Target="media/image6.emf"/><Relationship Id="rId42" Type="http://schemas.openxmlformats.org/officeDocument/2006/relationships/header" Target="header12.xml"/><Relationship Id="rId47" Type="http://schemas.openxmlformats.org/officeDocument/2006/relationships/footer" Target="footer14.xml"/><Relationship Id="rId50" Type="http://schemas.openxmlformats.org/officeDocument/2006/relationships/header" Target="header16.xml"/><Relationship Id="rId55" Type="http://schemas.openxmlformats.org/officeDocument/2006/relationships/footer" Target="footer18.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5" Type="http://schemas.openxmlformats.org/officeDocument/2006/relationships/header" Target="header7.xml"/><Relationship Id="rId33" Type="http://schemas.openxmlformats.org/officeDocument/2006/relationships/image" Target="media/image5.emf"/><Relationship Id="rId38" Type="http://schemas.openxmlformats.org/officeDocument/2006/relationships/header" Target="header10.xml"/><Relationship Id="rId46" Type="http://schemas.openxmlformats.org/officeDocument/2006/relationships/footer" Target="footer1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footer" Target="footer4.xml"/><Relationship Id="rId29" Type="http://schemas.openxmlformats.org/officeDocument/2006/relationships/header" Target="header9.xml"/><Relationship Id="rId41" Type="http://schemas.openxmlformats.org/officeDocument/2006/relationships/footer" Target="footer11.xml"/><Relationship Id="rId54" Type="http://schemas.openxmlformats.org/officeDocument/2006/relationships/header" Target="header18.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24" Type="http://schemas.openxmlformats.org/officeDocument/2006/relationships/image" Target="media/image2.emf"/><Relationship Id="rId32" Type="http://schemas.openxmlformats.org/officeDocument/2006/relationships/image" Target="media/image4.png"/><Relationship Id="rId37" Type="http://schemas.openxmlformats.org/officeDocument/2006/relationships/image" Target="media/image9.emf"/><Relationship Id="rId40" Type="http://schemas.openxmlformats.org/officeDocument/2006/relationships/footer" Target="footer10.xml"/><Relationship Id="rId45" Type="http://schemas.openxmlformats.org/officeDocument/2006/relationships/header" Target="header14.xml"/><Relationship Id="rId53" Type="http://schemas.openxmlformats.org/officeDocument/2006/relationships/footer" Target="footer17.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footer" Target="footer6.xml"/><Relationship Id="rId28" Type="http://schemas.openxmlformats.org/officeDocument/2006/relationships/footer" Target="footer8.xml"/><Relationship Id="rId36" Type="http://schemas.openxmlformats.org/officeDocument/2006/relationships/image" Target="media/image8.emf"/><Relationship Id="rId49" Type="http://schemas.openxmlformats.org/officeDocument/2006/relationships/footer" Target="footer15.xml"/><Relationship Id="rId57"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eader" Target="header5.xml"/><Relationship Id="rId31" Type="http://schemas.openxmlformats.org/officeDocument/2006/relationships/image" Target="media/image3.emf"/><Relationship Id="rId44" Type="http://schemas.openxmlformats.org/officeDocument/2006/relationships/header" Target="header13.xml"/><Relationship Id="rId52" Type="http://schemas.openxmlformats.org/officeDocument/2006/relationships/footer" Target="footer16.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eader" Target="header6.xml"/><Relationship Id="rId27" Type="http://schemas.openxmlformats.org/officeDocument/2006/relationships/footer" Target="footer7.xml"/><Relationship Id="rId30" Type="http://schemas.openxmlformats.org/officeDocument/2006/relationships/footer" Target="footer9.xml"/><Relationship Id="rId35" Type="http://schemas.openxmlformats.org/officeDocument/2006/relationships/image" Target="media/image7.emf"/><Relationship Id="rId43" Type="http://schemas.openxmlformats.org/officeDocument/2006/relationships/footer" Target="footer12.xml"/><Relationship Id="rId48" Type="http://schemas.openxmlformats.org/officeDocument/2006/relationships/header" Target="header15.xml"/><Relationship Id="rId56" Type="http://schemas.openxmlformats.org/officeDocument/2006/relationships/fontTable" Target="fontTable.xml"/><Relationship Id="rId8" Type="http://schemas.openxmlformats.org/officeDocument/2006/relationships/webSettings" Target="webSettings.xml"/><Relationship Id="rId51" Type="http://schemas.openxmlformats.org/officeDocument/2006/relationships/header" Target="header17.xml"/><Relationship Id="rId3" Type="http://schemas.openxmlformats.org/officeDocument/2006/relationships/customXml" Target="../customXml/item3.xml"/></Relationships>
</file>

<file path=word/_rels/footnotes.xml.rels><?xml version='1.0' encoding='UTF-8' standalone='yes'?>
<Relationships xmlns="http://schemas.openxmlformats.org/package/2006/relationships"><Relationship Id="rId13" Type="http://schemas.openxmlformats.org/officeDocument/2006/relationships/hyperlink" Target="https://eur-lex.europa.eu/legal-content/RO/TXT/?uri=CELEX%3A32020R0852" TargetMode="External"/><Relationship Id="rId18" Type="http://schemas.openxmlformats.org/officeDocument/2006/relationships/hyperlink" Target="https://climate.ec.europa.eu/news-your-voice/news/revised-2023-auction-calendar-published-2023-06-21_en" TargetMode="External"/><Relationship Id="rId26" Type="http://schemas.openxmlformats.org/officeDocument/2006/relationships/hyperlink" Target="https://eur-lex.europa.eu/eli/reg/2023/956/oj" TargetMode="External"/><Relationship Id="rId39" Type="http://schemas.openxmlformats.org/officeDocument/2006/relationships/hyperlink" Target="https://eur-lex.europa.eu/legal-content/RO/TXT/?uri=CELEX%3A02019R1122-20231230" TargetMode="External"/><Relationship Id="rId21" Type="http://schemas.openxmlformats.org/officeDocument/2006/relationships/hyperlink" Target="https://eur-lex.europa.eu/legal-content/RO/TXT/?toc=OJ%3AL%3A2019%3A120%3AFULL&amp;uri=uriserv%3AOJ.L_.2019.120.01.0020.01.RON" TargetMode="External"/><Relationship Id="rId34" Type="http://schemas.openxmlformats.org/officeDocument/2006/relationships/hyperlink" Target="https://eur-lex.europa.eu/legal-content/RO/TXT/?uri=CELEX%3A32014R0596" TargetMode="External"/><Relationship Id="rId42" Type="http://schemas.openxmlformats.org/officeDocument/2006/relationships/hyperlink" Target="https://eur-lex.europa.eu/legal-content/RO/TXT/?uri=OJ:L_202400791" TargetMode="External"/><Relationship Id="rId47" Type="http://schemas.openxmlformats.org/officeDocument/2006/relationships/hyperlink" Target="https://ec.europa.eu/eurostat/web/products-eurostat-news/w/ddn-20240627-1" TargetMode="External"/><Relationship Id="rId50" Type="http://schemas.openxmlformats.org/officeDocument/2006/relationships/hyperlink" Target="https://eur-lex.europa.eu/legal-content/RO/TXT/?toc=OJ:L:2018:328:TOC&amp;uri=uriserv:OJ.L_.2018.328.01.0001.01.RON" TargetMode="External"/><Relationship Id="rId55" Type="http://schemas.openxmlformats.org/officeDocument/2006/relationships/hyperlink" Target="https://eur-lex.europa.eu/legal-content/RO/TXT/?uri=CELEX%3A52020XC0925%2801%29" TargetMode="External"/><Relationship Id="rId63" Type="http://schemas.openxmlformats.org/officeDocument/2006/relationships/hyperlink" Target="https://eur-lex.europa.eu/legal-content/RO/TXT/?uri=CELEX:32013D0377" TargetMode="External"/><Relationship Id="rId68" Type="http://schemas.openxmlformats.org/officeDocument/2006/relationships/hyperlink" Target="https://eur-lex.europa.eu/legal-content/RO/TXT/?uri=celex%3A32023D0136" TargetMode="External"/><Relationship Id="rId76" Type="http://schemas.openxmlformats.org/officeDocument/2006/relationships/hyperlink" Target="https://eur-lex.europa.eu/legal-content/RO/TXT/?toc=OJ:L:2018:334:TOC&amp;uri=uriserv:OJ.L_.2018.334.01.0094.01.RON" TargetMode="External"/><Relationship Id="rId7" Type="http://schemas.openxmlformats.org/officeDocument/2006/relationships/hyperlink" Target="https://eur-lex.europa.eu/legal-content/RO/TXT/?uri=OJ:L_202302122" TargetMode="External"/><Relationship Id="rId71" Type="http://schemas.openxmlformats.org/officeDocument/2006/relationships/hyperlink" Target="https://climate.ec.europa.eu/news-your-voice/news/publication-2022-emissions-data-aviation-2024-03-08_en" TargetMode="External"/><Relationship Id="rId2" Type="http://schemas.openxmlformats.org/officeDocument/2006/relationships/hyperlink" Target="https://commission.europa.eu/business-economy-euro/economic-recovery/recovery-and-resilience-facility_ro" TargetMode="External"/><Relationship Id="rId16" Type="http://schemas.openxmlformats.org/officeDocument/2006/relationships/hyperlink" Target="https://eur-lex.europa.eu/legal-content/RO/TXT/?uri=celex%3A32010R1031" TargetMode="External"/><Relationship Id="rId29" Type="http://schemas.openxmlformats.org/officeDocument/2006/relationships/hyperlink" Target="https://eur-lex.europa.eu/legal-content/RO/TXT/?uri=CELEX%3A52024XC03415" TargetMode="External"/><Relationship Id="rId11" Type="http://schemas.openxmlformats.org/officeDocument/2006/relationships/hyperlink" Target="https://eur-lex.europa.eu/legal-content/RO/TXT/?uri=CELEX%3A02023R0955-20240630" TargetMode="External"/><Relationship Id="rId24" Type="http://schemas.openxmlformats.org/officeDocument/2006/relationships/hyperlink" Target="https://eur-lex.europa.eu/legal-content/RO/ALL/?uri=CELEX:32024R0873" TargetMode="External"/><Relationship Id="rId32" Type="http://schemas.openxmlformats.org/officeDocument/2006/relationships/hyperlink" Target="https://eur-lex.europa.eu/legal-content/RO/TXT/?uri=CELEX%3A02014L0065-20240328" TargetMode="External"/><Relationship Id="rId37" Type="http://schemas.openxmlformats.org/officeDocument/2006/relationships/hyperlink" Target="https://www.esma.europa.eu/document/market-report-eu-carbon-markets-2024" TargetMode="External"/><Relationship Id="rId40" Type="http://schemas.openxmlformats.org/officeDocument/2006/relationships/hyperlink" Target="https://eur-lex.europa.eu/legal-content/RO/TXT/?uri=OJ:L_202400790" TargetMode="External"/><Relationship Id="rId45" Type="http://schemas.openxmlformats.org/officeDocument/2006/relationships/hyperlink" Target="https://eur-lex.europa.eu/legal-content/RO/TXT/?uri=CELEX%3A02012R0648-20220812" TargetMode="External"/><Relationship Id="rId53" Type="http://schemas.openxmlformats.org/officeDocument/2006/relationships/hyperlink" Target="https://climate.ec.europa.eu/news-your-voice/news/adopted-new-templates-member-states-climate-reporting-2024-05-07_en" TargetMode="External"/><Relationship Id="rId58" Type="http://schemas.openxmlformats.org/officeDocument/2006/relationships/hyperlink" Target="https://dashboard.tech.ec.europa.eu/qs_digit_dashboard_mt/public/sense/app/6e4815c8-1f4c-4664-b9ca-8454f77d758d/sheet/bac47ac8-b5c7-4cd1-87ad-9f8d6d238eae/state/analysis" TargetMode="External"/><Relationship Id="rId66" Type="http://schemas.openxmlformats.org/officeDocument/2006/relationships/hyperlink" Target="https://www.eurocontrol.int/sites/default/files/2023-06/eurocontrol-european-aviation-overview-20230602.pdf" TargetMode="External"/><Relationship Id="rId74" Type="http://schemas.openxmlformats.org/officeDocument/2006/relationships/hyperlink" Target="https://eur-lex.europa.eu/legal-content/RO/TXT/?uri=CELEX%3A02015R0757-20240101" TargetMode="External"/><Relationship Id="rId79" Type="http://schemas.openxmlformats.org/officeDocument/2006/relationships/hyperlink" Target="https://wikis.ec.europa.eu/display/UDBBIS" TargetMode="External"/><Relationship Id="rId5" Type="http://schemas.openxmlformats.org/officeDocument/2006/relationships/hyperlink" Target="https://eur-lex.europa.eu/legal-content/RO/TXT/?uri=CELEX%3A02003L0087-20240301" TargetMode="External"/><Relationship Id="rId61" Type="http://schemas.openxmlformats.org/officeDocument/2006/relationships/hyperlink" Target="https://eur-lex.europa.eu/legal-content/RO/ALL/?uri=CELEX%3A32020R1001" TargetMode="External"/><Relationship Id="rId82" Type="http://schemas.openxmlformats.org/officeDocument/2006/relationships/hyperlink" Target="https://eur-lex.europa.eu/legal-content/RO/TXT/?uri=CELEX%3A22017A1207%2801%29" TargetMode="External"/><Relationship Id="rId10" Type="http://schemas.openxmlformats.org/officeDocument/2006/relationships/hyperlink" Target="https://climate.ec.europa.eu/eu-action/eu-emissions-trading-system-eu-ets/ets2-buildings-road-transport-and-additional-sectors_en" TargetMode="External"/><Relationship Id="rId19" Type="http://schemas.openxmlformats.org/officeDocument/2006/relationships/hyperlink" Target="https://www.eex.com/en/market-data/environmentals/eu-ets-auctions" TargetMode="External"/><Relationship Id="rId31" Type="http://schemas.openxmlformats.org/officeDocument/2006/relationships/hyperlink" Target="https://eur-lex.europa.eu/legal-content/RO/TXT/?uri=celex%3A32014L0065" TargetMode="External"/><Relationship Id="rId44" Type="http://schemas.openxmlformats.org/officeDocument/2006/relationships/hyperlink" Target="https://eur-lex.europa.eu/legal-content/RO/TXT/?uri=CELEX%3A32012R0648" TargetMode="External"/><Relationship Id="rId52" Type="http://schemas.openxmlformats.org/officeDocument/2006/relationships/hyperlink" Target="https://climate.ec.europa.eu/news-your-voice/news/adopted-new-templates-member-states-climate-reporting-2024-05-07_en" TargetMode="External"/><Relationship Id="rId60" Type="http://schemas.openxmlformats.org/officeDocument/2006/relationships/hyperlink" Target="https://climate.ec.europa.eu/document/download/dd3c417c-fc64-4e25-82c0-49af24383334_en?filename=c_2024_4190_en.pdf" TargetMode="External"/><Relationship Id="rId65" Type="http://schemas.openxmlformats.org/officeDocument/2006/relationships/hyperlink" Target="https://www.bafu.admin.ch/bafu/en/home/topics/climate/info-specialists/reduction-measures/ets/aviation.html" TargetMode="External"/><Relationship Id="rId73" Type="http://schemas.openxmlformats.org/officeDocument/2006/relationships/hyperlink" Target="https://climate.ec.europa.eu/news-your-voice/news/new-monitoring-rules-agreed-eu-ets-including-non-co2-emissions-aviation-sector-2024-08-30_en" TargetMode="External"/><Relationship Id="rId78" Type="http://schemas.openxmlformats.org/officeDocument/2006/relationships/hyperlink" Target="https://eur-lex.europa.eu/legal-content/RO/TXT/?uri=OJ:L_202302122" TargetMode="External"/><Relationship Id="rId81" Type="http://schemas.openxmlformats.org/officeDocument/2006/relationships/hyperlink" Target="https://eur-lex.europa.eu/legal-content/RO/TXT/?uri=OJ%3AJOL_2023_231_R_0001" TargetMode="External"/><Relationship Id="rId4" Type="http://schemas.openxmlformats.org/officeDocument/2006/relationships/hyperlink" Target="https://eur-lex.europa.eu/legal-content/RO/TXT/?uri=CELEX:32021R1119" TargetMode="External"/><Relationship Id="rId9" Type="http://schemas.openxmlformats.org/officeDocument/2006/relationships/hyperlink" Target="https://climate.ec.europa.eu/eu-action/eu-emissions-trading-system-eu-ets/ets2-buildings-road-transport-and-additional-sectors_en" TargetMode="External"/><Relationship Id="rId14" Type="http://schemas.openxmlformats.org/officeDocument/2006/relationships/hyperlink" Target="https://climate.ec.europa.eu/eu-action/eu-emissions-trading-system-eu-ets/social-climate-fund/consultation-application-dnsh-principle-under-social-climate-fund_en" TargetMode="External"/><Relationship Id="rId22" Type="http://schemas.openxmlformats.org/officeDocument/2006/relationships/hyperlink" Target="https://eur-lex.europa.eu/eli/reg_impl/2021/447" TargetMode="External"/><Relationship Id="rId27" Type="http://schemas.openxmlformats.org/officeDocument/2006/relationships/hyperlink" Target="https://data.europa.eu/doi/10.2760/359533" TargetMode="External"/><Relationship Id="rId30" Type="http://schemas.openxmlformats.org/officeDocument/2006/relationships/hyperlink" Target="https://climate.ec.europa.eu/news-your-voice/news/notification-germany-voluntary-cancellation-plants-closed-2022-2024-05-02_en" TargetMode="External"/><Relationship Id="rId35" Type="http://schemas.openxmlformats.org/officeDocument/2006/relationships/hyperlink" Target="https://eur-lex.europa.eu/legal-content/RO/TXT/?uri=CELEX%3A02014R0596-20240109" TargetMode="External"/><Relationship Id="rId43" Type="http://schemas.openxmlformats.org/officeDocument/2006/relationships/hyperlink" Target="https://eur-lex.europa.eu/legal-content/RO/TXT/?uri=CELEX%3A02014R0600-20240328" TargetMode="External"/><Relationship Id="rId48" Type="http://schemas.openxmlformats.org/officeDocument/2006/relationships/hyperlink" Target="https://energy.ec.europa.eu/publications/state-energy-union-report-2024_en" TargetMode="External"/><Relationship Id="rId56" Type="http://schemas.openxmlformats.org/officeDocument/2006/relationships/hyperlink" Target="https://eur-lex.europa.eu/legal-content/RO/TXT/?uri=CELEX%3A52022DC0416" TargetMode="External"/><Relationship Id="rId64" Type="http://schemas.openxmlformats.org/officeDocument/2006/relationships/hyperlink" Target="https://eur-lex.europa.eu/legal-content/RO/TXT/?uri=CELEX%3A32023L0958" TargetMode="External"/><Relationship Id="rId69" Type="http://schemas.openxmlformats.org/officeDocument/2006/relationships/hyperlink" Target="https://eur-lex.europa.eu/legal-content/RO/TXT/?uri=celex%3A32024R0622" TargetMode="External"/><Relationship Id="rId77" Type="http://schemas.openxmlformats.org/officeDocument/2006/relationships/hyperlink" Target="https://eur-lex.europa.eu/legal-content/RO/TXT/PDF/?uri=CELEX:02018R2067-20210101" TargetMode="External"/><Relationship Id="rId8" Type="http://schemas.openxmlformats.org/officeDocument/2006/relationships/hyperlink" Target="https://eur-lex.europa.eu/legal-content/RO/TXT/?uri=CELEX%3A02018R2066-20240701" TargetMode="External"/><Relationship Id="rId51" Type="http://schemas.openxmlformats.org/officeDocument/2006/relationships/hyperlink" Target="https://reportnet.europa.eu/public/dataflow/1226" TargetMode="External"/><Relationship Id="rId72" Type="http://schemas.openxmlformats.org/officeDocument/2006/relationships/hyperlink" Target="https://data.consilium.europa.eu/doc/document/ST-8344-2023-ADD-1/ro/pdf" TargetMode="External"/><Relationship Id="rId80" Type="http://schemas.openxmlformats.org/officeDocument/2006/relationships/hyperlink" Target="https://climate.ec.europa.eu/eu-action/eu-emissions-trading-system-eu-ets/monitoring-reporting-and-verification-eu-ets-emissions_en" TargetMode="External"/><Relationship Id="rId3" Type="http://schemas.openxmlformats.org/officeDocument/2006/relationships/hyperlink" Target="https://commission.europa.eu/strategy-and-policy/priorities-2019-2024/european-green-deal/repowereu-affordable-secure-and-sustainable-energy-europe_en" TargetMode="External"/><Relationship Id="rId12" Type="http://schemas.openxmlformats.org/officeDocument/2006/relationships/hyperlink" Target="https://climate.ec.europa.eu/eu-action/eu-emissions-trading-system-eu-ets/social-climate-fund_en" TargetMode="External"/><Relationship Id="rId17" Type="http://schemas.openxmlformats.org/officeDocument/2006/relationships/hyperlink" Target="https://eur-lex.europa.eu/eli/reg/2023/435/oj" TargetMode="External"/><Relationship Id="rId25" Type="http://schemas.openxmlformats.org/officeDocument/2006/relationships/hyperlink" Target="https://eur-lex.europa.eu/legal-content/RO/TXT/?uri=CELEX%3A02019R0331-20240101" TargetMode="External"/><Relationship Id="rId33" Type="http://schemas.openxmlformats.org/officeDocument/2006/relationships/hyperlink" Target="https://www.esma.europa.eu/sites/default/files/mar.pdf" TargetMode="External"/><Relationship Id="rId38" Type="http://schemas.openxmlformats.org/officeDocument/2006/relationships/hyperlink" Target="https://eur-lex.europa.eu/legal-content/RO/TXT/?uri=CELEX:32019R1122" TargetMode="External"/><Relationship Id="rId46" Type="http://schemas.openxmlformats.org/officeDocument/2006/relationships/hyperlink" Target="https://www.esma.europa.eu/document/consultation-paper-amendments-certain-technical-standards-commodity-derivatives" TargetMode="External"/><Relationship Id="rId59" Type="http://schemas.openxmlformats.org/officeDocument/2006/relationships/hyperlink" Target="https://eur-lex.europa.eu/eli/reg/2024/795/oj" TargetMode="External"/><Relationship Id="rId67" Type="http://schemas.openxmlformats.org/officeDocument/2006/relationships/hyperlink" Target="https://eur-lex.europa.eu/legal-content/RO/TXT/?uri=celex%3A32023L0958" TargetMode="External"/><Relationship Id="rId20" Type="http://schemas.openxmlformats.org/officeDocument/2006/relationships/hyperlink" Target="https://climate.ec.europa.eu/eu-action/eu-emissions-trading-system-eu-ets/auctioning_en" TargetMode="External"/><Relationship Id="rId41" Type="http://schemas.openxmlformats.org/officeDocument/2006/relationships/hyperlink" Target="https://eur-lex.europa.eu/legal-content/RO/TXT/?uri=CELEX%3A02014L0065-20240328" TargetMode="External"/><Relationship Id="rId54" Type="http://schemas.openxmlformats.org/officeDocument/2006/relationships/hyperlink" Target="https://climate-energy.eea.europa.eu/topics/climate-finance/use-of-ets-auctioning-revenues/good_practices" TargetMode="External"/><Relationship Id="rId62" Type="http://schemas.openxmlformats.org/officeDocument/2006/relationships/hyperlink" Target="https://eur-lex.europa.eu/legal-content/RO/TXT/?uri=OJ%3AJOC_2022_195_R_0002" TargetMode="External"/><Relationship Id="rId70" Type="http://schemas.openxmlformats.org/officeDocument/2006/relationships/hyperlink" Target="https://eur-lex.europa.eu/legal-content/RO/TXT/?uri=CELEX%3A32024R1879&amp;qid=1722504757152" TargetMode="External"/><Relationship Id="rId75" Type="http://schemas.openxmlformats.org/officeDocument/2006/relationships/hyperlink" Target="https://climate.ec.europa.eu/eu-action/transport/reducing-emissions-shipping-sector_en" TargetMode="External"/><Relationship Id="rId1" Type="http://schemas.openxmlformats.org/officeDocument/2006/relationships/hyperlink" Target="https://www.eea.europa.eu/data-and-maps/dashboards/emissions-trading-viewer-1" TargetMode="External"/><Relationship Id="rId6" Type="http://schemas.openxmlformats.org/officeDocument/2006/relationships/hyperlink" Target="https://eur-lex.europa.eu/legal-content/RO/TXT/?uri=CELEX%3A02018R0842-20230516" TargetMode="External"/><Relationship Id="rId15" Type="http://schemas.openxmlformats.org/officeDocument/2006/relationships/hyperlink" Target="https://eur-lex.europa.eu/legal-content/RO/TXT/?uri=CELEX%3A02023D1575-20230731" TargetMode="External"/><Relationship Id="rId23" Type="http://schemas.openxmlformats.org/officeDocument/2006/relationships/hyperlink" Target="https://eur-lex.europa.eu/legal-content/RO/TXT/?uri=CELEX%3A02019R1842-20220619" TargetMode="External"/><Relationship Id="rId28" Type="http://schemas.openxmlformats.org/officeDocument/2006/relationships/hyperlink" Target="https://data.europa.eu/doi/10.2760/744837" TargetMode="External"/><Relationship Id="rId36" Type="http://schemas.openxmlformats.org/officeDocument/2006/relationships/hyperlink" Target="https://www.esma.europa.eu/sites/default/files/2024-10/ESMA50-43599798-10379_Carbon_markets_report_2024.pdf" TargetMode="External"/><Relationship Id="rId49" Type="http://schemas.openxmlformats.org/officeDocument/2006/relationships/hyperlink" Target="https://ember-climate.org/insights/research/eu-wind-and-solar-overtake-fossil-fuels/" TargetMode="External"/><Relationship Id="rId57" Type="http://schemas.openxmlformats.org/officeDocument/2006/relationships/hyperlink" Target="https://cinea.ec.europa.eu/news-events/news/16-grants-eus-innovation-fund-awarded-projects-across-europe-2023-06-06_e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EC Document" ma:contentTypeID="0x0101008B9D831894C8B1499FBAEF2F1AA460BE003253F1546890064BAC12A2CD1C71CFAE" ma:contentTypeVersion="38" ma:contentTypeDescription="Create a new document in this library." ma:contentTypeScope="" ma:versionID="3af83d104acfc75d8a3dc066037ce305">
  <xsd:schema xmlns:xsd="http://www.w3.org/2001/XMLSchema" xmlns:xs="http://www.w3.org/2001/XMLSchema" xmlns:p="http://schemas.microsoft.com/office/2006/metadata/properties" xmlns:ns1="http://schemas.microsoft.com/sharepoint/v3" xmlns:ns2="http://schemas.microsoft.com/sharepoint/v3/fields" xmlns:ns3="e1a78ac4-7176-4dde-ad25-36245d50a152" xmlns:ns4="e454a234-126e-4e9d-9424-56879817f6db" xmlns:ns5="http://schemas.microsoft.com/sharepoint/v4" targetNamespace="http://schemas.microsoft.com/office/2006/metadata/properties" ma:root="true" ma:fieldsID="8f6e71355f392963ce8a89e379f68ce1" ns1:_="" ns2:_="" ns3:_="" ns4:_="" ns5:_="">
    <xsd:import namespace="http://schemas.microsoft.com/sharepoint/v3"/>
    <xsd:import namespace="http://schemas.microsoft.com/sharepoint/v3/fields"/>
    <xsd:import namespace="e1a78ac4-7176-4dde-ad25-36245d50a152"/>
    <xsd:import namespace="e454a234-126e-4e9d-9424-56879817f6db"/>
    <xsd:import namespace="http://schemas.microsoft.com/sharepoint/v4"/>
    <xsd:element name="properties">
      <xsd:complexType>
        <xsd:sequence>
          <xsd:element name="documentManagement">
            <xsd:complexType>
              <xsd:all>
                <xsd:element ref="ns3:EC_Collab_Reference" minOccurs="0"/>
                <xsd:element ref="ns2:_Status" minOccurs="0"/>
                <xsd:element ref="ns3:EC_Collab_DocumentLanguage"/>
                <xsd:element ref="ns3:EC_Collab_Status"/>
                <xsd:element ref="ns2:_DCDateModified" minOccurs="0"/>
                <xsd:element ref="ns3:SharedWithUsers" minOccurs="0"/>
                <xsd:element ref="ns3:SharedWithDetails" minOccurs="0"/>
                <xsd:element ref="ns4:MediaServiceMetadata" minOccurs="0"/>
                <xsd:element ref="ns4:MediaServiceFastMetadata" minOccurs="0"/>
                <xsd:element ref="ns4:MediaServiceObjectDetectorVersions" minOccurs="0"/>
                <xsd:element ref="ns4:MediaServiceSearchProperties" minOccurs="0"/>
                <xsd:element ref="ns4:lcf76f155ced4ddcb4097134ff3c332f" minOccurs="0"/>
                <xsd:element ref="ns3:TaxCatchAll" minOccurs="0"/>
                <xsd:element ref="ns4:MediaServiceOCR" minOccurs="0"/>
                <xsd:element ref="ns4:MediaServiceGenerationTime" minOccurs="0"/>
                <xsd:element ref="ns4:MediaServiceEventHashCode" minOccurs="0"/>
                <xsd:element ref="ns4:MediaServiceDateTaken" minOccurs="0"/>
                <xsd:element ref="ns4:MediaLengthInSeconds" minOccurs="0"/>
                <xsd:element ref="ns4:Person" minOccurs="0"/>
                <xsd:element ref="ns4:Time" minOccurs="0"/>
                <xsd:element ref="ns4:MediaServiceLocation" minOccurs="0"/>
                <xsd:element ref="ns3:EC_ARES_NUMBER" minOccurs="0"/>
                <xsd:element ref="ns3:EC_ARES_DATE_TRANSFERRED" minOccurs="0"/>
                <xsd:element ref="ns3:EC_ARES_TRANSFERRED_BY" minOccurs="0"/>
                <xsd:element ref="ns5:IconOverlay" minOccurs="0"/>
                <xsd:element ref="ns1:_vti_ItemDeclaredRecord" minOccurs="0"/>
                <xsd:element ref="ns1:_vti_ItemHoldRecord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vti_ItemDeclaredRecord" ma:index="38" nillable="true" ma:displayName="Declared Record" ma:hidden="true" ma:internalName="_vti_ItemDeclaredRecord" ma:readOnly="true">
      <xsd:simpleType>
        <xsd:restriction base="dms:DateTime"/>
      </xsd:simpleType>
    </xsd:element>
    <xsd:element name="_vti_ItemHoldRecordStatus" ma:index="39" nillable="true" ma:displayName="Hold and Record Status" ma:decimals="0" ma:hidden="true" ma:internalName="_vti_ItemHoldRecordStatu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Status" ma:index="13" nillable="true" ma:displayName="Status" ma:default="Not Started" ma:hidden="true" ma:internalName="_Status" ma:readOnly="false">
      <xsd:simpleType>
        <xsd:union memberTypes="dms:Text">
          <xsd:simpleType>
            <xsd:restriction base="dms:Choice">
              <xsd:enumeration value="Not Started"/>
              <xsd:enumeration value="Draft"/>
              <xsd:enumeration value="Reviewed"/>
              <xsd:enumeration value="Scheduled"/>
              <xsd:enumeration value="Published"/>
              <xsd:enumeration value="Final"/>
              <xsd:enumeration value="Expired"/>
            </xsd:restriction>
          </xsd:simpleType>
        </xsd:union>
      </xsd:simpleType>
    </xsd:element>
    <xsd:element name="_DCDateModified" ma:index="16" nillable="true" ma:displayName="Date Modified" ma:description="The date on which this resource was last modified" ma:format="DateTime" ma:internalName="_DCDateModified" ma:readOnly="fals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e1a78ac4-7176-4dde-ad25-36245d50a152" elementFormDefault="qualified">
    <xsd:import namespace="http://schemas.microsoft.com/office/2006/documentManagement/types"/>
    <xsd:import namespace="http://schemas.microsoft.com/office/infopath/2007/PartnerControls"/>
    <xsd:element name="EC_Collab_Reference" ma:index="12" nillable="true" ma:displayName="Reference" ma:internalName="EC_Collab_Reference" ma:readOnly="false">
      <xsd:simpleType>
        <xsd:restriction base="dms:Text"/>
      </xsd:simpleType>
    </xsd:element>
    <xsd:element name="EC_Collab_DocumentLanguage" ma:index="14" ma:displayName="Language" ma:default="EN" ma:format="Dropdown" ma:internalName="EC_Collab_DocumentLanguage" ma:readOnly="false">
      <xsd:simpleType>
        <xsd:restriction base="dms:Choice">
          <xsd:enumeration value="BG"/>
          <xsd:enumeration value="ES"/>
          <xsd:enumeration value="CS"/>
          <xsd:enumeration value="DA"/>
          <xsd:enumeration value="DE"/>
          <xsd:enumeration value="ET"/>
          <xsd:enumeration value="EL"/>
          <xsd:enumeration value="EN"/>
          <xsd:enumeration value="FR"/>
          <xsd:enumeration value="GA"/>
          <xsd:enumeration value="IT"/>
          <xsd:enumeration value="LT"/>
          <xsd:enumeration value="LV"/>
          <xsd:enumeration value="HU"/>
          <xsd:enumeration value="MT"/>
          <xsd:enumeration value="NL"/>
          <xsd:enumeration value="PL"/>
          <xsd:enumeration value="PT"/>
          <xsd:enumeration value="RO"/>
          <xsd:enumeration value="SK"/>
          <xsd:enumeration value="SL"/>
          <xsd:enumeration value="FI"/>
          <xsd:enumeration value="SV"/>
          <xsd:enumeration value="HR"/>
          <xsd:enumeration value="MK"/>
          <xsd:enumeration value="TR"/>
          <xsd:enumeration value="EU"/>
          <xsd:enumeration value="CA"/>
          <xsd:enumeration value="GL"/>
          <xsd:enumeration value="AB"/>
          <xsd:enumeration value="AA"/>
          <xsd:enumeration value="AF"/>
          <xsd:enumeration value="AK"/>
          <xsd:enumeration value="SQ"/>
          <xsd:enumeration value="AM"/>
          <xsd:enumeration value="AR"/>
          <xsd:enumeration value="AN"/>
          <xsd:enumeration value="HY"/>
          <xsd:enumeration value="AS"/>
          <xsd:enumeration value="AV"/>
          <xsd:enumeration value="AE"/>
          <xsd:enumeration value="AY"/>
          <xsd:enumeration value="AZ"/>
          <xsd:enumeration value="BM"/>
          <xsd:enumeration value="BA"/>
          <xsd:enumeration value="BE"/>
          <xsd:enumeration value="BN"/>
          <xsd:enumeration value="BH"/>
          <xsd:enumeration value="BI"/>
          <xsd:enumeration value="NB"/>
          <xsd:enumeration value="BS"/>
          <xsd:enumeration value="BR"/>
          <xsd:enumeration value="MY"/>
          <xsd:enumeration value="KM"/>
          <xsd:enumeration value="CH"/>
          <xsd:enumeration value="CE"/>
          <xsd:enumeration value="NY"/>
          <xsd:enumeration value="ZH"/>
          <xsd:enumeration value="CU"/>
          <xsd:enumeration value="CV"/>
          <xsd:enumeration value="KW"/>
          <xsd:enumeration value="CO"/>
          <xsd:enumeration value="CR"/>
          <xsd:enumeration value="DV"/>
          <xsd:enumeration value="DZ"/>
          <xsd:enumeration value="EO"/>
          <xsd:enumeration value="EE"/>
          <xsd:enumeration value="FO"/>
          <xsd:enumeration value="FJ"/>
          <xsd:enumeration value="FF"/>
          <xsd:enumeration value="GD"/>
          <xsd:enumeration value="LG"/>
          <xsd:enumeration value="KA"/>
          <xsd:enumeration value="GN"/>
          <xsd:enumeration value="GU"/>
          <xsd:enumeration value="HT"/>
          <xsd:enumeration value="HA"/>
          <xsd:enumeration value="HE"/>
          <xsd:enumeration value="HZ"/>
          <xsd:enumeration value="HI"/>
          <xsd:enumeration value="HO"/>
          <xsd:enumeration value="IS"/>
          <xsd:enumeration value="IO"/>
          <xsd:enumeration value="IG"/>
          <xsd:enumeration value="ID"/>
          <xsd:enumeration value="IA"/>
          <xsd:enumeration value="IE"/>
          <xsd:enumeration value="IU"/>
          <xsd:enumeration value="IK"/>
          <xsd:enumeration value="JA"/>
          <xsd:enumeration value="JV"/>
          <xsd:enumeration value="KL"/>
          <xsd:enumeration value="KN"/>
          <xsd:enumeration value="KR"/>
          <xsd:enumeration value="KS"/>
          <xsd:enumeration value="KK"/>
          <xsd:enumeration value="KI"/>
          <xsd:enumeration value="RW"/>
          <xsd:enumeration value="KY"/>
          <xsd:enumeration value="KV"/>
          <xsd:enumeration value="KG"/>
          <xsd:enumeration value="KO"/>
          <xsd:enumeration value="KJ"/>
          <xsd:enumeration value="KU"/>
          <xsd:enumeration value="LO"/>
          <xsd:enumeration value="LA"/>
          <xsd:enumeration value="LI"/>
          <xsd:enumeration value="LN"/>
          <xsd:enumeration value="LU"/>
          <xsd:enumeration value="LB"/>
          <xsd:enumeration value="MG"/>
          <xsd:enumeration value="MS"/>
          <xsd:enumeration value="ML"/>
          <xsd:enumeration value="GV"/>
          <xsd:enumeration value="MI"/>
          <xsd:enumeration value="MR"/>
          <xsd:enumeration value="MH"/>
          <xsd:enumeration value="MN"/>
          <xsd:enumeration value="NA"/>
          <xsd:enumeration value="NV"/>
          <xsd:enumeration value="ND"/>
          <xsd:enumeration value="NR"/>
          <xsd:enumeration value="NG"/>
          <xsd:enumeration value="NE"/>
          <xsd:enumeration value="SE"/>
          <xsd:enumeration value="NO"/>
          <xsd:enumeration value="NN"/>
          <xsd:enumeration value="OC"/>
          <xsd:enumeration value="OJ"/>
          <xsd:enumeration value="OR"/>
          <xsd:enumeration value="OM"/>
          <xsd:enumeration value="OS"/>
          <xsd:enumeration value="PI"/>
          <xsd:enumeration value="PA"/>
          <xsd:enumeration value="FA"/>
          <xsd:enumeration value="PS"/>
          <xsd:enumeration value="QU"/>
          <xsd:enumeration value="RM"/>
          <xsd:enumeration value="RN"/>
          <xsd:enumeration value="RU"/>
          <xsd:enumeration value="SM"/>
          <xsd:enumeration value="SG"/>
          <xsd:enumeration value="SA"/>
          <xsd:enumeration value="SC"/>
          <xsd:enumeration value="SR"/>
          <xsd:enumeration value="SN"/>
          <xsd:enumeration value="II"/>
          <xsd:enumeration value="SD"/>
          <xsd:enumeration value="SI"/>
          <xsd:enumeration value="SO"/>
          <xsd:enumeration value="ST"/>
          <xsd:enumeration value="SU"/>
          <xsd:enumeration value="SW"/>
          <xsd:enumeration value="SS"/>
          <xsd:enumeration value="TL"/>
          <xsd:enumeration value="TY"/>
          <xsd:enumeration value="TG"/>
          <xsd:enumeration value="TA"/>
          <xsd:enumeration value="TT"/>
          <xsd:enumeration value="TE"/>
          <xsd:enumeration value="TH"/>
          <xsd:enumeration value="BO"/>
          <xsd:enumeration value="TI"/>
          <xsd:enumeration value="TO"/>
          <xsd:enumeration value="TS"/>
          <xsd:enumeration value="TN"/>
          <xsd:enumeration value="TK"/>
          <xsd:enumeration value="TW"/>
          <xsd:enumeration value="UG"/>
          <xsd:enumeration value="UK"/>
          <xsd:enumeration value="UR"/>
          <xsd:enumeration value="UZ"/>
          <xsd:enumeration value="VE"/>
          <xsd:enumeration value="VI"/>
          <xsd:enumeration value="VO"/>
          <xsd:enumeration value="WA"/>
          <xsd:enumeration value="CY"/>
          <xsd:enumeration value="FY"/>
          <xsd:enumeration value="WO"/>
          <xsd:enumeration value="XH"/>
          <xsd:enumeration value="YI"/>
          <xsd:enumeration value="YO"/>
          <xsd:enumeration value="ZA"/>
          <xsd:enumeration value="ZU"/>
        </xsd:restriction>
      </xsd:simpleType>
    </xsd:element>
    <xsd:element name="EC_Collab_Status" ma:index="15" ma:displayName="EC Status" ma:default="Not Started" ma:format="Dropdown" ma:internalName="EC_Collab_Status" ma:readOnly="false">
      <xsd:simpleType>
        <xsd:restriction base="dms:Choice">
          <xsd:enumeration value="Not Started"/>
          <xsd:enumeration value="Draft"/>
          <xsd:enumeration value="Reviewed"/>
          <xsd:enumeration value="Scheduled"/>
          <xsd:enumeration value="Published"/>
          <xsd:enumeration value="Final"/>
          <xsd:enumeration value="Expired"/>
        </xsd:restriction>
      </xsd:simpleType>
    </xsd:element>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5" nillable="true" ma:displayName="Taxonomy Catch All Column" ma:hidden="true" ma:list="{9d0b7d13-719b-4003-a7dc-61b8783e7929}" ma:internalName="TaxCatchAll" ma:showField="CatchAllData" ma:web="e1a78ac4-7176-4dde-ad25-36245d50a152">
      <xsd:complexType>
        <xsd:complexContent>
          <xsd:extension base="dms:MultiChoiceLookup">
            <xsd:sequence>
              <xsd:element name="Value" type="dms:Lookup" maxOccurs="unbounded" minOccurs="0" nillable="true"/>
            </xsd:sequence>
          </xsd:extension>
        </xsd:complexContent>
      </xsd:complexType>
    </xsd:element>
    <xsd:element name="EC_ARES_NUMBER" ma:index="34" nillable="true" ma:displayName="Ares Number" ma:format="Hyperlink" ma:hidden="true" ma:internalName="EC_ARES_NUMBER">
      <xsd:complexType>
        <xsd:complexContent>
          <xsd:extension base="dms:URL">
            <xsd:sequence>
              <xsd:element name="Url" type="dms:ValidUrl" minOccurs="0" nillable="true"/>
              <xsd:element name="Description" type="xsd:string" nillable="true"/>
            </xsd:sequence>
          </xsd:extension>
        </xsd:complexContent>
      </xsd:complexType>
    </xsd:element>
    <xsd:element name="EC_ARES_DATE_TRANSFERRED" ma:index="35" nillable="true" ma:displayName="Transferred to Ares" ma:format="DateTime" ma:hidden="true" ma:internalName="EC_ARES_DATE_TRANSFERRED">
      <xsd:simpleType>
        <xsd:restriction base="dms:DateTime"/>
      </xsd:simpleType>
    </xsd:element>
    <xsd:element name="EC_ARES_TRANSFERRED_BY" ma:index="36" nillable="true" ma:displayName="Transferred By" ma:hidden="true" ma:internalName="EC_ARES_TRANSFERRED_BY">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454a234-126e-4e9d-9424-56879817f6db" elementFormDefault="qualified">
    <xsd:import namespace="http://schemas.microsoft.com/office/2006/documentManagement/types"/>
    <xsd:import namespace="http://schemas.microsoft.com/office/infopath/2007/PartnerControls"/>
    <xsd:element name="MediaServiceMetadata" ma:index="19" nillable="true" ma:displayName="MediaServiceMetadata" ma:hidden="true" ma:internalName="MediaServiceMetadata" ma:readOnly="true">
      <xsd:simpleType>
        <xsd:restriction base="dms:Note"/>
      </xsd:simpleType>
    </xsd:element>
    <xsd:element name="MediaServiceFastMetadata" ma:index="20" nillable="true" ma:displayName="MediaServiceFastMetadata" ma:hidden="true" ma:internalName="MediaServiceFastMetadata" ma:readOnly="true">
      <xsd:simpleType>
        <xsd:restriction base="dms:Note"/>
      </xsd:simpleType>
    </xsd:element>
    <xsd:element name="MediaServiceObjectDetectorVersions" ma:index="21" nillable="true" ma:displayName="MediaServiceObjectDetectorVersions" ma:description="" ma:hidden="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lcf76f155ced4ddcb4097134ff3c332f" ma:index="24" nillable="true" ma:taxonomy="true" ma:internalName="lcf76f155ced4ddcb4097134ff3c332f" ma:taxonomyFieldName="MediaServiceImageTags" ma:displayName="Image Tags" ma:readOnly="false" ma:fieldId="{5cf76f15-5ced-4ddc-b409-7134ff3c332f}" ma:taxonomyMulti="true" ma:sspId="22b2fad6-9d2c-441c-a321-3f5f1e9bd928" ma:termSetId="09814cd3-568e-fe90-9814-8d621ff8fb84" ma:anchorId="fba54fb3-c3e1-fe81-a776-ca4b69148c4d" ma:open="true" ma:isKeyword="false">
      <xsd:complexType>
        <xsd:sequence>
          <xsd:element ref="pc:Terms" minOccurs="0" maxOccurs="1"/>
        </xsd:sequence>
      </xsd:complexType>
    </xsd:element>
    <xsd:element name="MediaServiceOCR" ma:index="26" nillable="true" ma:displayName="Extracted Text" ma:internalName="MediaServiceOCR" ma:readOnly="true">
      <xsd:simpleType>
        <xsd:restriction base="dms:Note">
          <xsd:maxLength value="255"/>
        </xsd:restriction>
      </xsd:simpleType>
    </xsd:element>
    <xsd:element name="MediaServiceGenerationTime" ma:index="27" nillable="true" ma:displayName="MediaServiceGenerationTime" ma:hidden="true" ma:internalName="MediaServiceGenerationTime" ma:readOnly="true">
      <xsd:simpleType>
        <xsd:restriction base="dms:Text"/>
      </xsd:simpleType>
    </xsd:element>
    <xsd:element name="MediaServiceEventHashCode" ma:index="28" nillable="true" ma:displayName="MediaServiceEventHashCode" ma:hidden="true" ma:internalName="MediaServiceEventHashCode" ma:readOnly="true">
      <xsd:simpleType>
        <xsd:restriction base="dms:Text"/>
      </xsd:simpleType>
    </xsd:element>
    <xsd:element name="MediaServiceDateTaken" ma:index="29" nillable="true" ma:displayName="MediaServiceDateTaken" ma:description="" ma:hidden="true" ma:indexed="true" ma:internalName="MediaServiceDateTaken" ma:readOnly="true">
      <xsd:simpleType>
        <xsd:restriction base="dms:Text"/>
      </xsd:simpleType>
    </xsd:element>
    <xsd:element name="MediaLengthInSeconds" ma:index="30" nillable="true" ma:displayName="MediaLengthInSeconds" ma:hidden="true" ma:internalName="MediaLengthInSeconds" ma:readOnly="true">
      <xsd:simpleType>
        <xsd:restriction base="dms:Unknown"/>
      </xsd:simpleType>
    </xsd:element>
    <xsd:element name="Person" ma:index="31" nillable="true" ma:displayName="Person" ma:format="Dropdown" ma:list="UserInfo" ma:SharePointGroup="0" ma:internalName="Person">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Time" ma:index="32" nillable="true" ma:displayName="Time" ma:format="DateOnly" ma:internalName="Time">
      <xsd:simpleType>
        <xsd:restriction base="dms:DateTime"/>
      </xsd:simpleType>
    </xsd:element>
    <xsd:element name="MediaServiceLocation" ma:index="33"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37"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9" ma:displayName="Author"/>
        <xsd:element ref="dcterms:created" minOccurs="0" maxOccurs="1"/>
        <xsd:element ref="dc:identifier" minOccurs="0" maxOccurs="1"/>
        <xsd:element name="contentType" minOccurs="0" maxOccurs="1" type="xsd:string" ma:index="0" ma:displayName="Content Type"/>
        <xsd:element ref="dc:title" minOccurs="0" maxOccurs="1" ma:index="7" ma:displayName="Title"/>
        <xsd:element ref="dc:subject" minOccurs="0" maxOccurs="1" ma:index="8" ma:displayName="Subject"/>
        <xsd:element ref="dc:description" minOccurs="0" maxOccurs="1" ma:index="11" ma:displayName="Comments"/>
        <xsd:element name="keywords" minOccurs="0" maxOccurs="1" type="xsd:string" ma:index="10" ma:displayName="Keywords"/>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ma:displayName="Status"/>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EC_Collab_Status xmlns="e1a78ac4-7176-4dde-ad25-36245d50a152">Not Started</EC_Collab_Status>
    <EC_Collab_DocumentLanguage xmlns="e1a78ac4-7176-4dde-ad25-36245d50a152">EN</EC_Collab_DocumentLanguage>
    <lcf76f155ced4ddcb4097134ff3c332f xmlns="e454a234-126e-4e9d-9424-56879817f6db">
      <Terms xmlns="http://schemas.microsoft.com/office/infopath/2007/PartnerControls">
        <TermInfo xmlns="http://schemas.microsoft.com/office/infopath/2007/PartnerControls">
          <TermName xmlns="http://schemas.microsoft.com/office/infopath/2007/PartnerControls"/>
          <TermId xmlns="http://schemas.microsoft.com/office/infopath/2007/PartnerControls"/>
        </TermInfo>
      </Terms>
    </lcf76f155ced4ddcb4097134ff3c332f>
    <_DCDateModified xmlns="http://schemas.microsoft.com/sharepoint/v3/fields" xsi:nil="true"/>
    <Time xmlns="e454a234-126e-4e9d-9424-56879817f6db" xsi:nil="true"/>
    <EC_Collab_Reference xmlns="e1a78ac4-7176-4dde-ad25-36245d50a152" xsi:nil="true"/>
    <_Status xmlns="http://schemas.microsoft.com/sharepoint/v3/fields">Not Started</_Status>
    <TaxCatchAll xmlns="e1a78ac4-7176-4dde-ad25-36245d50a152" xsi:nil="true"/>
    <Person xmlns="e454a234-126e-4e9d-9424-56879817f6db">
      <UserInfo>
        <DisplayName/>
        <AccountId xsi:nil="true"/>
        <AccountType/>
      </UserInfo>
    </Person>
    <EC_ARES_TRANSFERRED_BY xmlns="e1a78ac4-7176-4dde-ad25-36245d50a152" xsi:nil="true"/>
    <EC_ARES_NUMBER xmlns="e1a78ac4-7176-4dde-ad25-36245d50a152">
      <Url xsi:nil="true"/>
      <Description xsi:nil="true"/>
    </EC_ARES_NUMBER>
    <EC_ARES_DATE_TRANSFERRED xmlns="e1a78ac4-7176-4dde-ad25-36245d50a152" xsi:nil="true"/>
    <IconOverlay xmlns="http://schemas.microsoft.com/sharepoint/v4" xsi:nil="true"/>
  </documentManagement>
</p:properties>
</file>

<file path=customXml/item3.xml><?xml version="1.0" encoding="utf-8"?>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5D67039-2868-41DD-A8E6-17D8D7F480F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sharepoint/v3/fields"/>
    <ds:schemaRef ds:uri="e1a78ac4-7176-4dde-ad25-36245d50a152"/>
    <ds:schemaRef ds:uri="e454a234-126e-4e9d-9424-56879817f6db"/>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2A7E9D1-9F24-4EB1-9A0F-F7BB9471994E}">
  <ds:schemaRefs>
    <ds:schemaRef ds:uri="http://schemas.microsoft.com/office/2006/metadata/properties"/>
    <ds:schemaRef ds:uri="http://schemas.microsoft.com/office/infopath/2007/PartnerControls"/>
    <ds:schemaRef ds:uri="e1a78ac4-7176-4dde-ad25-36245d50a152"/>
    <ds:schemaRef ds:uri="e454a234-126e-4e9d-9424-56879817f6db"/>
    <ds:schemaRef ds:uri="http://schemas.microsoft.com/sharepoint/v3/fields"/>
    <ds:schemaRef ds:uri="http://schemas.microsoft.com/sharepoint/v4"/>
  </ds:schemaRefs>
</ds:datastoreItem>
</file>

<file path=customXml/itemProps3.xml><?xml version="1.0" encoding="utf-8"?>
<ds:datastoreItem xmlns:ds="http://schemas.openxmlformats.org/officeDocument/2006/customXml" ds:itemID="{5EB741FF-26A6-41EE-A66C-B45811ED62D1}">
  <ds:schemaRefs>
    <ds:schemaRef ds:uri="http://schemas.microsoft.com/sharepoint/v3/contenttype/forms"/>
  </ds:schemaRefs>
</ds:datastoreItem>
</file>

<file path=customXml/itemProps4.xml><?xml version="1.0" encoding="utf-8"?>
<ds:datastoreItem xmlns:ds="http://schemas.openxmlformats.org/officeDocument/2006/customXml" ds:itemID="{579239CD-C7C6-4B8A-9EB6-078B1DF612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208</TotalTime>
  <Pages>14</Pages>
  <Words>18754</Words>
  <Characters>106902</Characters>
  <Application>Microsoft Office Word</Application>
  <DocSecurity>0</DocSecurity>
  <Lines>890</Lines>
  <Paragraphs>250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125406</CharactersWithSpaces>
  <SharedDoc>false</SharedDoc>
  <HLinks>
    <vt:vector size="666" baseType="variant">
      <vt:variant>
        <vt:i4>1114169</vt:i4>
      </vt:variant>
      <vt:variant>
        <vt:i4>182</vt:i4>
      </vt:variant>
      <vt:variant>
        <vt:i4>0</vt:i4>
      </vt:variant>
      <vt:variant>
        <vt:i4>5</vt:i4>
      </vt:variant>
      <vt:variant>
        <vt:lpwstr/>
      </vt:variant>
      <vt:variant>
        <vt:lpwstr>_Toc180599125</vt:lpwstr>
      </vt:variant>
      <vt:variant>
        <vt:i4>1114169</vt:i4>
      </vt:variant>
      <vt:variant>
        <vt:i4>176</vt:i4>
      </vt:variant>
      <vt:variant>
        <vt:i4>0</vt:i4>
      </vt:variant>
      <vt:variant>
        <vt:i4>5</vt:i4>
      </vt:variant>
      <vt:variant>
        <vt:lpwstr/>
      </vt:variant>
      <vt:variant>
        <vt:lpwstr>_Toc180599124</vt:lpwstr>
      </vt:variant>
      <vt:variant>
        <vt:i4>1114169</vt:i4>
      </vt:variant>
      <vt:variant>
        <vt:i4>170</vt:i4>
      </vt:variant>
      <vt:variant>
        <vt:i4>0</vt:i4>
      </vt:variant>
      <vt:variant>
        <vt:i4>5</vt:i4>
      </vt:variant>
      <vt:variant>
        <vt:lpwstr/>
      </vt:variant>
      <vt:variant>
        <vt:lpwstr>_Toc180599123</vt:lpwstr>
      </vt:variant>
      <vt:variant>
        <vt:i4>1114169</vt:i4>
      </vt:variant>
      <vt:variant>
        <vt:i4>164</vt:i4>
      </vt:variant>
      <vt:variant>
        <vt:i4>0</vt:i4>
      </vt:variant>
      <vt:variant>
        <vt:i4>5</vt:i4>
      </vt:variant>
      <vt:variant>
        <vt:lpwstr/>
      </vt:variant>
      <vt:variant>
        <vt:lpwstr>_Toc180599122</vt:lpwstr>
      </vt:variant>
      <vt:variant>
        <vt:i4>1114169</vt:i4>
      </vt:variant>
      <vt:variant>
        <vt:i4>158</vt:i4>
      </vt:variant>
      <vt:variant>
        <vt:i4>0</vt:i4>
      </vt:variant>
      <vt:variant>
        <vt:i4>5</vt:i4>
      </vt:variant>
      <vt:variant>
        <vt:lpwstr/>
      </vt:variant>
      <vt:variant>
        <vt:lpwstr>_Toc180599121</vt:lpwstr>
      </vt:variant>
      <vt:variant>
        <vt:i4>1114169</vt:i4>
      </vt:variant>
      <vt:variant>
        <vt:i4>152</vt:i4>
      </vt:variant>
      <vt:variant>
        <vt:i4>0</vt:i4>
      </vt:variant>
      <vt:variant>
        <vt:i4>5</vt:i4>
      </vt:variant>
      <vt:variant>
        <vt:lpwstr/>
      </vt:variant>
      <vt:variant>
        <vt:lpwstr>_Toc180599120</vt:lpwstr>
      </vt:variant>
      <vt:variant>
        <vt:i4>1179705</vt:i4>
      </vt:variant>
      <vt:variant>
        <vt:i4>146</vt:i4>
      </vt:variant>
      <vt:variant>
        <vt:i4>0</vt:i4>
      </vt:variant>
      <vt:variant>
        <vt:i4>5</vt:i4>
      </vt:variant>
      <vt:variant>
        <vt:lpwstr/>
      </vt:variant>
      <vt:variant>
        <vt:lpwstr>_Toc180599119</vt:lpwstr>
      </vt:variant>
      <vt:variant>
        <vt:i4>1179705</vt:i4>
      </vt:variant>
      <vt:variant>
        <vt:i4>140</vt:i4>
      </vt:variant>
      <vt:variant>
        <vt:i4>0</vt:i4>
      </vt:variant>
      <vt:variant>
        <vt:i4>5</vt:i4>
      </vt:variant>
      <vt:variant>
        <vt:lpwstr/>
      </vt:variant>
      <vt:variant>
        <vt:lpwstr>_Toc180599118</vt:lpwstr>
      </vt:variant>
      <vt:variant>
        <vt:i4>1179705</vt:i4>
      </vt:variant>
      <vt:variant>
        <vt:i4>134</vt:i4>
      </vt:variant>
      <vt:variant>
        <vt:i4>0</vt:i4>
      </vt:variant>
      <vt:variant>
        <vt:i4>5</vt:i4>
      </vt:variant>
      <vt:variant>
        <vt:lpwstr/>
      </vt:variant>
      <vt:variant>
        <vt:lpwstr>_Toc180599117</vt:lpwstr>
      </vt:variant>
      <vt:variant>
        <vt:i4>1179705</vt:i4>
      </vt:variant>
      <vt:variant>
        <vt:i4>128</vt:i4>
      </vt:variant>
      <vt:variant>
        <vt:i4>0</vt:i4>
      </vt:variant>
      <vt:variant>
        <vt:i4>5</vt:i4>
      </vt:variant>
      <vt:variant>
        <vt:lpwstr/>
      </vt:variant>
      <vt:variant>
        <vt:lpwstr>_Toc180599116</vt:lpwstr>
      </vt:variant>
      <vt:variant>
        <vt:i4>1179705</vt:i4>
      </vt:variant>
      <vt:variant>
        <vt:i4>122</vt:i4>
      </vt:variant>
      <vt:variant>
        <vt:i4>0</vt:i4>
      </vt:variant>
      <vt:variant>
        <vt:i4>5</vt:i4>
      </vt:variant>
      <vt:variant>
        <vt:lpwstr/>
      </vt:variant>
      <vt:variant>
        <vt:lpwstr>_Toc180599115</vt:lpwstr>
      </vt:variant>
      <vt:variant>
        <vt:i4>1179705</vt:i4>
      </vt:variant>
      <vt:variant>
        <vt:i4>116</vt:i4>
      </vt:variant>
      <vt:variant>
        <vt:i4>0</vt:i4>
      </vt:variant>
      <vt:variant>
        <vt:i4>5</vt:i4>
      </vt:variant>
      <vt:variant>
        <vt:lpwstr/>
      </vt:variant>
      <vt:variant>
        <vt:lpwstr>_Toc180599114</vt:lpwstr>
      </vt:variant>
      <vt:variant>
        <vt:i4>1179705</vt:i4>
      </vt:variant>
      <vt:variant>
        <vt:i4>110</vt:i4>
      </vt:variant>
      <vt:variant>
        <vt:i4>0</vt:i4>
      </vt:variant>
      <vt:variant>
        <vt:i4>5</vt:i4>
      </vt:variant>
      <vt:variant>
        <vt:lpwstr/>
      </vt:variant>
      <vt:variant>
        <vt:lpwstr>_Toc180599113</vt:lpwstr>
      </vt:variant>
      <vt:variant>
        <vt:i4>1179705</vt:i4>
      </vt:variant>
      <vt:variant>
        <vt:i4>104</vt:i4>
      </vt:variant>
      <vt:variant>
        <vt:i4>0</vt:i4>
      </vt:variant>
      <vt:variant>
        <vt:i4>5</vt:i4>
      </vt:variant>
      <vt:variant>
        <vt:lpwstr/>
      </vt:variant>
      <vt:variant>
        <vt:lpwstr>_Toc180599112</vt:lpwstr>
      </vt:variant>
      <vt:variant>
        <vt:i4>1179705</vt:i4>
      </vt:variant>
      <vt:variant>
        <vt:i4>98</vt:i4>
      </vt:variant>
      <vt:variant>
        <vt:i4>0</vt:i4>
      </vt:variant>
      <vt:variant>
        <vt:i4>5</vt:i4>
      </vt:variant>
      <vt:variant>
        <vt:lpwstr/>
      </vt:variant>
      <vt:variant>
        <vt:lpwstr>_Toc180599111</vt:lpwstr>
      </vt:variant>
      <vt:variant>
        <vt:i4>1179705</vt:i4>
      </vt:variant>
      <vt:variant>
        <vt:i4>92</vt:i4>
      </vt:variant>
      <vt:variant>
        <vt:i4>0</vt:i4>
      </vt:variant>
      <vt:variant>
        <vt:i4>5</vt:i4>
      </vt:variant>
      <vt:variant>
        <vt:lpwstr/>
      </vt:variant>
      <vt:variant>
        <vt:lpwstr>_Toc180599110</vt:lpwstr>
      </vt:variant>
      <vt:variant>
        <vt:i4>1245241</vt:i4>
      </vt:variant>
      <vt:variant>
        <vt:i4>86</vt:i4>
      </vt:variant>
      <vt:variant>
        <vt:i4>0</vt:i4>
      </vt:variant>
      <vt:variant>
        <vt:i4>5</vt:i4>
      </vt:variant>
      <vt:variant>
        <vt:lpwstr/>
      </vt:variant>
      <vt:variant>
        <vt:lpwstr>_Toc180599109</vt:lpwstr>
      </vt:variant>
      <vt:variant>
        <vt:i4>1245241</vt:i4>
      </vt:variant>
      <vt:variant>
        <vt:i4>80</vt:i4>
      </vt:variant>
      <vt:variant>
        <vt:i4>0</vt:i4>
      </vt:variant>
      <vt:variant>
        <vt:i4>5</vt:i4>
      </vt:variant>
      <vt:variant>
        <vt:lpwstr/>
      </vt:variant>
      <vt:variant>
        <vt:lpwstr>_Toc180599108</vt:lpwstr>
      </vt:variant>
      <vt:variant>
        <vt:i4>1245241</vt:i4>
      </vt:variant>
      <vt:variant>
        <vt:i4>74</vt:i4>
      </vt:variant>
      <vt:variant>
        <vt:i4>0</vt:i4>
      </vt:variant>
      <vt:variant>
        <vt:i4>5</vt:i4>
      </vt:variant>
      <vt:variant>
        <vt:lpwstr/>
      </vt:variant>
      <vt:variant>
        <vt:lpwstr>_Toc180599107</vt:lpwstr>
      </vt:variant>
      <vt:variant>
        <vt:i4>1245241</vt:i4>
      </vt:variant>
      <vt:variant>
        <vt:i4>68</vt:i4>
      </vt:variant>
      <vt:variant>
        <vt:i4>0</vt:i4>
      </vt:variant>
      <vt:variant>
        <vt:i4>5</vt:i4>
      </vt:variant>
      <vt:variant>
        <vt:lpwstr/>
      </vt:variant>
      <vt:variant>
        <vt:lpwstr>_Toc180599106</vt:lpwstr>
      </vt:variant>
      <vt:variant>
        <vt:i4>1245241</vt:i4>
      </vt:variant>
      <vt:variant>
        <vt:i4>62</vt:i4>
      </vt:variant>
      <vt:variant>
        <vt:i4>0</vt:i4>
      </vt:variant>
      <vt:variant>
        <vt:i4>5</vt:i4>
      </vt:variant>
      <vt:variant>
        <vt:lpwstr/>
      </vt:variant>
      <vt:variant>
        <vt:lpwstr>_Toc180599105</vt:lpwstr>
      </vt:variant>
      <vt:variant>
        <vt:i4>1245241</vt:i4>
      </vt:variant>
      <vt:variant>
        <vt:i4>56</vt:i4>
      </vt:variant>
      <vt:variant>
        <vt:i4>0</vt:i4>
      </vt:variant>
      <vt:variant>
        <vt:i4>5</vt:i4>
      </vt:variant>
      <vt:variant>
        <vt:lpwstr/>
      </vt:variant>
      <vt:variant>
        <vt:lpwstr>_Toc180599104</vt:lpwstr>
      </vt:variant>
      <vt:variant>
        <vt:i4>1245241</vt:i4>
      </vt:variant>
      <vt:variant>
        <vt:i4>50</vt:i4>
      </vt:variant>
      <vt:variant>
        <vt:i4>0</vt:i4>
      </vt:variant>
      <vt:variant>
        <vt:i4>5</vt:i4>
      </vt:variant>
      <vt:variant>
        <vt:lpwstr/>
      </vt:variant>
      <vt:variant>
        <vt:lpwstr>_Toc180599103</vt:lpwstr>
      </vt:variant>
      <vt:variant>
        <vt:i4>1245241</vt:i4>
      </vt:variant>
      <vt:variant>
        <vt:i4>44</vt:i4>
      </vt:variant>
      <vt:variant>
        <vt:i4>0</vt:i4>
      </vt:variant>
      <vt:variant>
        <vt:i4>5</vt:i4>
      </vt:variant>
      <vt:variant>
        <vt:lpwstr/>
      </vt:variant>
      <vt:variant>
        <vt:lpwstr>_Toc180599102</vt:lpwstr>
      </vt:variant>
      <vt:variant>
        <vt:i4>1245241</vt:i4>
      </vt:variant>
      <vt:variant>
        <vt:i4>38</vt:i4>
      </vt:variant>
      <vt:variant>
        <vt:i4>0</vt:i4>
      </vt:variant>
      <vt:variant>
        <vt:i4>5</vt:i4>
      </vt:variant>
      <vt:variant>
        <vt:lpwstr/>
      </vt:variant>
      <vt:variant>
        <vt:lpwstr>_Toc180599101</vt:lpwstr>
      </vt:variant>
      <vt:variant>
        <vt:i4>1245241</vt:i4>
      </vt:variant>
      <vt:variant>
        <vt:i4>32</vt:i4>
      </vt:variant>
      <vt:variant>
        <vt:i4>0</vt:i4>
      </vt:variant>
      <vt:variant>
        <vt:i4>5</vt:i4>
      </vt:variant>
      <vt:variant>
        <vt:lpwstr/>
      </vt:variant>
      <vt:variant>
        <vt:lpwstr>_Toc180599100</vt:lpwstr>
      </vt:variant>
      <vt:variant>
        <vt:i4>1703992</vt:i4>
      </vt:variant>
      <vt:variant>
        <vt:i4>26</vt:i4>
      </vt:variant>
      <vt:variant>
        <vt:i4>0</vt:i4>
      </vt:variant>
      <vt:variant>
        <vt:i4>5</vt:i4>
      </vt:variant>
      <vt:variant>
        <vt:lpwstr/>
      </vt:variant>
      <vt:variant>
        <vt:lpwstr>_Toc180599099</vt:lpwstr>
      </vt:variant>
      <vt:variant>
        <vt:i4>1703992</vt:i4>
      </vt:variant>
      <vt:variant>
        <vt:i4>20</vt:i4>
      </vt:variant>
      <vt:variant>
        <vt:i4>0</vt:i4>
      </vt:variant>
      <vt:variant>
        <vt:i4>5</vt:i4>
      </vt:variant>
      <vt:variant>
        <vt:lpwstr/>
      </vt:variant>
      <vt:variant>
        <vt:lpwstr>_Toc180599098</vt:lpwstr>
      </vt:variant>
      <vt:variant>
        <vt:i4>1703992</vt:i4>
      </vt:variant>
      <vt:variant>
        <vt:i4>14</vt:i4>
      </vt:variant>
      <vt:variant>
        <vt:i4>0</vt:i4>
      </vt:variant>
      <vt:variant>
        <vt:i4>5</vt:i4>
      </vt:variant>
      <vt:variant>
        <vt:lpwstr/>
      </vt:variant>
      <vt:variant>
        <vt:lpwstr>_Toc180599097</vt:lpwstr>
      </vt:variant>
      <vt:variant>
        <vt:i4>1703992</vt:i4>
      </vt:variant>
      <vt:variant>
        <vt:i4>8</vt:i4>
      </vt:variant>
      <vt:variant>
        <vt:i4>0</vt:i4>
      </vt:variant>
      <vt:variant>
        <vt:i4>5</vt:i4>
      </vt:variant>
      <vt:variant>
        <vt:lpwstr/>
      </vt:variant>
      <vt:variant>
        <vt:lpwstr>_Toc180599096</vt:lpwstr>
      </vt:variant>
      <vt:variant>
        <vt:i4>1703992</vt:i4>
      </vt:variant>
      <vt:variant>
        <vt:i4>2</vt:i4>
      </vt:variant>
      <vt:variant>
        <vt:i4>0</vt:i4>
      </vt:variant>
      <vt:variant>
        <vt:i4>5</vt:i4>
      </vt:variant>
      <vt:variant>
        <vt:lpwstr/>
      </vt:variant>
      <vt:variant>
        <vt:lpwstr>_Toc180599095</vt:lpwstr>
      </vt:variant>
      <vt:variant>
        <vt:i4>6488171</vt:i4>
      </vt:variant>
      <vt:variant>
        <vt:i4>237</vt:i4>
      </vt:variant>
      <vt:variant>
        <vt:i4>0</vt:i4>
      </vt:variant>
      <vt:variant>
        <vt:i4>5</vt:i4>
      </vt:variant>
      <vt:variant>
        <vt:lpwstr>https://eur-lex.europa.eu/legal-content/EN/TXT/?uri=CELEX%3A22017A1207%2801%29</vt:lpwstr>
      </vt:variant>
      <vt:variant>
        <vt:lpwstr/>
      </vt:variant>
      <vt:variant>
        <vt:i4>5111838</vt:i4>
      </vt:variant>
      <vt:variant>
        <vt:i4>234</vt:i4>
      </vt:variant>
      <vt:variant>
        <vt:i4>0</vt:i4>
      </vt:variant>
      <vt:variant>
        <vt:i4>5</vt:i4>
      </vt:variant>
      <vt:variant>
        <vt:lpwstr>https://eur-lex.europa.eu/legal-content/EN/TXT/?uri=OJ%3AJOL_2023_231_R_0001&amp;qid=1695186598766</vt:lpwstr>
      </vt:variant>
      <vt:variant>
        <vt:lpwstr/>
      </vt:variant>
      <vt:variant>
        <vt:i4>3997778</vt:i4>
      </vt:variant>
      <vt:variant>
        <vt:i4>231</vt:i4>
      </vt:variant>
      <vt:variant>
        <vt:i4>0</vt:i4>
      </vt:variant>
      <vt:variant>
        <vt:i4>5</vt:i4>
      </vt:variant>
      <vt:variant>
        <vt:lpwstr>https://climate.ec.europa.eu/eu-action/eu-emissions-trading-system-eu-ets/monitoring-reporting-and-verification-eu-ets-emissions_en</vt:lpwstr>
      </vt:variant>
      <vt:variant>
        <vt:lpwstr>documentation</vt:lpwstr>
      </vt:variant>
      <vt:variant>
        <vt:i4>1835012</vt:i4>
      </vt:variant>
      <vt:variant>
        <vt:i4>228</vt:i4>
      </vt:variant>
      <vt:variant>
        <vt:i4>0</vt:i4>
      </vt:variant>
      <vt:variant>
        <vt:i4>5</vt:i4>
      </vt:variant>
      <vt:variant>
        <vt:lpwstr>https://wikis.ec.europa.eu/display/UDBBIS</vt:lpwstr>
      </vt:variant>
      <vt:variant>
        <vt:lpwstr/>
      </vt:variant>
      <vt:variant>
        <vt:i4>7012364</vt:i4>
      </vt:variant>
      <vt:variant>
        <vt:i4>225</vt:i4>
      </vt:variant>
      <vt:variant>
        <vt:i4>0</vt:i4>
      </vt:variant>
      <vt:variant>
        <vt:i4>5</vt:i4>
      </vt:variant>
      <vt:variant>
        <vt:lpwstr>https://eur-lex.europa.eu/legal-content/EN/TXT/?uri=OJ:L_202302122</vt:lpwstr>
      </vt:variant>
      <vt:variant>
        <vt:lpwstr/>
      </vt:variant>
      <vt:variant>
        <vt:i4>5767197</vt:i4>
      </vt:variant>
      <vt:variant>
        <vt:i4>222</vt:i4>
      </vt:variant>
      <vt:variant>
        <vt:i4>0</vt:i4>
      </vt:variant>
      <vt:variant>
        <vt:i4>5</vt:i4>
      </vt:variant>
      <vt:variant>
        <vt:lpwstr>https://eur-lex.europa.eu/legal-content/EN/TXT/PDF/?uri=CELEX:02018R2067-20210101&amp;from=EN</vt:lpwstr>
      </vt:variant>
      <vt:variant>
        <vt:lpwstr/>
      </vt:variant>
      <vt:variant>
        <vt:i4>7798790</vt:i4>
      </vt:variant>
      <vt:variant>
        <vt:i4>219</vt:i4>
      </vt:variant>
      <vt:variant>
        <vt:i4>0</vt:i4>
      </vt:variant>
      <vt:variant>
        <vt:i4>5</vt:i4>
      </vt:variant>
      <vt:variant>
        <vt:lpwstr>https://eur-lex.europa.eu/legal-content/EN/TXT/?toc=OJ:L:2018:334:TOC&amp;uri=uriserv:OJ.L_.2018.334.01.0094.01.ENG</vt:lpwstr>
      </vt:variant>
      <vt:variant>
        <vt:lpwstr/>
      </vt:variant>
      <vt:variant>
        <vt:i4>1966199</vt:i4>
      </vt:variant>
      <vt:variant>
        <vt:i4>216</vt:i4>
      </vt:variant>
      <vt:variant>
        <vt:i4>0</vt:i4>
      </vt:variant>
      <vt:variant>
        <vt:i4>5</vt:i4>
      </vt:variant>
      <vt:variant>
        <vt:lpwstr>https://climate.ec.europa.eu/eu-action/transport/reducing-emissions-shipping-sector_en</vt:lpwstr>
      </vt:variant>
      <vt:variant>
        <vt:lpwstr/>
      </vt:variant>
      <vt:variant>
        <vt:i4>1376321</vt:i4>
      </vt:variant>
      <vt:variant>
        <vt:i4>213</vt:i4>
      </vt:variant>
      <vt:variant>
        <vt:i4>0</vt:i4>
      </vt:variant>
      <vt:variant>
        <vt:i4>5</vt:i4>
      </vt:variant>
      <vt:variant>
        <vt:lpwstr>https://eur-lex.europa.eu/legal-content/EN/TXT/?uri=CELEX:32015R0757</vt:lpwstr>
      </vt:variant>
      <vt:variant>
        <vt:lpwstr/>
      </vt:variant>
      <vt:variant>
        <vt:i4>196668</vt:i4>
      </vt:variant>
      <vt:variant>
        <vt:i4>210</vt:i4>
      </vt:variant>
      <vt:variant>
        <vt:i4>0</vt:i4>
      </vt:variant>
      <vt:variant>
        <vt:i4>5</vt:i4>
      </vt:variant>
      <vt:variant>
        <vt:lpwstr>https://climate.ec.europa.eu/news-your-voice/news/new-monitoring-rules-agreed-eu-ets-including-non-co2-emissions-aviation-sector-2024-08-30_en</vt:lpwstr>
      </vt:variant>
      <vt:variant>
        <vt:lpwstr/>
      </vt:variant>
      <vt:variant>
        <vt:i4>2949155</vt:i4>
      </vt:variant>
      <vt:variant>
        <vt:i4>207</vt:i4>
      </vt:variant>
      <vt:variant>
        <vt:i4>0</vt:i4>
      </vt:variant>
      <vt:variant>
        <vt:i4>5</vt:i4>
      </vt:variant>
      <vt:variant>
        <vt:lpwstr>https://data.consilium.europa.eu/doc/document/ST-8344-2023-ADD-1/en/pdf</vt:lpwstr>
      </vt:variant>
      <vt:variant>
        <vt:lpwstr/>
      </vt:variant>
      <vt:variant>
        <vt:i4>7274568</vt:i4>
      </vt:variant>
      <vt:variant>
        <vt:i4>204</vt:i4>
      </vt:variant>
      <vt:variant>
        <vt:i4>0</vt:i4>
      </vt:variant>
      <vt:variant>
        <vt:i4>5</vt:i4>
      </vt:variant>
      <vt:variant>
        <vt:lpwstr>https://climate.ec.europa.eu/news-your-voice/news/publication-2022-emissions-data-aviation-2024-03-08_en</vt:lpwstr>
      </vt:variant>
      <vt:variant>
        <vt:lpwstr/>
      </vt:variant>
      <vt:variant>
        <vt:i4>4718594</vt:i4>
      </vt:variant>
      <vt:variant>
        <vt:i4>201</vt:i4>
      </vt:variant>
      <vt:variant>
        <vt:i4>0</vt:i4>
      </vt:variant>
      <vt:variant>
        <vt:i4>5</vt:i4>
      </vt:variant>
      <vt:variant>
        <vt:lpwstr>https://eur-lex.europa.eu/legal-content/EN/TXT/?uri=CELEX%3A32024R1879&amp;qid=1722504757152</vt:lpwstr>
      </vt:variant>
      <vt:variant>
        <vt:lpwstr/>
      </vt:variant>
      <vt:variant>
        <vt:i4>68</vt:i4>
      </vt:variant>
      <vt:variant>
        <vt:i4>198</vt:i4>
      </vt:variant>
      <vt:variant>
        <vt:i4>0</vt:i4>
      </vt:variant>
      <vt:variant>
        <vt:i4>5</vt:i4>
      </vt:variant>
      <vt:variant>
        <vt:lpwstr>https://eur-lex.europa.eu/legal-content/EN/TXT/?uri=celex%3A32024R0622</vt:lpwstr>
      </vt:variant>
      <vt:variant>
        <vt:lpwstr>:~:text=COMMISSION%20IMPLEMENTING%20REGULATION%20%28EU%29%202024%2F622%20of%2022%20February,and%20of%20the%20Council%20for%20emissions%20in%202023</vt:lpwstr>
      </vt:variant>
      <vt:variant>
        <vt:i4>7929970</vt:i4>
      </vt:variant>
      <vt:variant>
        <vt:i4>195</vt:i4>
      </vt:variant>
      <vt:variant>
        <vt:i4>0</vt:i4>
      </vt:variant>
      <vt:variant>
        <vt:i4>5</vt:i4>
      </vt:variant>
      <vt:variant>
        <vt:lpwstr>https://eur-lex.europa.eu/legal-content/EN/TXT/?uri=celex%3A32023D0136</vt:lpwstr>
      </vt:variant>
      <vt:variant>
        <vt:lpwstr/>
      </vt:variant>
      <vt:variant>
        <vt:i4>7798900</vt:i4>
      </vt:variant>
      <vt:variant>
        <vt:i4>192</vt:i4>
      </vt:variant>
      <vt:variant>
        <vt:i4>0</vt:i4>
      </vt:variant>
      <vt:variant>
        <vt:i4>5</vt:i4>
      </vt:variant>
      <vt:variant>
        <vt:lpwstr>https://eur-lex.europa.eu/legal-content/EN/TXT/?uri=celex%3A32023L0958</vt:lpwstr>
      </vt:variant>
      <vt:variant>
        <vt:lpwstr/>
      </vt:variant>
      <vt:variant>
        <vt:i4>3014704</vt:i4>
      </vt:variant>
      <vt:variant>
        <vt:i4>189</vt:i4>
      </vt:variant>
      <vt:variant>
        <vt:i4>0</vt:i4>
      </vt:variant>
      <vt:variant>
        <vt:i4>5</vt:i4>
      </vt:variant>
      <vt:variant>
        <vt:lpwstr>https://www.eurocontrol.int/sites/default/files/2023-06/eurocontrol-european-aviation-overview-20230602.pdf</vt:lpwstr>
      </vt:variant>
      <vt:variant>
        <vt:lpwstr/>
      </vt:variant>
      <vt:variant>
        <vt:i4>3407969</vt:i4>
      </vt:variant>
      <vt:variant>
        <vt:i4>186</vt:i4>
      </vt:variant>
      <vt:variant>
        <vt:i4>0</vt:i4>
      </vt:variant>
      <vt:variant>
        <vt:i4>5</vt:i4>
      </vt:variant>
      <vt:variant>
        <vt:lpwstr>https://www.bafu.admin.ch/bafu/en/home/topics/climate/info-specialists/reduction-measures/ets/aviation.html</vt:lpwstr>
      </vt:variant>
      <vt:variant>
        <vt:lpwstr>:~:text=From%202024%2C%20flights%20from%20Switzerland,exempt%20from%20the%20Swiss%20ETS.</vt:lpwstr>
      </vt:variant>
      <vt:variant>
        <vt:i4>7798900</vt:i4>
      </vt:variant>
      <vt:variant>
        <vt:i4>183</vt:i4>
      </vt:variant>
      <vt:variant>
        <vt:i4>0</vt:i4>
      </vt:variant>
      <vt:variant>
        <vt:i4>5</vt:i4>
      </vt:variant>
      <vt:variant>
        <vt:lpwstr>https://eur-lex.europa.eu/legal-content/EN/TXT/?uri=CELEX%3A32023L0958</vt:lpwstr>
      </vt:variant>
      <vt:variant>
        <vt:lpwstr/>
      </vt:variant>
      <vt:variant>
        <vt:i4>458821</vt:i4>
      </vt:variant>
      <vt:variant>
        <vt:i4>180</vt:i4>
      </vt:variant>
      <vt:variant>
        <vt:i4>0</vt:i4>
      </vt:variant>
      <vt:variant>
        <vt:i4>5</vt:i4>
      </vt:variant>
      <vt:variant>
        <vt:lpwstr>https://eur-lex.europa.eu/legal-content/EN/TXT/?uri=CELEX:32013D0377</vt:lpwstr>
      </vt:variant>
      <vt:variant>
        <vt:lpwstr/>
      </vt:variant>
      <vt:variant>
        <vt:i4>6946922</vt:i4>
      </vt:variant>
      <vt:variant>
        <vt:i4>177</vt:i4>
      </vt:variant>
      <vt:variant>
        <vt:i4>0</vt:i4>
      </vt:variant>
      <vt:variant>
        <vt:i4>5</vt:i4>
      </vt:variant>
      <vt:variant>
        <vt:lpwstr>https://eur-lex.europa.eu/legal-content/EN/TXT/?uri=OJ%3AJOC_2022_195_R_0002</vt:lpwstr>
      </vt:variant>
      <vt:variant>
        <vt:lpwstr/>
      </vt:variant>
      <vt:variant>
        <vt:i4>6553703</vt:i4>
      </vt:variant>
      <vt:variant>
        <vt:i4>174</vt:i4>
      </vt:variant>
      <vt:variant>
        <vt:i4>0</vt:i4>
      </vt:variant>
      <vt:variant>
        <vt:i4>5</vt:i4>
      </vt:variant>
      <vt:variant>
        <vt:lpwstr>https://eur-lex.europa.eu/legal-content/EN/ALL/?uri=CELEX%3A32020R1001</vt:lpwstr>
      </vt:variant>
      <vt:variant>
        <vt:lpwstr/>
      </vt:variant>
      <vt:variant>
        <vt:i4>1245204</vt:i4>
      </vt:variant>
      <vt:variant>
        <vt:i4>171</vt:i4>
      </vt:variant>
      <vt:variant>
        <vt:i4>0</vt:i4>
      </vt:variant>
      <vt:variant>
        <vt:i4>5</vt:i4>
      </vt:variant>
      <vt:variant>
        <vt:lpwstr>https://climate.ec.europa.eu/document/download/dd3c417c-fc64-4e25-82c0-49af24383334_en?filename=c_2024_4190_en.pdf</vt:lpwstr>
      </vt:variant>
      <vt:variant>
        <vt:lpwstr/>
      </vt:variant>
      <vt:variant>
        <vt:i4>5439583</vt:i4>
      </vt:variant>
      <vt:variant>
        <vt:i4>168</vt:i4>
      </vt:variant>
      <vt:variant>
        <vt:i4>0</vt:i4>
      </vt:variant>
      <vt:variant>
        <vt:i4>5</vt:i4>
      </vt:variant>
      <vt:variant>
        <vt:lpwstr>https://eur-lex.europa.eu/eli/reg/2024/795/oj</vt:lpwstr>
      </vt:variant>
      <vt:variant>
        <vt:lpwstr/>
      </vt:variant>
      <vt:variant>
        <vt:i4>1835109</vt:i4>
      </vt:variant>
      <vt:variant>
        <vt:i4>165</vt:i4>
      </vt:variant>
      <vt:variant>
        <vt:i4>0</vt:i4>
      </vt:variant>
      <vt:variant>
        <vt:i4>5</vt:i4>
      </vt:variant>
      <vt:variant>
        <vt:lpwstr>https://dashboard.tech.ec.europa.eu/qs_digit_dashboard_mt/public/sense/app/6e4815c8-1f4c-4664-b9ca-8454f77d758d/sheet/bac47ac8-b5c7-4cd1-87ad-9f8d6d238eae/state/analysis</vt:lpwstr>
      </vt:variant>
      <vt:variant>
        <vt:lpwstr/>
      </vt:variant>
      <vt:variant>
        <vt:i4>1769573</vt:i4>
      </vt:variant>
      <vt:variant>
        <vt:i4>162</vt:i4>
      </vt:variant>
      <vt:variant>
        <vt:i4>0</vt:i4>
      </vt:variant>
      <vt:variant>
        <vt:i4>5</vt:i4>
      </vt:variant>
      <vt:variant>
        <vt:lpwstr>https://cinea.ec.europa.eu/news-events/news/16-grants-eus-innovation-fund-awarded-projects-across-europe-2023-06-06_en</vt:lpwstr>
      </vt:variant>
      <vt:variant>
        <vt:lpwstr/>
      </vt:variant>
      <vt:variant>
        <vt:i4>8323105</vt:i4>
      </vt:variant>
      <vt:variant>
        <vt:i4>159</vt:i4>
      </vt:variant>
      <vt:variant>
        <vt:i4>0</vt:i4>
      </vt:variant>
      <vt:variant>
        <vt:i4>5</vt:i4>
      </vt:variant>
      <vt:variant>
        <vt:lpwstr>https://eur-lex.europa.eu/legal-content/EN/TXT/?uri=CELEX%3A52022DC0416</vt:lpwstr>
      </vt:variant>
      <vt:variant>
        <vt:lpwstr/>
      </vt:variant>
      <vt:variant>
        <vt:i4>8257596</vt:i4>
      </vt:variant>
      <vt:variant>
        <vt:i4>156</vt:i4>
      </vt:variant>
      <vt:variant>
        <vt:i4>0</vt:i4>
      </vt:variant>
      <vt:variant>
        <vt:i4>5</vt:i4>
      </vt:variant>
      <vt:variant>
        <vt:lpwstr>https://eur-lex.europa.eu/legal-content/EN/TXT/?uri=CELEX%3A52020XC0925%2801%29</vt:lpwstr>
      </vt:variant>
      <vt:variant>
        <vt:lpwstr/>
      </vt:variant>
      <vt:variant>
        <vt:i4>6553667</vt:i4>
      </vt:variant>
      <vt:variant>
        <vt:i4>153</vt:i4>
      </vt:variant>
      <vt:variant>
        <vt:i4>0</vt:i4>
      </vt:variant>
      <vt:variant>
        <vt:i4>5</vt:i4>
      </vt:variant>
      <vt:variant>
        <vt:lpwstr>https://climate-energy.eea.europa.eu/topics/climate-finance/use-of-ets-auctioning-revenues/good_practices</vt:lpwstr>
      </vt:variant>
      <vt:variant>
        <vt:lpwstr/>
      </vt:variant>
      <vt:variant>
        <vt:i4>5832831</vt:i4>
      </vt:variant>
      <vt:variant>
        <vt:i4>150</vt:i4>
      </vt:variant>
      <vt:variant>
        <vt:i4>0</vt:i4>
      </vt:variant>
      <vt:variant>
        <vt:i4>5</vt:i4>
      </vt:variant>
      <vt:variant>
        <vt:lpwstr>https://climate.ec.europa.eu/news-your-voice/news/adopted-new-templates-member-states-climate-reporting-2024-05-07_en</vt:lpwstr>
      </vt:variant>
      <vt:variant>
        <vt:lpwstr/>
      </vt:variant>
      <vt:variant>
        <vt:i4>6094938</vt:i4>
      </vt:variant>
      <vt:variant>
        <vt:i4>147</vt:i4>
      </vt:variant>
      <vt:variant>
        <vt:i4>0</vt:i4>
      </vt:variant>
      <vt:variant>
        <vt:i4>5</vt:i4>
      </vt:variant>
      <vt:variant>
        <vt:lpwstr>https://reportnet.europa.eu/public/dataflow/1226</vt:lpwstr>
      </vt:variant>
      <vt:variant>
        <vt:lpwstr/>
      </vt:variant>
      <vt:variant>
        <vt:i4>8323074</vt:i4>
      </vt:variant>
      <vt:variant>
        <vt:i4>144</vt:i4>
      </vt:variant>
      <vt:variant>
        <vt:i4>0</vt:i4>
      </vt:variant>
      <vt:variant>
        <vt:i4>5</vt:i4>
      </vt:variant>
      <vt:variant>
        <vt:lpwstr>https://eur-lex.europa.eu/legal-content/EN/TXT/?toc=OJ:L:2018:328:TOC&amp;uri=uriserv:OJ.L_.2018.328.01.0001.01.ENG</vt:lpwstr>
      </vt:variant>
      <vt:variant>
        <vt:lpwstr/>
      </vt:variant>
      <vt:variant>
        <vt:i4>4456474</vt:i4>
      </vt:variant>
      <vt:variant>
        <vt:i4>141</vt:i4>
      </vt:variant>
      <vt:variant>
        <vt:i4>0</vt:i4>
      </vt:variant>
      <vt:variant>
        <vt:i4>5</vt:i4>
      </vt:variant>
      <vt:variant>
        <vt:lpwstr>https://ember-climate.org/insights/research/eu-wind-and-solar-overtake-fossil-fuels/</vt:lpwstr>
      </vt:variant>
      <vt:variant>
        <vt:lpwstr/>
      </vt:variant>
      <vt:variant>
        <vt:i4>4325474</vt:i4>
      </vt:variant>
      <vt:variant>
        <vt:i4>138</vt:i4>
      </vt:variant>
      <vt:variant>
        <vt:i4>0</vt:i4>
      </vt:variant>
      <vt:variant>
        <vt:i4>5</vt:i4>
      </vt:variant>
      <vt:variant>
        <vt:lpwstr>https://energy.ec.europa.eu/publications/state-energy-union-report-2024_en</vt:lpwstr>
      </vt:variant>
      <vt:variant>
        <vt:lpwstr/>
      </vt:variant>
      <vt:variant>
        <vt:i4>4456521</vt:i4>
      </vt:variant>
      <vt:variant>
        <vt:i4>135</vt:i4>
      </vt:variant>
      <vt:variant>
        <vt:i4>0</vt:i4>
      </vt:variant>
      <vt:variant>
        <vt:i4>5</vt:i4>
      </vt:variant>
      <vt:variant>
        <vt:lpwstr>https://ec.europa.eu/eurostat/web/products-eurostat-news/w/ddn-20240627-1</vt:lpwstr>
      </vt:variant>
      <vt:variant>
        <vt:lpwstr/>
      </vt:variant>
      <vt:variant>
        <vt:i4>6553648</vt:i4>
      </vt:variant>
      <vt:variant>
        <vt:i4>132</vt:i4>
      </vt:variant>
      <vt:variant>
        <vt:i4>0</vt:i4>
      </vt:variant>
      <vt:variant>
        <vt:i4>5</vt:i4>
      </vt:variant>
      <vt:variant>
        <vt:lpwstr>https://www.esma.europa.eu/document/consultation-paper-amendments-certain-technical-standards-commodity-derivatives</vt:lpwstr>
      </vt:variant>
      <vt:variant>
        <vt:lpwstr/>
      </vt:variant>
      <vt:variant>
        <vt:i4>6553696</vt:i4>
      </vt:variant>
      <vt:variant>
        <vt:i4>129</vt:i4>
      </vt:variant>
      <vt:variant>
        <vt:i4>0</vt:i4>
      </vt:variant>
      <vt:variant>
        <vt:i4>5</vt:i4>
      </vt:variant>
      <vt:variant>
        <vt:lpwstr>https://eur-lex.europa.eu/legal-content/EN/TXT/?uri=CELEX%3A02012R0648-20220812</vt:lpwstr>
      </vt:variant>
      <vt:variant>
        <vt:lpwstr/>
      </vt:variant>
      <vt:variant>
        <vt:i4>6619252</vt:i4>
      </vt:variant>
      <vt:variant>
        <vt:i4>126</vt:i4>
      </vt:variant>
      <vt:variant>
        <vt:i4>0</vt:i4>
      </vt:variant>
      <vt:variant>
        <vt:i4>5</vt:i4>
      </vt:variant>
      <vt:variant>
        <vt:lpwstr>https://eur-lex.europa.eu/legal-content/EN/TXT/?uri=CELEX%3A32012R0648</vt:lpwstr>
      </vt:variant>
      <vt:variant>
        <vt:lpwstr/>
      </vt:variant>
      <vt:variant>
        <vt:i4>7274607</vt:i4>
      </vt:variant>
      <vt:variant>
        <vt:i4>123</vt:i4>
      </vt:variant>
      <vt:variant>
        <vt:i4>0</vt:i4>
      </vt:variant>
      <vt:variant>
        <vt:i4>5</vt:i4>
      </vt:variant>
      <vt:variant>
        <vt:lpwstr>https://eur-lex.europa.eu/legal-content/EN/TXT/?uri=CELEX%3A02014R0600-20240328</vt:lpwstr>
      </vt:variant>
      <vt:variant>
        <vt:lpwstr/>
      </vt:variant>
      <vt:variant>
        <vt:i4>7208962</vt:i4>
      </vt:variant>
      <vt:variant>
        <vt:i4>120</vt:i4>
      </vt:variant>
      <vt:variant>
        <vt:i4>0</vt:i4>
      </vt:variant>
      <vt:variant>
        <vt:i4>5</vt:i4>
      </vt:variant>
      <vt:variant>
        <vt:lpwstr>https://eur-lex.europa.eu/legal-content/EN/TXT/?uri=OJ:L_202400791</vt:lpwstr>
      </vt:variant>
      <vt:variant>
        <vt:lpwstr/>
      </vt:variant>
      <vt:variant>
        <vt:i4>7471209</vt:i4>
      </vt:variant>
      <vt:variant>
        <vt:i4>117</vt:i4>
      </vt:variant>
      <vt:variant>
        <vt:i4>0</vt:i4>
      </vt:variant>
      <vt:variant>
        <vt:i4>5</vt:i4>
      </vt:variant>
      <vt:variant>
        <vt:lpwstr>https://eur-lex.europa.eu/legal-content/EN/TXT/?uri=CELEX%3A02014L0065-20240328</vt:lpwstr>
      </vt:variant>
      <vt:variant>
        <vt:lpwstr/>
      </vt:variant>
      <vt:variant>
        <vt:i4>7274498</vt:i4>
      </vt:variant>
      <vt:variant>
        <vt:i4>114</vt:i4>
      </vt:variant>
      <vt:variant>
        <vt:i4>0</vt:i4>
      </vt:variant>
      <vt:variant>
        <vt:i4>5</vt:i4>
      </vt:variant>
      <vt:variant>
        <vt:lpwstr>https://eur-lex.europa.eu/legal-content/EN/TXT/?uri=OJ:L_202400790</vt:lpwstr>
      </vt:variant>
      <vt:variant>
        <vt:lpwstr/>
      </vt:variant>
      <vt:variant>
        <vt:i4>6946919</vt:i4>
      </vt:variant>
      <vt:variant>
        <vt:i4>111</vt:i4>
      </vt:variant>
      <vt:variant>
        <vt:i4>0</vt:i4>
      </vt:variant>
      <vt:variant>
        <vt:i4>5</vt:i4>
      </vt:variant>
      <vt:variant>
        <vt:lpwstr>https://eur-lex.europa.eu/legal-content/EN/TXT/?uri=CELEX%3A02019R1122-20231230</vt:lpwstr>
      </vt:variant>
      <vt:variant>
        <vt:lpwstr/>
      </vt:variant>
      <vt:variant>
        <vt:i4>1441867</vt:i4>
      </vt:variant>
      <vt:variant>
        <vt:i4>108</vt:i4>
      </vt:variant>
      <vt:variant>
        <vt:i4>0</vt:i4>
      </vt:variant>
      <vt:variant>
        <vt:i4>5</vt:i4>
      </vt:variant>
      <vt:variant>
        <vt:lpwstr>https://eur-lex.europa.eu/legal-content/EN/TXT/?uri=CELEX:32019R1122</vt:lpwstr>
      </vt:variant>
      <vt:variant>
        <vt:lpwstr/>
      </vt:variant>
      <vt:variant>
        <vt:i4>2031705</vt:i4>
      </vt:variant>
      <vt:variant>
        <vt:i4>105</vt:i4>
      </vt:variant>
      <vt:variant>
        <vt:i4>0</vt:i4>
      </vt:variant>
      <vt:variant>
        <vt:i4>5</vt:i4>
      </vt:variant>
      <vt:variant>
        <vt:lpwstr>https://www.esma.europa.eu/document/market-report-eu-carbon-markets-2024</vt:lpwstr>
      </vt:variant>
      <vt:variant>
        <vt:lpwstr/>
      </vt:variant>
      <vt:variant>
        <vt:i4>7274595</vt:i4>
      </vt:variant>
      <vt:variant>
        <vt:i4>102</vt:i4>
      </vt:variant>
      <vt:variant>
        <vt:i4>0</vt:i4>
      </vt:variant>
      <vt:variant>
        <vt:i4>5</vt:i4>
      </vt:variant>
      <vt:variant>
        <vt:lpwstr>https://www.esma.europa.eu/sites/default/files/2024-10/ESMA50-43599798-10379_Carbon_markets_report_2024.pdf</vt:lpwstr>
      </vt:variant>
      <vt:variant>
        <vt:lpwstr/>
      </vt:variant>
      <vt:variant>
        <vt:i4>6815844</vt:i4>
      </vt:variant>
      <vt:variant>
        <vt:i4>99</vt:i4>
      </vt:variant>
      <vt:variant>
        <vt:i4>0</vt:i4>
      </vt:variant>
      <vt:variant>
        <vt:i4>5</vt:i4>
      </vt:variant>
      <vt:variant>
        <vt:lpwstr>https://eur-lex.europa.eu/legal-content/EN/TXT/?uri=CELEX%3A02014R0596-20240109</vt:lpwstr>
      </vt:variant>
      <vt:variant>
        <vt:lpwstr/>
      </vt:variant>
      <vt:variant>
        <vt:i4>6815871</vt:i4>
      </vt:variant>
      <vt:variant>
        <vt:i4>96</vt:i4>
      </vt:variant>
      <vt:variant>
        <vt:i4>0</vt:i4>
      </vt:variant>
      <vt:variant>
        <vt:i4>5</vt:i4>
      </vt:variant>
      <vt:variant>
        <vt:lpwstr>https://eur-lex.europa.eu/legal-content/EN/TXT/?uri=CELEX%3A32014R0596</vt:lpwstr>
      </vt:variant>
      <vt:variant>
        <vt:lpwstr/>
      </vt:variant>
      <vt:variant>
        <vt:i4>6357051</vt:i4>
      </vt:variant>
      <vt:variant>
        <vt:i4>93</vt:i4>
      </vt:variant>
      <vt:variant>
        <vt:i4>0</vt:i4>
      </vt:variant>
      <vt:variant>
        <vt:i4>5</vt:i4>
      </vt:variant>
      <vt:variant>
        <vt:lpwstr>https://www.esma.europa.eu/sites/default/files/mar.pdf</vt:lpwstr>
      </vt:variant>
      <vt:variant>
        <vt:lpwstr/>
      </vt:variant>
      <vt:variant>
        <vt:i4>7471209</vt:i4>
      </vt:variant>
      <vt:variant>
        <vt:i4>90</vt:i4>
      </vt:variant>
      <vt:variant>
        <vt:i4>0</vt:i4>
      </vt:variant>
      <vt:variant>
        <vt:i4>5</vt:i4>
      </vt:variant>
      <vt:variant>
        <vt:lpwstr>https://eur-lex.europa.eu/legal-content/EN/TXT/?uri=CELEX%3A02014L0065-20240328</vt:lpwstr>
      </vt:variant>
      <vt:variant>
        <vt:lpwstr/>
      </vt:variant>
      <vt:variant>
        <vt:i4>7340144</vt:i4>
      </vt:variant>
      <vt:variant>
        <vt:i4>87</vt:i4>
      </vt:variant>
      <vt:variant>
        <vt:i4>0</vt:i4>
      </vt:variant>
      <vt:variant>
        <vt:i4>5</vt:i4>
      </vt:variant>
      <vt:variant>
        <vt:lpwstr>https://eur-lex.europa.eu/legal-content/EN/TXT/?uri=celex%3A32014L0065</vt:lpwstr>
      </vt:variant>
      <vt:variant>
        <vt:lpwstr/>
      </vt:variant>
      <vt:variant>
        <vt:i4>262205</vt:i4>
      </vt:variant>
      <vt:variant>
        <vt:i4>84</vt:i4>
      </vt:variant>
      <vt:variant>
        <vt:i4>0</vt:i4>
      </vt:variant>
      <vt:variant>
        <vt:i4>5</vt:i4>
      </vt:variant>
      <vt:variant>
        <vt:lpwstr>https://climate.ec.europa.eu/news-your-voice/news/notification-germany-voluntary-cancellation-plants-closed-2022-2024-05-02_en</vt:lpwstr>
      </vt:variant>
      <vt:variant>
        <vt:lpwstr/>
      </vt:variant>
      <vt:variant>
        <vt:i4>5439505</vt:i4>
      </vt:variant>
      <vt:variant>
        <vt:i4>81</vt:i4>
      </vt:variant>
      <vt:variant>
        <vt:i4>0</vt:i4>
      </vt:variant>
      <vt:variant>
        <vt:i4>5</vt:i4>
      </vt:variant>
      <vt:variant>
        <vt:lpwstr>https://eur-lex.europa.eu/legal-content/EN/TXT/?uri=CELEX%3A52024XC03415</vt:lpwstr>
      </vt:variant>
      <vt:variant>
        <vt:lpwstr/>
      </vt:variant>
      <vt:variant>
        <vt:i4>524312</vt:i4>
      </vt:variant>
      <vt:variant>
        <vt:i4>78</vt:i4>
      </vt:variant>
      <vt:variant>
        <vt:i4>0</vt:i4>
      </vt:variant>
      <vt:variant>
        <vt:i4>5</vt:i4>
      </vt:variant>
      <vt:variant>
        <vt:lpwstr>https://data.europa.eu/doi/10.2760/744837</vt:lpwstr>
      </vt:variant>
      <vt:variant>
        <vt:lpwstr/>
      </vt:variant>
      <vt:variant>
        <vt:i4>65556</vt:i4>
      </vt:variant>
      <vt:variant>
        <vt:i4>75</vt:i4>
      </vt:variant>
      <vt:variant>
        <vt:i4>0</vt:i4>
      </vt:variant>
      <vt:variant>
        <vt:i4>5</vt:i4>
      </vt:variant>
      <vt:variant>
        <vt:lpwstr>https://data.europa.eu/doi/10.2760/359533</vt:lpwstr>
      </vt:variant>
      <vt:variant>
        <vt:lpwstr/>
      </vt:variant>
      <vt:variant>
        <vt:i4>5832787</vt:i4>
      </vt:variant>
      <vt:variant>
        <vt:i4>72</vt:i4>
      </vt:variant>
      <vt:variant>
        <vt:i4>0</vt:i4>
      </vt:variant>
      <vt:variant>
        <vt:i4>5</vt:i4>
      </vt:variant>
      <vt:variant>
        <vt:lpwstr>https://eur-lex.europa.eu/eli/reg/2023/956/oj</vt:lpwstr>
      </vt:variant>
      <vt:variant>
        <vt:lpwstr/>
      </vt:variant>
      <vt:variant>
        <vt:i4>6881379</vt:i4>
      </vt:variant>
      <vt:variant>
        <vt:i4>69</vt:i4>
      </vt:variant>
      <vt:variant>
        <vt:i4>0</vt:i4>
      </vt:variant>
      <vt:variant>
        <vt:i4>5</vt:i4>
      </vt:variant>
      <vt:variant>
        <vt:lpwstr>https://eur-lex.europa.eu/legal-content/EN/TXT/?uri=CELEX%3A02019R0331-20240101</vt:lpwstr>
      </vt:variant>
      <vt:variant>
        <vt:lpwstr/>
      </vt:variant>
      <vt:variant>
        <vt:i4>1048662</vt:i4>
      </vt:variant>
      <vt:variant>
        <vt:i4>66</vt:i4>
      </vt:variant>
      <vt:variant>
        <vt:i4>0</vt:i4>
      </vt:variant>
      <vt:variant>
        <vt:i4>5</vt:i4>
      </vt:variant>
      <vt:variant>
        <vt:lpwstr>https://eur-lex.europa.eu/legal-content/EN/ALL/?uri=CELEX:32024R0873</vt:lpwstr>
      </vt:variant>
      <vt:variant>
        <vt:lpwstr/>
      </vt:variant>
      <vt:variant>
        <vt:i4>2031693</vt:i4>
      </vt:variant>
      <vt:variant>
        <vt:i4>63</vt:i4>
      </vt:variant>
      <vt:variant>
        <vt:i4>0</vt:i4>
      </vt:variant>
      <vt:variant>
        <vt:i4>5</vt:i4>
      </vt:variant>
      <vt:variant>
        <vt:lpwstr>https://eur-lex.europa.eu/legal-content/EN/TXT/?uri=CELEX:32019R1842</vt:lpwstr>
      </vt:variant>
      <vt:variant>
        <vt:lpwstr/>
      </vt:variant>
      <vt:variant>
        <vt:i4>5242981</vt:i4>
      </vt:variant>
      <vt:variant>
        <vt:i4>60</vt:i4>
      </vt:variant>
      <vt:variant>
        <vt:i4>0</vt:i4>
      </vt:variant>
      <vt:variant>
        <vt:i4>5</vt:i4>
      </vt:variant>
      <vt:variant>
        <vt:lpwstr>https://eur-lex.europa.eu/eli/reg_impl/2021/447</vt:lpwstr>
      </vt:variant>
      <vt:variant>
        <vt:lpwstr/>
      </vt:variant>
      <vt:variant>
        <vt:i4>4980851</vt:i4>
      </vt:variant>
      <vt:variant>
        <vt:i4>57</vt:i4>
      </vt:variant>
      <vt:variant>
        <vt:i4>0</vt:i4>
      </vt:variant>
      <vt:variant>
        <vt:i4>5</vt:i4>
      </vt:variant>
      <vt:variant>
        <vt:lpwstr>https://eur-lex.europa.eu/legal-content/EN/TXT/?toc=OJ%3AL%3A2019%3A120%3AFULL&amp;uri=uriserv%3AOJ.L_.2019.120.01.0020.01.ENG</vt:lpwstr>
      </vt:variant>
      <vt:variant>
        <vt:lpwstr/>
      </vt:variant>
      <vt:variant>
        <vt:i4>7733258</vt:i4>
      </vt:variant>
      <vt:variant>
        <vt:i4>54</vt:i4>
      </vt:variant>
      <vt:variant>
        <vt:i4>0</vt:i4>
      </vt:variant>
      <vt:variant>
        <vt:i4>5</vt:i4>
      </vt:variant>
      <vt:variant>
        <vt:lpwstr>https://climate.ec.europa.eu/eu-action/eu-emissions-trading-system-eu-ets/auctioning_en</vt:lpwstr>
      </vt:variant>
      <vt:variant>
        <vt:lpwstr>documentation</vt:lpwstr>
      </vt:variant>
      <vt:variant>
        <vt:i4>4259934</vt:i4>
      </vt:variant>
      <vt:variant>
        <vt:i4>51</vt:i4>
      </vt:variant>
      <vt:variant>
        <vt:i4>0</vt:i4>
      </vt:variant>
      <vt:variant>
        <vt:i4>5</vt:i4>
      </vt:variant>
      <vt:variant>
        <vt:lpwstr>https://www.eex.com/en/market-data/environmentals/eu-ets-auctions</vt:lpwstr>
      </vt:variant>
      <vt:variant>
        <vt:lpwstr/>
      </vt:variant>
      <vt:variant>
        <vt:i4>7798872</vt:i4>
      </vt:variant>
      <vt:variant>
        <vt:i4>48</vt:i4>
      </vt:variant>
      <vt:variant>
        <vt:i4>0</vt:i4>
      </vt:variant>
      <vt:variant>
        <vt:i4>5</vt:i4>
      </vt:variant>
      <vt:variant>
        <vt:lpwstr>https://climate.ec.europa.eu/news-your-voice/news/revised-2023-auction-calendar-published-2023-06-21_en</vt:lpwstr>
      </vt:variant>
      <vt:variant>
        <vt:lpwstr/>
      </vt:variant>
      <vt:variant>
        <vt:i4>5701717</vt:i4>
      </vt:variant>
      <vt:variant>
        <vt:i4>45</vt:i4>
      </vt:variant>
      <vt:variant>
        <vt:i4>0</vt:i4>
      </vt:variant>
      <vt:variant>
        <vt:i4>5</vt:i4>
      </vt:variant>
      <vt:variant>
        <vt:lpwstr>https://eur-lex.europa.eu/eli/reg/2023/435/oj</vt:lpwstr>
      </vt:variant>
      <vt:variant>
        <vt:lpwstr/>
      </vt:variant>
      <vt:variant>
        <vt:i4>6946928</vt:i4>
      </vt:variant>
      <vt:variant>
        <vt:i4>42</vt:i4>
      </vt:variant>
      <vt:variant>
        <vt:i4>0</vt:i4>
      </vt:variant>
      <vt:variant>
        <vt:i4>5</vt:i4>
      </vt:variant>
      <vt:variant>
        <vt:lpwstr>https://eur-lex.europa.eu/legal-content/EN/TXT/?uri=celex%3A32010R1031</vt:lpwstr>
      </vt:variant>
      <vt:variant>
        <vt:lpwstr/>
      </vt:variant>
      <vt:variant>
        <vt:i4>5898244</vt:i4>
      </vt:variant>
      <vt:variant>
        <vt:i4>39</vt:i4>
      </vt:variant>
      <vt:variant>
        <vt:i4>0</vt:i4>
      </vt:variant>
      <vt:variant>
        <vt:i4>5</vt:i4>
      </vt:variant>
      <vt:variant>
        <vt:lpwstr>https://eur-lex.europa.eu/legal-content/EN/TXT/?uri=CELEX%3A32023D1575&amp;qid=1693214641229</vt:lpwstr>
      </vt:variant>
      <vt:variant>
        <vt:lpwstr/>
      </vt:variant>
      <vt:variant>
        <vt:i4>6094894</vt:i4>
      </vt:variant>
      <vt:variant>
        <vt:i4>36</vt:i4>
      </vt:variant>
      <vt:variant>
        <vt:i4>0</vt:i4>
      </vt:variant>
      <vt:variant>
        <vt:i4>5</vt:i4>
      </vt:variant>
      <vt:variant>
        <vt:lpwstr>https://climate.ec.europa.eu/eu-action/eu-emissions-trading-system-eu-ets/social-climate-fund/consultation-application-dnsh-principle-under-social-climate-fund_en</vt:lpwstr>
      </vt:variant>
      <vt:variant>
        <vt:lpwstr/>
      </vt:variant>
      <vt:variant>
        <vt:i4>6422647</vt:i4>
      </vt:variant>
      <vt:variant>
        <vt:i4>33</vt:i4>
      </vt:variant>
      <vt:variant>
        <vt:i4>0</vt:i4>
      </vt:variant>
      <vt:variant>
        <vt:i4>5</vt:i4>
      </vt:variant>
      <vt:variant>
        <vt:lpwstr>https://eur-lex.europa.eu/legal-content/EN/TXT/?uri=CELEX%3A32020R0852</vt:lpwstr>
      </vt:variant>
      <vt:variant>
        <vt:lpwstr/>
      </vt:variant>
      <vt:variant>
        <vt:i4>4063298</vt:i4>
      </vt:variant>
      <vt:variant>
        <vt:i4>30</vt:i4>
      </vt:variant>
      <vt:variant>
        <vt:i4>0</vt:i4>
      </vt:variant>
      <vt:variant>
        <vt:i4>5</vt:i4>
      </vt:variant>
      <vt:variant>
        <vt:lpwstr>https://climate.ec.europa.eu/eu-action/eu-emissions-trading-system-eu-ets/social-climate-fund_en</vt:lpwstr>
      </vt:variant>
      <vt:variant>
        <vt:lpwstr/>
      </vt:variant>
      <vt:variant>
        <vt:i4>5111813</vt:i4>
      </vt:variant>
      <vt:variant>
        <vt:i4>27</vt:i4>
      </vt:variant>
      <vt:variant>
        <vt:i4>0</vt:i4>
      </vt:variant>
      <vt:variant>
        <vt:i4>5</vt:i4>
      </vt:variant>
      <vt:variant>
        <vt:lpwstr>https://eur-lex.europa.eu/legal-content/EN/TXT/?uri=CELEX%3A32023R0955&amp;qid=1692622985398</vt:lpwstr>
      </vt:variant>
      <vt:variant>
        <vt:lpwstr/>
      </vt:variant>
      <vt:variant>
        <vt:i4>1441838</vt:i4>
      </vt:variant>
      <vt:variant>
        <vt:i4>24</vt:i4>
      </vt:variant>
      <vt:variant>
        <vt:i4>0</vt:i4>
      </vt:variant>
      <vt:variant>
        <vt:i4>5</vt:i4>
      </vt:variant>
      <vt:variant>
        <vt:lpwstr>https://climate.ec.europa.eu/eu-action/eu-emissions-trading-system-eu-ets/ets2-buildings-road-transport-and-additional-sectors_en</vt:lpwstr>
      </vt:variant>
      <vt:variant>
        <vt:lpwstr/>
      </vt:variant>
      <vt:variant>
        <vt:i4>7143523</vt:i4>
      </vt:variant>
      <vt:variant>
        <vt:i4>21</vt:i4>
      </vt:variant>
      <vt:variant>
        <vt:i4>0</vt:i4>
      </vt:variant>
      <vt:variant>
        <vt:i4>5</vt:i4>
      </vt:variant>
      <vt:variant>
        <vt:lpwstr>https://eur-lex.europa.eu/legal-content/EN/TXT/?uri=CELEX%3A02018R2066-20240701</vt:lpwstr>
      </vt:variant>
      <vt:variant>
        <vt:lpwstr/>
      </vt:variant>
      <vt:variant>
        <vt:i4>7012364</vt:i4>
      </vt:variant>
      <vt:variant>
        <vt:i4>18</vt:i4>
      </vt:variant>
      <vt:variant>
        <vt:i4>0</vt:i4>
      </vt:variant>
      <vt:variant>
        <vt:i4>5</vt:i4>
      </vt:variant>
      <vt:variant>
        <vt:lpwstr>https://eur-lex.europa.eu/legal-content/EN/TXT/?uri=OJ:L_202302122</vt:lpwstr>
      </vt:variant>
      <vt:variant>
        <vt:lpwstr/>
      </vt:variant>
      <vt:variant>
        <vt:i4>2031693</vt:i4>
      </vt:variant>
      <vt:variant>
        <vt:i4>15</vt:i4>
      </vt:variant>
      <vt:variant>
        <vt:i4>0</vt:i4>
      </vt:variant>
      <vt:variant>
        <vt:i4>5</vt:i4>
      </vt:variant>
      <vt:variant>
        <vt:lpwstr>https://eur-lex.europa.eu/legal-content/EN/TXT/?uri=CELEX:32018R0842</vt:lpwstr>
      </vt:variant>
      <vt:variant>
        <vt:lpwstr/>
      </vt:variant>
      <vt:variant>
        <vt:i4>7536761</vt:i4>
      </vt:variant>
      <vt:variant>
        <vt:i4>12</vt:i4>
      </vt:variant>
      <vt:variant>
        <vt:i4>0</vt:i4>
      </vt:variant>
      <vt:variant>
        <vt:i4>5</vt:i4>
      </vt:variant>
      <vt:variant>
        <vt:lpwstr>https://eur-lex.europa.eu/legal-content/EN/TXT/?uri=celex%3A32003L0087</vt:lpwstr>
      </vt:variant>
      <vt:variant>
        <vt:lpwstr/>
      </vt:variant>
      <vt:variant>
        <vt:i4>1966144</vt:i4>
      </vt:variant>
      <vt:variant>
        <vt:i4>9</vt:i4>
      </vt:variant>
      <vt:variant>
        <vt:i4>0</vt:i4>
      </vt:variant>
      <vt:variant>
        <vt:i4>5</vt:i4>
      </vt:variant>
      <vt:variant>
        <vt:lpwstr>https://eur-lex.europa.eu/legal-content/EN/TXT/?uri=CELEX:32021R1119</vt:lpwstr>
      </vt:variant>
      <vt:variant>
        <vt:lpwstr/>
      </vt:variant>
      <vt:variant>
        <vt:i4>4128787</vt:i4>
      </vt:variant>
      <vt:variant>
        <vt:i4>6</vt:i4>
      </vt:variant>
      <vt:variant>
        <vt:i4>0</vt:i4>
      </vt:variant>
      <vt:variant>
        <vt:i4>5</vt:i4>
      </vt:variant>
      <vt:variant>
        <vt:lpwstr>https://commission.europa.eu/strategy-and-policy/priorities-2019-2024/european-green-deal/repowereu-affordable-secure-and-sustainable-energy-europe_en</vt:lpwstr>
      </vt:variant>
      <vt:variant>
        <vt:lpwstr>how-repowereu-is-funded</vt:lpwstr>
      </vt:variant>
      <vt:variant>
        <vt:i4>2293787</vt:i4>
      </vt:variant>
      <vt:variant>
        <vt:i4>3</vt:i4>
      </vt:variant>
      <vt:variant>
        <vt:i4>0</vt:i4>
      </vt:variant>
      <vt:variant>
        <vt:i4>5</vt:i4>
      </vt:variant>
      <vt:variant>
        <vt:lpwstr>https://commission.europa.eu/business-economy-euro/economic-recovery/recovery-and-resilience-facility_en</vt:lpwstr>
      </vt:variant>
      <vt:variant>
        <vt:lpwstr/>
      </vt:variant>
      <vt:variant>
        <vt:i4>4259910</vt:i4>
      </vt:variant>
      <vt:variant>
        <vt:i4>0</vt:i4>
      </vt:variant>
      <vt:variant>
        <vt:i4>0</vt:i4>
      </vt:variant>
      <vt:variant>
        <vt:i4>5</vt:i4>
      </vt:variant>
      <vt:variant>
        <vt:lpwstr>https://www.eea.europa.eu/data-and-maps/dashboards/emissions-trading-viewer-1</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46</cp:revision>
  <dcterms:created xsi:type="dcterms:W3CDTF">2024-11-11T15:01:00Z</dcterms:created>
  <dcterms:modified xsi:type="dcterms:W3CDTF">2025-02-04T10:10:00Z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bd9ddd1-4d20-43f6-abfa-fc3c07406f94_Enabled">
    <vt:lpwstr>true</vt:lpwstr>
  </property>
  <property fmtid="{D5CDD505-2E9C-101B-9397-08002B2CF9AE}" pid="3" name="MSIP_Label_6bd9ddd1-4d20-43f6-abfa-fc3c07406f94_SetDate">
    <vt:lpwstr>2024-06-07T13:10:38Z</vt:lpwstr>
  </property>
  <property fmtid="{D5CDD505-2E9C-101B-9397-08002B2CF9AE}" pid="4" name="MSIP_Label_6bd9ddd1-4d20-43f6-abfa-fc3c07406f94_Method">
    <vt:lpwstr>Standard</vt:lpwstr>
  </property>
  <property fmtid="{D5CDD505-2E9C-101B-9397-08002B2CF9AE}" pid="5" name="MSIP_Label_6bd9ddd1-4d20-43f6-abfa-fc3c07406f94_Name">
    <vt:lpwstr>Commission Use</vt:lpwstr>
  </property>
  <property fmtid="{D5CDD505-2E9C-101B-9397-08002B2CF9AE}" pid="6" name="MSIP_Label_6bd9ddd1-4d20-43f6-abfa-fc3c07406f94_SiteId">
    <vt:lpwstr>b24c8b06-522c-46fe-9080-70926f8dddb1</vt:lpwstr>
  </property>
  <property fmtid="{D5CDD505-2E9C-101B-9397-08002B2CF9AE}" pid="7" name="MSIP_Label_6bd9ddd1-4d20-43f6-abfa-fc3c07406f94_ActionId">
    <vt:lpwstr>79c5e873-379c-4508-8b62-6e93161e6ec0</vt:lpwstr>
  </property>
  <property fmtid="{D5CDD505-2E9C-101B-9397-08002B2CF9AE}" pid="8" name="MSIP_Label_6bd9ddd1-4d20-43f6-abfa-fc3c07406f94_ContentBits">
    <vt:lpwstr>0</vt:lpwstr>
  </property>
  <property fmtid="{D5CDD505-2E9C-101B-9397-08002B2CF9AE}" pid="9" name="ContentTypeId">
    <vt:lpwstr>0x0101008B9D831894C8B1499FBAEF2F1AA460BE003253F1546890064BAC12A2CD1C71CFAE</vt:lpwstr>
  </property>
  <property fmtid="{D5CDD505-2E9C-101B-9397-08002B2CF9AE}" pid="10" name="MediaServiceImageTags">
    <vt:lpwstr/>
  </property>
  <property fmtid="{D5CDD505-2E9C-101B-9397-08002B2CF9AE}" pid="11" name="Level of sensitivity">
    <vt:lpwstr>Standard treatment</vt:lpwstr>
  </property>
  <property fmtid="{D5CDD505-2E9C-101B-9397-08002B2CF9AE}" pid="12" name="Part">
    <vt:lpwstr>1</vt:lpwstr>
  </property>
  <property fmtid="{D5CDD505-2E9C-101B-9397-08002B2CF9AE}" pid="13" name="Total parts">
    <vt:lpwstr>1</vt:lpwstr>
  </property>
  <property fmtid="{D5CDD505-2E9C-101B-9397-08002B2CF9AE}" pid="14" name="Last edited using">
    <vt:lpwstr>LW 9.1, Build 20240808</vt:lpwstr>
  </property>
  <property fmtid="{D5CDD505-2E9C-101B-9397-08002B2CF9AE}" pid="15" name="DocStatus">
    <vt:lpwstr>Green</vt:lpwstr>
  </property>
  <property fmtid="{D5CDD505-2E9C-101B-9397-08002B2CF9AE}" pid="16" name="CPTemplateID">
    <vt:lpwstr>CP-006</vt:lpwstr>
  </property>
  <property fmtid="{D5CDD505-2E9C-101B-9397-08002B2CF9AE}" pid="17" name="Created using">
    <vt:lpwstr>LW 9.0, Build 20230317</vt:lpwstr>
  </property>
  <property name="OP_sanitized" fmtid="{D5CDD505-2E9C-101B-9397-08002B2CF9AE}" pid="18">
    <vt:lpwstr>True</vt:lpwstr>
  </property>
</Properties>
</file>