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83D" w:rsidRDefault="00A30D0A" w:rsidP="00A30D0A">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25E836F-97E7-41AD-8F3F-C9F3D69EC960" style="width:455.25pt;height:462.75pt">
            <v:imagedata r:id="rId7" o:title=""/>
          </v:shape>
        </w:pict>
      </w:r>
    </w:p>
    <w:bookmarkEnd w:id="0"/>
    <w:p w:rsidR="0099383D" w:rsidRDefault="0099383D" w:rsidP="0099383D">
      <w:pPr>
        <w:rPr>
          <w:noProof/>
        </w:rPr>
        <w:sectPr w:rsidR="0099383D" w:rsidSect="00A30D0A">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tbl>
      <w:tblPr>
        <w:tblStyle w:val="TableGrid"/>
        <w:tblW w:w="9923" w:type="dxa"/>
        <w:tblInd w:w="137" w:type="dxa"/>
        <w:tblLook w:val="01E0" w:firstRow="1" w:lastRow="1" w:firstColumn="1" w:lastColumn="1" w:noHBand="0" w:noVBand="0"/>
      </w:tblPr>
      <w:tblGrid>
        <w:gridCol w:w="9923"/>
      </w:tblGrid>
      <w:tr w:rsidR="0099383D" w:rsidRPr="0099383D" w:rsidTr="003E77C6">
        <w:tc>
          <w:tcPr>
            <w:tcW w:w="9923" w:type="dxa"/>
            <w:tcBorders>
              <w:bottom w:val="single" w:sz="4" w:space="0" w:color="auto"/>
            </w:tcBorders>
            <w:shd w:val="clear" w:color="auto" w:fill="CCCCCC"/>
          </w:tcPr>
          <w:p w:rsidR="0099383D" w:rsidRPr="0099383D" w:rsidRDefault="0099383D" w:rsidP="0099383D">
            <w:pPr>
              <w:spacing w:before="60" w:after="60"/>
              <w:jc w:val="center"/>
              <w:rPr>
                <w:rFonts w:ascii="Tahoma" w:hAnsi="Tahoma" w:cs="Tahoma"/>
                <w:b/>
                <w:noProof/>
              </w:rPr>
            </w:pPr>
            <w:bookmarkStart w:id="1" w:name="_GoBack"/>
            <w:bookmarkEnd w:id="1"/>
            <w:r>
              <w:rPr>
                <w:rFonts w:ascii="Tahoma" w:hAnsi="Tahoma"/>
                <w:b/>
                <w:noProof/>
              </w:rPr>
              <w:lastRenderedPageBreak/>
              <w:t>Fișă rezumat</w:t>
            </w:r>
          </w:p>
        </w:tc>
      </w:tr>
      <w:tr w:rsidR="0099383D" w:rsidRPr="0099383D" w:rsidTr="003E77C6">
        <w:tc>
          <w:tcPr>
            <w:tcW w:w="9923" w:type="dxa"/>
            <w:tcBorders>
              <w:top w:val="single" w:sz="4" w:space="0" w:color="auto"/>
              <w:left w:val="single" w:sz="4" w:space="0" w:color="auto"/>
              <w:bottom w:val="single" w:sz="4" w:space="0" w:color="auto"/>
              <w:right w:val="single" w:sz="4" w:space="0" w:color="auto"/>
            </w:tcBorders>
            <w:shd w:val="clear" w:color="auto" w:fill="5B9BD5" w:themeFill="accent1"/>
          </w:tcPr>
          <w:p w:rsidR="0099383D" w:rsidRPr="0099383D" w:rsidRDefault="0099383D" w:rsidP="0099383D">
            <w:pPr>
              <w:spacing w:before="120" w:after="120"/>
              <w:jc w:val="both"/>
              <w:rPr>
                <w:rFonts w:ascii="Tahoma" w:hAnsi="Tahoma" w:cs="Tahoma"/>
                <w:b/>
                <w:noProof/>
              </w:rPr>
            </w:pPr>
            <w:r>
              <w:rPr>
                <w:rFonts w:ascii="Tahoma" w:hAnsi="Tahoma"/>
                <w:noProof/>
                <w:color w:val="FFFFFF" w:themeColor="background1"/>
              </w:rPr>
              <w:t xml:space="preserve">Evaluarea impactului revizuirii normelor UE privind confiscarea și recuperarea activelor </w:t>
            </w:r>
          </w:p>
        </w:tc>
      </w:tr>
      <w:tr w:rsidR="0099383D" w:rsidRPr="0099383D" w:rsidTr="003E77C6">
        <w:tc>
          <w:tcPr>
            <w:tcW w:w="9923" w:type="dxa"/>
            <w:tcBorders>
              <w:bottom w:val="single" w:sz="4" w:space="0" w:color="auto"/>
            </w:tcBorders>
            <w:shd w:val="clear" w:color="auto" w:fill="CCCCCC"/>
          </w:tcPr>
          <w:p w:rsidR="0099383D" w:rsidRPr="0099383D" w:rsidRDefault="0099383D" w:rsidP="0099383D">
            <w:pPr>
              <w:spacing w:before="60" w:after="60"/>
              <w:jc w:val="center"/>
              <w:rPr>
                <w:rFonts w:ascii="Tahoma" w:hAnsi="Tahoma" w:cs="Tahoma"/>
                <w:b/>
                <w:noProof/>
              </w:rPr>
            </w:pPr>
            <w:r>
              <w:rPr>
                <w:rFonts w:ascii="Tahoma" w:hAnsi="Tahoma"/>
                <w:b/>
                <w:noProof/>
              </w:rPr>
              <w:t>A. Necesitatea de a acționa</w:t>
            </w:r>
          </w:p>
        </w:tc>
      </w:tr>
      <w:tr w:rsidR="0099383D" w:rsidRPr="0099383D" w:rsidTr="003E77C6">
        <w:tc>
          <w:tcPr>
            <w:tcW w:w="9923" w:type="dxa"/>
            <w:tcBorders>
              <w:bottom w:val="single" w:sz="4" w:space="0" w:color="auto"/>
            </w:tcBorders>
            <w:shd w:val="clear" w:color="auto" w:fill="E0E0E0"/>
          </w:tcPr>
          <w:p w:rsidR="0099383D" w:rsidRPr="0099383D" w:rsidRDefault="0099383D" w:rsidP="0099383D">
            <w:pPr>
              <w:spacing w:before="60" w:after="60"/>
              <w:jc w:val="both"/>
              <w:rPr>
                <w:rFonts w:ascii="Tahoma" w:hAnsi="Tahoma" w:cs="Tahoma"/>
                <w:noProof/>
              </w:rPr>
            </w:pPr>
            <w:r>
              <w:rPr>
                <w:rFonts w:ascii="Tahoma" w:hAnsi="Tahoma"/>
                <w:b/>
                <w:noProof/>
              </w:rPr>
              <w:t xml:space="preserve">De ce? Care este problema abordată? </w:t>
            </w:r>
          </w:p>
        </w:tc>
      </w:tr>
      <w:tr w:rsidR="0099383D" w:rsidRPr="0099383D" w:rsidTr="003E77C6">
        <w:tc>
          <w:tcPr>
            <w:tcW w:w="9923" w:type="dxa"/>
            <w:tcBorders>
              <w:bottom w:val="single" w:sz="4" w:space="0" w:color="auto"/>
            </w:tcBorders>
            <w:shd w:val="clear" w:color="auto" w:fill="auto"/>
          </w:tcPr>
          <w:p w:rsidR="0099383D" w:rsidRPr="0099383D" w:rsidRDefault="0099383D" w:rsidP="0099383D">
            <w:pPr>
              <w:jc w:val="both"/>
              <w:rPr>
                <w:rFonts w:ascii="Arial" w:hAnsi="Arial" w:cs="Arial"/>
                <w:noProof/>
              </w:rPr>
            </w:pPr>
            <w:r>
              <w:rPr>
                <w:rFonts w:ascii="Arial" w:hAnsi="Arial"/>
                <w:noProof/>
              </w:rPr>
              <w:t>Criminalitatea organizată reprezintă una dintre cele mai mari amenințări la adresa securității Uniunii</w:t>
            </w:r>
            <w:r w:rsidR="00A81889">
              <w:rPr>
                <w:rFonts w:ascii="Arial" w:hAnsi="Arial"/>
                <w:noProof/>
              </w:rPr>
              <w:t> </w:t>
            </w:r>
            <w:r>
              <w:rPr>
                <w:rFonts w:ascii="Arial" w:hAnsi="Arial"/>
                <w:noProof/>
              </w:rPr>
              <w:t xml:space="preserve">Europene. Modurile de operare din ce în ce mai complexe și sofisticate de a spăla și de a ascunde activele ilicite și amploarea profiturilor mari care se generează, estimate la cel puțin </w:t>
            </w:r>
            <w:r w:rsidRPr="00A81889">
              <w:rPr>
                <w:rFonts w:ascii="Arial" w:hAnsi="Arial"/>
                <w:noProof/>
              </w:rPr>
              <w:t>139</w:t>
            </w:r>
            <w:r>
              <w:rPr>
                <w:rFonts w:ascii="Arial" w:hAnsi="Arial"/>
                <w:noProof/>
              </w:rPr>
              <w:t xml:space="preserve"> de miliarde EUR anual, fac extrem de dificilă anihilarea activităților de criminalitate organizată. Este esențial să se recupereze profiturile obținute ilicit și să se garanteze faptul că săvârșirea de infracțiuni nu este o activitate profitabilă. În pofida Deciziei Consiliului din </w:t>
            </w:r>
            <w:r w:rsidRPr="00A81889">
              <w:rPr>
                <w:rFonts w:ascii="Arial" w:hAnsi="Arial"/>
                <w:noProof/>
              </w:rPr>
              <w:t>2007</w:t>
            </w:r>
            <w:r>
              <w:rPr>
                <w:rFonts w:ascii="Arial" w:hAnsi="Arial"/>
                <w:noProof/>
              </w:rPr>
              <w:t xml:space="preserve"> privind oficiile de recuperare a activelor și a Directivei privind confiscarea din </w:t>
            </w:r>
            <w:r w:rsidRPr="00A81889">
              <w:rPr>
                <w:rFonts w:ascii="Arial" w:hAnsi="Arial"/>
                <w:noProof/>
              </w:rPr>
              <w:t>2014</w:t>
            </w:r>
            <w:r>
              <w:rPr>
                <w:rFonts w:ascii="Arial" w:hAnsi="Arial"/>
                <w:noProof/>
              </w:rPr>
              <w:t xml:space="preserve"> de stabilire a unor standarde minime pentru indisponibilizare și confiscare, cea mai mare parte din activele ilicite rămâne în mâinile infractorilor. Motivele sunt următoarele: </w:t>
            </w:r>
          </w:p>
          <w:p w:rsidR="0099383D" w:rsidRPr="0099383D" w:rsidRDefault="0099383D" w:rsidP="0099383D">
            <w:pPr>
              <w:numPr>
                <w:ilvl w:val="0"/>
                <w:numId w:val="1"/>
              </w:numPr>
              <w:contextualSpacing/>
              <w:jc w:val="both"/>
              <w:rPr>
                <w:rFonts w:ascii="Arial" w:hAnsi="Arial" w:cs="Arial"/>
                <w:noProof/>
              </w:rPr>
            </w:pPr>
            <w:r>
              <w:rPr>
                <w:rFonts w:ascii="Arial" w:hAnsi="Arial"/>
                <w:b/>
                <w:noProof/>
              </w:rPr>
              <w:t>capacitățile de identificare, urmărire și indisponibilizare rapidă a activelor sunt limitate</w:t>
            </w:r>
            <w:r>
              <w:rPr>
                <w:rFonts w:ascii="Arial" w:hAnsi="Arial"/>
                <w:noProof/>
              </w:rPr>
              <w:t>, având în vedere că autoritățile de asigurare a respectării legii nu acordă prioritate investigațiilor financiare și că birourile de recuperare a activelor de la nivel național nu dispun de resursele, competențele și informațiile necesare pentru a coopera în mod eficient;</w:t>
            </w:r>
          </w:p>
          <w:p w:rsidR="0099383D" w:rsidRPr="0099383D" w:rsidRDefault="0099383D" w:rsidP="0099383D">
            <w:pPr>
              <w:numPr>
                <w:ilvl w:val="0"/>
                <w:numId w:val="1"/>
              </w:numPr>
              <w:contextualSpacing/>
              <w:jc w:val="both"/>
              <w:rPr>
                <w:rFonts w:ascii="Arial" w:hAnsi="Arial" w:cs="Arial"/>
                <w:noProof/>
              </w:rPr>
            </w:pPr>
            <w:r>
              <w:rPr>
                <w:rFonts w:ascii="Arial" w:hAnsi="Arial"/>
                <w:b/>
                <w:noProof/>
              </w:rPr>
              <w:t>gestionarea activelor nu se realizează întotdeauna în mod eficient</w:t>
            </w:r>
            <w:r>
              <w:rPr>
                <w:rFonts w:ascii="Arial" w:hAnsi="Arial"/>
                <w:noProof/>
              </w:rPr>
              <w:t>, deoarece cunoștințele de specialitate necesare nu sunt întotdeauna disponibile și nu se iau în mod sistematic măsuri care să garanteze că activele nu își pierd din valoare. Costurile ridicate de gestionare a activelor și deprecierea</w:t>
            </w:r>
            <w:r w:rsidR="00A81889">
              <w:rPr>
                <w:rFonts w:ascii="Arial" w:hAnsi="Arial"/>
                <w:noProof/>
              </w:rPr>
              <w:t xml:space="preserve"> </w:t>
            </w:r>
            <w:r>
              <w:rPr>
                <w:rFonts w:ascii="Arial" w:hAnsi="Arial"/>
                <w:noProof/>
              </w:rPr>
              <w:t xml:space="preserve">acestora descurajează lansarea procedurilor de urmărire și indisponibilizare; </w:t>
            </w:r>
          </w:p>
          <w:p w:rsidR="0099383D" w:rsidRPr="0099383D" w:rsidRDefault="0099383D" w:rsidP="0099383D">
            <w:pPr>
              <w:numPr>
                <w:ilvl w:val="0"/>
                <w:numId w:val="1"/>
              </w:numPr>
              <w:contextualSpacing/>
              <w:jc w:val="both"/>
              <w:rPr>
                <w:rFonts w:ascii="Arial" w:hAnsi="Arial" w:cs="Arial"/>
                <w:noProof/>
              </w:rPr>
            </w:pPr>
            <w:r>
              <w:rPr>
                <w:rFonts w:ascii="Arial" w:hAnsi="Arial"/>
                <w:b/>
                <w:noProof/>
              </w:rPr>
              <w:t>instrumentele de confiscare</w:t>
            </w:r>
            <w:r>
              <w:rPr>
                <w:rFonts w:ascii="Arial" w:hAnsi="Arial"/>
                <w:noProof/>
              </w:rPr>
              <w:t xml:space="preserve"> existente </w:t>
            </w:r>
            <w:r>
              <w:rPr>
                <w:rFonts w:ascii="Arial" w:hAnsi="Arial"/>
                <w:b/>
                <w:noProof/>
              </w:rPr>
              <w:t>nu acoperă toate piețele infracționale</w:t>
            </w:r>
            <w:r>
              <w:rPr>
                <w:rFonts w:ascii="Arial" w:hAnsi="Arial"/>
                <w:noProof/>
              </w:rPr>
              <w:t xml:space="preserve"> și nu sunt concepute astfel încât să poată ajunge la produsele provenite din săvârșirea de infracțiuni atunci când infractorii, în special cei aflați la nivelurile superioare ale grupurilor infracționale, își acoperă cu succes urmele și ascund originea ilicită a activelor lor;</w:t>
            </w:r>
          </w:p>
          <w:p w:rsidR="0099383D" w:rsidRPr="0099383D" w:rsidRDefault="0099383D" w:rsidP="0099383D">
            <w:pPr>
              <w:numPr>
                <w:ilvl w:val="0"/>
                <w:numId w:val="1"/>
              </w:numPr>
              <w:contextualSpacing/>
              <w:jc w:val="both"/>
              <w:rPr>
                <w:rFonts w:ascii="Arial" w:hAnsi="Arial" w:cs="Arial"/>
                <w:noProof/>
              </w:rPr>
            </w:pPr>
            <w:r>
              <w:rPr>
                <w:rFonts w:ascii="Arial" w:hAnsi="Arial"/>
                <w:noProof/>
              </w:rPr>
              <w:t>în plus, activităților de recuperare și confiscare a activelor nu li se acordă în mod suficient prioritate, în contextul în care există o gamă largă de autorități care au roluri diferite.</w:t>
            </w:r>
            <w:r w:rsidR="00A81889">
              <w:rPr>
                <w:rFonts w:ascii="Arial" w:hAnsi="Arial"/>
                <w:noProof/>
              </w:rPr>
              <w:t xml:space="preserve"> </w:t>
            </w:r>
          </w:p>
        </w:tc>
      </w:tr>
      <w:tr w:rsidR="0099383D" w:rsidRPr="0099383D" w:rsidTr="003E77C6">
        <w:tc>
          <w:tcPr>
            <w:tcW w:w="9923" w:type="dxa"/>
            <w:tcBorders>
              <w:bottom w:val="single" w:sz="4" w:space="0" w:color="auto"/>
            </w:tcBorders>
            <w:shd w:val="clear" w:color="auto" w:fill="E6E6E6"/>
          </w:tcPr>
          <w:p w:rsidR="0099383D" w:rsidRPr="0099383D" w:rsidRDefault="0099383D" w:rsidP="0099383D">
            <w:pPr>
              <w:spacing w:before="60" w:after="60"/>
              <w:jc w:val="both"/>
              <w:rPr>
                <w:rFonts w:ascii="Tahoma" w:hAnsi="Tahoma" w:cs="Tahoma"/>
                <w:noProof/>
              </w:rPr>
            </w:pPr>
            <w:r>
              <w:rPr>
                <w:rFonts w:ascii="Tahoma" w:hAnsi="Tahoma"/>
                <w:b/>
                <w:noProof/>
              </w:rPr>
              <w:t xml:space="preserve">Ce se așteaptă de la această inițiativă? </w:t>
            </w:r>
          </w:p>
        </w:tc>
      </w:tr>
      <w:tr w:rsidR="0099383D" w:rsidRPr="0099383D" w:rsidTr="003E77C6">
        <w:tc>
          <w:tcPr>
            <w:tcW w:w="9923" w:type="dxa"/>
            <w:tcBorders>
              <w:bottom w:val="single" w:sz="4" w:space="0" w:color="auto"/>
            </w:tcBorders>
            <w:shd w:val="clear" w:color="auto" w:fill="auto"/>
          </w:tcPr>
          <w:p w:rsidR="0099383D" w:rsidRPr="0099383D" w:rsidRDefault="0099383D" w:rsidP="0099383D">
            <w:pPr>
              <w:jc w:val="both"/>
              <w:rPr>
                <w:rFonts w:ascii="Arial" w:hAnsi="Arial" w:cs="Arial"/>
                <w:noProof/>
              </w:rPr>
            </w:pPr>
            <w:r>
              <w:rPr>
                <w:rFonts w:ascii="Arial" w:hAnsi="Arial"/>
                <w:noProof/>
              </w:rPr>
              <w:t xml:space="preserve">Se preconizează că această inițiativă </w:t>
            </w:r>
            <w:r>
              <w:rPr>
                <w:rFonts w:ascii="Arial" w:hAnsi="Arial"/>
                <w:b/>
                <w:noProof/>
              </w:rPr>
              <w:t>va consolida capacitatea autorităților competente de a-i priva pe infractori de profiturile ilicite pe care le obțin</w:t>
            </w:r>
            <w:r>
              <w:rPr>
                <w:rFonts w:ascii="Arial" w:hAnsi="Arial"/>
                <w:noProof/>
              </w:rPr>
              <w:t xml:space="preserve">, subminându-le deci capacitatea de a continua să desfășoare alte activități infracționale. În vederea atingerii acestui obiectiv general, prezenta inițiativă vizează îndeplinirea a patru obiective specifice: </w:t>
            </w:r>
          </w:p>
          <w:p w:rsidR="0099383D" w:rsidRPr="0099383D" w:rsidRDefault="0099383D" w:rsidP="0099383D">
            <w:pPr>
              <w:numPr>
                <w:ilvl w:val="0"/>
                <w:numId w:val="2"/>
              </w:numPr>
              <w:contextualSpacing/>
              <w:jc w:val="both"/>
              <w:rPr>
                <w:rFonts w:ascii="Arial" w:hAnsi="Arial" w:cs="Arial"/>
                <w:noProof/>
              </w:rPr>
            </w:pPr>
            <w:r>
              <w:rPr>
                <w:rFonts w:ascii="Arial" w:hAnsi="Arial"/>
                <w:b/>
                <w:noProof/>
              </w:rPr>
              <w:t>consolidarea capacităților de urmărire a activelor</w:t>
            </w:r>
            <w:r>
              <w:rPr>
                <w:rFonts w:ascii="Arial" w:hAnsi="Arial"/>
                <w:noProof/>
              </w:rPr>
              <w:t xml:space="preserve"> prin asigurarea faptului că autoritățile competente dispun de competențele și resursele necesare, precum și de un acces suficient la informații pentru a depista activele și a coopera la nivel transfrontalier;</w:t>
            </w:r>
          </w:p>
          <w:p w:rsidR="0099383D" w:rsidRPr="0099383D" w:rsidRDefault="0099383D" w:rsidP="0099383D">
            <w:pPr>
              <w:numPr>
                <w:ilvl w:val="0"/>
                <w:numId w:val="2"/>
              </w:numPr>
              <w:contextualSpacing/>
              <w:jc w:val="both"/>
              <w:rPr>
                <w:rFonts w:ascii="Arial" w:hAnsi="Arial" w:cs="Arial"/>
                <w:noProof/>
              </w:rPr>
            </w:pPr>
            <w:r>
              <w:rPr>
                <w:rFonts w:ascii="Arial" w:hAnsi="Arial"/>
                <w:b/>
                <w:noProof/>
              </w:rPr>
              <w:t>îmbunătățirea instrumentelor de gestionare a activelor</w:t>
            </w:r>
            <w:r>
              <w:rPr>
                <w:rFonts w:ascii="Arial" w:hAnsi="Arial"/>
                <w:noProof/>
              </w:rPr>
              <w:t xml:space="preserve"> pentru a reduce la minimum costurile aferente și a conserva valoarea activelor;</w:t>
            </w:r>
            <w:r w:rsidR="00A81889">
              <w:rPr>
                <w:rFonts w:ascii="Arial" w:hAnsi="Arial"/>
                <w:noProof/>
              </w:rPr>
              <w:t xml:space="preserve"> </w:t>
            </w:r>
          </w:p>
          <w:p w:rsidR="0099383D" w:rsidRPr="0099383D" w:rsidRDefault="0099383D" w:rsidP="0099383D">
            <w:pPr>
              <w:numPr>
                <w:ilvl w:val="0"/>
                <w:numId w:val="2"/>
              </w:numPr>
              <w:contextualSpacing/>
              <w:jc w:val="both"/>
              <w:rPr>
                <w:rFonts w:ascii="Arial" w:hAnsi="Arial" w:cs="Arial"/>
                <w:noProof/>
              </w:rPr>
            </w:pPr>
            <w:r>
              <w:rPr>
                <w:rFonts w:ascii="Arial" w:hAnsi="Arial"/>
                <w:b/>
                <w:noProof/>
              </w:rPr>
              <w:t>consolidarea capacităților de confiscare</w:t>
            </w:r>
            <w:r>
              <w:rPr>
                <w:rFonts w:ascii="Arial" w:hAnsi="Arial"/>
                <w:noProof/>
              </w:rPr>
              <w:t xml:space="preserve">, astfel încât autoritățile să ajungă la activitățile infracționale și la activele ilicite deținute de grupurile infracționale organizate, în special, de vârfurile acestor grupuri; </w:t>
            </w:r>
          </w:p>
          <w:p w:rsidR="0099383D" w:rsidRPr="0099383D" w:rsidRDefault="0099383D" w:rsidP="00A81889">
            <w:pPr>
              <w:numPr>
                <w:ilvl w:val="0"/>
                <w:numId w:val="2"/>
              </w:numPr>
              <w:contextualSpacing/>
              <w:jc w:val="both"/>
              <w:rPr>
                <w:rFonts w:ascii="Arial" w:hAnsi="Arial" w:cs="Arial"/>
                <w:noProof/>
              </w:rPr>
            </w:pPr>
            <w:r>
              <w:rPr>
                <w:rFonts w:ascii="Arial" w:hAnsi="Arial"/>
                <w:b/>
                <w:noProof/>
              </w:rPr>
              <w:t>îmbunătățirea eficienței sistemului de recuperare a activelor</w:t>
            </w:r>
            <w:r>
              <w:rPr>
                <w:rFonts w:ascii="Arial" w:hAnsi="Arial"/>
                <w:noProof/>
              </w:rPr>
              <w:t xml:space="preserve"> printr-o abordare mai strategică și printr</w:t>
            </w:r>
            <w:r w:rsidR="00A81889">
              <w:rPr>
                <w:rFonts w:ascii="Arial" w:hAnsi="Arial" w:cs="Arial"/>
                <w:noProof/>
              </w:rPr>
              <w:t>­</w:t>
            </w:r>
            <w:r>
              <w:rPr>
                <w:rFonts w:ascii="Arial" w:hAnsi="Arial"/>
                <w:noProof/>
              </w:rPr>
              <w:t>o cooperare sporită.</w:t>
            </w:r>
            <w:r>
              <w:rPr>
                <w:rFonts w:ascii="Arial" w:hAnsi="Arial"/>
                <w:b/>
                <w:noProof/>
              </w:rPr>
              <w:t xml:space="preserve"> </w:t>
            </w:r>
          </w:p>
        </w:tc>
      </w:tr>
      <w:tr w:rsidR="0099383D" w:rsidRPr="0099383D" w:rsidTr="003E77C6">
        <w:tc>
          <w:tcPr>
            <w:tcW w:w="9923" w:type="dxa"/>
            <w:tcBorders>
              <w:bottom w:val="single" w:sz="4" w:space="0" w:color="auto"/>
            </w:tcBorders>
            <w:shd w:val="clear" w:color="auto" w:fill="E6E6E6"/>
          </w:tcPr>
          <w:p w:rsidR="0099383D" w:rsidRPr="0099383D" w:rsidRDefault="0099383D" w:rsidP="0099383D">
            <w:pPr>
              <w:spacing w:before="60" w:after="60"/>
              <w:jc w:val="both"/>
              <w:rPr>
                <w:rFonts w:ascii="Tahoma" w:hAnsi="Tahoma" w:cs="Tahoma"/>
                <w:noProof/>
              </w:rPr>
            </w:pPr>
            <w:r>
              <w:rPr>
                <w:rFonts w:ascii="Tahoma" w:hAnsi="Tahoma"/>
                <w:b/>
                <w:noProof/>
              </w:rPr>
              <w:t>Care este valoarea adăugată a acțiunii la nivelul UE?</w:t>
            </w:r>
            <w:r>
              <w:rPr>
                <w:rFonts w:ascii="Tahoma" w:hAnsi="Tahoma"/>
                <w:noProof/>
              </w:rPr>
              <w:t xml:space="preserve"> </w:t>
            </w:r>
          </w:p>
        </w:tc>
      </w:tr>
      <w:tr w:rsidR="0099383D" w:rsidRPr="0099383D" w:rsidTr="003E77C6">
        <w:tc>
          <w:tcPr>
            <w:tcW w:w="9923" w:type="dxa"/>
            <w:tcBorders>
              <w:bottom w:val="single" w:sz="4" w:space="0" w:color="auto"/>
            </w:tcBorders>
            <w:shd w:val="clear" w:color="auto" w:fill="auto"/>
          </w:tcPr>
          <w:p w:rsidR="0099383D" w:rsidRPr="0099383D" w:rsidRDefault="0099383D" w:rsidP="0099383D">
            <w:pPr>
              <w:jc w:val="both"/>
              <w:rPr>
                <w:rFonts w:ascii="Arial" w:hAnsi="Arial" w:cs="Arial"/>
                <w:noProof/>
              </w:rPr>
            </w:pPr>
            <w:r>
              <w:rPr>
                <w:rFonts w:ascii="Arial" w:hAnsi="Arial"/>
                <w:noProof/>
              </w:rPr>
              <w:t>Grupurile infracționale organizate își împart bunurile ilicite în mai multe jurisdicții. Autoritățile naționale se bazează pe urmărirea și indisponibilizarea eficace a activelor în alte state membre și pe mecanisme de cooperare la nivelul UE pentru recuperarea activelor ilicite. Dacă într-un stat membru există dispoziții insuficiente privind recuperarea activelor, este afectată securitatea tuturor statelor membre în care grupurile infracționale organizate utilizează profiturile ilicite pentru a derula activități infracționale în întreaga UE. Autoritățile naționale și părțile interesate au recunoscut că Uniunea Europeană este mai în măsură să elaboreze norme comune pentru a combate acest fenomen infracțional transnațional.</w:t>
            </w:r>
            <w:r w:rsidR="00A81889">
              <w:rPr>
                <w:rFonts w:ascii="Arial" w:hAnsi="Arial"/>
                <w:noProof/>
              </w:rPr>
              <w:t xml:space="preserve"> </w:t>
            </w:r>
          </w:p>
        </w:tc>
      </w:tr>
      <w:tr w:rsidR="0099383D" w:rsidRPr="0099383D" w:rsidTr="003E77C6">
        <w:tc>
          <w:tcPr>
            <w:tcW w:w="9923" w:type="dxa"/>
            <w:tcBorders>
              <w:bottom w:val="single" w:sz="4" w:space="0" w:color="auto"/>
            </w:tcBorders>
            <w:shd w:val="clear" w:color="auto" w:fill="CCCCCC"/>
          </w:tcPr>
          <w:p w:rsidR="0099383D" w:rsidRPr="0099383D" w:rsidRDefault="0099383D" w:rsidP="0099383D">
            <w:pPr>
              <w:spacing w:before="60" w:after="60"/>
              <w:jc w:val="center"/>
              <w:rPr>
                <w:rFonts w:ascii="Tahoma" w:hAnsi="Tahoma" w:cs="Tahoma"/>
                <w:b/>
                <w:noProof/>
              </w:rPr>
            </w:pPr>
            <w:r>
              <w:rPr>
                <w:rFonts w:ascii="Tahoma" w:hAnsi="Tahoma"/>
                <w:b/>
                <w:noProof/>
              </w:rPr>
              <w:t>B. Soluții</w:t>
            </w:r>
          </w:p>
        </w:tc>
      </w:tr>
      <w:tr w:rsidR="0099383D" w:rsidRPr="0099383D" w:rsidTr="003E77C6">
        <w:tc>
          <w:tcPr>
            <w:tcW w:w="9923" w:type="dxa"/>
            <w:tcBorders>
              <w:bottom w:val="single" w:sz="4" w:space="0" w:color="auto"/>
            </w:tcBorders>
            <w:shd w:val="clear" w:color="auto" w:fill="E6E6E6"/>
          </w:tcPr>
          <w:p w:rsidR="0099383D" w:rsidRPr="0099383D" w:rsidRDefault="0099383D" w:rsidP="0099383D">
            <w:pPr>
              <w:spacing w:before="60"/>
              <w:jc w:val="both"/>
              <w:rPr>
                <w:rFonts w:ascii="Tahoma" w:hAnsi="Tahoma" w:cs="Tahoma"/>
                <w:noProof/>
              </w:rPr>
            </w:pPr>
            <w:r>
              <w:rPr>
                <w:rFonts w:ascii="Tahoma" w:hAnsi="Tahoma"/>
                <w:b/>
                <w:noProof/>
              </w:rPr>
              <w:t>Ce opțiuni legislative și nelegislative au fost examinate la nivel de politică? Există sau nu o opțiune preferată? De ce?</w:t>
            </w:r>
            <w:r>
              <w:rPr>
                <w:rFonts w:ascii="Tahoma" w:hAnsi="Tahoma"/>
                <w:noProof/>
              </w:rPr>
              <w:t xml:space="preserve"> </w:t>
            </w:r>
          </w:p>
        </w:tc>
      </w:tr>
      <w:tr w:rsidR="0099383D" w:rsidRPr="0099383D" w:rsidTr="003E77C6">
        <w:tc>
          <w:tcPr>
            <w:tcW w:w="9923" w:type="dxa"/>
            <w:tcBorders>
              <w:bottom w:val="single" w:sz="4" w:space="0" w:color="auto"/>
            </w:tcBorders>
            <w:shd w:val="clear" w:color="auto" w:fill="auto"/>
          </w:tcPr>
          <w:p w:rsidR="0099383D" w:rsidRPr="0099383D" w:rsidRDefault="0099383D" w:rsidP="0099383D">
            <w:pPr>
              <w:jc w:val="both"/>
              <w:rPr>
                <w:rFonts w:ascii="Arial" w:hAnsi="Arial" w:cs="Arial"/>
                <w:noProof/>
              </w:rPr>
            </w:pPr>
            <w:r>
              <w:rPr>
                <w:rFonts w:ascii="Arial" w:hAnsi="Arial"/>
                <w:noProof/>
              </w:rPr>
              <w:t>Pe lângă o opțiune fără caracter legislativ (</w:t>
            </w:r>
            <w:r>
              <w:rPr>
                <w:rFonts w:ascii="Arial" w:hAnsi="Arial"/>
                <w:b/>
                <w:noProof/>
              </w:rPr>
              <w:t xml:space="preserve">opțiunea </w:t>
            </w:r>
            <w:r w:rsidRPr="00A81889">
              <w:rPr>
                <w:rFonts w:ascii="Arial" w:hAnsi="Arial"/>
                <w:b/>
                <w:noProof/>
              </w:rPr>
              <w:t>1</w:t>
            </w:r>
            <w:r>
              <w:rPr>
                <w:rFonts w:ascii="Arial" w:hAnsi="Arial"/>
                <w:noProof/>
              </w:rPr>
              <w:t xml:space="preserve">), axată pe schimburi de bune practici, oferirea de orientări și de formare, au fost evaluate trei opțiuni legislative care abordează fiecare obiectiv specific, opțiunea </w:t>
            </w:r>
            <w:r w:rsidRPr="00A81889">
              <w:rPr>
                <w:rFonts w:ascii="Arial" w:hAnsi="Arial"/>
                <w:noProof/>
              </w:rPr>
              <w:t>3</w:t>
            </w:r>
            <w:r>
              <w:rPr>
                <w:rFonts w:ascii="Arial" w:hAnsi="Arial"/>
                <w:noProof/>
              </w:rPr>
              <w:t xml:space="preserve"> fiind opțiunea preferată: </w:t>
            </w:r>
          </w:p>
          <w:p w:rsidR="0099383D" w:rsidRPr="0099383D" w:rsidRDefault="0099383D" w:rsidP="0099383D">
            <w:pPr>
              <w:numPr>
                <w:ilvl w:val="0"/>
                <w:numId w:val="3"/>
              </w:numPr>
              <w:ind w:left="360"/>
              <w:contextualSpacing/>
              <w:jc w:val="both"/>
              <w:rPr>
                <w:rFonts w:ascii="Arial" w:hAnsi="Arial" w:cs="Arial"/>
                <w:b/>
                <w:noProof/>
              </w:rPr>
            </w:pPr>
            <w:r>
              <w:rPr>
                <w:rFonts w:ascii="Arial" w:hAnsi="Arial"/>
                <w:b/>
                <w:noProof/>
              </w:rPr>
              <w:t>Obiectivul I: consolidarea capacităților de urmărire a activelor</w:t>
            </w:r>
          </w:p>
          <w:p w:rsidR="0099383D" w:rsidRPr="0099383D" w:rsidRDefault="0099383D" w:rsidP="0099383D">
            <w:pPr>
              <w:numPr>
                <w:ilvl w:val="1"/>
                <w:numId w:val="3"/>
              </w:numPr>
              <w:ind w:left="714" w:hanging="357"/>
              <w:contextualSpacing/>
              <w:jc w:val="both"/>
              <w:rPr>
                <w:rFonts w:ascii="Arial" w:hAnsi="Arial" w:cs="Arial"/>
                <w:noProof/>
              </w:rPr>
            </w:pPr>
            <w:r>
              <w:rPr>
                <w:rFonts w:ascii="Arial" w:hAnsi="Arial"/>
                <w:b/>
                <w:noProof/>
              </w:rPr>
              <w:t xml:space="preserve">opțiunea </w:t>
            </w:r>
            <w:r w:rsidRPr="00A81889">
              <w:rPr>
                <w:rFonts w:ascii="Arial" w:hAnsi="Arial"/>
                <w:b/>
                <w:noProof/>
              </w:rPr>
              <w:t>2</w:t>
            </w:r>
            <w:r>
              <w:rPr>
                <w:rFonts w:ascii="Arial" w:hAnsi="Arial"/>
                <w:b/>
                <w:noProof/>
              </w:rPr>
              <w:t>:</w:t>
            </w:r>
            <w:r>
              <w:rPr>
                <w:rFonts w:ascii="Arial" w:hAnsi="Arial"/>
                <w:noProof/>
              </w:rPr>
              <w:t xml:space="preserve"> Să se consolideze competențele, resursele și accesul birourilor de recuperare a activelor la bazele de date.</w:t>
            </w:r>
          </w:p>
          <w:p w:rsidR="0099383D" w:rsidRPr="0099383D" w:rsidRDefault="0099383D" w:rsidP="0099383D">
            <w:pPr>
              <w:numPr>
                <w:ilvl w:val="1"/>
                <w:numId w:val="3"/>
              </w:numPr>
              <w:ind w:left="714" w:hanging="357"/>
              <w:contextualSpacing/>
              <w:jc w:val="both"/>
              <w:rPr>
                <w:rFonts w:ascii="Arial" w:hAnsi="Arial" w:cs="Arial"/>
                <w:noProof/>
              </w:rPr>
            </w:pPr>
            <w:r>
              <w:rPr>
                <w:rFonts w:ascii="Arial" w:hAnsi="Arial"/>
                <w:b/>
                <w:noProof/>
              </w:rPr>
              <w:t xml:space="preserve">opțiunea </w:t>
            </w:r>
            <w:r w:rsidRPr="00A81889">
              <w:rPr>
                <w:rFonts w:ascii="Arial" w:hAnsi="Arial"/>
                <w:b/>
                <w:noProof/>
              </w:rPr>
              <w:t>3</w:t>
            </w:r>
            <w:r>
              <w:rPr>
                <w:rFonts w:ascii="Arial" w:hAnsi="Arial"/>
                <w:b/>
                <w:noProof/>
              </w:rPr>
              <w:t>:</w:t>
            </w:r>
            <w:r>
              <w:rPr>
                <w:rFonts w:ascii="Arial" w:hAnsi="Arial"/>
                <w:noProof/>
              </w:rPr>
              <w:t xml:space="preserve"> În plus față de măsurile prevăzute în opțiunea </w:t>
            </w:r>
            <w:r w:rsidRPr="00A81889">
              <w:rPr>
                <w:rFonts w:ascii="Arial" w:hAnsi="Arial"/>
                <w:noProof/>
              </w:rPr>
              <w:t>2</w:t>
            </w:r>
            <w:r>
              <w:rPr>
                <w:rFonts w:ascii="Arial" w:hAnsi="Arial"/>
                <w:noProof/>
              </w:rPr>
              <w:t>, să se impună lansarea sistematică de investigații financiare pentru o serie de infracțiuni și să se reglementeze schimbul de informații între birourile de recuperare a activelor.</w:t>
            </w:r>
          </w:p>
          <w:p w:rsidR="0099383D" w:rsidRPr="0099383D" w:rsidRDefault="0099383D" w:rsidP="0099383D">
            <w:pPr>
              <w:numPr>
                <w:ilvl w:val="1"/>
                <w:numId w:val="3"/>
              </w:numPr>
              <w:ind w:left="714" w:hanging="357"/>
              <w:contextualSpacing/>
              <w:jc w:val="both"/>
              <w:rPr>
                <w:rFonts w:ascii="Arial" w:hAnsi="Arial" w:cs="Arial"/>
                <w:noProof/>
              </w:rPr>
            </w:pPr>
            <w:r>
              <w:rPr>
                <w:rFonts w:ascii="Arial" w:hAnsi="Arial"/>
                <w:b/>
                <w:noProof/>
              </w:rPr>
              <w:t xml:space="preserve">opțiunea </w:t>
            </w:r>
            <w:r w:rsidRPr="00A81889">
              <w:rPr>
                <w:rFonts w:ascii="Arial" w:hAnsi="Arial"/>
                <w:b/>
                <w:noProof/>
              </w:rPr>
              <w:t>4</w:t>
            </w:r>
            <w:r>
              <w:rPr>
                <w:rFonts w:ascii="Arial" w:hAnsi="Arial"/>
                <w:b/>
                <w:noProof/>
              </w:rPr>
              <w:t>:</w:t>
            </w:r>
            <w:r>
              <w:rPr>
                <w:rFonts w:ascii="Arial" w:hAnsi="Arial"/>
                <w:noProof/>
              </w:rPr>
              <w:t xml:space="preserve"> În plus față de cerințele avute în vedere în opțiunea </w:t>
            </w:r>
            <w:r w:rsidRPr="00A81889">
              <w:rPr>
                <w:rFonts w:ascii="Arial" w:hAnsi="Arial"/>
                <w:noProof/>
              </w:rPr>
              <w:t>3</w:t>
            </w:r>
            <w:r>
              <w:rPr>
                <w:rFonts w:ascii="Arial" w:hAnsi="Arial"/>
                <w:noProof/>
              </w:rPr>
              <w:t xml:space="preserve">, să se extindă obligația de a lansa investigații financiare la toate infracțiunile și să se introducă puncte de contact în regim de </w:t>
            </w:r>
            <w:r w:rsidRPr="00A81889">
              <w:rPr>
                <w:rFonts w:ascii="Arial" w:hAnsi="Arial"/>
                <w:noProof/>
              </w:rPr>
              <w:t>24</w:t>
            </w:r>
            <w:r>
              <w:rPr>
                <w:rFonts w:ascii="Arial" w:hAnsi="Arial"/>
                <w:noProof/>
              </w:rPr>
              <w:t xml:space="preserve"> de ore din </w:t>
            </w:r>
            <w:r w:rsidRPr="00A81889">
              <w:rPr>
                <w:rFonts w:ascii="Arial" w:hAnsi="Arial"/>
                <w:noProof/>
              </w:rPr>
              <w:t>24</w:t>
            </w:r>
            <w:r>
              <w:rPr>
                <w:rFonts w:ascii="Arial" w:hAnsi="Arial"/>
                <w:noProof/>
              </w:rPr>
              <w:t xml:space="preserve">, </w:t>
            </w:r>
            <w:r w:rsidRPr="00A81889">
              <w:rPr>
                <w:rFonts w:ascii="Arial" w:hAnsi="Arial"/>
                <w:noProof/>
              </w:rPr>
              <w:t>7</w:t>
            </w:r>
            <w:r>
              <w:rPr>
                <w:rFonts w:ascii="Arial" w:hAnsi="Arial"/>
                <w:noProof/>
              </w:rPr>
              <w:t xml:space="preserve"> zile din </w:t>
            </w:r>
            <w:r w:rsidRPr="00A81889">
              <w:rPr>
                <w:rFonts w:ascii="Arial" w:hAnsi="Arial"/>
                <w:noProof/>
              </w:rPr>
              <w:t>7</w:t>
            </w:r>
            <w:r>
              <w:rPr>
                <w:rFonts w:ascii="Arial" w:hAnsi="Arial"/>
                <w:noProof/>
              </w:rPr>
              <w:t xml:space="preserve"> pentru birourile de recuperare a activelor.</w:t>
            </w:r>
          </w:p>
          <w:p w:rsidR="0099383D" w:rsidRPr="0099383D" w:rsidRDefault="0099383D" w:rsidP="0099383D">
            <w:pPr>
              <w:numPr>
                <w:ilvl w:val="0"/>
                <w:numId w:val="3"/>
              </w:numPr>
              <w:ind w:left="360"/>
              <w:contextualSpacing/>
              <w:jc w:val="both"/>
              <w:rPr>
                <w:rFonts w:ascii="Arial" w:hAnsi="Arial" w:cs="Arial"/>
                <w:b/>
                <w:noProof/>
              </w:rPr>
            </w:pPr>
            <w:r>
              <w:rPr>
                <w:rFonts w:ascii="Arial" w:hAnsi="Arial"/>
                <w:b/>
                <w:noProof/>
              </w:rPr>
              <w:t xml:space="preserve">Obiectivul specific II: asigurarea unei gestionări eficiente a activelor </w:t>
            </w:r>
          </w:p>
          <w:p w:rsidR="0099383D" w:rsidRPr="0099383D" w:rsidRDefault="0099383D" w:rsidP="0099383D">
            <w:pPr>
              <w:numPr>
                <w:ilvl w:val="1"/>
                <w:numId w:val="3"/>
              </w:numPr>
              <w:ind w:left="720"/>
              <w:contextualSpacing/>
              <w:jc w:val="both"/>
              <w:rPr>
                <w:rFonts w:ascii="Arial" w:hAnsi="Arial" w:cs="Arial"/>
                <w:noProof/>
              </w:rPr>
            </w:pPr>
            <w:r>
              <w:rPr>
                <w:rFonts w:ascii="Arial" w:hAnsi="Arial"/>
                <w:b/>
                <w:noProof/>
              </w:rPr>
              <w:t xml:space="preserve">opțiunea </w:t>
            </w:r>
            <w:r w:rsidRPr="00A81889">
              <w:rPr>
                <w:rFonts w:ascii="Arial" w:hAnsi="Arial"/>
                <w:b/>
                <w:noProof/>
              </w:rPr>
              <w:t>2</w:t>
            </w:r>
            <w:r>
              <w:rPr>
                <w:rFonts w:ascii="Arial" w:hAnsi="Arial"/>
                <w:b/>
                <w:noProof/>
              </w:rPr>
              <w:t>:</w:t>
            </w:r>
            <w:r>
              <w:rPr>
                <w:rFonts w:ascii="Arial" w:hAnsi="Arial"/>
                <w:noProof/>
              </w:rPr>
              <w:t xml:space="preserve"> Să se instituie puncte de contact pentru a facilita cooperarea transfrontalieră între birourile de gestionare a activelor și să se stabilească principii generale de gestionare a activelor. </w:t>
            </w:r>
          </w:p>
          <w:p w:rsidR="0099383D" w:rsidRPr="0099383D" w:rsidRDefault="0099383D" w:rsidP="0099383D">
            <w:pPr>
              <w:numPr>
                <w:ilvl w:val="1"/>
                <w:numId w:val="3"/>
              </w:numPr>
              <w:ind w:left="714" w:hanging="357"/>
              <w:contextualSpacing/>
              <w:jc w:val="both"/>
              <w:rPr>
                <w:rFonts w:ascii="Arial" w:hAnsi="Arial" w:cs="Arial"/>
                <w:noProof/>
              </w:rPr>
            </w:pPr>
            <w:r>
              <w:rPr>
                <w:rFonts w:ascii="Arial" w:hAnsi="Arial"/>
                <w:b/>
                <w:noProof/>
              </w:rPr>
              <w:t xml:space="preserve">opțiunea </w:t>
            </w:r>
            <w:r w:rsidRPr="00A81889">
              <w:rPr>
                <w:rFonts w:ascii="Arial" w:hAnsi="Arial"/>
                <w:b/>
                <w:noProof/>
              </w:rPr>
              <w:t>3</w:t>
            </w:r>
            <w:r>
              <w:rPr>
                <w:rFonts w:ascii="Arial" w:hAnsi="Arial"/>
                <w:b/>
                <w:noProof/>
              </w:rPr>
              <w:t>:</w:t>
            </w:r>
            <w:r>
              <w:rPr>
                <w:rFonts w:ascii="Arial" w:hAnsi="Arial"/>
                <w:noProof/>
              </w:rPr>
              <w:t xml:space="preserve"> În plus față de măsurile prevăzute în opțiunea </w:t>
            </w:r>
            <w:r w:rsidRPr="00A81889">
              <w:rPr>
                <w:rFonts w:ascii="Arial" w:hAnsi="Arial"/>
                <w:noProof/>
              </w:rPr>
              <w:t>2</w:t>
            </w:r>
            <w:r>
              <w:rPr>
                <w:rFonts w:ascii="Arial" w:hAnsi="Arial"/>
                <w:noProof/>
              </w:rPr>
              <w:t>, să se impună ca toate statele membre să înființeze birouri specializate de gestionare a activelor și să se asigure că acestea pot vinde activele înainte ca acestea să își piardă din valoare.</w:t>
            </w:r>
          </w:p>
          <w:p w:rsidR="0099383D" w:rsidRPr="0099383D" w:rsidRDefault="0099383D" w:rsidP="0099383D">
            <w:pPr>
              <w:numPr>
                <w:ilvl w:val="1"/>
                <w:numId w:val="3"/>
              </w:numPr>
              <w:ind w:left="714" w:hanging="357"/>
              <w:contextualSpacing/>
              <w:jc w:val="both"/>
              <w:rPr>
                <w:rFonts w:ascii="Arial" w:hAnsi="Arial" w:cs="Arial"/>
                <w:noProof/>
              </w:rPr>
            </w:pPr>
            <w:r>
              <w:rPr>
                <w:rFonts w:ascii="Arial" w:hAnsi="Arial"/>
                <w:b/>
                <w:noProof/>
              </w:rPr>
              <w:t xml:space="preserve">opțiunea </w:t>
            </w:r>
            <w:r w:rsidRPr="00A81889">
              <w:rPr>
                <w:rFonts w:ascii="Arial" w:hAnsi="Arial"/>
                <w:b/>
                <w:noProof/>
              </w:rPr>
              <w:t>4</w:t>
            </w:r>
            <w:r>
              <w:rPr>
                <w:rFonts w:ascii="Arial" w:hAnsi="Arial"/>
                <w:b/>
                <w:noProof/>
              </w:rPr>
              <w:t>:</w:t>
            </w:r>
            <w:r>
              <w:rPr>
                <w:rFonts w:ascii="Arial" w:hAnsi="Arial"/>
                <w:noProof/>
              </w:rPr>
              <w:t xml:space="preserve"> Să se centralizeze toate sarcinile de urmărire și gestionare într-un singur birou de recuperare și gestionare a activelor.</w:t>
            </w:r>
          </w:p>
          <w:p w:rsidR="0099383D" w:rsidRPr="0099383D" w:rsidRDefault="0099383D" w:rsidP="0099383D">
            <w:pPr>
              <w:numPr>
                <w:ilvl w:val="0"/>
                <w:numId w:val="3"/>
              </w:numPr>
              <w:ind w:left="360"/>
              <w:contextualSpacing/>
              <w:jc w:val="both"/>
              <w:rPr>
                <w:rFonts w:ascii="Arial" w:hAnsi="Arial" w:cs="Arial"/>
                <w:b/>
                <w:noProof/>
              </w:rPr>
            </w:pPr>
            <w:r>
              <w:rPr>
                <w:rFonts w:ascii="Arial" w:hAnsi="Arial"/>
                <w:b/>
                <w:noProof/>
              </w:rPr>
              <w:t xml:space="preserve">Obiectivul specific III: consolidarea capacităților de confiscare </w:t>
            </w:r>
          </w:p>
          <w:p w:rsidR="0099383D" w:rsidRPr="0099383D" w:rsidRDefault="0099383D" w:rsidP="0099383D">
            <w:pPr>
              <w:numPr>
                <w:ilvl w:val="1"/>
                <w:numId w:val="3"/>
              </w:numPr>
              <w:ind w:left="720"/>
              <w:contextualSpacing/>
              <w:jc w:val="both"/>
              <w:rPr>
                <w:rFonts w:ascii="Arial" w:hAnsi="Arial" w:cs="Arial"/>
                <w:noProof/>
              </w:rPr>
            </w:pPr>
            <w:r>
              <w:rPr>
                <w:rFonts w:ascii="Arial" w:hAnsi="Arial"/>
                <w:b/>
                <w:noProof/>
              </w:rPr>
              <w:t xml:space="preserve">opțiunea </w:t>
            </w:r>
            <w:r w:rsidRPr="00A81889">
              <w:rPr>
                <w:rFonts w:ascii="Arial" w:hAnsi="Arial"/>
                <w:b/>
                <w:noProof/>
              </w:rPr>
              <w:t>2</w:t>
            </w:r>
            <w:r>
              <w:rPr>
                <w:rFonts w:ascii="Arial" w:hAnsi="Arial"/>
                <w:b/>
                <w:noProof/>
              </w:rPr>
              <w:t>:</w:t>
            </w:r>
            <w:r>
              <w:rPr>
                <w:rFonts w:ascii="Arial" w:hAnsi="Arial"/>
                <w:noProof/>
              </w:rPr>
              <w:t xml:space="preserve"> Să se extindă domeniul de aplicare al măsurilor de confiscare la toate „euroinfracțiunile” (de exemplu, la traficul de arme de foc).</w:t>
            </w:r>
          </w:p>
          <w:p w:rsidR="0099383D" w:rsidRPr="0099383D" w:rsidRDefault="0099383D" w:rsidP="0099383D">
            <w:pPr>
              <w:numPr>
                <w:ilvl w:val="1"/>
                <w:numId w:val="3"/>
              </w:numPr>
              <w:ind w:left="720"/>
              <w:contextualSpacing/>
              <w:jc w:val="both"/>
              <w:rPr>
                <w:rFonts w:ascii="Arial" w:hAnsi="Arial" w:cs="Arial"/>
                <w:noProof/>
              </w:rPr>
            </w:pPr>
            <w:r>
              <w:rPr>
                <w:rFonts w:ascii="Arial" w:hAnsi="Arial"/>
                <w:b/>
                <w:noProof/>
              </w:rPr>
              <w:t xml:space="preserve">opțiunea </w:t>
            </w:r>
            <w:r w:rsidRPr="00A81889">
              <w:rPr>
                <w:rFonts w:ascii="Arial" w:hAnsi="Arial"/>
                <w:b/>
                <w:noProof/>
              </w:rPr>
              <w:t>3</w:t>
            </w:r>
            <w:r>
              <w:rPr>
                <w:rFonts w:ascii="Arial" w:hAnsi="Arial"/>
                <w:b/>
                <w:noProof/>
              </w:rPr>
              <w:t>:</w:t>
            </w:r>
            <w:r>
              <w:rPr>
                <w:rFonts w:ascii="Arial" w:hAnsi="Arial"/>
                <w:noProof/>
              </w:rPr>
              <w:t xml:space="preserve"> Să se extindă domeniul de aplicare al măsurilor de confiscare la infracțiunile organizate care generează cele mai multe venituri (contrafacere, fraudă etc.) și să se introducă un nou model de confiscare care să permită confiscarea activelor rezultate din activități infracționale, dar care nu sunt direct legate de o infracțiune specifică și care sunt disproporționate în raport cu veniturile proprietarului.</w:t>
            </w:r>
            <w:r w:rsidR="00A81889">
              <w:rPr>
                <w:rFonts w:ascii="Arial" w:hAnsi="Arial"/>
                <w:noProof/>
              </w:rPr>
              <w:t xml:space="preserve"> </w:t>
            </w:r>
          </w:p>
          <w:p w:rsidR="0099383D" w:rsidRPr="0099383D" w:rsidRDefault="0099383D" w:rsidP="0099383D">
            <w:pPr>
              <w:numPr>
                <w:ilvl w:val="1"/>
                <w:numId w:val="3"/>
              </w:numPr>
              <w:ind w:left="720"/>
              <w:contextualSpacing/>
              <w:jc w:val="both"/>
              <w:rPr>
                <w:rFonts w:ascii="Arial" w:hAnsi="Arial" w:cs="Arial"/>
                <w:noProof/>
              </w:rPr>
            </w:pPr>
            <w:r>
              <w:rPr>
                <w:rFonts w:ascii="Arial" w:hAnsi="Arial"/>
                <w:b/>
                <w:noProof/>
              </w:rPr>
              <w:t xml:space="preserve">opțiunea </w:t>
            </w:r>
            <w:r w:rsidRPr="00A81889">
              <w:rPr>
                <w:rFonts w:ascii="Arial" w:hAnsi="Arial"/>
                <w:b/>
                <w:noProof/>
              </w:rPr>
              <w:t>4</w:t>
            </w:r>
            <w:r>
              <w:rPr>
                <w:rFonts w:ascii="Arial" w:hAnsi="Arial"/>
                <w:b/>
                <w:noProof/>
              </w:rPr>
              <w:t>:</w:t>
            </w:r>
            <w:r>
              <w:rPr>
                <w:rFonts w:ascii="Arial" w:hAnsi="Arial"/>
                <w:noProof/>
              </w:rPr>
              <w:t xml:space="preserve"> În plus față de măsurile din opțiunea </w:t>
            </w:r>
            <w:r w:rsidRPr="00A81889">
              <w:rPr>
                <w:rFonts w:ascii="Arial" w:hAnsi="Arial"/>
                <w:noProof/>
              </w:rPr>
              <w:t>3</w:t>
            </w:r>
            <w:r>
              <w:rPr>
                <w:rFonts w:ascii="Arial" w:hAnsi="Arial"/>
                <w:noProof/>
              </w:rPr>
              <w:t xml:space="preserve">, să se extindă domeniul de aplicare al măsurilor de confiscare la toate infracțiunile (abordarea de tip „toate infracțiunile”). </w:t>
            </w:r>
          </w:p>
          <w:p w:rsidR="0099383D" w:rsidRPr="0099383D" w:rsidRDefault="0099383D" w:rsidP="0099383D">
            <w:pPr>
              <w:numPr>
                <w:ilvl w:val="0"/>
                <w:numId w:val="3"/>
              </w:numPr>
              <w:ind w:left="360"/>
              <w:contextualSpacing/>
              <w:jc w:val="both"/>
              <w:rPr>
                <w:rFonts w:ascii="Arial" w:hAnsi="Arial" w:cs="Arial"/>
                <w:b/>
                <w:noProof/>
              </w:rPr>
            </w:pPr>
            <w:r>
              <w:rPr>
                <w:rFonts w:ascii="Arial" w:hAnsi="Arial"/>
                <w:b/>
                <w:noProof/>
              </w:rPr>
              <w:t>Obiectivul specific IV: îmbunătățirea eficienței generale a sistemului de recuperare a activelor</w:t>
            </w:r>
          </w:p>
          <w:p w:rsidR="0099383D" w:rsidRPr="0099383D" w:rsidRDefault="0099383D" w:rsidP="0099383D">
            <w:pPr>
              <w:numPr>
                <w:ilvl w:val="1"/>
                <w:numId w:val="3"/>
              </w:numPr>
              <w:ind w:left="720"/>
              <w:contextualSpacing/>
              <w:jc w:val="both"/>
              <w:rPr>
                <w:rFonts w:ascii="Arial" w:hAnsi="Arial" w:cs="Arial"/>
                <w:noProof/>
              </w:rPr>
            </w:pPr>
            <w:r>
              <w:rPr>
                <w:rFonts w:ascii="Arial" w:hAnsi="Arial"/>
                <w:b/>
                <w:noProof/>
              </w:rPr>
              <w:t xml:space="preserve">opțiunea </w:t>
            </w:r>
            <w:r w:rsidRPr="00A81889">
              <w:rPr>
                <w:rFonts w:ascii="Arial" w:hAnsi="Arial"/>
                <w:b/>
                <w:noProof/>
              </w:rPr>
              <w:t>2</w:t>
            </w:r>
            <w:r>
              <w:rPr>
                <w:rFonts w:ascii="Arial" w:hAnsi="Arial"/>
                <w:b/>
                <w:noProof/>
              </w:rPr>
              <w:t>:</w:t>
            </w:r>
            <w:r>
              <w:rPr>
                <w:rFonts w:ascii="Arial" w:hAnsi="Arial"/>
                <w:noProof/>
              </w:rPr>
              <w:t xml:space="preserve"> Să se solicite statelor membre să stabilească o strategie națională privind recuperarea activelor în care să stabilească obiective comune, rolurile diferiților actori și obligația acestora de a coopera.</w:t>
            </w:r>
          </w:p>
          <w:p w:rsidR="0099383D" w:rsidRPr="0099383D" w:rsidRDefault="0099383D" w:rsidP="0099383D">
            <w:pPr>
              <w:numPr>
                <w:ilvl w:val="1"/>
                <w:numId w:val="3"/>
              </w:numPr>
              <w:ind w:left="720"/>
              <w:contextualSpacing/>
              <w:jc w:val="both"/>
              <w:rPr>
                <w:rFonts w:ascii="Arial" w:hAnsi="Arial" w:cs="Arial"/>
                <w:noProof/>
              </w:rPr>
            </w:pPr>
            <w:r>
              <w:rPr>
                <w:rFonts w:ascii="Arial" w:hAnsi="Arial"/>
                <w:b/>
                <w:noProof/>
              </w:rPr>
              <w:t xml:space="preserve">opțiunea </w:t>
            </w:r>
            <w:r w:rsidRPr="00A81889">
              <w:rPr>
                <w:rFonts w:ascii="Arial" w:hAnsi="Arial"/>
                <w:b/>
                <w:noProof/>
              </w:rPr>
              <w:t>3</w:t>
            </w:r>
            <w:r>
              <w:rPr>
                <w:rFonts w:ascii="Arial" w:hAnsi="Arial"/>
                <w:b/>
                <w:noProof/>
              </w:rPr>
              <w:t>:</w:t>
            </w:r>
            <w:r>
              <w:rPr>
                <w:rFonts w:ascii="Arial" w:hAnsi="Arial"/>
                <w:noProof/>
              </w:rPr>
              <w:t xml:space="preserve"> Să se stabilească obligații de cooperare și cerințe de raportare cu privire la funcționarea sistemului de recuperare a activelor, cu posibile recomandări. Să se creeze registre de active pentru a se urmări deciziile de recuperare a activelor.</w:t>
            </w:r>
          </w:p>
          <w:p w:rsidR="0099383D" w:rsidRPr="0099383D" w:rsidRDefault="0099383D" w:rsidP="0099383D">
            <w:pPr>
              <w:numPr>
                <w:ilvl w:val="1"/>
                <w:numId w:val="3"/>
              </w:numPr>
              <w:ind w:left="720"/>
              <w:contextualSpacing/>
              <w:jc w:val="both"/>
              <w:rPr>
                <w:rFonts w:ascii="Arial" w:hAnsi="Arial" w:cs="Arial"/>
                <w:noProof/>
              </w:rPr>
            </w:pPr>
            <w:r>
              <w:rPr>
                <w:rFonts w:ascii="Arial" w:hAnsi="Arial"/>
                <w:b/>
                <w:noProof/>
              </w:rPr>
              <w:t xml:space="preserve">opțiunea </w:t>
            </w:r>
            <w:r w:rsidRPr="00A81889">
              <w:rPr>
                <w:rFonts w:ascii="Arial" w:hAnsi="Arial"/>
                <w:b/>
                <w:noProof/>
              </w:rPr>
              <w:t>4</w:t>
            </w:r>
            <w:r>
              <w:rPr>
                <w:rFonts w:ascii="Arial" w:hAnsi="Arial"/>
                <w:b/>
                <w:noProof/>
              </w:rPr>
              <w:t>:</w:t>
            </w:r>
            <w:r>
              <w:rPr>
                <w:rFonts w:ascii="Arial" w:hAnsi="Arial"/>
                <w:noProof/>
              </w:rPr>
              <w:t xml:space="preserve"> Să se interconecteze registrele de active ale statelor membre din întreaga Uniune.</w:t>
            </w:r>
          </w:p>
        </w:tc>
      </w:tr>
      <w:tr w:rsidR="0099383D" w:rsidRPr="0099383D" w:rsidTr="003E77C6">
        <w:tc>
          <w:tcPr>
            <w:tcW w:w="9923" w:type="dxa"/>
            <w:shd w:val="clear" w:color="auto" w:fill="CCCCCC"/>
          </w:tcPr>
          <w:p w:rsidR="0099383D" w:rsidRPr="0099383D" w:rsidRDefault="0099383D" w:rsidP="0099383D">
            <w:pPr>
              <w:spacing w:before="60"/>
              <w:jc w:val="both"/>
              <w:rPr>
                <w:rFonts w:ascii="Tahoma" w:hAnsi="Tahoma" w:cs="Tahoma"/>
                <w:noProof/>
              </w:rPr>
            </w:pPr>
            <w:r>
              <w:rPr>
                <w:rFonts w:ascii="Tahoma" w:hAnsi="Tahoma"/>
                <w:b/>
                <w:noProof/>
              </w:rPr>
              <w:t>Cine sunt susținătorii fiecărei opțiuni?</w:t>
            </w:r>
            <w:r>
              <w:rPr>
                <w:rFonts w:ascii="Tahoma" w:hAnsi="Tahoma"/>
                <w:noProof/>
              </w:rPr>
              <w:t xml:space="preserve"> </w:t>
            </w:r>
          </w:p>
        </w:tc>
      </w:tr>
      <w:tr w:rsidR="0099383D" w:rsidRPr="0099383D" w:rsidTr="003E77C6">
        <w:tc>
          <w:tcPr>
            <w:tcW w:w="9923" w:type="dxa"/>
            <w:shd w:val="clear" w:color="auto" w:fill="auto"/>
          </w:tcPr>
          <w:p w:rsidR="0099383D" w:rsidRPr="0099383D" w:rsidRDefault="0099383D" w:rsidP="0099383D">
            <w:pPr>
              <w:jc w:val="both"/>
              <w:rPr>
                <w:rFonts w:ascii="Arial" w:hAnsi="Arial" w:cs="Arial"/>
                <w:noProof/>
              </w:rPr>
            </w:pPr>
            <w:r>
              <w:rPr>
                <w:rFonts w:ascii="Arial" w:hAnsi="Arial"/>
                <w:b/>
                <w:noProof/>
              </w:rPr>
              <w:t>Intervenția legislativă este în concordanță cu așteptările colegiuitorilor</w:t>
            </w:r>
            <w:r>
              <w:rPr>
                <w:rFonts w:ascii="Arial" w:hAnsi="Arial"/>
                <w:noProof/>
              </w:rPr>
              <w:t xml:space="preserve">, care, la momentul adoptării Directivei privind confiscarea, au solicitat Comisiei să analizeze fezabilitatea introducerii unor norme suplimentare privind confiscarea bunurilor provenite din săvârșirea de infracțiuni în absența unei condamnări. Mai mult, în iunie </w:t>
            </w:r>
            <w:r w:rsidRPr="00A81889">
              <w:rPr>
                <w:rFonts w:ascii="Arial" w:hAnsi="Arial"/>
                <w:noProof/>
              </w:rPr>
              <w:t>2020</w:t>
            </w:r>
            <w:r>
              <w:rPr>
                <w:rFonts w:ascii="Arial" w:hAnsi="Arial"/>
                <w:noProof/>
              </w:rPr>
              <w:t>, Consiliul a invitat Comisia să aibă în vedere</w:t>
            </w:r>
            <w:r>
              <w:rPr>
                <w:rFonts w:ascii="Arial" w:hAnsi="Arial"/>
                <w:b/>
                <w:noProof/>
              </w:rPr>
              <w:t xml:space="preserve"> consolidarea cadrului juridic privind gestionarea bunurilor indisponibilizate și acordarea de competențe suplimentare birourilor de recuperare a activelor</w:t>
            </w:r>
            <w:r>
              <w:rPr>
                <w:rFonts w:ascii="Arial" w:hAnsi="Arial"/>
                <w:noProof/>
              </w:rPr>
              <w:t xml:space="preserve">, de exemplu de a indisponibiliza active în regim de urgență și de a avea acces la baze de date. Birourile de recuperare a activelor de pe platforma ARO au sprijinit acest demers. În plus, autoritățile naționale reprezentate în cadrul Comitetului de contact pentru Directiva privind confiscarea au sprijinit opțiunea de </w:t>
            </w:r>
            <w:r>
              <w:rPr>
                <w:rFonts w:ascii="Arial" w:hAnsi="Arial"/>
                <w:b/>
                <w:noProof/>
              </w:rPr>
              <w:t>a extinde domeniul de aplicare al Directivei privind confiscarea</w:t>
            </w:r>
            <w:r>
              <w:rPr>
                <w:rFonts w:ascii="Arial" w:hAnsi="Arial"/>
                <w:noProof/>
              </w:rPr>
              <w:t xml:space="preserve"> și au solicitat o mai mare </w:t>
            </w:r>
            <w:r>
              <w:rPr>
                <w:rFonts w:ascii="Arial" w:hAnsi="Arial"/>
                <w:b/>
                <w:noProof/>
              </w:rPr>
              <w:t>armonizare și cooperare în ceea ce privește gestionarea activelor</w:t>
            </w:r>
            <w:r>
              <w:rPr>
                <w:rFonts w:ascii="Arial" w:hAnsi="Arial"/>
                <w:noProof/>
              </w:rPr>
              <w:t xml:space="preserve">. </w:t>
            </w:r>
          </w:p>
        </w:tc>
      </w:tr>
      <w:tr w:rsidR="0099383D" w:rsidRPr="0099383D" w:rsidTr="003E77C6">
        <w:tc>
          <w:tcPr>
            <w:tcW w:w="9923" w:type="dxa"/>
            <w:tcBorders>
              <w:bottom w:val="single" w:sz="4" w:space="0" w:color="auto"/>
            </w:tcBorders>
            <w:shd w:val="clear" w:color="auto" w:fill="CCCCCC"/>
          </w:tcPr>
          <w:p w:rsidR="0099383D" w:rsidRPr="0099383D" w:rsidRDefault="0099383D" w:rsidP="0099383D">
            <w:pPr>
              <w:spacing w:before="60" w:after="60"/>
              <w:jc w:val="center"/>
              <w:rPr>
                <w:rFonts w:ascii="Tahoma" w:hAnsi="Tahoma" w:cs="Tahoma"/>
                <w:b/>
                <w:noProof/>
              </w:rPr>
            </w:pPr>
            <w:r>
              <w:rPr>
                <w:rFonts w:ascii="Tahoma" w:hAnsi="Tahoma"/>
                <w:b/>
                <w:noProof/>
              </w:rPr>
              <w:t>C. Impactul opțiunii preferate</w:t>
            </w:r>
          </w:p>
        </w:tc>
      </w:tr>
      <w:tr w:rsidR="0099383D" w:rsidRPr="0099383D" w:rsidTr="003E77C6">
        <w:tc>
          <w:tcPr>
            <w:tcW w:w="9923" w:type="dxa"/>
            <w:tcBorders>
              <w:bottom w:val="single" w:sz="4" w:space="0" w:color="auto"/>
            </w:tcBorders>
            <w:shd w:val="clear" w:color="auto" w:fill="E6E6E6"/>
          </w:tcPr>
          <w:p w:rsidR="0099383D" w:rsidRPr="0099383D" w:rsidRDefault="0099383D" w:rsidP="00A81889">
            <w:pPr>
              <w:spacing w:before="60" w:after="60"/>
              <w:jc w:val="both"/>
              <w:rPr>
                <w:rFonts w:ascii="Tahoma" w:hAnsi="Tahoma" w:cs="Tahoma"/>
                <w:noProof/>
              </w:rPr>
            </w:pPr>
            <w:r>
              <w:rPr>
                <w:rFonts w:ascii="Tahoma" w:hAnsi="Tahoma"/>
                <w:b/>
                <w:noProof/>
              </w:rPr>
              <w:t>Care sunt beneficiile opțiunii preferate (sau ale opțiunilor principale, dacă nu există o opțiune preferată)?</w:t>
            </w:r>
          </w:p>
        </w:tc>
      </w:tr>
      <w:tr w:rsidR="0099383D" w:rsidRPr="0099383D" w:rsidTr="003E77C6">
        <w:tc>
          <w:tcPr>
            <w:tcW w:w="9923" w:type="dxa"/>
            <w:tcBorders>
              <w:bottom w:val="single" w:sz="4" w:space="0" w:color="auto"/>
            </w:tcBorders>
            <w:shd w:val="clear" w:color="auto" w:fill="auto"/>
          </w:tcPr>
          <w:p w:rsidR="0099383D" w:rsidRPr="0099383D" w:rsidRDefault="0099383D" w:rsidP="0099383D">
            <w:pPr>
              <w:jc w:val="both"/>
              <w:rPr>
                <w:rFonts w:ascii="Arial" w:hAnsi="Arial" w:cs="Arial"/>
                <w:i/>
                <w:noProof/>
              </w:rPr>
            </w:pPr>
            <w:r>
              <w:rPr>
                <w:rFonts w:ascii="Arial" w:hAnsi="Arial"/>
                <w:noProof/>
              </w:rPr>
              <w:t xml:space="preserve">Se preconizează că </w:t>
            </w:r>
            <w:r>
              <w:rPr>
                <w:rFonts w:ascii="Arial" w:hAnsi="Arial"/>
                <w:b/>
                <w:noProof/>
              </w:rPr>
              <w:t xml:space="preserve">opțiunea preferată (opțiunea </w:t>
            </w:r>
            <w:r w:rsidRPr="00A81889">
              <w:rPr>
                <w:rFonts w:ascii="Arial" w:hAnsi="Arial"/>
                <w:b/>
                <w:noProof/>
              </w:rPr>
              <w:t>3</w:t>
            </w:r>
            <w:r>
              <w:rPr>
                <w:rFonts w:ascii="Arial" w:hAnsi="Arial"/>
                <w:b/>
                <w:noProof/>
              </w:rPr>
              <w:t>)</w:t>
            </w:r>
            <w:r>
              <w:rPr>
                <w:rFonts w:ascii="Arial" w:hAnsi="Arial"/>
                <w:noProof/>
              </w:rPr>
              <w:t xml:space="preserve"> </w:t>
            </w:r>
            <w:r>
              <w:rPr>
                <w:rFonts w:ascii="Arial" w:hAnsi="Arial"/>
                <w:b/>
                <w:noProof/>
              </w:rPr>
              <w:t>va contribui în mod semnificativ</w:t>
            </w:r>
            <w:r>
              <w:rPr>
                <w:rFonts w:ascii="Arial" w:hAnsi="Arial"/>
                <w:noProof/>
              </w:rPr>
              <w:t xml:space="preserve"> la îmbunătățirea capacității statelor membre de a-i priva pe infractori de câștigurile lor ilicite. Prin asigurarea faptului că autoritățile competente dispun de mijloacele necesare pentru o mai bună urmărire a activelor, pentru menținerea valorii bunurilor și pentru confiscarea efectivă a bunurilor provenite din activitățile infracționale relevante ale grupurilor infracționale organizate, opțiunea de politică preferată ar urma </w:t>
            </w:r>
            <w:r>
              <w:rPr>
                <w:rFonts w:ascii="Arial" w:hAnsi="Arial"/>
                <w:b/>
                <w:noProof/>
              </w:rPr>
              <w:t>să crească în mod semnificativ volumul potențial al activelor confiscate</w:t>
            </w:r>
            <w:r>
              <w:rPr>
                <w:rFonts w:ascii="Arial" w:hAnsi="Arial"/>
                <w:noProof/>
              </w:rPr>
              <w:t xml:space="preserve">. Prin reducerea profiturilor financiare care stimulează activitatea infracțională și le permit infractorilor să își desfășoare activitatea, opțiunea preferată ar urma </w:t>
            </w:r>
            <w:r>
              <w:rPr>
                <w:rFonts w:ascii="Arial" w:hAnsi="Arial"/>
                <w:b/>
                <w:noProof/>
              </w:rPr>
              <w:t>să contribuie în mod substanțial la consolidarea luptei împotriva criminalității organizate</w:t>
            </w:r>
            <w:r>
              <w:rPr>
                <w:rFonts w:ascii="Arial" w:hAnsi="Arial"/>
                <w:noProof/>
              </w:rPr>
              <w:t xml:space="preserve">. Acest lucru va îmbunătăți </w:t>
            </w:r>
            <w:r>
              <w:rPr>
                <w:rFonts w:ascii="Arial" w:hAnsi="Arial"/>
                <w:b/>
                <w:noProof/>
              </w:rPr>
              <w:t>percepția cetățenilor asupra justiției</w:t>
            </w:r>
            <w:r>
              <w:rPr>
                <w:rFonts w:ascii="Arial" w:hAnsi="Arial"/>
                <w:noProof/>
              </w:rPr>
              <w:t xml:space="preserve"> și va spori oportunitățile de despăgubire a victimelor. </w:t>
            </w:r>
            <w:r>
              <w:rPr>
                <w:rFonts w:ascii="Arial" w:hAnsi="Arial"/>
                <w:b/>
                <w:noProof/>
              </w:rPr>
              <w:t>Întreprinderile ar urma să beneficieze, de asemenea,</w:t>
            </w:r>
            <w:r>
              <w:rPr>
                <w:rFonts w:ascii="Arial" w:hAnsi="Arial"/>
                <w:noProof/>
              </w:rPr>
              <w:t xml:space="preserve"> de un cadru cu o activitate infracțională redusă, inclusiv, mai precis, în cazul în care posibilitățile de confiscare ar fi extinse la produsele obținute din infracțiuni care denaturează concurența, cum ar fi contrafacerea sau frauda în materie de TVA. </w:t>
            </w:r>
            <w:r>
              <w:rPr>
                <w:rFonts w:ascii="Arial" w:hAnsi="Arial"/>
                <w:b/>
                <w:noProof/>
              </w:rPr>
              <w:t>Administrațiile publice ar urma să beneficieze, de asemenea,</w:t>
            </w:r>
            <w:r>
              <w:rPr>
                <w:rFonts w:ascii="Arial" w:hAnsi="Arial"/>
                <w:noProof/>
              </w:rPr>
              <w:t xml:space="preserve"> de creșterea veniturilor aduse la bugetul de stat. </w:t>
            </w:r>
          </w:p>
        </w:tc>
      </w:tr>
      <w:tr w:rsidR="0099383D" w:rsidRPr="0099383D" w:rsidTr="003E77C6">
        <w:tc>
          <w:tcPr>
            <w:tcW w:w="9923" w:type="dxa"/>
            <w:tcBorders>
              <w:bottom w:val="single" w:sz="4" w:space="0" w:color="auto"/>
            </w:tcBorders>
            <w:shd w:val="clear" w:color="auto" w:fill="E6E6E6"/>
          </w:tcPr>
          <w:p w:rsidR="0099383D" w:rsidRPr="0099383D" w:rsidRDefault="0099383D" w:rsidP="00A81889">
            <w:pPr>
              <w:spacing w:before="60" w:after="60"/>
              <w:jc w:val="both"/>
              <w:rPr>
                <w:rFonts w:ascii="Tahoma" w:hAnsi="Tahoma" w:cs="Tahoma"/>
                <w:noProof/>
              </w:rPr>
            </w:pPr>
            <w:r>
              <w:rPr>
                <w:rFonts w:ascii="Tahoma" w:hAnsi="Tahoma"/>
                <w:b/>
                <w:noProof/>
              </w:rPr>
              <w:t>Care sunt costurile opțiunii preferate (sau ale opțiunilor principale, dacă nu există o opțiune preferată)?</w:t>
            </w:r>
            <w:r>
              <w:rPr>
                <w:rFonts w:ascii="Tahoma" w:hAnsi="Tahoma"/>
                <w:noProof/>
              </w:rPr>
              <w:t xml:space="preserve"> </w:t>
            </w:r>
          </w:p>
        </w:tc>
      </w:tr>
      <w:tr w:rsidR="0099383D" w:rsidRPr="0099383D" w:rsidTr="003E77C6">
        <w:tc>
          <w:tcPr>
            <w:tcW w:w="9923" w:type="dxa"/>
            <w:tcBorders>
              <w:bottom w:val="single" w:sz="4" w:space="0" w:color="auto"/>
            </w:tcBorders>
            <w:shd w:val="clear" w:color="auto" w:fill="auto"/>
          </w:tcPr>
          <w:p w:rsidR="0099383D" w:rsidRPr="0099383D" w:rsidRDefault="0099383D" w:rsidP="0099383D">
            <w:pPr>
              <w:jc w:val="both"/>
              <w:rPr>
                <w:rFonts w:ascii="Arial" w:hAnsi="Arial" w:cs="Arial"/>
                <w:i/>
                <w:noProof/>
              </w:rPr>
            </w:pPr>
            <w:r>
              <w:rPr>
                <w:rFonts w:ascii="Arial" w:hAnsi="Arial"/>
                <w:noProof/>
              </w:rPr>
              <w:t xml:space="preserve">În cadrul opțiunii preferate vor exista </w:t>
            </w:r>
            <w:r>
              <w:rPr>
                <w:rFonts w:ascii="Arial" w:hAnsi="Arial"/>
                <w:b/>
                <w:noProof/>
              </w:rPr>
              <w:t>costuri suplimentare pentru administrațiile publice</w:t>
            </w:r>
            <w:r>
              <w:rPr>
                <w:rFonts w:ascii="Arial" w:hAnsi="Arial"/>
                <w:noProof/>
              </w:rPr>
              <w:t xml:space="preserve">, întrucât atât birourile de recuperare a activelor, cât și birourile de gestionare a activelor vor avea nevoie de resurse suficiente pentru a-și îndeplini sarcinile atribuite. Costurile estimate se situează între </w:t>
            </w:r>
            <w:r w:rsidRPr="00A81889">
              <w:rPr>
                <w:rFonts w:ascii="Arial" w:hAnsi="Arial"/>
                <w:noProof/>
              </w:rPr>
              <w:t>30</w:t>
            </w:r>
            <w:r>
              <w:rPr>
                <w:rFonts w:ascii="Arial" w:hAnsi="Arial"/>
                <w:noProof/>
              </w:rPr>
              <w:t xml:space="preserve"> și </w:t>
            </w:r>
            <w:r w:rsidRPr="00A81889">
              <w:rPr>
                <w:rFonts w:ascii="Arial" w:hAnsi="Arial"/>
                <w:noProof/>
              </w:rPr>
              <w:t>40</w:t>
            </w:r>
            <w:r>
              <w:rPr>
                <w:rFonts w:ascii="Arial" w:hAnsi="Arial"/>
                <w:noProof/>
              </w:rPr>
              <w:t xml:space="preserve"> de milioane EUR. Cu toate acestea, </w:t>
            </w:r>
            <w:r>
              <w:rPr>
                <w:rFonts w:ascii="Arial" w:hAnsi="Arial"/>
                <w:b/>
                <w:noProof/>
              </w:rPr>
              <w:t>costurile suplimentare sunt fără doar și poate compensate de măsuri care îmbunătățesc eficiența întregului proces de recuperare a activelor</w:t>
            </w:r>
            <w:r>
              <w:rPr>
                <w:rFonts w:ascii="Arial" w:hAnsi="Arial"/>
                <w:noProof/>
              </w:rPr>
              <w:t xml:space="preserve">, deoarece măsurile prevăzute ar putea duce aproape la o dublare a activelor recuperate, ceea ce reprezintă în prezent </w:t>
            </w:r>
            <w:r w:rsidRPr="00A81889">
              <w:rPr>
                <w:rFonts w:ascii="Arial" w:hAnsi="Arial"/>
                <w:noProof/>
              </w:rPr>
              <w:t>1</w:t>
            </w:r>
            <w:r>
              <w:rPr>
                <w:rFonts w:ascii="Arial" w:hAnsi="Arial"/>
                <w:noProof/>
              </w:rPr>
              <w:t xml:space="preserve"> miliard EUR anual. În ansamblu, se preconizează că, din perspectiva administrațiilor publice, costurile vor fi mai mici decât veniturile obținute printr-un sistem consolidat de recuperare a activelor.</w:t>
            </w:r>
          </w:p>
        </w:tc>
      </w:tr>
      <w:tr w:rsidR="0099383D" w:rsidRPr="0099383D" w:rsidTr="003E77C6">
        <w:tc>
          <w:tcPr>
            <w:tcW w:w="9923" w:type="dxa"/>
            <w:tcBorders>
              <w:bottom w:val="single" w:sz="4" w:space="0" w:color="auto"/>
            </w:tcBorders>
            <w:shd w:val="clear" w:color="auto" w:fill="E6E6E6"/>
          </w:tcPr>
          <w:p w:rsidR="0099383D" w:rsidRPr="0099383D" w:rsidRDefault="0099383D" w:rsidP="0099383D">
            <w:pPr>
              <w:spacing w:before="60" w:after="60"/>
              <w:jc w:val="both"/>
              <w:rPr>
                <w:rFonts w:ascii="Tahoma" w:hAnsi="Tahoma" w:cs="Tahoma"/>
                <w:noProof/>
              </w:rPr>
            </w:pPr>
            <w:r>
              <w:rPr>
                <w:rFonts w:ascii="Tahoma" w:hAnsi="Tahoma"/>
                <w:b/>
                <w:noProof/>
              </w:rPr>
              <w:t xml:space="preserve">Care va fi impactul asupra societăților, IMM-urilor și microîntreprinderilor? </w:t>
            </w:r>
          </w:p>
        </w:tc>
      </w:tr>
      <w:tr w:rsidR="0099383D" w:rsidRPr="0099383D" w:rsidTr="003E77C6">
        <w:tc>
          <w:tcPr>
            <w:tcW w:w="9923" w:type="dxa"/>
            <w:tcBorders>
              <w:bottom w:val="single" w:sz="4" w:space="0" w:color="auto"/>
            </w:tcBorders>
            <w:shd w:val="clear" w:color="auto" w:fill="auto"/>
          </w:tcPr>
          <w:p w:rsidR="0099383D" w:rsidRPr="0099383D" w:rsidRDefault="0099383D" w:rsidP="0099383D">
            <w:pPr>
              <w:jc w:val="both"/>
              <w:rPr>
                <w:rFonts w:ascii="Arial" w:hAnsi="Arial" w:cs="Arial"/>
                <w:noProof/>
              </w:rPr>
            </w:pPr>
            <w:r>
              <w:rPr>
                <w:rFonts w:ascii="Arial" w:hAnsi="Arial"/>
                <w:noProof/>
              </w:rPr>
              <w:t>Opțiunea de politică preferată nu impune nicio obligație întreprinderilor și, prin urmare, nu le afectează în mod direct.</w:t>
            </w:r>
          </w:p>
        </w:tc>
      </w:tr>
      <w:tr w:rsidR="0099383D" w:rsidRPr="0099383D" w:rsidTr="003E77C6">
        <w:tc>
          <w:tcPr>
            <w:tcW w:w="9923" w:type="dxa"/>
            <w:tcBorders>
              <w:bottom w:val="single" w:sz="4" w:space="0" w:color="auto"/>
            </w:tcBorders>
            <w:shd w:val="clear" w:color="auto" w:fill="E6E6E6"/>
          </w:tcPr>
          <w:p w:rsidR="0099383D" w:rsidRPr="0099383D" w:rsidRDefault="0099383D" w:rsidP="0099383D">
            <w:pPr>
              <w:spacing w:before="60"/>
              <w:jc w:val="both"/>
              <w:rPr>
                <w:rFonts w:ascii="Tahoma" w:hAnsi="Tahoma" w:cs="Tahoma"/>
                <w:b/>
                <w:i/>
                <w:noProof/>
              </w:rPr>
            </w:pPr>
            <w:r>
              <w:rPr>
                <w:rFonts w:ascii="Tahoma" w:hAnsi="Tahoma"/>
                <w:b/>
                <w:noProof/>
              </w:rPr>
              <w:t>Va exista un impact semnificativ asupra bugetelor și administrațiilor naționale?</w:t>
            </w:r>
            <w:r>
              <w:rPr>
                <w:rFonts w:ascii="Tahoma" w:hAnsi="Tahoma"/>
                <w:noProof/>
              </w:rPr>
              <w:t xml:space="preserve"> </w:t>
            </w:r>
          </w:p>
        </w:tc>
      </w:tr>
      <w:tr w:rsidR="0099383D" w:rsidRPr="0099383D" w:rsidTr="003E77C6">
        <w:tc>
          <w:tcPr>
            <w:tcW w:w="9923" w:type="dxa"/>
            <w:shd w:val="clear" w:color="auto" w:fill="auto"/>
          </w:tcPr>
          <w:p w:rsidR="0099383D" w:rsidRPr="0099383D" w:rsidRDefault="0099383D" w:rsidP="0099383D">
            <w:pPr>
              <w:jc w:val="both"/>
              <w:rPr>
                <w:rFonts w:ascii="Arial" w:hAnsi="Arial" w:cs="Arial"/>
                <w:noProof/>
              </w:rPr>
            </w:pPr>
            <w:r>
              <w:rPr>
                <w:rFonts w:ascii="Arial" w:hAnsi="Arial"/>
                <w:noProof/>
              </w:rPr>
              <w:t>După cum s-a menționat mai sus, opțiunea preferată generează costuri suplimentare pentru bugetele și administrațiile naționale. Acestea vor fi însă compensate de veniturile rezultate printr-o rată mai mare de confiscare și o creștere a eficienței la nivel general.</w:t>
            </w:r>
            <w:r w:rsidR="00A81889">
              <w:rPr>
                <w:rFonts w:ascii="Arial" w:hAnsi="Arial"/>
                <w:noProof/>
              </w:rPr>
              <w:t xml:space="preserve"> </w:t>
            </w:r>
          </w:p>
        </w:tc>
      </w:tr>
      <w:tr w:rsidR="0099383D" w:rsidRPr="0099383D" w:rsidTr="003E77C6">
        <w:tc>
          <w:tcPr>
            <w:tcW w:w="9923" w:type="dxa"/>
            <w:tcBorders>
              <w:bottom w:val="single" w:sz="4" w:space="0" w:color="auto"/>
            </w:tcBorders>
            <w:shd w:val="clear" w:color="auto" w:fill="E6E6E6"/>
          </w:tcPr>
          <w:p w:rsidR="0099383D" w:rsidRPr="0099383D" w:rsidRDefault="0099383D" w:rsidP="0099383D">
            <w:pPr>
              <w:spacing w:before="60"/>
              <w:jc w:val="both"/>
              <w:rPr>
                <w:rFonts w:ascii="Tahoma" w:hAnsi="Tahoma" w:cs="Tahoma"/>
                <w:noProof/>
              </w:rPr>
            </w:pPr>
            <w:r>
              <w:rPr>
                <w:rFonts w:ascii="Tahoma" w:hAnsi="Tahoma"/>
                <w:b/>
                <w:noProof/>
              </w:rPr>
              <w:t>Vor exista și alte efecte semnificative?</w:t>
            </w:r>
            <w:r>
              <w:rPr>
                <w:rFonts w:ascii="Tahoma" w:hAnsi="Tahoma"/>
                <w:noProof/>
              </w:rPr>
              <w:t xml:space="preserve"> </w:t>
            </w:r>
          </w:p>
        </w:tc>
      </w:tr>
      <w:tr w:rsidR="0099383D" w:rsidRPr="0099383D" w:rsidTr="003E77C6">
        <w:tc>
          <w:tcPr>
            <w:tcW w:w="9923" w:type="dxa"/>
            <w:tcBorders>
              <w:bottom w:val="single" w:sz="4" w:space="0" w:color="auto"/>
            </w:tcBorders>
            <w:shd w:val="clear" w:color="auto" w:fill="auto"/>
          </w:tcPr>
          <w:p w:rsidR="0099383D" w:rsidRPr="0099383D" w:rsidRDefault="0099383D" w:rsidP="0099383D">
            <w:pPr>
              <w:jc w:val="both"/>
              <w:rPr>
                <w:rFonts w:ascii="Arial" w:hAnsi="Arial" w:cs="Arial"/>
                <w:noProof/>
              </w:rPr>
            </w:pPr>
            <w:r>
              <w:rPr>
                <w:rFonts w:ascii="Arial" w:hAnsi="Arial"/>
                <w:noProof/>
              </w:rPr>
              <w:t xml:space="preserve">Opțiunea preferată va afecta </w:t>
            </w:r>
            <w:r>
              <w:rPr>
                <w:rFonts w:ascii="Arial" w:hAnsi="Arial"/>
                <w:b/>
                <w:noProof/>
              </w:rPr>
              <w:t>drepturile fundamentale</w:t>
            </w:r>
            <w:r>
              <w:rPr>
                <w:rFonts w:ascii="Arial" w:hAnsi="Arial"/>
                <w:noProof/>
              </w:rPr>
              <w:t xml:space="preserve">, în special dreptul la proprietate, drepturile procedurale și protecția datelor. Opțiunea preferată va acoperi un număr semnificativ de infracțiuni și va facilita confiscarea. Prin urmare, va fi afectat un număr mai mare de persoane și bunuri. Cu toate acestea, opțiunea preferată include </w:t>
            </w:r>
            <w:r>
              <w:rPr>
                <w:rFonts w:ascii="Arial" w:hAnsi="Arial"/>
                <w:b/>
                <w:noProof/>
              </w:rPr>
              <w:t>garanții solide și va îndeplini cerințele juridice și procedurale</w:t>
            </w:r>
            <w:r>
              <w:rPr>
                <w:rFonts w:ascii="Arial" w:hAnsi="Arial"/>
                <w:noProof/>
              </w:rPr>
              <w:t xml:space="preserve"> consacrate în jurisprudența existentă.</w:t>
            </w:r>
            <w:r>
              <w:rPr>
                <w:rFonts w:ascii="Arial" w:hAnsi="Arial"/>
                <w:b/>
                <w:noProof/>
              </w:rPr>
              <w:t xml:space="preserve"> </w:t>
            </w:r>
          </w:p>
        </w:tc>
      </w:tr>
      <w:tr w:rsidR="0099383D" w:rsidRPr="0099383D" w:rsidTr="003E77C6">
        <w:tc>
          <w:tcPr>
            <w:tcW w:w="9923" w:type="dxa"/>
            <w:tcBorders>
              <w:bottom w:val="single" w:sz="4" w:space="0" w:color="auto"/>
            </w:tcBorders>
            <w:shd w:val="clear" w:color="auto" w:fill="C0C0C0"/>
          </w:tcPr>
          <w:p w:rsidR="0099383D" w:rsidRPr="0099383D" w:rsidRDefault="0099383D" w:rsidP="0099383D">
            <w:pPr>
              <w:spacing w:before="60" w:after="60"/>
              <w:jc w:val="center"/>
              <w:rPr>
                <w:rFonts w:ascii="Tahoma" w:hAnsi="Tahoma" w:cs="Tahoma"/>
                <w:b/>
                <w:noProof/>
              </w:rPr>
            </w:pPr>
            <w:r>
              <w:rPr>
                <w:rFonts w:ascii="Tahoma" w:hAnsi="Tahoma"/>
                <w:b/>
                <w:noProof/>
              </w:rPr>
              <w:t>D. Acțiuni ulterioare</w:t>
            </w:r>
          </w:p>
        </w:tc>
      </w:tr>
      <w:tr w:rsidR="0099383D" w:rsidRPr="0099383D" w:rsidTr="003E77C6">
        <w:tc>
          <w:tcPr>
            <w:tcW w:w="9923" w:type="dxa"/>
            <w:tcBorders>
              <w:bottom w:val="single" w:sz="4" w:space="0" w:color="auto"/>
            </w:tcBorders>
            <w:shd w:val="clear" w:color="auto" w:fill="E6E6E6"/>
          </w:tcPr>
          <w:p w:rsidR="0099383D" w:rsidRPr="0099383D" w:rsidRDefault="0099383D" w:rsidP="0099383D">
            <w:pPr>
              <w:spacing w:before="60"/>
              <w:jc w:val="both"/>
              <w:rPr>
                <w:rFonts w:ascii="Tahoma" w:hAnsi="Tahoma" w:cs="Tahoma"/>
                <w:noProof/>
              </w:rPr>
            </w:pPr>
            <w:r>
              <w:rPr>
                <w:rFonts w:ascii="Tahoma" w:hAnsi="Tahoma"/>
                <w:b/>
                <w:noProof/>
              </w:rPr>
              <w:t xml:space="preserve">Când va fi reexaminată politica? </w:t>
            </w:r>
          </w:p>
        </w:tc>
      </w:tr>
      <w:tr w:rsidR="0099383D" w:rsidRPr="0099383D" w:rsidTr="003E77C6">
        <w:tc>
          <w:tcPr>
            <w:tcW w:w="9923" w:type="dxa"/>
            <w:tcBorders>
              <w:bottom w:val="single" w:sz="4" w:space="0" w:color="auto"/>
            </w:tcBorders>
            <w:shd w:val="clear" w:color="auto" w:fill="auto"/>
          </w:tcPr>
          <w:p w:rsidR="0099383D" w:rsidRPr="0099383D" w:rsidRDefault="0099383D" w:rsidP="0099383D">
            <w:pPr>
              <w:jc w:val="both"/>
              <w:rPr>
                <w:rFonts w:ascii="Tahoma" w:hAnsi="Tahoma" w:cs="Tahoma"/>
                <w:noProof/>
              </w:rPr>
            </w:pPr>
            <w:r>
              <w:rPr>
                <w:rFonts w:ascii="Tahoma" w:hAnsi="Tahoma"/>
                <w:noProof/>
              </w:rPr>
              <w:t>Evaluarea impactului actului legislativ ar trebui să fie efectuată, în principiu, nu mai devreme de cinci ani de la termenul stabilit pentru punerea în aplicare a actului legislativ, în vederea asigurării faptului că există o perioadă suficient de lungă pentru a evalua efectele inițiativei după ce aceasta a fost pusă în aplicare pe deplin în toate statele membre. O astfel de evaluare ar fi precedată de rapoarte de transpunere, precum și de un program de monitorizare.</w:t>
            </w:r>
          </w:p>
        </w:tc>
      </w:tr>
    </w:tbl>
    <w:p w:rsidR="00EC613A" w:rsidRDefault="00EC613A">
      <w:pPr>
        <w:rPr>
          <w:noProof/>
        </w:rPr>
      </w:pPr>
    </w:p>
    <w:sectPr w:rsidR="00EC613A" w:rsidSect="00E7406A">
      <w:headerReference w:type="even" r:id="rId14"/>
      <w:headerReference w:type="default" r:id="rId15"/>
      <w:footerReference w:type="even" r:id="rId16"/>
      <w:footerReference w:type="default" r:id="rId17"/>
      <w:headerReference w:type="first" r:id="rId18"/>
      <w:footerReference w:type="first" r:id="rId19"/>
      <w:pgSz w:w="11906" w:h="16838"/>
      <w:pgMar w:top="993" w:right="1021" w:bottom="1560" w:left="1021" w:header="708" w:footer="708"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83D" w:rsidRDefault="0099383D" w:rsidP="0099383D">
      <w:pPr>
        <w:spacing w:after="0" w:line="240" w:lineRule="auto"/>
      </w:pPr>
      <w:r>
        <w:separator/>
      </w:r>
    </w:p>
  </w:endnote>
  <w:endnote w:type="continuationSeparator" w:id="0">
    <w:p w:rsidR="0099383D" w:rsidRDefault="0099383D" w:rsidP="0099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D0A" w:rsidRPr="00A30D0A" w:rsidRDefault="00A30D0A" w:rsidP="00A30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C05" w:rsidRPr="00A30D0A" w:rsidRDefault="00A30D0A" w:rsidP="00A30D0A">
    <w:pPr>
      <w:pStyle w:val="FooterCoverPage"/>
      <w:rPr>
        <w:rFonts w:ascii="Arial" w:hAnsi="Arial" w:cs="Arial"/>
        <w:b/>
        <w:sz w:val="48"/>
      </w:rPr>
    </w:pPr>
    <w:r w:rsidRPr="00A30D0A">
      <w:rPr>
        <w:rFonts w:ascii="Arial" w:hAnsi="Arial" w:cs="Arial"/>
        <w:b/>
        <w:sz w:val="48"/>
      </w:rPr>
      <w:t>RO</w:t>
    </w:r>
    <w:r w:rsidRPr="00A30D0A">
      <w:rPr>
        <w:rFonts w:ascii="Arial" w:hAnsi="Arial" w:cs="Arial"/>
        <w:b/>
        <w:sz w:val="48"/>
      </w:rPr>
      <w:tab/>
    </w:r>
    <w:r w:rsidRPr="00A30D0A">
      <w:rPr>
        <w:rFonts w:ascii="Arial" w:hAnsi="Arial" w:cs="Arial"/>
        <w:b/>
        <w:sz w:val="48"/>
      </w:rPr>
      <w:tab/>
    </w:r>
    <w:r w:rsidRPr="00A30D0A">
      <w:tab/>
    </w:r>
    <w:r w:rsidRPr="00A30D0A">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D0A" w:rsidRPr="00A30D0A" w:rsidRDefault="00A30D0A" w:rsidP="00A30D0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79" w:rsidRDefault="00A30D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775996"/>
      <w:docPartObj>
        <w:docPartGallery w:val="Page Numbers (Bottom of Page)"/>
        <w:docPartUnique/>
      </w:docPartObj>
    </w:sdtPr>
    <w:sdtEndPr>
      <w:rPr>
        <w:noProof/>
      </w:rPr>
    </w:sdtEndPr>
    <w:sdtContent>
      <w:p w:rsidR="005F6F79" w:rsidRDefault="0099383D" w:rsidP="003A26E8">
        <w:pPr>
          <w:pStyle w:val="Footer"/>
          <w:jc w:val="center"/>
        </w:pPr>
        <w:r>
          <w:fldChar w:fldCharType="begin"/>
        </w:r>
        <w:r>
          <w:instrText xml:space="preserve"> PAGE   \* MERGEFORMAT </w:instrText>
        </w:r>
        <w:r>
          <w:fldChar w:fldCharType="separate"/>
        </w:r>
        <w:r w:rsidR="00A30D0A">
          <w:rPr>
            <w:noProof/>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79" w:rsidRDefault="00A30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83D" w:rsidRDefault="0099383D" w:rsidP="0099383D">
      <w:pPr>
        <w:spacing w:after="0" w:line="240" w:lineRule="auto"/>
      </w:pPr>
      <w:r>
        <w:separator/>
      </w:r>
    </w:p>
  </w:footnote>
  <w:footnote w:type="continuationSeparator" w:id="0">
    <w:p w:rsidR="0099383D" w:rsidRDefault="0099383D" w:rsidP="00993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D0A" w:rsidRPr="00A30D0A" w:rsidRDefault="00A30D0A" w:rsidP="00A30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D0A" w:rsidRPr="00A30D0A" w:rsidRDefault="00A30D0A" w:rsidP="00A30D0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D0A" w:rsidRPr="00A30D0A" w:rsidRDefault="00A30D0A" w:rsidP="00A30D0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79" w:rsidRDefault="00A30D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79" w:rsidRDefault="00A30D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F79" w:rsidRDefault="00A30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C4D80"/>
    <w:multiLevelType w:val="hybridMultilevel"/>
    <w:tmpl w:val="5ACCC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5E67AC"/>
    <w:multiLevelType w:val="hybridMultilevel"/>
    <w:tmpl w:val="2132F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19492F"/>
    <w:multiLevelType w:val="hybridMultilevel"/>
    <w:tmpl w:val="C1DC8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care însoţeşte documentul"/>
    <w:docVar w:name="LW_CORRIGENDUM" w:val="&lt;UNUSED&gt;"/>
    <w:docVar w:name="LW_COVERPAGE_EXISTS" w:val="True"/>
    <w:docVar w:name="LW_COVERPAGE_GUID" w:val="B25E836F-97E7-41AD-8F3F-C9F3D69EC960"/>
    <w:docVar w:name="LW_COVERPAGE_TYPE" w:val="1"/>
    <w:docVar w:name="LW_CROSSREFERENCE" w:val="{COM(2022) 245 final} - {SEC(2022) 245 final} - {SWD(2022) 245 final}"/>
    <w:docVar w:name="LW_DocType" w:val="NORMAL"/>
    <w:docVar w:name="LW_EMISSION" w:val="25.5.2022"/>
    <w:docVar w:name="LW_EMISSION_ISODATE" w:val="2022-05-25"/>
    <w:docVar w:name="LW_EMISSION_LOCATION" w:val="BRX"/>
    <w:docVar w:name="LW_EMISSION_PREFIX" w:val="Bruxelles, "/>
    <w:docVar w:name="LW_EMISSION_SUFFIX" w:val=" "/>
    <w:docVar w:name="LW_ID_DOCTYPE_NONLW" w:val="CP-027"/>
    <w:docVar w:name="LW_LANGUE" w:val="RO"/>
    <w:docVar w:name="LW_LEVEL_OF_SENSITIVITY" w:val="Standard treatment"/>
    <w:docVar w:name="LW_NOM.INST" w:val="COMISIA EUROPEAN\u258?"/>
    <w:docVar w:name="LW_NOM.INST_JOINTDOC" w:val="&lt;EMPTY&gt;"/>
    <w:docVar w:name="LW_OBJETACTEPRINCIPAL.CP" w:val="privind recuperarea și confiscarea activelor_x000d__x000d__x000b_"/>
    <w:docVar w:name="LW_PART_NBR" w:val="1"/>
    <w:docVar w:name="LW_PART_NBR_TOTAL" w:val="1"/>
    <w:docVar w:name="LW_REF.INST.NEW" w:val="SWD"/>
    <w:docVar w:name="LW_REF.INST.NEW_ADOPTED" w:val="final"/>
    <w:docVar w:name="LW_REF.INST.NEW_TEXT" w:val="(2022) 2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
    <w:docVar w:name="LW_TYPE.DOC.CP" w:val="DOCUMENT DE LUCRU AL SERVICIILOR COMISIEI_x000b__x000b_REZUMAT AL RAPORTULUI PRIVIND EVALUAREA IMPACTULUI_x000b_"/>
    <w:docVar w:name="LW_TYPEACTEPRINCIPAL.CP" w:val="Propunerea de directivă a Parlamentului European și a Consiliului_x000b_"/>
    <w:docVar w:name="LwApiVersions" w:val="LW4CoDe 1.23.2.0; LW 8.0, Build 20211117"/>
  </w:docVars>
  <w:rsids>
    <w:rsidRoot w:val="0099383D"/>
    <w:rsid w:val="0000031D"/>
    <w:rsid w:val="00062C05"/>
    <w:rsid w:val="00113739"/>
    <w:rsid w:val="00207EBD"/>
    <w:rsid w:val="00230687"/>
    <w:rsid w:val="00281F0C"/>
    <w:rsid w:val="00285C16"/>
    <w:rsid w:val="003E4F55"/>
    <w:rsid w:val="00751842"/>
    <w:rsid w:val="00822571"/>
    <w:rsid w:val="00862750"/>
    <w:rsid w:val="00937F16"/>
    <w:rsid w:val="0099383D"/>
    <w:rsid w:val="00A0171C"/>
    <w:rsid w:val="00A30D0A"/>
    <w:rsid w:val="00A772FA"/>
    <w:rsid w:val="00A81889"/>
    <w:rsid w:val="00CE7D1D"/>
    <w:rsid w:val="00EC26C6"/>
    <w:rsid w:val="00EC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CF59BC4-34DD-4B25-837E-BDD4E3D6F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99383D"/>
    <w:rPr>
      <w:color w:val="0000FF"/>
      <w:shd w:val="clear" w:color="auto" w:fill="auto"/>
    </w:rPr>
  </w:style>
  <w:style w:type="paragraph" w:styleId="Header">
    <w:name w:val="header"/>
    <w:basedOn w:val="Normal"/>
    <w:link w:val="HeaderChar"/>
    <w:uiPriority w:val="99"/>
    <w:unhideWhenUsed/>
    <w:rsid w:val="00993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83D"/>
    <w:rPr>
      <w:lang w:val="ro-RO"/>
    </w:rPr>
  </w:style>
  <w:style w:type="paragraph" w:styleId="Footer">
    <w:name w:val="footer"/>
    <w:basedOn w:val="Normal"/>
    <w:link w:val="FooterChar"/>
    <w:uiPriority w:val="99"/>
    <w:unhideWhenUsed/>
    <w:rsid w:val="00993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83D"/>
    <w:rPr>
      <w:lang w:val="ro-RO"/>
    </w:rPr>
  </w:style>
  <w:style w:type="paragraph" w:customStyle="1" w:styleId="Pagedecouverture">
    <w:name w:val="Page de couverture"/>
    <w:basedOn w:val="Normal"/>
    <w:next w:val="Normal"/>
    <w:rsid w:val="0099383D"/>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99383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99383D"/>
    <w:rPr>
      <w:rFonts w:ascii="Times New Roman" w:hAnsi="Times New Roman" w:cs="Times New Roman"/>
      <w:sz w:val="24"/>
    </w:rPr>
  </w:style>
  <w:style w:type="paragraph" w:customStyle="1" w:styleId="FooterSensitivity">
    <w:name w:val="Footer Sensitivity"/>
    <w:basedOn w:val="Normal"/>
    <w:link w:val="FooterSensitivityChar"/>
    <w:rsid w:val="0099383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99383D"/>
    <w:rPr>
      <w:rFonts w:ascii="Times New Roman" w:hAnsi="Times New Roman" w:cs="Times New Roman"/>
      <w:b/>
      <w:sz w:val="32"/>
    </w:rPr>
  </w:style>
  <w:style w:type="paragraph" w:customStyle="1" w:styleId="HeaderCoverPage">
    <w:name w:val="Header Cover Page"/>
    <w:basedOn w:val="Normal"/>
    <w:link w:val="HeaderCoverPageChar"/>
    <w:rsid w:val="0099383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99383D"/>
    <w:rPr>
      <w:rFonts w:ascii="Times New Roman" w:hAnsi="Times New Roman" w:cs="Times New Roman"/>
      <w:sz w:val="24"/>
    </w:rPr>
  </w:style>
  <w:style w:type="paragraph" w:customStyle="1" w:styleId="HeaderSensitivity">
    <w:name w:val="Header Sensitivity"/>
    <w:basedOn w:val="Normal"/>
    <w:link w:val="HeaderSensitivityChar"/>
    <w:rsid w:val="0099383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99383D"/>
    <w:rPr>
      <w:rFonts w:ascii="Times New Roman" w:hAnsi="Times New Roman" w:cs="Times New Roman"/>
      <w:b/>
      <w:sz w:val="32"/>
    </w:rPr>
  </w:style>
  <w:style w:type="paragraph" w:customStyle="1" w:styleId="HeaderSensitivityRight">
    <w:name w:val="Header Sensitivity Right"/>
    <w:basedOn w:val="Normal"/>
    <w:link w:val="HeaderSensitivityRightChar"/>
    <w:rsid w:val="0099383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99383D"/>
    <w:rPr>
      <w:rFonts w:ascii="Times New Roman" w:hAnsi="Times New Roman" w:cs="Times New Roman"/>
      <w:sz w:val="28"/>
    </w:rPr>
  </w:style>
  <w:style w:type="table" w:styleId="TableGrid">
    <w:name w:val="Table Grid"/>
    <w:basedOn w:val="TableNormal"/>
    <w:rsid w:val="0099383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1796</Words>
  <Characters>10795</Characters>
  <Application>Microsoft Office Word</Application>
  <DocSecurity>0</DocSecurity>
  <Lines>149</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31</cp:revision>
  <dcterms:created xsi:type="dcterms:W3CDTF">2022-05-17T17:02:00Z</dcterms:created>
  <dcterms:modified xsi:type="dcterms:W3CDTF">2022-06-20T12:53:00Z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8.0, Build 20220128</vt:lpwstr>
  </property>
  <property fmtid="{D5CDD505-2E9C-101B-9397-08002B2CF9AE}" pid="8" name="Created using">
    <vt:lpwstr>LW 8.0, Build 20220128</vt:lpwstr>
  </property>
  <property name="OP_sanitized" fmtid="{D5CDD505-2E9C-101B-9397-08002B2CF9AE}" pid="9">
    <vt:lpwstr>True</vt:lpwstr>
  </property>
</Properties>
</file>