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38E89" w14:textId="48F9FCA8" w:rsidR="00C971A3" w:rsidRPr="00FE79BB" w:rsidRDefault="006A13B8" w:rsidP="006A13B8">
      <w:pPr>
        <w:pStyle w:val="Pagedecouverture"/>
        <w:rPr>
          <w:noProof/>
        </w:rPr>
      </w:pPr>
      <w:r>
        <w:rPr>
          <w:noProof/>
        </w:rPr>
        <w:pict w14:anchorId="1EAFEC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8BA2B100-15E2-43FD-80BE-486104F53ED6" style="width:455.25pt;height:355.5pt">
            <v:imagedata r:id="rId11" o:title=""/>
          </v:shape>
        </w:pict>
      </w:r>
    </w:p>
    <w:p w14:paraId="463677D8" w14:textId="77777777" w:rsidR="00C95DB4" w:rsidRPr="00FE79BB" w:rsidRDefault="00C95DB4" w:rsidP="00C95DB4">
      <w:pPr>
        <w:pStyle w:val="Pagedecouverture"/>
        <w:rPr>
          <w:noProof/>
        </w:rPr>
        <w:sectPr w:rsidR="00C95DB4" w:rsidRPr="00FE79BB" w:rsidSect="006A13B8">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D4F737E" w14:textId="6C85B58B" w:rsidR="00C95DB4" w:rsidRPr="00FE79BB" w:rsidRDefault="00C95DB4" w:rsidP="00C95DB4">
      <w:pPr>
        <w:pStyle w:val="Exposdesmotifstitre"/>
        <w:rPr>
          <w:noProof/>
        </w:rPr>
      </w:pPr>
      <w:bookmarkStart w:id="0" w:name="_GoBack"/>
      <w:bookmarkEnd w:id="0"/>
    </w:p>
    <w:p w14:paraId="6092983F" w14:textId="77777777" w:rsidR="00C95DB4" w:rsidRPr="00FE79BB" w:rsidRDefault="00C95DB4" w:rsidP="00C95DB4">
      <w:pPr>
        <w:rPr>
          <w:noProof/>
        </w:rPr>
      </w:pPr>
    </w:p>
    <w:p w14:paraId="1E2CC8F2" w14:textId="6D68F046" w:rsidR="00E71925" w:rsidRDefault="00E71925" w:rsidP="00E71925">
      <w:pPr>
        <w:pStyle w:val="Rfrenceinterinstitutionnelle"/>
        <w:rPr>
          <w:noProof/>
        </w:rPr>
      </w:pPr>
      <w:r w:rsidRPr="00E71925">
        <w:t>2022/0427 (NLE)</w:t>
      </w:r>
    </w:p>
    <w:p w14:paraId="2C238E8A" w14:textId="42E9CB65" w:rsidR="00C971A3" w:rsidRPr="00FE79BB" w:rsidRDefault="00FE79BB" w:rsidP="00FE79BB">
      <w:pPr>
        <w:pStyle w:val="Statut"/>
        <w:rPr>
          <w:noProof/>
        </w:rPr>
      </w:pPr>
      <w:r w:rsidRPr="00FE79BB">
        <w:rPr>
          <w:noProof/>
        </w:rPr>
        <w:t>Propunere de</w:t>
      </w:r>
    </w:p>
    <w:p w14:paraId="2C238E8B" w14:textId="07433F38" w:rsidR="00C971A3" w:rsidRPr="00FE79BB" w:rsidRDefault="00FE79BB" w:rsidP="00FE79BB">
      <w:pPr>
        <w:pStyle w:val="Typedudocument"/>
        <w:rPr>
          <w:noProof/>
        </w:rPr>
      </w:pPr>
      <w:r w:rsidRPr="00FE79BB">
        <w:rPr>
          <w:noProof/>
        </w:rPr>
        <w:t>DECIZIE DE PUNERE ÎN APLICARE A CONSILIULUI</w:t>
      </w:r>
    </w:p>
    <w:p w14:paraId="2C238E8C" w14:textId="6EE80C70" w:rsidR="00C971A3" w:rsidRPr="00FE79BB" w:rsidRDefault="00FE79BB" w:rsidP="00FE79BB">
      <w:pPr>
        <w:pStyle w:val="Titreobjet"/>
        <w:rPr>
          <w:noProof/>
        </w:rPr>
      </w:pPr>
      <w:r w:rsidRPr="00FE79BB">
        <w:rPr>
          <w:noProof/>
        </w:rPr>
        <w:t>de modificare a Deciziei de punere în aplicare (UE) (ST 10155/21; ST 10155/21 ADD 1) a Consiliului de aprobare a evaluării planului de redresare și reziliență al Luxemburgului</w:t>
      </w:r>
    </w:p>
    <w:p w14:paraId="2C238E8D" w14:textId="77777777" w:rsidR="00C971A3" w:rsidRPr="00FE79BB" w:rsidRDefault="00AB4BDB">
      <w:pPr>
        <w:pStyle w:val="Institutionquiagit"/>
        <w:rPr>
          <w:noProof/>
        </w:rPr>
      </w:pPr>
      <w:r w:rsidRPr="00FE79BB">
        <w:rPr>
          <w:noProof/>
        </w:rPr>
        <w:t>CONSILIUL UNIUNII EUROPENE,</w:t>
      </w:r>
    </w:p>
    <w:p w14:paraId="2C238E8E" w14:textId="77777777" w:rsidR="00C971A3" w:rsidRPr="00FE79BB" w:rsidRDefault="00AB4BDB">
      <w:pPr>
        <w:rPr>
          <w:noProof/>
        </w:rPr>
      </w:pPr>
      <w:r w:rsidRPr="00FE79BB">
        <w:rPr>
          <w:noProof/>
        </w:rPr>
        <w:t xml:space="preserve">având în vedere Tratatul privind funcționarea Uniunii Europene, </w:t>
      </w:r>
    </w:p>
    <w:p w14:paraId="2C238E8F" w14:textId="77777777" w:rsidR="00C971A3" w:rsidRPr="00FE79BB" w:rsidRDefault="00AB4BDB">
      <w:pPr>
        <w:rPr>
          <w:noProof/>
        </w:rPr>
      </w:pPr>
      <w:r w:rsidRPr="00FE79BB">
        <w:rPr>
          <w:noProof/>
        </w:rPr>
        <w:t>având în vedere Regulamentul (UE) 2021/241 al Parlamentului European și al Consiliului din 12 februarie 2021 de instituire a Mecanismului de redresare și reziliență</w:t>
      </w:r>
      <w:r w:rsidRPr="00FE79BB">
        <w:rPr>
          <w:rStyle w:val="FootnoteReference"/>
          <w:noProof/>
        </w:rPr>
        <w:footnoteReference w:id="2"/>
      </w:r>
      <w:r w:rsidRPr="00FE79BB">
        <w:rPr>
          <w:noProof/>
        </w:rPr>
        <w:t>, în special articolul 18 alineatul (2),</w:t>
      </w:r>
    </w:p>
    <w:p w14:paraId="2C238E90" w14:textId="77777777" w:rsidR="00C971A3" w:rsidRPr="00FE79BB" w:rsidRDefault="00AB4BDB">
      <w:pPr>
        <w:rPr>
          <w:noProof/>
        </w:rPr>
      </w:pPr>
      <w:r w:rsidRPr="00FE79BB">
        <w:rPr>
          <w:noProof/>
        </w:rPr>
        <w:t>având în vedere propunerea Comisiei Europene,</w:t>
      </w:r>
    </w:p>
    <w:p w14:paraId="2C238E91" w14:textId="77777777" w:rsidR="00C971A3" w:rsidRPr="00FE79BB" w:rsidRDefault="00AB4BDB">
      <w:pPr>
        <w:rPr>
          <w:noProof/>
        </w:rPr>
      </w:pPr>
      <w:r w:rsidRPr="00FE79BB">
        <w:rPr>
          <w:noProof/>
        </w:rPr>
        <w:t>întrucât:</w:t>
      </w:r>
    </w:p>
    <w:p w14:paraId="2C238E92" w14:textId="50868B29" w:rsidR="00C971A3" w:rsidRPr="00FE79BB" w:rsidRDefault="00C7117B" w:rsidP="00C7117B">
      <w:pPr>
        <w:pStyle w:val="ManualConsidrant"/>
        <w:rPr>
          <w:noProof/>
        </w:rPr>
      </w:pPr>
      <w:r w:rsidRPr="00C7117B">
        <w:t>(1)</w:t>
      </w:r>
      <w:r w:rsidRPr="00C7117B">
        <w:tab/>
      </w:r>
      <w:r w:rsidR="00AB4BDB" w:rsidRPr="00FE79BB">
        <w:rPr>
          <w:noProof/>
        </w:rPr>
        <w:t xml:space="preserve">În urma transmiterii de către </w:t>
      </w:r>
      <w:r w:rsidR="00AB4BDB" w:rsidRPr="00FE79BB">
        <w:rPr>
          <w:noProof/>
          <w:shd w:val="clear" w:color="auto" w:fill="FFFFFF"/>
        </w:rPr>
        <w:t>Luxemburg</w:t>
      </w:r>
      <w:r w:rsidR="00AB4BDB" w:rsidRPr="00FE79BB">
        <w:rPr>
          <w:noProof/>
        </w:rPr>
        <w:t>, la 30 aprilie 2021, a planului național de redresare și reziliență („PNRR”), Comisia a transmis Consiliului propunerea sa de evaluare pozitivă a planului. Consiliul a aprobat evaluarea pozitivă prin Decizia de punere în aplicare a Consiliului din 13 iulie 2021</w:t>
      </w:r>
      <w:r w:rsidR="00AB4BDB" w:rsidRPr="00FE79BB">
        <w:rPr>
          <w:rStyle w:val="FootnoteReference"/>
          <w:noProof/>
        </w:rPr>
        <w:footnoteReference w:id="3"/>
      </w:r>
      <w:r w:rsidR="00AB4BDB" w:rsidRPr="00FE79BB">
        <w:rPr>
          <w:noProof/>
        </w:rPr>
        <w:t xml:space="preserve">. </w:t>
      </w:r>
    </w:p>
    <w:p w14:paraId="2C238E93" w14:textId="2BE02209" w:rsidR="00C971A3" w:rsidRPr="00FE79BB" w:rsidRDefault="00C7117B" w:rsidP="00C7117B">
      <w:pPr>
        <w:pStyle w:val="ManualConsidrant"/>
        <w:rPr>
          <w:noProof/>
        </w:rPr>
      </w:pPr>
      <w:r w:rsidRPr="00C7117B">
        <w:t>(2)</w:t>
      </w:r>
      <w:r w:rsidRPr="00C7117B">
        <w:tab/>
      </w:r>
      <w:r w:rsidR="00AB4BDB" w:rsidRPr="00FE79BB">
        <w:rPr>
          <w:noProof/>
        </w:rPr>
        <w:t>În temeiul articolului 11 alineatul (2) din Regulamentul (UE) 2021/241, contribuția financiară maximă pentru sprijinul financiar nerambursabil destinat fiecărui stat membru ar trebui actualizată până la 30 iunie 2022 în conformitate cu metodologia prevăzută la articolul respectiv. La 30 iunie 2022, Comisia a prezentat rezultatele acestei actualizări Parlamentului European și Consiliului.</w:t>
      </w:r>
      <w:r w:rsidR="00F1207F">
        <w:rPr>
          <w:noProof/>
        </w:rPr>
        <w:t xml:space="preserve"> </w:t>
      </w:r>
    </w:p>
    <w:p w14:paraId="2C238E94" w14:textId="6CE86E66" w:rsidR="00C971A3" w:rsidRPr="00FE79BB" w:rsidRDefault="00C7117B" w:rsidP="00C7117B">
      <w:pPr>
        <w:pStyle w:val="ManualConsidrant"/>
        <w:rPr>
          <w:noProof/>
        </w:rPr>
      </w:pPr>
      <w:r w:rsidRPr="00C7117B">
        <w:t>(3)</w:t>
      </w:r>
      <w:r w:rsidRPr="00C7117B">
        <w:tab/>
      </w:r>
      <w:r w:rsidR="00AB4BDB" w:rsidRPr="00FE79BB">
        <w:rPr>
          <w:noProof/>
        </w:rPr>
        <w:t>La 11 noiembrie 2022, Luxemburgul a prezentat Comisiei planul său de redresare și reziliență actualizat, în conformitate cu articolul 18 alineatul (2) din Regulamentul (UE) 2021/241, pentru a ține seama de contribuția financiară maximă actualizată. În temeiul articolului 19 din Regulamentul (UE) 2021/241, Comisia a evaluat relevanța, eficacitatea, eficiența și coerența planului de redresare și reziliență actualizat, în conformitate cu orientările privind evaluarea prevăzute în anexa V la regulamentul menționat.</w:t>
      </w:r>
    </w:p>
    <w:p w14:paraId="2C238E95" w14:textId="0FEC0780" w:rsidR="00C971A3" w:rsidRPr="00FE79BB" w:rsidRDefault="00C7117B" w:rsidP="00C7117B">
      <w:pPr>
        <w:pStyle w:val="ManualConsidrant"/>
        <w:rPr>
          <w:noProof/>
        </w:rPr>
      </w:pPr>
      <w:r w:rsidRPr="00C7117B">
        <w:t>(4)</w:t>
      </w:r>
      <w:r w:rsidRPr="00C7117B">
        <w:tab/>
      </w:r>
      <w:r w:rsidR="009E259E" w:rsidRPr="00FE79BB">
        <w:rPr>
          <w:noProof/>
        </w:rPr>
        <w:t>Actualizarea prezentată de Luxemburg vizează investițiile în competențe digitale din cadrul componentei 1A și jaloanele și țintele cu numerele secvențiale de la 1A-6 la 1A-8 („Calificare, reconversie profesională și actualizare a competențelor”).</w:t>
      </w:r>
    </w:p>
    <w:p w14:paraId="2C238E96" w14:textId="31A13146" w:rsidR="00C971A3" w:rsidRPr="00FE79BB" w:rsidRDefault="00C7117B" w:rsidP="00C7117B">
      <w:pPr>
        <w:pStyle w:val="ManualConsidrant"/>
        <w:rPr>
          <w:noProof/>
        </w:rPr>
      </w:pPr>
      <w:r w:rsidRPr="00C7117B">
        <w:t>(5)</w:t>
      </w:r>
      <w:r w:rsidRPr="00C7117B">
        <w:tab/>
      </w:r>
      <w:r w:rsidR="00AB4BDB" w:rsidRPr="00FE79BB">
        <w:rPr>
          <w:noProof/>
        </w:rPr>
        <w:t xml:space="preserve">Se elimină din planul de redresare și reziliență actualizat al Luxemburgului investițiile în competențe digitale, care se referă la un set de cursuri online de dezvoltare a competențelor digitale, destinate angajaților care au făcut obiectul unor scheme privind reducerea timpului de muncă în perioada ianuarie-martie 2021. Descrierea investițiilor în competențe digitale, a obiectivului 1A-6 și a jaloanelor 1A-7 și 1A-8 ar trebui eliminate din Decizia de punere în aplicare a Consiliului din 13 iulie 2021. </w:t>
      </w:r>
    </w:p>
    <w:p w14:paraId="2C238E98" w14:textId="3AF3AF84" w:rsidR="00C971A3" w:rsidRPr="00FE79BB" w:rsidRDefault="00C7117B" w:rsidP="00C7117B">
      <w:pPr>
        <w:pStyle w:val="ManualConsidrant"/>
        <w:rPr>
          <w:noProof/>
          <w:szCs w:val="24"/>
        </w:rPr>
      </w:pPr>
      <w:r w:rsidRPr="00C7117B">
        <w:t>(6)</w:t>
      </w:r>
      <w:r w:rsidRPr="00C7117B">
        <w:tab/>
      </w:r>
      <w:r w:rsidR="009C1C01" w:rsidRPr="00FE79BB">
        <w:rPr>
          <w:noProof/>
        </w:rPr>
        <w:t>Modificarea foarte limitată prezentată de Luxemburg nu afectează evaluarea pozitivă a planului de redresare și reziliență în ceea ce privește relevanța, eficacitatea, eficiența și coerența acestuia.</w:t>
      </w:r>
    </w:p>
    <w:p w14:paraId="2C238E99" w14:textId="36963172" w:rsidR="00C971A3" w:rsidRPr="00FE79BB" w:rsidRDefault="00C7117B" w:rsidP="00C7117B">
      <w:pPr>
        <w:pStyle w:val="ManualConsidrant"/>
        <w:rPr>
          <w:noProof/>
        </w:rPr>
      </w:pPr>
      <w:r w:rsidRPr="00C7117B">
        <w:t>(7)</w:t>
      </w:r>
      <w:r w:rsidRPr="00C7117B">
        <w:tab/>
      </w:r>
      <w:r w:rsidR="00AB4BDB" w:rsidRPr="00FE79BB">
        <w:rPr>
          <w:noProof/>
        </w:rPr>
        <w:t xml:space="preserve">În special, în ceea ce privește criteriul de evaluare prevăzut la articolul 19 alineatul (3) litera (b), în pofida eliminării investiției în competențe digitale, planul de redresare și reziliență actualizat continuă să abordeze toate provocările sau un subset semnificativ de provocări identificate în recomandările specifice fiecărei țări adresate de Consiliu Luxemburgului în 2019 și 2020, inclusiv în ceea ce privește politicile privind piața forței de muncă și tranziția digitală. Planul de redresare și reziliență actualizat conține în continuare măsuri digitale, inclusiv în ceea ce privește perfecționarea și recalificarea. În special, programul FutureSkills le oferă competențe non-tehnice, digitale și manageriale persoanelor aflate în căutarea unui loc de muncă, stabilind o țintă specifică pentru persoanele în vârstă de cel puțin 45 ani aflate în căutarea unui loc de muncă. Reforma „Skillsdësch” vizează conceperea unor programe de formare profesională („Skillsbridge”) care să ajute lucrătorii și persoanele aflate în căutarea unui loc de muncă să își sporească capacitatea de inserție profesională în timpul tranziției verzi și al celei digitale. În plus, planul de redresare și reziliență actualizat menține, de asemenea, o serie de investiții în digitalizare și inovare care contribuie la tranziția digitală în sectorul sănătății și al serviciilor publice, precum și prin dezvoltarea unei infrastructuri de comunicații ultrasecurizate. </w:t>
      </w:r>
    </w:p>
    <w:p w14:paraId="2C238E9A" w14:textId="4A4E3D65" w:rsidR="00C971A3" w:rsidRPr="00FE79BB" w:rsidRDefault="00C7117B" w:rsidP="00C7117B">
      <w:pPr>
        <w:pStyle w:val="ManualConsidrant"/>
        <w:rPr>
          <w:noProof/>
        </w:rPr>
      </w:pPr>
      <w:r w:rsidRPr="00C7117B">
        <w:t>(8)</w:t>
      </w:r>
      <w:r w:rsidRPr="00C7117B">
        <w:tab/>
      </w:r>
      <w:r w:rsidR="00AB4BDB" w:rsidRPr="00FE79BB">
        <w:rPr>
          <w:noProof/>
        </w:rPr>
        <w:t xml:space="preserve">În plus, în ceea ce privește criteriul de evaluare prevăzut la articolul 19 alineatul (3) litera (e), ținând seama de contribuția financiară maximă redusă și de planul de redresare și reziliență actualizat, măsurile care contribuie în mod eficace la tranziția verde reprezintă 68,8 % din alocarea totală a planului de redresare și reziliență actualizat, comparativ cu 60,9 % în planul de redresare și reziliență inițial. Aceste cifre au fost calculate în conformitate cu metodologia stabilită în anexa VI la Regulamentul (UE) 2021/241. </w:t>
      </w:r>
    </w:p>
    <w:p w14:paraId="2C238E9B" w14:textId="063C1715" w:rsidR="00C971A3" w:rsidRPr="00FE79BB" w:rsidRDefault="00C7117B" w:rsidP="00C7117B">
      <w:pPr>
        <w:pStyle w:val="ManualConsidrant"/>
        <w:rPr>
          <w:noProof/>
        </w:rPr>
      </w:pPr>
      <w:r w:rsidRPr="00C7117B">
        <w:t>(9)</w:t>
      </w:r>
      <w:r w:rsidRPr="00C7117B">
        <w:tab/>
      </w:r>
      <w:r w:rsidR="00AB4BDB" w:rsidRPr="00FE79BB">
        <w:rPr>
          <w:noProof/>
        </w:rPr>
        <w:t>În plus, în ceea ce privește criteriul de evaluare prevăzut la articolul 19 alineatul (3) litera (f), suma aferentă măsurilor care contribuie în mod eficace la tranziția digitală reprezintă 29,6 % din alocarea totală a planului de redresare și reziliență actualizat, în comparație cu 31,6 % în planul de redresare și reziliență inițial. Aceste cifre au fost calculate în conformitate cu metodologia stabilită în anexa VII la Regulamentul (UE)</w:t>
      </w:r>
      <w:r w:rsidR="00F1207F">
        <w:rPr>
          <w:noProof/>
        </w:rPr>
        <w:t> </w:t>
      </w:r>
      <w:r w:rsidR="00AB4BDB" w:rsidRPr="00FE79BB">
        <w:rPr>
          <w:noProof/>
        </w:rPr>
        <w:t xml:space="preserve">2021/241. </w:t>
      </w:r>
    </w:p>
    <w:p w14:paraId="2C238E9C" w14:textId="76DC8DE2" w:rsidR="00C971A3" w:rsidRPr="00FE79BB" w:rsidRDefault="00C7117B" w:rsidP="00C7117B">
      <w:pPr>
        <w:pStyle w:val="ManualConsidrant"/>
        <w:rPr>
          <w:noProof/>
        </w:rPr>
      </w:pPr>
      <w:r w:rsidRPr="00C7117B">
        <w:t>(10)</w:t>
      </w:r>
      <w:r w:rsidRPr="00C7117B">
        <w:tab/>
      </w:r>
      <w:r w:rsidR="00AB4BDB" w:rsidRPr="00FE79BB">
        <w:rPr>
          <w:noProof/>
        </w:rPr>
        <w:t>În ceea ce privește criteriile de evaluare prevăzute la articolul 19 alineatul (3) literele</w:t>
      </w:r>
      <w:r w:rsidR="00F1207F">
        <w:rPr>
          <w:noProof/>
        </w:rPr>
        <w:t> </w:t>
      </w:r>
      <w:r w:rsidR="00AB4BDB" w:rsidRPr="00FE79BB">
        <w:rPr>
          <w:noProof/>
        </w:rPr>
        <w:t>(a), (c), (d), (g), (h), (i), (j) și (k) din Regulamentul (UE) 2021/241, modificările limitate ale planului de redresare și reziliență nu afectează evaluarea pozitivă a planului inițial.</w:t>
      </w:r>
    </w:p>
    <w:p w14:paraId="2C238E9D" w14:textId="5E1F6E6F" w:rsidR="00C971A3" w:rsidRPr="00FE79BB" w:rsidRDefault="00C7117B" w:rsidP="00C7117B">
      <w:pPr>
        <w:pStyle w:val="ManualConsidrant"/>
        <w:rPr>
          <w:noProof/>
        </w:rPr>
      </w:pPr>
      <w:r w:rsidRPr="00C7117B">
        <w:t>(11)</w:t>
      </w:r>
      <w:r w:rsidRPr="00C7117B">
        <w:tab/>
      </w:r>
      <w:r w:rsidR="00AB4BDB" w:rsidRPr="00FE79BB">
        <w:rPr>
          <w:noProof/>
        </w:rPr>
        <w:t>În urma evaluării pozitive de către Comisie a planului de redresare și reziliență actualizat al Luxemburgului, în care se constată că planul îndeplinește în mod satisfăcător criteriile de evaluare prevăzute în Regulamentul (UE) 2021/241, în conformitate cu articolul 20 alineatul (2) și cu anexa V la regulamentul respectiv, prezenta decizie ar trebui să stabilească modificările reformelor și ale proiectelor de investiții necesare pentru a ține seama de planul de redresare și reziliență actualizat.</w:t>
      </w:r>
    </w:p>
    <w:p w14:paraId="2C238E9E" w14:textId="68213C9E" w:rsidR="00C971A3" w:rsidRPr="00FE79BB" w:rsidRDefault="00C7117B" w:rsidP="00C7117B">
      <w:pPr>
        <w:pStyle w:val="ManualConsidrant"/>
        <w:rPr>
          <w:noProof/>
        </w:rPr>
      </w:pPr>
      <w:r w:rsidRPr="00C7117B">
        <w:t>(12)</w:t>
      </w:r>
      <w:r w:rsidRPr="00C7117B">
        <w:tab/>
      </w:r>
      <w:r w:rsidR="00AB4BDB" w:rsidRPr="00FE79BB">
        <w:rPr>
          <w:noProof/>
        </w:rPr>
        <w:t>Costul total estimat al planului de redresare și reziliență actualizat al Luxemburgului este de 88 354 077 EUR. Întrucât planul de redresare și reziliență actualizat îndeplinește în mod satisfăcător criteriile de evaluare prevăzute în Regulamentul (UE)</w:t>
      </w:r>
      <w:r w:rsidR="00F1207F">
        <w:rPr>
          <w:noProof/>
        </w:rPr>
        <w:t> </w:t>
      </w:r>
      <w:r w:rsidR="00AB4BDB" w:rsidRPr="00FE79BB">
        <w:rPr>
          <w:noProof/>
        </w:rPr>
        <w:t>2021/241 și, în plus, întrucât cuantumul costurilor totale estimate ale planului de redresare și reziliență actualizat este mai mare decât contribuția financiară maximă actualizată disponibilă pentru Luxemburg, contribuția financiară alocată planului de redresare și reziliență actualizat al Luxemburgului ar trebui să fie egală cu cuantumul total al contribuției financiare actualizate disponibile pentru Luxemburg.</w:t>
      </w:r>
    </w:p>
    <w:p w14:paraId="2C238EA1" w14:textId="09038C12" w:rsidR="00C971A3" w:rsidRPr="00FE79BB" w:rsidRDefault="00C7117B" w:rsidP="00C7117B">
      <w:pPr>
        <w:pStyle w:val="ManualConsidrant"/>
        <w:rPr>
          <w:noProof/>
        </w:rPr>
      </w:pPr>
      <w:r w:rsidRPr="00C7117B">
        <w:t>(13)</w:t>
      </w:r>
      <w:r w:rsidRPr="00C7117B">
        <w:tab/>
      </w:r>
      <w:r w:rsidR="00AB4BDB" w:rsidRPr="00FE79BB">
        <w:rPr>
          <w:noProof/>
        </w:rPr>
        <w:t>Decizia de punere în aplicare a Consiliului din 13 iulie 2021 de aprobare a evaluării planului de redresare și reziliență al Luxemburgului ar trebui modificată în consecință,</w:t>
      </w:r>
    </w:p>
    <w:p w14:paraId="2C238EA2" w14:textId="77777777" w:rsidR="00C971A3" w:rsidRPr="00FE79BB" w:rsidRDefault="00AB4BDB">
      <w:pPr>
        <w:pStyle w:val="Formuledadoption"/>
        <w:rPr>
          <w:noProof/>
        </w:rPr>
      </w:pPr>
      <w:r w:rsidRPr="00FE79BB">
        <w:rPr>
          <w:noProof/>
        </w:rPr>
        <w:t xml:space="preserve">ADOPTĂ PREZENTA DECIZIE: </w:t>
      </w:r>
    </w:p>
    <w:p w14:paraId="2C238EA3" w14:textId="77777777" w:rsidR="00C971A3" w:rsidRPr="00FE79BB" w:rsidRDefault="00AB4BDB">
      <w:pPr>
        <w:pStyle w:val="Titrearticle"/>
        <w:rPr>
          <w:noProof/>
        </w:rPr>
      </w:pPr>
      <w:r w:rsidRPr="00FE79BB">
        <w:rPr>
          <w:noProof/>
        </w:rPr>
        <w:t>Articolul 1</w:t>
      </w:r>
    </w:p>
    <w:p w14:paraId="2C238EA4" w14:textId="77777777" w:rsidR="00C971A3" w:rsidRPr="00FE79BB" w:rsidRDefault="00AB4BDB">
      <w:pPr>
        <w:rPr>
          <w:noProof/>
        </w:rPr>
      </w:pPr>
      <w:r w:rsidRPr="00FE79BB">
        <w:rPr>
          <w:noProof/>
        </w:rPr>
        <w:t xml:space="preserve">Decizia de punere în aplicare a Consiliului din 13 iulie 2021 de aprobare a evaluării planului de redresare și reziliență al Luxemburgului se modifică după cum urmează: </w:t>
      </w:r>
    </w:p>
    <w:p w14:paraId="2C238EA5" w14:textId="77777777" w:rsidR="00C971A3" w:rsidRPr="00FE79BB" w:rsidRDefault="00C971A3" w:rsidP="00C95DB4">
      <w:pPr>
        <w:rPr>
          <w:noProof/>
        </w:rPr>
      </w:pPr>
    </w:p>
    <w:p w14:paraId="2C238EA6" w14:textId="77777777" w:rsidR="00C971A3" w:rsidRPr="00FE79BB" w:rsidRDefault="00AB4BDB" w:rsidP="00C95DB4">
      <w:pPr>
        <w:rPr>
          <w:noProof/>
        </w:rPr>
      </w:pPr>
      <w:r w:rsidRPr="00FE79BB">
        <w:rPr>
          <w:noProof/>
        </w:rPr>
        <w:t xml:space="preserve">(1) Articolul 1 se înlocuiește cu următorul text: </w:t>
      </w:r>
    </w:p>
    <w:p w14:paraId="2C238EA7" w14:textId="77777777" w:rsidR="00C971A3" w:rsidRPr="00FE79BB" w:rsidRDefault="00AB4BDB">
      <w:pPr>
        <w:rPr>
          <w:noProof/>
        </w:rPr>
      </w:pPr>
      <w:r w:rsidRPr="00FE79BB">
        <w:rPr>
          <w:noProof/>
        </w:rPr>
        <w:t>Se aprobă evaluarea planului de redresare și reziliență actualizat al Luxemburgului pe baza criteriilor prevăzute la articolul 19 alineatul (3) din Regulamentul (UE) 2021/241. În anexa la prezenta decizie sunt prezentate reformele și proiectele de investiții incluse în planul de redresare și reziliență, măsurile și calendarul de monitorizare și implementare a planului de redresare și reziliență, inclusiv jaloanele și țintele relevante, indicatorii relevanți referitori la atingerea jaloanelor și a țintelor preconizate, precum și măsurile de asigurare a accesului deplin al Comisiei la datele subiacente relevante.</w:t>
      </w:r>
    </w:p>
    <w:p w14:paraId="2C238EA8" w14:textId="77777777" w:rsidR="00C971A3" w:rsidRPr="00FE79BB" w:rsidRDefault="00AB4BDB">
      <w:pPr>
        <w:rPr>
          <w:noProof/>
        </w:rPr>
      </w:pPr>
      <w:r w:rsidRPr="00FE79BB">
        <w:rPr>
          <w:noProof/>
        </w:rPr>
        <w:t>(2) La articolul 2, alineatele (1) și (2) se înlocuiesc cu următorul text:</w:t>
      </w:r>
    </w:p>
    <w:p w14:paraId="2C238EA9" w14:textId="76AA942D" w:rsidR="00C971A3" w:rsidRPr="00FE79BB" w:rsidRDefault="00C7117B" w:rsidP="00C7117B">
      <w:pPr>
        <w:pStyle w:val="ManualNumPar1"/>
        <w:rPr>
          <w:noProof/>
        </w:rPr>
      </w:pPr>
      <w:r w:rsidRPr="00C7117B">
        <w:t>1.</w:t>
      </w:r>
      <w:r w:rsidRPr="00C7117B">
        <w:tab/>
      </w:r>
      <w:r w:rsidR="00AB4BDB" w:rsidRPr="00FE79BB">
        <w:rPr>
          <w:noProof/>
        </w:rPr>
        <w:t>Uniunea pune la dispoziția Luxemburgului o contribuție financiară sub formă de sprijin nerambursabil în valoare de 82 670 643 EUR</w:t>
      </w:r>
      <w:r w:rsidR="00AB4BDB" w:rsidRPr="00FE79BB">
        <w:rPr>
          <w:rStyle w:val="FootnoteReference"/>
          <w:noProof/>
        </w:rPr>
        <w:footnoteReference w:id="4"/>
      </w:r>
      <w:r w:rsidR="00AB4BDB" w:rsidRPr="00FE79BB">
        <w:rPr>
          <w:noProof/>
        </w:rPr>
        <w:t>. Suma de 76 625 886 EUR se pune la dispoziție pentru a fi angajată din punct de vedere juridic până la 31 decembrie 2022. Suma restantă, de 6 044 757 EUR, se pune la dispoziție pentru a fi angajată din punct de vedere juridic între 1 ianuarie 2023 și 31 decembrie 2023.</w:t>
      </w:r>
    </w:p>
    <w:p w14:paraId="2C238EAA" w14:textId="3DF18C92" w:rsidR="00C971A3" w:rsidRPr="00FE79BB" w:rsidRDefault="00C7117B" w:rsidP="00C7117B">
      <w:pPr>
        <w:pStyle w:val="ManualNumPar1"/>
        <w:rPr>
          <w:noProof/>
        </w:rPr>
      </w:pPr>
      <w:r w:rsidRPr="00C7117B">
        <w:t>2.</w:t>
      </w:r>
      <w:r w:rsidRPr="00C7117B">
        <w:tab/>
      </w:r>
      <w:r w:rsidR="00AB4BDB" w:rsidRPr="00FE79BB">
        <w:rPr>
          <w:noProof/>
        </w:rPr>
        <w:t>Comisia pune contribuția financiară a Uniunii la dispoziția Luxemburgului în tranșe, în conformitate cu anexa la prezenta decizie. Tranșele pot fi plătite de Comisie în cadrul unei singure operațiuni de plată sau prin intermediul mai multor plăți eșalonate. Cuantumul tranșelor depinde de disponibilitatea finanțării.</w:t>
      </w:r>
    </w:p>
    <w:p w14:paraId="2C238EAB" w14:textId="77777777" w:rsidR="00C971A3" w:rsidRPr="00FE79BB" w:rsidRDefault="00C971A3">
      <w:pPr>
        <w:rPr>
          <w:noProof/>
        </w:rPr>
      </w:pPr>
    </w:p>
    <w:p w14:paraId="2C238EAC" w14:textId="77777777" w:rsidR="00C971A3" w:rsidRPr="00FE79BB" w:rsidRDefault="00AB4BDB">
      <w:pPr>
        <w:rPr>
          <w:noProof/>
        </w:rPr>
      </w:pPr>
      <w:r w:rsidRPr="00FE79BB">
        <w:rPr>
          <w:noProof/>
        </w:rPr>
        <w:t>(3) Anexa se modifică după cum urmează:</w:t>
      </w:r>
    </w:p>
    <w:p w14:paraId="2C238EAD" w14:textId="77777777" w:rsidR="00C971A3" w:rsidRPr="00FE79BB" w:rsidRDefault="00C971A3">
      <w:pPr>
        <w:rPr>
          <w:noProof/>
        </w:rPr>
      </w:pPr>
    </w:p>
    <w:p w14:paraId="2C238EAE" w14:textId="5D0A9DE1" w:rsidR="00C971A3" w:rsidRPr="00FE79BB" w:rsidRDefault="00AB4BDB">
      <w:pPr>
        <w:rPr>
          <w:noProof/>
        </w:rPr>
      </w:pPr>
      <w:r w:rsidRPr="00FE79BB">
        <w:rPr>
          <w:noProof/>
        </w:rPr>
        <w:t>(a) Secțiunea 1: Reformele și investițiile din planul de redresare și reziliență se modifică după cum urmează:</w:t>
      </w:r>
    </w:p>
    <w:p w14:paraId="2C238EAF" w14:textId="7B57A032" w:rsidR="00C971A3" w:rsidRPr="00FE79BB" w:rsidRDefault="00AB4BDB">
      <w:pPr>
        <w:rPr>
          <w:noProof/>
        </w:rPr>
      </w:pPr>
      <w:r w:rsidRPr="00FE79BB">
        <w:rPr>
          <w:noProof/>
        </w:rPr>
        <w:t xml:space="preserve">(i) la punctul 1. Descrierea reformelor și a investițiilor A. Componenta 1A: Calificare, reconversie profesională și actualizare a competențelor, alineatul (1), a doua teză se înlocuiește cu următorul text: </w:t>
      </w:r>
    </w:p>
    <w:p w14:paraId="2C238EB0" w14:textId="77777777" w:rsidR="00C971A3" w:rsidRPr="00FE79BB" w:rsidRDefault="00AB4BDB">
      <w:pPr>
        <w:rPr>
          <w:noProof/>
        </w:rPr>
      </w:pPr>
      <w:r w:rsidRPr="00FE79BB">
        <w:rPr>
          <w:noProof/>
        </w:rPr>
        <w:t>„Un program de formare – FutureSkills – oferă competențe persoanelor aflate în căutarea unui loc de muncă, stabilind o țintă specifică pentru persoanele în vârstă de cel puțin 45 ani aflate în căutarea unui loc de muncă.”;</w:t>
      </w:r>
    </w:p>
    <w:p w14:paraId="2C238EB1" w14:textId="018A37B3" w:rsidR="00C971A3" w:rsidRPr="00FE79BB" w:rsidRDefault="00AB4BDB">
      <w:pPr>
        <w:rPr>
          <w:noProof/>
        </w:rPr>
      </w:pPr>
      <w:r w:rsidRPr="00FE79BB">
        <w:rPr>
          <w:noProof/>
        </w:rPr>
        <w:t>(ii) la punctul 1. Descrierea reformelor și a investițiilor A. Componenta 1A: Calificare, reconversie profesională și actualizare a competențelor; A.1. Descrierea reformelor și a investițiilor pentru sprijinul financiar nerambursabil, punctul „Investiții 2: Competențe digitale” se elimină;</w:t>
      </w:r>
    </w:p>
    <w:p w14:paraId="2C238EB2" w14:textId="68FC9B4A" w:rsidR="00C971A3" w:rsidRPr="00FE79BB" w:rsidRDefault="00AB4BDB">
      <w:pPr>
        <w:rPr>
          <w:noProof/>
        </w:rPr>
      </w:pPr>
      <w:r w:rsidRPr="00FE79BB">
        <w:rPr>
          <w:noProof/>
        </w:rPr>
        <w:t>(iii) la punctul 1. Descrierea reformelor și a investițiilor A. Componenta 1A: Calificare, reconversie profesională și actualizare a competențelor; A.2. Jaloanele, țintele, indicatorii și calendarul pentru monitorizarea și punerea în aplicare a sprijinului financiar nerambursabil, rândurile 1A-6, 1A-7 și 1A-8 se elimină;</w:t>
      </w:r>
    </w:p>
    <w:p w14:paraId="2C238EB3" w14:textId="55F848C2" w:rsidR="00C971A3" w:rsidRPr="00FE79BB" w:rsidRDefault="00AB4BDB">
      <w:pPr>
        <w:rPr>
          <w:noProof/>
        </w:rPr>
      </w:pPr>
      <w:r w:rsidRPr="00FE79BB">
        <w:rPr>
          <w:noProof/>
        </w:rPr>
        <w:t>(iv) la punctul 2. Costul total estimat al planului de redresare și reziliență, paragraful se înlocuiește cu următorul text:</w:t>
      </w:r>
    </w:p>
    <w:p w14:paraId="2C238EB4" w14:textId="31F403C2" w:rsidR="00C971A3" w:rsidRPr="00FE79BB" w:rsidRDefault="00AB4BDB">
      <w:pPr>
        <w:ind w:left="850"/>
        <w:rPr>
          <w:rFonts w:eastAsia="Calibri"/>
          <w:noProof/>
        </w:rPr>
      </w:pPr>
      <w:r w:rsidRPr="00FE79BB">
        <w:rPr>
          <w:noProof/>
        </w:rPr>
        <w:t>„Costul total estimat al planului de redresare și reziliență al Luxemburgului este de 88 354 077 EUR.”</w:t>
      </w:r>
    </w:p>
    <w:p w14:paraId="2C238EB5" w14:textId="77777777" w:rsidR="00C971A3" w:rsidRPr="00FE79BB" w:rsidRDefault="00C971A3">
      <w:pPr>
        <w:ind w:left="850"/>
        <w:rPr>
          <w:rFonts w:eastAsia="Calibri"/>
          <w:noProof/>
        </w:rPr>
      </w:pPr>
    </w:p>
    <w:p w14:paraId="2C238EB6" w14:textId="26387ADD" w:rsidR="00C971A3" w:rsidRPr="00FE79BB" w:rsidRDefault="00AB4BDB">
      <w:pPr>
        <w:rPr>
          <w:rFonts w:eastAsia="Calibri"/>
          <w:noProof/>
        </w:rPr>
      </w:pPr>
      <w:r w:rsidRPr="00FE79BB">
        <w:rPr>
          <w:noProof/>
        </w:rPr>
        <w:t>(b) secțiunea 2: Sprijinul financiar se modifică după cum urmează:</w:t>
      </w:r>
    </w:p>
    <w:p w14:paraId="2C238EB7" w14:textId="75EF67E5" w:rsidR="00C971A3" w:rsidRPr="00FE79BB" w:rsidRDefault="00AB4BDB">
      <w:pPr>
        <w:rPr>
          <w:rFonts w:eastAsia="Calibri"/>
          <w:noProof/>
        </w:rPr>
      </w:pPr>
      <w:r w:rsidRPr="00FE79BB">
        <w:rPr>
          <w:noProof/>
        </w:rPr>
        <w:t>(i) la punctul 1. Contribuția financiară, 1.1 Prima tranșă (sprijin nerambursabil), rândurile 1A</w:t>
      </w:r>
      <w:r w:rsidR="00F1207F">
        <w:rPr>
          <w:noProof/>
        </w:rPr>
        <w:t>­</w:t>
      </w:r>
      <w:r w:rsidRPr="00FE79BB">
        <w:rPr>
          <w:noProof/>
        </w:rPr>
        <w:t xml:space="preserve">6, 1A-7 și 1A-8 se elimină; </w:t>
      </w:r>
    </w:p>
    <w:p w14:paraId="2C238EB8" w14:textId="3A2D02FE" w:rsidR="00C971A3" w:rsidRPr="00FE79BB" w:rsidRDefault="00AB4BDB">
      <w:pPr>
        <w:rPr>
          <w:noProof/>
        </w:rPr>
      </w:pPr>
      <w:r w:rsidRPr="00FE79BB">
        <w:rPr>
          <w:noProof/>
        </w:rPr>
        <w:t>(ii) la punctul 1. Contribuția financiară, 1.1 Prima tranșă (sprijin nerambursabil), suma forfetară de „29 858 611 EUR” de pe ultimul rând și din ultima coloană se înlocuiește cu „24 858 611 EUR”;</w:t>
      </w:r>
    </w:p>
    <w:p w14:paraId="2C238EB9" w14:textId="0415496D" w:rsidR="00C971A3" w:rsidRPr="00FE79BB" w:rsidRDefault="00AB4BDB">
      <w:pPr>
        <w:rPr>
          <w:noProof/>
        </w:rPr>
      </w:pPr>
      <w:r w:rsidRPr="00FE79BB">
        <w:rPr>
          <w:noProof/>
        </w:rPr>
        <w:t>(iii) la punctul 1. Contribuția financiară, 1.2 A doua tranșă (sprijin nerambursabil), suma forfetară de „24 413 757 EUR” de pe ultimul rând și din ultima coloană se înlocuiește cu „22 228 500 EUR”;</w:t>
      </w:r>
    </w:p>
    <w:p w14:paraId="2C238EBA" w14:textId="09F36CAE" w:rsidR="00C971A3" w:rsidRPr="00FE79BB" w:rsidRDefault="00AB4BDB">
      <w:pPr>
        <w:rPr>
          <w:noProof/>
        </w:rPr>
      </w:pPr>
      <w:r w:rsidRPr="00FE79BB">
        <w:rPr>
          <w:noProof/>
        </w:rPr>
        <w:t>(iv) la punctul 1. Contribuția financiară, 1.3 A treia tranșă (sprijin nerambursabil), suma forfetară de „18 626 256 EUR” de pe ultimul rând și din ultima coloană se înlocuiește cu „16 959 033 EUR”;</w:t>
      </w:r>
    </w:p>
    <w:p w14:paraId="2C238EBB" w14:textId="49D35D93" w:rsidR="00C971A3" w:rsidRPr="00FE79BB" w:rsidRDefault="00AB4BDB">
      <w:pPr>
        <w:rPr>
          <w:noProof/>
        </w:rPr>
      </w:pPr>
      <w:r w:rsidRPr="00FE79BB">
        <w:rPr>
          <w:noProof/>
        </w:rPr>
        <w:t>(v) la punctul 1. Contribuția financiară, 1.4 A patra tranșă (sprijin nerambursabil), suma forfetară de „12 649 505 EUR” de pe ultimul rând și din ultima coloană se înlocuiește cu „11 517 256 EUR”;</w:t>
      </w:r>
    </w:p>
    <w:p w14:paraId="2C238EBC" w14:textId="0B7588C9" w:rsidR="00C971A3" w:rsidRPr="00FE79BB" w:rsidRDefault="00AB4BDB">
      <w:pPr>
        <w:rPr>
          <w:noProof/>
        </w:rPr>
      </w:pPr>
      <w:r w:rsidRPr="00FE79BB">
        <w:rPr>
          <w:noProof/>
        </w:rPr>
        <w:t>(vi) la punctul 1. Contribuția financiară, 1.5 A cincea tranșă (sprijin nerambursabil), suma forfetară de „7 805 947 EUR” de pe ultimul rând și din ultima coloană se înlocuiește cu „7 107 243 EUR”.</w:t>
      </w:r>
    </w:p>
    <w:p w14:paraId="2C238EBF" w14:textId="2DA05DC5" w:rsidR="00C971A3" w:rsidRPr="00FE79BB" w:rsidRDefault="00AB4BDB" w:rsidP="008878A4">
      <w:pPr>
        <w:pStyle w:val="Titrearticle"/>
        <w:rPr>
          <w:noProof/>
        </w:rPr>
      </w:pPr>
      <w:r w:rsidRPr="00FE79BB">
        <w:rPr>
          <w:noProof/>
        </w:rPr>
        <w:t>Articolul 2</w:t>
      </w:r>
      <w:r w:rsidRPr="00FE79BB">
        <w:rPr>
          <w:noProof/>
        </w:rPr>
        <w:br/>
        <w:t>Destinatar</w:t>
      </w:r>
    </w:p>
    <w:p w14:paraId="2C238EC3" w14:textId="77777777" w:rsidR="00C971A3" w:rsidRPr="00FE79BB" w:rsidRDefault="00AB4BDB">
      <w:pPr>
        <w:keepNext/>
        <w:keepLines/>
        <w:rPr>
          <w:noProof/>
        </w:rPr>
      </w:pPr>
      <w:r w:rsidRPr="00FE79BB">
        <w:rPr>
          <w:noProof/>
          <w:color w:val="000000"/>
        </w:rPr>
        <w:t>Prezenta decizie se adresează Marelui Ducat al Luxemburgului</w:t>
      </w:r>
      <w:r w:rsidRPr="00FE79BB">
        <w:rPr>
          <w:noProof/>
        </w:rPr>
        <w:t>.</w:t>
      </w:r>
    </w:p>
    <w:p w14:paraId="2C238EC4" w14:textId="1884CCEA" w:rsidR="00C971A3" w:rsidRPr="00FE79BB" w:rsidRDefault="00227B73" w:rsidP="008878A4">
      <w:pPr>
        <w:pStyle w:val="Fait"/>
        <w:rPr>
          <w:noProof/>
        </w:rPr>
      </w:pPr>
      <w:r w:rsidRPr="00227B73">
        <w:t>Adoptată la Bruxelles,</w:t>
      </w:r>
    </w:p>
    <w:p w14:paraId="2C238EC5" w14:textId="77777777" w:rsidR="00C971A3" w:rsidRPr="00FE79BB" w:rsidRDefault="00AB4BDB" w:rsidP="008878A4">
      <w:pPr>
        <w:pStyle w:val="Institutionquisigne"/>
        <w:rPr>
          <w:noProof/>
        </w:rPr>
      </w:pPr>
      <w:r w:rsidRPr="00FE79BB">
        <w:rPr>
          <w:noProof/>
        </w:rPr>
        <w:tab/>
        <w:t>Pentru Consiliu,</w:t>
      </w:r>
    </w:p>
    <w:p w14:paraId="2C238EC6" w14:textId="77777777" w:rsidR="00C971A3" w:rsidRPr="00FE79BB" w:rsidRDefault="00AB4BDB">
      <w:pPr>
        <w:pStyle w:val="Personnequisigne"/>
        <w:rPr>
          <w:noProof/>
        </w:rPr>
      </w:pPr>
      <w:r w:rsidRPr="00FE79BB">
        <w:rPr>
          <w:noProof/>
        </w:rPr>
        <w:tab/>
        <w:t>Președintele</w:t>
      </w:r>
    </w:p>
    <w:sectPr w:rsidR="00C971A3" w:rsidRPr="00FE79BB" w:rsidSect="006A13B8">
      <w:footerReference w:type="default" r:id="rId18"/>
      <w:footerReference w:type="first" r:id="rId19"/>
      <w:pgSz w:w="11907" w:h="16839"/>
      <w:pgMar w:top="1134" w:right="1417" w:bottom="1134" w:left="1417"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C238EC9" w16cid:durableId="272B5A7B"/>
  <w16cid:commentId w16cid:paraId="2C238ECA" w16cid:durableId="272B5A7C"/>
  <w16cid:commentId w16cid:paraId="2C238ECB" w16cid:durableId="272B5A7D"/>
  <w16cid:commentId w16cid:paraId="2C238ECC" w16cid:durableId="272B5A7E"/>
  <w16cid:commentId w16cid:paraId="2C238ECD" w16cid:durableId="272B5A7F"/>
  <w16cid:commentId w16cid:paraId="2C238ECE" w16cid:durableId="272B5A80"/>
  <w16cid:commentId w16cid:paraId="2C238ED0" w16cid:durableId="272B5A81"/>
  <w16cid:commentId w16cid:paraId="2C238ED1" w16cid:durableId="272B5A82"/>
  <w16cid:commentId w16cid:paraId="2C238ED2" w16cid:durableId="272B5A83"/>
  <w16cid:commentId w16cid:paraId="2C238ED3" w16cid:durableId="272B5A8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AF6DB" w14:textId="77777777" w:rsidR="00E04C02" w:rsidRDefault="00E04C02">
      <w:pPr>
        <w:spacing w:before="0" w:after="0"/>
      </w:pPr>
      <w:r>
        <w:separator/>
      </w:r>
    </w:p>
  </w:endnote>
  <w:endnote w:type="continuationSeparator" w:id="0">
    <w:p w14:paraId="7672D403" w14:textId="77777777" w:rsidR="00E04C02" w:rsidRDefault="00E04C02">
      <w:pPr>
        <w:spacing w:before="0" w:after="0"/>
      </w:pPr>
      <w:r>
        <w:continuationSeparator/>
      </w:r>
    </w:p>
  </w:endnote>
  <w:endnote w:type="continuationNotice" w:id="1">
    <w:p w14:paraId="6200FB3F" w14:textId="77777777" w:rsidR="00E04C02" w:rsidRDefault="00E04C0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260A2" w14:textId="77777777" w:rsidR="006A13B8" w:rsidRPr="006A13B8" w:rsidRDefault="006A13B8" w:rsidP="006A13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38EDF" w14:textId="6C579ECB" w:rsidR="00C971A3" w:rsidRPr="006A13B8" w:rsidRDefault="006A13B8" w:rsidP="006A13B8">
    <w:pPr>
      <w:pStyle w:val="Footer"/>
      <w:rPr>
        <w:rFonts w:ascii="Arial" w:hAnsi="Arial" w:cs="Arial"/>
        <w:b/>
        <w:sz w:val="48"/>
      </w:rPr>
    </w:pPr>
    <w:r w:rsidRPr="006A13B8">
      <w:rPr>
        <w:rFonts w:ascii="Arial" w:hAnsi="Arial" w:cs="Arial"/>
        <w:b/>
        <w:sz w:val="48"/>
      </w:rPr>
      <w:t>RO</w:t>
    </w:r>
    <w:r w:rsidRPr="006A13B8">
      <w:rPr>
        <w:rFonts w:ascii="Arial" w:hAnsi="Arial" w:cs="Arial"/>
        <w:b/>
        <w:sz w:val="48"/>
      </w:rPr>
      <w:tab/>
    </w:r>
    <w:r w:rsidRPr="006A13B8">
      <w:rPr>
        <w:rFonts w:ascii="Arial" w:hAnsi="Arial" w:cs="Arial"/>
        <w:b/>
        <w:sz w:val="48"/>
      </w:rPr>
      <w:tab/>
    </w:r>
    <w:r w:rsidRPr="006A13B8">
      <w:tab/>
    </w:r>
    <w:r w:rsidRPr="006A13B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1F2CC" w14:textId="77777777" w:rsidR="006A13B8" w:rsidRPr="006A13B8" w:rsidRDefault="006A13B8" w:rsidP="006A13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1C925" w14:textId="6784B55C" w:rsidR="006A13B8" w:rsidRPr="006A13B8" w:rsidRDefault="006A13B8" w:rsidP="006A13B8">
    <w:pPr>
      <w:pStyle w:val="Footer"/>
      <w:rPr>
        <w:rFonts w:ascii="Arial" w:hAnsi="Arial" w:cs="Arial"/>
        <w:b/>
        <w:sz w:val="48"/>
      </w:rPr>
    </w:pPr>
    <w:r w:rsidRPr="006A13B8">
      <w:rPr>
        <w:rFonts w:ascii="Arial" w:hAnsi="Arial" w:cs="Arial"/>
        <w:b/>
        <w:sz w:val="48"/>
      </w:rPr>
      <w:t>RO</w:t>
    </w:r>
    <w:r w:rsidRPr="006A13B8">
      <w:rPr>
        <w:rFonts w:ascii="Arial" w:hAnsi="Arial" w:cs="Arial"/>
        <w:b/>
        <w:sz w:val="48"/>
      </w:rPr>
      <w:tab/>
    </w:r>
    <w:r>
      <w:fldChar w:fldCharType="begin"/>
    </w:r>
    <w:r>
      <w:instrText xml:space="preserve"> PAGE  \* MERGEFORMAT </w:instrText>
    </w:r>
    <w:r>
      <w:fldChar w:fldCharType="separate"/>
    </w:r>
    <w:r w:rsidR="008878A4">
      <w:rPr>
        <w:noProof/>
      </w:rPr>
      <w:t>5</w:t>
    </w:r>
    <w:r>
      <w:fldChar w:fldCharType="end"/>
    </w:r>
    <w:r>
      <w:tab/>
    </w:r>
    <w:r w:rsidRPr="006A13B8">
      <w:tab/>
    </w:r>
    <w:r w:rsidRPr="006A13B8">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76D8E" w14:textId="77777777" w:rsidR="006A13B8" w:rsidRPr="006A13B8" w:rsidRDefault="006A13B8" w:rsidP="006A13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1B0CD7" w14:textId="77777777" w:rsidR="00E04C02" w:rsidRDefault="00E04C02">
      <w:pPr>
        <w:spacing w:before="0" w:after="0"/>
      </w:pPr>
      <w:r>
        <w:separator/>
      </w:r>
    </w:p>
  </w:footnote>
  <w:footnote w:type="continuationSeparator" w:id="0">
    <w:p w14:paraId="56B9566B" w14:textId="77777777" w:rsidR="00E04C02" w:rsidRDefault="00E04C02">
      <w:pPr>
        <w:spacing w:before="0" w:after="0"/>
      </w:pPr>
      <w:r>
        <w:continuationSeparator/>
      </w:r>
    </w:p>
  </w:footnote>
  <w:footnote w:type="continuationNotice" w:id="1">
    <w:p w14:paraId="54A1F2E0" w14:textId="77777777" w:rsidR="00E04C02" w:rsidRDefault="00E04C02">
      <w:pPr>
        <w:spacing w:before="0" w:after="0"/>
      </w:pPr>
    </w:p>
  </w:footnote>
  <w:footnote w:id="2">
    <w:p w14:paraId="2C238EE7" w14:textId="77777777" w:rsidR="00C971A3" w:rsidRDefault="00AB4BDB">
      <w:pPr>
        <w:pStyle w:val="FootnoteText"/>
      </w:pPr>
      <w:r>
        <w:rPr>
          <w:rStyle w:val="FootnoteReference"/>
        </w:rPr>
        <w:footnoteRef/>
      </w:r>
      <w:r>
        <w:tab/>
        <w:t>JO L 57, 18.2.2021, p. 17.</w:t>
      </w:r>
    </w:p>
  </w:footnote>
  <w:footnote w:id="3">
    <w:p w14:paraId="2C238EE8" w14:textId="5DF9FE93" w:rsidR="00C971A3" w:rsidRDefault="00AB4BDB">
      <w:pPr>
        <w:pStyle w:val="FootnoteText"/>
      </w:pPr>
      <w:r>
        <w:rPr>
          <w:rStyle w:val="FootnoteReference"/>
        </w:rPr>
        <w:footnoteRef/>
      </w:r>
      <w:r>
        <w:tab/>
        <w:t>ST10155/21; ST 10155/21 ADD 1, încă nepublicată.</w:t>
      </w:r>
    </w:p>
  </w:footnote>
  <w:footnote w:id="4">
    <w:p w14:paraId="2C238EE9" w14:textId="001BA585" w:rsidR="00C971A3" w:rsidRDefault="00AB4BDB">
      <w:pPr>
        <w:pStyle w:val="FootnoteText"/>
      </w:pPr>
      <w:r>
        <w:rPr>
          <w:rStyle w:val="FootnoteReference"/>
        </w:rPr>
        <w:footnoteRef/>
      </w:r>
      <w:r>
        <w:tab/>
        <w:t>Această sumă corespunde alocării financiare după deducerea părții proporționale a cheltuielilor Luxemburgului prevăzute la articolul 6 alineatul (2) din Regulamentul (UE) 2021/241, calculate în conformitate cu metodologia prevăzută la articolul 11 din regulamentul menționat.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42CD1" w14:textId="77777777" w:rsidR="006A13B8" w:rsidRPr="006A13B8" w:rsidRDefault="006A13B8" w:rsidP="006A13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FFA95" w14:textId="77777777" w:rsidR="006A13B8" w:rsidRPr="006A13B8" w:rsidRDefault="006A13B8" w:rsidP="006A13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4FAB1" w14:textId="77777777" w:rsidR="006A13B8" w:rsidRPr="006A13B8" w:rsidRDefault="006A13B8" w:rsidP="006A13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CF6563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AE86D21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EA8FA6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30AB85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0A663F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GB" w:vendorID="64" w:dllVersion="131078" w:nlCheck="1" w:checkStyle="1"/>
  <w:activeWritingStyle w:appName="MSWord" w:lang="en-US" w:vendorID="64" w:dllVersion="131078" w:nlCheck="1" w:checkStyle="1"/>
  <w:attachedTemplate r:id="rId1"/>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2-12-19 16:19: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BA2B100-15E2-43FD-80BE-486104F53ED6"/>
    <w:docVar w:name="LW_COVERPAGE_TYPE" w:val="1"/>
    <w:docVar w:name="LW_CROSSREFERENCE" w:val="&lt;UNUSED&gt;"/>
    <w:docVar w:name="LW_DocType" w:val="COM"/>
    <w:docVar w:name="LW_EMISSION" w:val="9.12.2022"/>
    <w:docVar w:name="LW_EMISSION_ISODATE" w:val="2022-12-09"/>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427"/>
    <w:docVar w:name="LW_REF.II.NEW.CP_YEAR" w:val="2022"/>
    <w:docVar w:name="LW_REF.INST.NEW" w:val="COM"/>
    <w:docVar w:name="LW_REF.INST.NEW_ADOPTED" w:val="final"/>
    <w:docVar w:name="LW_REF.INST.NEW_TEXT" w:val="(2022) 73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UE) (ST 10155/21; ST 10155/21 ADD 1) a Consiliului de aprobare a evaluării planului de redresare și reziliență al Luxemburgului"/>
    <w:docVar w:name="LW_TYPE.DOC.CP" w:val="DECIZIE DE PUNERE ÎN APLICARE A CONSILIULUI"/>
    <w:docVar w:name="LwApiVersions" w:val="LW4CoDe 1.23.2.0; LW 8.0, Build 20211117"/>
  </w:docVars>
  <w:rsids>
    <w:rsidRoot w:val="00C971A3"/>
    <w:rsid w:val="0000224D"/>
    <w:rsid w:val="000673EF"/>
    <w:rsid w:val="001353EB"/>
    <w:rsid w:val="00154B54"/>
    <w:rsid w:val="001575B2"/>
    <w:rsid w:val="00166E71"/>
    <w:rsid w:val="00194AB8"/>
    <w:rsid w:val="00227B73"/>
    <w:rsid w:val="002A3192"/>
    <w:rsid w:val="002E0A85"/>
    <w:rsid w:val="002F3875"/>
    <w:rsid w:val="002F4FF0"/>
    <w:rsid w:val="00336714"/>
    <w:rsid w:val="003D2F70"/>
    <w:rsid w:val="00402498"/>
    <w:rsid w:val="0040341C"/>
    <w:rsid w:val="00464516"/>
    <w:rsid w:val="004C2E54"/>
    <w:rsid w:val="005476E7"/>
    <w:rsid w:val="005D0AB3"/>
    <w:rsid w:val="005F7A17"/>
    <w:rsid w:val="006063EE"/>
    <w:rsid w:val="00630987"/>
    <w:rsid w:val="006428F2"/>
    <w:rsid w:val="00673C84"/>
    <w:rsid w:val="0067603F"/>
    <w:rsid w:val="00693690"/>
    <w:rsid w:val="006A13B8"/>
    <w:rsid w:val="00710C61"/>
    <w:rsid w:val="007541DA"/>
    <w:rsid w:val="00771901"/>
    <w:rsid w:val="007C6E31"/>
    <w:rsid w:val="007D63E5"/>
    <w:rsid w:val="00804528"/>
    <w:rsid w:val="00860533"/>
    <w:rsid w:val="008849D1"/>
    <w:rsid w:val="008878A4"/>
    <w:rsid w:val="008C1598"/>
    <w:rsid w:val="008D3EBC"/>
    <w:rsid w:val="008F5AE8"/>
    <w:rsid w:val="00952889"/>
    <w:rsid w:val="009B5CF8"/>
    <w:rsid w:val="009C1C01"/>
    <w:rsid w:val="009E259E"/>
    <w:rsid w:val="009F482C"/>
    <w:rsid w:val="00A2151A"/>
    <w:rsid w:val="00A23929"/>
    <w:rsid w:val="00A96293"/>
    <w:rsid w:val="00AA5D21"/>
    <w:rsid w:val="00AB4BDB"/>
    <w:rsid w:val="00B162F9"/>
    <w:rsid w:val="00B44DE7"/>
    <w:rsid w:val="00B86294"/>
    <w:rsid w:val="00BB7142"/>
    <w:rsid w:val="00BC7D57"/>
    <w:rsid w:val="00C4535C"/>
    <w:rsid w:val="00C7117B"/>
    <w:rsid w:val="00C86F0F"/>
    <w:rsid w:val="00C93C93"/>
    <w:rsid w:val="00C95DB4"/>
    <w:rsid w:val="00C971A3"/>
    <w:rsid w:val="00D32376"/>
    <w:rsid w:val="00D94B06"/>
    <w:rsid w:val="00E04C02"/>
    <w:rsid w:val="00E5360D"/>
    <w:rsid w:val="00E56BD4"/>
    <w:rsid w:val="00E71925"/>
    <w:rsid w:val="00F1207F"/>
    <w:rsid w:val="00F62B1B"/>
    <w:rsid w:val="00FE79BB"/>
    <w:rsid w:val="13E7B0BC"/>
    <w:rsid w:val="429089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C238E89"/>
  <w15:docId w15:val="{6485CB8A-C8C4-40C2-83F7-625435271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000FF"/>
      <w:u w:val="single"/>
    </w:rPr>
  </w:style>
  <w:style w:type="paragraph" w:styleId="Caption">
    <w:name w:val="caption"/>
    <w:basedOn w:val="Normal"/>
    <w:next w:val="Normal"/>
    <w:uiPriority w:val="35"/>
    <w:semiHidden/>
    <w:unhideWhenUsed/>
    <w:qFormat/>
    <w:rsid w:val="00693690"/>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93690"/>
    <w:pPr>
      <w:spacing w:after="0"/>
    </w:pPr>
  </w:style>
  <w:style w:type="paragraph" w:styleId="ListNumber">
    <w:name w:val="List Number"/>
    <w:basedOn w:val="Normal"/>
    <w:uiPriority w:val="99"/>
    <w:semiHidden/>
    <w:unhideWhenUsed/>
    <w:rsid w:val="00693690"/>
    <w:pPr>
      <w:numPr>
        <w:numId w:val="7"/>
      </w:numPr>
      <w:contextualSpacing/>
    </w:pPr>
  </w:style>
  <w:style w:type="paragraph" w:styleId="ListNumber2">
    <w:name w:val="List Number 2"/>
    <w:basedOn w:val="Normal"/>
    <w:uiPriority w:val="99"/>
    <w:semiHidden/>
    <w:unhideWhenUsed/>
    <w:rsid w:val="00693690"/>
    <w:pPr>
      <w:numPr>
        <w:numId w:val="8"/>
      </w:numPr>
      <w:contextualSpacing/>
    </w:pPr>
  </w:style>
  <w:style w:type="paragraph" w:styleId="ListNumber3">
    <w:name w:val="List Number 3"/>
    <w:basedOn w:val="Normal"/>
    <w:uiPriority w:val="99"/>
    <w:semiHidden/>
    <w:unhideWhenUsed/>
    <w:rsid w:val="00693690"/>
    <w:pPr>
      <w:numPr>
        <w:numId w:val="9"/>
      </w:numPr>
      <w:contextualSpacing/>
    </w:pPr>
  </w:style>
  <w:style w:type="paragraph" w:styleId="ListNumber4">
    <w:name w:val="List Number 4"/>
    <w:basedOn w:val="Normal"/>
    <w:uiPriority w:val="99"/>
    <w:semiHidden/>
    <w:unhideWhenUsed/>
    <w:rsid w:val="00693690"/>
    <w:pPr>
      <w:numPr>
        <w:numId w:val="10"/>
      </w:numPr>
      <w:contextualSpacing/>
    </w:pPr>
  </w:style>
  <w:style w:type="paragraph" w:styleId="Header">
    <w:name w:val="header"/>
    <w:basedOn w:val="Normal"/>
    <w:link w:val="HeaderChar"/>
    <w:uiPriority w:val="99"/>
    <w:unhideWhenUsed/>
    <w:rsid w:val="006A13B8"/>
    <w:pPr>
      <w:tabs>
        <w:tab w:val="center" w:pos="4535"/>
        <w:tab w:val="right" w:pos="9071"/>
      </w:tabs>
      <w:spacing w:before="0"/>
    </w:pPr>
  </w:style>
  <w:style w:type="character" w:customStyle="1" w:styleId="HeaderChar">
    <w:name w:val="Header Char"/>
    <w:basedOn w:val="DefaultParagraphFont"/>
    <w:link w:val="Header"/>
    <w:uiPriority w:val="99"/>
    <w:rsid w:val="006A13B8"/>
    <w:rPr>
      <w:rFonts w:ascii="Times New Roman" w:hAnsi="Times New Roman" w:cs="Times New Roman"/>
      <w:sz w:val="24"/>
    </w:rPr>
  </w:style>
  <w:style w:type="paragraph" w:styleId="Footer">
    <w:name w:val="footer"/>
    <w:basedOn w:val="Normal"/>
    <w:link w:val="FooterChar"/>
    <w:uiPriority w:val="99"/>
    <w:unhideWhenUsed/>
    <w:rsid w:val="006A13B8"/>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6A13B8"/>
    <w:rPr>
      <w:rFonts w:ascii="Times New Roman" w:hAnsi="Times New Roman" w:cs="Times New Roman"/>
      <w:sz w:val="24"/>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ro-RO"/>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6A13B8"/>
    <w:pPr>
      <w:tabs>
        <w:tab w:val="center" w:pos="7285"/>
        <w:tab w:val="right" w:pos="14003"/>
      </w:tabs>
      <w:spacing w:before="0"/>
    </w:pPr>
  </w:style>
  <w:style w:type="paragraph" w:customStyle="1" w:styleId="FooterLandscape">
    <w:name w:val="FooterLandscape"/>
    <w:basedOn w:val="Normal"/>
    <w:rsid w:val="006A13B8"/>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A13B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A13B8"/>
    <w:pPr>
      <w:spacing w:before="0"/>
      <w:jc w:val="right"/>
    </w:pPr>
    <w:rPr>
      <w:sz w:val="28"/>
    </w:rPr>
  </w:style>
  <w:style w:type="paragraph" w:customStyle="1" w:styleId="FooterSensitivity">
    <w:name w:val="Footer Sensitivity"/>
    <w:basedOn w:val="Normal"/>
    <w:rsid w:val="006A13B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F62B1B"/>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33396">
      <w:bodyDiv w:val="1"/>
      <w:marLeft w:val="0"/>
      <w:marRight w:val="0"/>
      <w:marTop w:val="0"/>
      <w:marBottom w:val="0"/>
      <w:divBdr>
        <w:top w:val="none" w:sz="0" w:space="0" w:color="auto"/>
        <w:left w:val="none" w:sz="0" w:space="0" w:color="auto"/>
        <w:bottom w:val="none" w:sz="0" w:space="0" w:color="auto"/>
        <w:right w:val="none" w:sz="0" w:space="0" w:color="auto"/>
      </w:divBdr>
    </w:div>
    <w:div w:id="469445378">
      <w:bodyDiv w:val="1"/>
      <w:marLeft w:val="0"/>
      <w:marRight w:val="0"/>
      <w:marTop w:val="0"/>
      <w:marBottom w:val="0"/>
      <w:divBdr>
        <w:top w:val="none" w:sz="0" w:space="0" w:color="auto"/>
        <w:left w:val="none" w:sz="0" w:space="0" w:color="auto"/>
        <w:bottom w:val="none" w:sz="0" w:space="0" w:color="auto"/>
        <w:right w:val="none" w:sz="0" w:space="0" w:color="auto"/>
      </w:divBdr>
    </w:div>
    <w:div w:id="615408967">
      <w:bodyDiv w:val="1"/>
      <w:marLeft w:val="0"/>
      <w:marRight w:val="0"/>
      <w:marTop w:val="0"/>
      <w:marBottom w:val="0"/>
      <w:divBdr>
        <w:top w:val="none" w:sz="0" w:space="0" w:color="auto"/>
        <w:left w:val="none" w:sz="0" w:space="0" w:color="auto"/>
        <w:bottom w:val="none" w:sz="0" w:space="0" w:color="auto"/>
        <w:right w:val="none" w:sz="0" w:space="0" w:color="auto"/>
      </w:divBdr>
    </w:div>
    <w:div w:id="918364583">
      <w:bodyDiv w:val="1"/>
      <w:marLeft w:val="0"/>
      <w:marRight w:val="0"/>
      <w:marTop w:val="0"/>
      <w:marBottom w:val="0"/>
      <w:divBdr>
        <w:top w:val="none" w:sz="0" w:space="0" w:color="auto"/>
        <w:left w:val="none" w:sz="0" w:space="0" w:color="auto"/>
        <w:bottom w:val="none" w:sz="0" w:space="0" w:color="auto"/>
        <w:right w:val="none" w:sz="0" w:space="0" w:color="auto"/>
      </w:divBdr>
    </w:div>
    <w:div w:id="1156140983">
      <w:bodyDiv w:val="1"/>
      <w:marLeft w:val="0"/>
      <w:marRight w:val="0"/>
      <w:marTop w:val="0"/>
      <w:marBottom w:val="0"/>
      <w:divBdr>
        <w:top w:val="none" w:sz="0" w:space="0" w:color="auto"/>
        <w:left w:val="none" w:sz="0" w:space="0" w:color="auto"/>
        <w:bottom w:val="none" w:sz="0" w:space="0" w:color="auto"/>
        <w:right w:val="none" w:sz="0" w:space="0" w:color="auto"/>
      </w:divBdr>
    </w:div>
    <w:div w:id="159308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9" ma:contentTypeDescription="Create a new document." ma:contentTypeScope="" ma:versionID="ee09bfcd48299abea4ec3e67acd0e6e7">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bae70de0d39c0ed2751eaf50b61fe645"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7D341-F4D1-4DD6-A750-AC04D6E8BCD6}">
  <ds:schemaRefs>
    <ds:schemaRef ds:uri="http://schemas.microsoft.com/sharepoint/v3/contenttype/forms"/>
  </ds:schemaRefs>
</ds:datastoreItem>
</file>

<file path=customXml/itemProps2.xml><?xml version="1.0" encoding="utf-8"?>
<ds:datastoreItem xmlns:ds="http://schemas.openxmlformats.org/officeDocument/2006/customXml" ds:itemID="{5415E79C-036B-4988-A1BD-94EC9C05CB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995D95-1AD4-4F2F-8975-3CE4A5C2C2A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7A7E27F-62CD-4068-8AA7-886F0EBF1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107</TotalTime>
  <Pages>6</Pages>
  <Words>1667</Words>
  <Characters>9669</Characters>
  <Application>Microsoft Office Word</Application>
  <DocSecurity>0</DocSecurity>
  <Lines>166</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65</cp:revision>
  <cp:lastPrinted>2022-11-17T18:15:00Z</cp:lastPrinted>
  <dcterms:created xsi:type="dcterms:W3CDTF">2022-11-30T18:50:00Z</dcterms:created>
  <dcterms:modified xsi:type="dcterms:W3CDTF">2022-12-19T15:19:00Z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ContentTypeId">
    <vt:lpwstr>0x0101001904E1EBFBC69D4E9F6EFDF5C754386E</vt:lpwstr>
  </property>
  <property fmtid="{D5CDD505-2E9C-101B-9397-08002B2CF9AE}" pid="10" name="MSIP_Label_6bd9ddd1-4d20-43f6-abfa-fc3c07406f94_Enabled">
    <vt:lpwstr>true</vt:lpwstr>
  </property>
  <property fmtid="{D5CDD505-2E9C-101B-9397-08002B2CF9AE}" pid="11" name="MSIP_Label_6bd9ddd1-4d20-43f6-abfa-fc3c07406f94_SetDate">
    <vt:lpwstr>2022-11-15T09:41:36Z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ba249cad-f9a9-4589-bdf4-8a7aa565bc2c</vt:lpwstr>
  </property>
  <property fmtid="{D5CDD505-2E9C-101B-9397-08002B2CF9AE}" pid="16" name="MSIP_Label_6bd9ddd1-4d20-43f6-abfa-fc3c07406f94_ContentBits">
    <vt:lpwstr>0</vt:lpwstr>
  </property>
  <property fmtid="{D5CDD505-2E9C-101B-9397-08002B2CF9AE}" pid="17" name="Last edited using">
    <vt:lpwstr>LW 8.1, Build 20220902</vt:lpwstr>
  </property>
  <property fmtid="{D5CDD505-2E9C-101B-9397-08002B2CF9AE}" pid="18" name="DQCStatus">
    <vt:lpwstr>Green (DQC version 03)</vt:lpwstr>
  </property>
  <property name="OP_sanitized" fmtid="{D5CDD505-2E9C-101B-9397-08002B2CF9AE}" pid="19">
    <vt:lpwstr>True</vt:lpwstr>
  </property>
</Properties>
</file>