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DF005" w14:textId="1B39CD50" w:rsidR="00E9039D" w:rsidRPr="002A22B2" w:rsidRDefault="00344DE9" w:rsidP="00344DE9">
      <w:pPr>
        <w:pStyle w:val="Pagedecouverture"/>
        <w:rPr>
          <w:noProof/>
        </w:rPr>
      </w:pPr>
      <w:r>
        <w:rPr>
          <w:noProof/>
        </w:rPr>
        <w:pict w14:anchorId="62802A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1C1AA67D-FD83-4635-A1FB-9782556C9457" style="width:455.25pt;height:396.75pt">
            <v:imagedata r:id="rId8" o:title=""/>
          </v:shape>
        </w:pict>
      </w:r>
    </w:p>
    <w:p w14:paraId="445DE441" w14:textId="77777777" w:rsidR="00E9039D" w:rsidRPr="002A22B2" w:rsidRDefault="00E9039D" w:rsidP="00E9039D">
      <w:pPr>
        <w:rPr>
          <w:noProof/>
        </w:rPr>
        <w:sectPr w:rsidR="00E9039D" w:rsidRPr="002A22B2" w:rsidSect="00344DE9">
          <w:footerReference w:type="default" r:id="rId9"/>
          <w:pgSz w:w="11907" w:h="16839"/>
          <w:pgMar w:top="1134" w:right="1417" w:bottom="1134" w:left="1417" w:header="709" w:footer="709" w:gutter="0"/>
          <w:pgNumType w:start="0"/>
          <w:cols w:space="720"/>
          <w:docGrid w:linePitch="360"/>
        </w:sectPr>
      </w:pPr>
    </w:p>
    <w:p w14:paraId="610A75F1" w14:textId="77777777" w:rsidR="00E9039D" w:rsidRPr="002A22B2" w:rsidRDefault="00E9039D" w:rsidP="00BB6B30">
      <w:pPr>
        <w:pStyle w:val="Exposdesmotifstitre"/>
        <w:rPr>
          <w:noProof/>
        </w:rPr>
      </w:pPr>
      <w:bookmarkStart w:id="0" w:name="_GoBack"/>
      <w:bookmarkEnd w:id="0"/>
      <w:r w:rsidRPr="002A22B2">
        <w:rPr>
          <w:noProof/>
        </w:rPr>
        <w:lastRenderedPageBreak/>
        <w:t>EXPUNERE DE MOTIVE</w:t>
      </w:r>
    </w:p>
    <w:p w14:paraId="695B80B4" w14:textId="77777777" w:rsidR="00E9039D" w:rsidRPr="002A22B2" w:rsidRDefault="00E9039D" w:rsidP="00BB6B30">
      <w:pPr>
        <w:pStyle w:val="ManualHeading1"/>
        <w:rPr>
          <w:noProof/>
        </w:rPr>
      </w:pPr>
      <w:r w:rsidRPr="002A22B2">
        <w:rPr>
          <w:noProof/>
        </w:rPr>
        <w:t>1.</w:t>
      </w:r>
      <w:r w:rsidRPr="002A22B2">
        <w:rPr>
          <w:noProof/>
        </w:rPr>
        <w:tab/>
        <w:t>CONTEXTUL PROPUNERII</w:t>
      </w:r>
    </w:p>
    <w:p w14:paraId="766577A4" w14:textId="77777777" w:rsidR="00E9039D" w:rsidRPr="002A22B2" w:rsidRDefault="00E9039D" w:rsidP="00044058">
      <w:pPr>
        <w:pStyle w:val="ManualHeading2"/>
        <w:rPr>
          <w:rFonts w:eastAsia="Arial Unicode MS"/>
          <w:noProof/>
        </w:rPr>
      </w:pPr>
      <w:r w:rsidRPr="002A22B2">
        <w:rPr>
          <w:noProof/>
          <w:color w:val="000000"/>
          <w:u w:color="000000"/>
          <w:bdr w:val="nil"/>
        </w:rPr>
        <w:t>•</w:t>
      </w:r>
      <w:r w:rsidRPr="002A22B2">
        <w:rPr>
          <w:noProof/>
        </w:rPr>
        <w:tab/>
        <w:t>Motivele și obiectivele propunerii</w:t>
      </w:r>
    </w:p>
    <w:p w14:paraId="2DABD141" w14:textId="0F9E749C" w:rsidR="005D77BE" w:rsidRPr="002A22B2" w:rsidRDefault="00FD0439" w:rsidP="001F538F">
      <w:pPr>
        <w:rPr>
          <w:noProof/>
        </w:rPr>
      </w:pPr>
      <w:r w:rsidRPr="002A22B2">
        <w:rPr>
          <w:noProof/>
        </w:rPr>
        <w:t>În conformitate cu Convenția de punere în aplicare a Acordului Schengen</w:t>
      </w:r>
      <w:r w:rsidRPr="002A22B2">
        <w:rPr>
          <w:rStyle w:val="FootnoteReference"/>
          <w:noProof/>
        </w:rPr>
        <w:footnoteReference w:id="1"/>
      </w:r>
      <w:r w:rsidRPr="002A22B2">
        <w:rPr>
          <w:noProof/>
        </w:rPr>
        <w:t>, resortisanții țărilor terțe a căror reședință sau ședere pe teritoriul unui stat membru este legală pot călători liber pe teritoriul celorlalte state membre, sub rezerva îndeplinirii anumitor condiții. Prin urmare, politica elaborată de Uniune care asigură neefectuarea controalelor asupra persoanelor la trecerea frontierelor interne aduce beneficii nu numai cetățenilor Uniunii, ci și resortisanților țărilor terțe care au dreptul de a călători în UE. Unele dintre restricțiile adoptate de statele membre pentru a limita răspândirea coronavirusului sindromului respirator acut sever 2 („SARS-CoV-2”) și a bolii cauzate de acesta („COVID-19”) au afectat însă exercitarea acestui drept. Aceste măsuri au constat adesea în restricții la intrarea pe teritoriu sau în alte cerințe specifice aplicabile călătorilor transfrontalieri, cum ar fi obligația de a sta în carantină sau în autoizolare ori de a efectua un test pentru depistarea infecției cu virusul SARS-CoV-2 înainte și/sau după sosire.</w:t>
      </w:r>
    </w:p>
    <w:p w14:paraId="33877C10" w14:textId="44B1D96E" w:rsidR="00B364D4" w:rsidRPr="002A22B2" w:rsidRDefault="00B364D4" w:rsidP="00B364D4">
      <w:pPr>
        <w:pBdr>
          <w:top w:val="nil"/>
          <w:left w:val="nil"/>
          <w:bottom w:val="nil"/>
          <w:right w:val="nil"/>
          <w:between w:val="nil"/>
          <w:bar w:val="nil"/>
        </w:pBdr>
        <w:rPr>
          <w:noProof/>
          <w:color w:val="000000"/>
          <w:szCs w:val="24"/>
        </w:rPr>
      </w:pPr>
      <w:r w:rsidRPr="002A22B2">
        <w:rPr>
          <w:noProof/>
        </w:rPr>
        <w:t>Pentru a facilita libera circulație pe durata pandemiei de COVID-19, la 14 iunie 2021, Parlamentul European și Consiliul au adoptat Regulamentul (UE) 2021/953</w:t>
      </w:r>
      <w:r w:rsidRPr="002A22B2">
        <w:rPr>
          <w:rStyle w:val="FootnoteReference"/>
          <w:noProof/>
        </w:rPr>
        <w:footnoteReference w:id="2"/>
      </w:r>
      <w:r w:rsidRPr="002A22B2">
        <w:rPr>
          <w:noProof/>
        </w:rPr>
        <w:t xml:space="preserve"> în temeiul articolului 21 din Tratatul privind funcționarea Uniunii Europene (TFUE), instituind cadrul pentru certificatul digital al UE privind COVID pentru eliberarea, verificarea și acceptarea certificatelor interoperabile de vaccinare, testare și vindecare de COVID-19. Regulamentul (UE) 2021/953</w:t>
      </w:r>
      <w:r w:rsidRPr="002A22B2">
        <w:rPr>
          <w:noProof/>
          <w:color w:val="000000"/>
          <w:szCs w:val="24"/>
        </w:rPr>
        <w:t xml:space="preserve"> facilitează libera circulație, punând la dispoziția cetățenilor Uniunii și a membrilor familiilor acestora, care pot fi resortisanți ai țărilor terțe, certificate interoperabile și reciproc acceptate de vaccinare, testare și vindecare de COVID-19, pe care le pot utiliza atunci când călătoresc. În cazul în care statele membre renunță la anumite restricții privind libera circulație a persoanelor care dețin dovezi privind vaccinarea, testarea sau vindecarea, certificatul digital al UE privind COVID le permite cetățenilor să beneficieze de aceste scutiri. </w:t>
      </w:r>
    </w:p>
    <w:p w14:paraId="6FAF364B" w14:textId="4D589FBB" w:rsidR="00B364D4" w:rsidRPr="002A22B2" w:rsidRDefault="00B364D4" w:rsidP="00B364D4">
      <w:pPr>
        <w:pBdr>
          <w:top w:val="nil"/>
          <w:left w:val="nil"/>
          <w:bottom w:val="nil"/>
          <w:right w:val="nil"/>
          <w:between w:val="nil"/>
          <w:bar w:val="nil"/>
        </w:pBdr>
        <w:rPr>
          <w:noProof/>
        </w:rPr>
      </w:pPr>
      <w:r w:rsidRPr="002A22B2">
        <w:rPr>
          <w:noProof/>
        </w:rPr>
        <w:t>În aceeași zi, Parlamentul European și Consiliul au adoptat Regulamentul (UE) 2021/954</w:t>
      </w:r>
      <w:r w:rsidRPr="002A22B2">
        <w:rPr>
          <w:rStyle w:val="FootnoteReference"/>
          <w:noProof/>
        </w:rPr>
        <w:footnoteReference w:id="3"/>
      </w:r>
      <w:r w:rsidRPr="002A22B2">
        <w:rPr>
          <w:noProof/>
        </w:rPr>
        <w:t xml:space="preserve"> în temeiul articolului 77 din TFUE, pentru a facilita călătoriile în spațiul Schengen pe durata pandemiei de COVID-19, extinzând cadrul certificatului digital al UE privind COVID la resortisanții țărilor terțe aflați în situație de ședere legală sau care au reședință legală pe teritoriul unui stat membru și care au dreptul de a călători în alte state membre în conformitate cu dreptul Uniunii. </w:t>
      </w:r>
    </w:p>
    <w:p w14:paraId="53716585" w14:textId="77777777" w:rsidR="00F43587" w:rsidRPr="002A22B2" w:rsidRDefault="00F43587" w:rsidP="00F43587">
      <w:pPr>
        <w:pBdr>
          <w:top w:val="nil"/>
          <w:left w:val="nil"/>
          <w:bottom w:val="nil"/>
          <w:right w:val="nil"/>
          <w:between w:val="nil"/>
          <w:bar w:val="nil"/>
        </w:pBdr>
        <w:rPr>
          <w:noProof/>
        </w:rPr>
      </w:pPr>
      <w:r w:rsidRPr="002A22B2">
        <w:rPr>
          <w:noProof/>
        </w:rPr>
        <w:t>În plus, sistemul de certificate digitale ale UE privind COVID s-a dovedit a fi singurul sistem funcțional de certificate COVID-19, operațional la nivel internațional pe scară largă. Prin urmare, certificatul digital al UE privind COVID a dobândit o importanță tot mai mare la nivel mondial și a contribuit la combaterea pandemiei la nivel internațional, prin facilitarea călătoriilor internaționale în condiții de siguranță și a redresării internaționale. Până la 31 ianuarie 2022, cele trei țări din Spațiul Economic European care nu sunt membre ale UE</w:t>
      </w:r>
      <w:r w:rsidRPr="002A22B2">
        <w:rPr>
          <w:rStyle w:val="FootnoteReference"/>
          <w:noProof/>
        </w:rPr>
        <w:footnoteReference w:id="4"/>
      </w:r>
      <w:r w:rsidRPr="002A22B2">
        <w:rPr>
          <w:noProof/>
        </w:rPr>
        <w:t>, Elveția</w:t>
      </w:r>
      <w:r w:rsidRPr="002A22B2">
        <w:rPr>
          <w:rStyle w:val="FootnoteReference"/>
          <w:noProof/>
        </w:rPr>
        <w:footnoteReference w:id="5"/>
      </w:r>
      <w:r w:rsidRPr="002A22B2">
        <w:rPr>
          <w:noProof/>
        </w:rPr>
        <w:t xml:space="preserve"> și alte 29 de țări și teritorii terțe</w:t>
      </w:r>
      <w:r w:rsidRPr="002A22B2">
        <w:rPr>
          <w:rStyle w:val="FootnoteReference"/>
          <w:noProof/>
        </w:rPr>
        <w:footnoteReference w:id="6"/>
      </w:r>
      <w:r w:rsidRPr="002A22B2">
        <w:rPr>
          <w:noProof/>
        </w:rPr>
        <w:t xml:space="preserve"> s-au conectat la sistemul de certificate digitale ale UE privind COVID, preconizându-se că în viitor se vor alătura sistemului mai multe țări. Sistemul de certificate digitale ale UE privind COVID a fost recunoscut ca fiind una dintre soluțiile digitale esențiale pentru restabilirea mobilității internaționale</w:t>
      </w:r>
      <w:r w:rsidRPr="002A22B2">
        <w:rPr>
          <w:rStyle w:val="FootnoteReference"/>
          <w:noProof/>
        </w:rPr>
        <w:footnoteReference w:id="7"/>
      </w:r>
      <w:r w:rsidRPr="002A22B2">
        <w:rPr>
          <w:noProof/>
        </w:rPr>
        <w:t>, Asociația Internațională de Transport Aerian îndemnând țările să adopte certificatul digital al UE privind COVID ca standard la nivel mondial</w:t>
      </w:r>
      <w:r w:rsidRPr="002A22B2">
        <w:rPr>
          <w:rStyle w:val="FootnoteReference"/>
          <w:noProof/>
        </w:rPr>
        <w:footnoteReference w:id="8"/>
      </w:r>
      <w:r w:rsidRPr="002A22B2">
        <w:rPr>
          <w:noProof/>
        </w:rPr>
        <w:t>. Comisia va depune în continuare eforturi de sprijinire a țărilor terțe interesate de dezvoltarea unor sisteme interoperabile de certificate privind COVID-19. Acestea pot include oferirea de soluții suplimentare de referință cu sursă deschisă care să permită conversia certificatelor din țările terțe într-un format interoperabil cu certificatul digital al UE privind COVID, deoarece este posibilă și conectarea țărilor terțe ale căror certificate devin interoperabile prin conversie</w:t>
      </w:r>
      <w:r w:rsidRPr="002A22B2">
        <w:rPr>
          <w:rStyle w:val="FootnoteReference"/>
          <w:noProof/>
        </w:rPr>
        <w:footnoteReference w:id="9"/>
      </w:r>
      <w:r w:rsidRPr="002A22B2">
        <w:rPr>
          <w:noProof/>
        </w:rPr>
        <w:t>.</w:t>
      </w:r>
    </w:p>
    <w:p w14:paraId="5C2F77D2" w14:textId="3C9EBF19" w:rsidR="007E3351" w:rsidRPr="002A22B2" w:rsidRDefault="00B364D4" w:rsidP="00B364D4">
      <w:pPr>
        <w:pBdr>
          <w:top w:val="nil"/>
          <w:left w:val="nil"/>
          <w:bottom w:val="nil"/>
          <w:right w:val="nil"/>
          <w:between w:val="nil"/>
          <w:bar w:val="nil"/>
        </w:pBdr>
        <w:rPr>
          <w:rFonts w:eastAsiaTheme="minorEastAsia"/>
          <w:noProof/>
          <w:szCs w:val="24"/>
        </w:rPr>
      </w:pPr>
      <w:r w:rsidRPr="002A22B2">
        <w:rPr>
          <w:noProof/>
        </w:rPr>
        <w:t>De la adoptarea sa, certificatul digital al UE privind COVID a fost pus în aplicare cu succes la nivelul Uniunii, peste un miliard de certificate fiind eliberate până la sfârșitul anului 2021. Certificatul digital al UE privind COVID este, prin urmare, un instrument disponibil pe scară largă și a cărui fiabilitate este acceptată pe scară largă pentru a facilita nu numai libera circulație a cetățenilor Uniunii și a membrilor familiilor acestora, ci și călătoriile în interiorul UE ale categoriilor de resortisanți ai țărilor terțe la care se face referire anterior, pe durata pandemiei de COVID-19.</w:t>
      </w:r>
    </w:p>
    <w:p w14:paraId="7A66C3F1" w14:textId="77777777" w:rsidR="00666477" w:rsidRPr="002A22B2" w:rsidRDefault="00666477" w:rsidP="00FB09D0">
      <w:pPr>
        <w:rPr>
          <w:noProof/>
        </w:rPr>
      </w:pPr>
      <w:r w:rsidRPr="002A22B2">
        <w:rPr>
          <w:noProof/>
        </w:rPr>
        <w:t xml:space="preserve">De la adoptarea Regulamentelor (UE) 2021/953 și 2021/954, situația epidemiologică în ceea ce privește pandemia de COVID-19 a evoluat considerabil. Pe de o parte, s-a înregistrat o creștere la nivel mondial a ratei de vaccinare, inclusiv a dozelor de rapel. </w:t>
      </w:r>
    </w:p>
    <w:p w14:paraId="5377E8C4" w14:textId="165B0A94" w:rsidR="00666477" w:rsidRPr="002A22B2" w:rsidRDefault="00666477" w:rsidP="00666477">
      <w:pPr>
        <w:rPr>
          <w:noProof/>
        </w:rPr>
      </w:pPr>
      <w:r w:rsidRPr="002A22B2">
        <w:rPr>
          <w:noProof/>
        </w:rPr>
        <w:t>Pe de altă parte, răspândirea variantei „Delta” a SARS-CoV-2 care determină îngrijorare, în a doua jumătate a anului 2021, a generat creșteri semnificative ale numărului de infecții, spitalizări și decese, statele membre fiind obligate să adopte măsuri stricte de sănătate publică în contextul eforturilor de protejare a capacităților sistemelor sanitare ale acestora. La începutul anului 2022, varianta „Omicron” a SARS-CoV-2 care determină îngrijorare a generat creșteri bruște ale numărului de cazuri de COVID-19, înlocuind rapid „Delta” și atingând o intensitate fără precedent a transmiterii comunitare la nivelul Uniunii și în afara acesteia.</w:t>
      </w:r>
    </w:p>
    <w:p w14:paraId="3A29768E" w14:textId="77777777" w:rsidR="00666477" w:rsidRPr="002A22B2" w:rsidRDefault="008E01F8" w:rsidP="00666477">
      <w:pPr>
        <w:rPr>
          <w:noProof/>
        </w:rPr>
      </w:pPr>
      <w:r w:rsidRPr="002A22B2">
        <w:rPr>
          <w:noProof/>
        </w:rPr>
        <w:t>În prezent, anticiparea impactului unei eventuale creșteri a infecțiilor în a doua jumătate a anului 2022 nu este posibilă. În plus, nu poate fi exclusă posibilitatea înrăutățirii situației pandemice din cauza apariției unor noi variante ale SARS-CoV-2 care determină îngrijorare.</w:t>
      </w:r>
    </w:p>
    <w:p w14:paraId="63B5E6C6" w14:textId="05186193" w:rsidR="00666477" w:rsidRPr="002A22B2" w:rsidRDefault="00666477" w:rsidP="00666477">
      <w:pPr>
        <w:pBdr>
          <w:top w:val="nil"/>
          <w:left w:val="nil"/>
          <w:bottom w:val="nil"/>
          <w:right w:val="nil"/>
          <w:between w:val="nil"/>
          <w:bar w:val="nil"/>
        </w:pBdr>
        <w:rPr>
          <w:noProof/>
          <w:color w:val="000000"/>
          <w:szCs w:val="24"/>
        </w:rPr>
      </w:pPr>
      <w:r w:rsidRPr="002A22B2">
        <w:rPr>
          <w:noProof/>
        </w:rPr>
        <w:t xml:space="preserve">Având în vedere cele de mai sus, nu se poate exclude faptul că statele membre vor solicita în continuare resortisanților țărilor terțe aflați în situație de ședere legală sau care au reședință legală pe teritoriul unui stat membru și care au dreptul de a călători în alte state membre în conformitate cu dreptul Uniunii să prezinte dovezi privind vaccinarea, testarea sau vindecarea de COVID-19 după data de 30 iunie 2022, și anume data la care urmează să expire Regulamentele (UE) 2021/953 și 2021/954. Prin urmare, este important să se asigure posibilitatea utilizării certificatelor digitale ale UE privind COVID și după această dată. </w:t>
      </w:r>
    </w:p>
    <w:p w14:paraId="546314D1" w14:textId="77777777" w:rsidR="00666477" w:rsidRPr="002A22B2" w:rsidRDefault="00666477" w:rsidP="008E01F8">
      <w:pPr>
        <w:pBdr>
          <w:top w:val="nil"/>
          <w:left w:val="nil"/>
          <w:bottom w:val="nil"/>
          <w:right w:val="nil"/>
          <w:between w:val="nil"/>
          <w:bar w:val="nil"/>
        </w:pBdr>
        <w:rPr>
          <w:rFonts w:eastAsiaTheme="minorEastAsia"/>
          <w:noProof/>
        </w:rPr>
      </w:pPr>
      <w:r w:rsidRPr="002A22B2">
        <w:rPr>
          <w:noProof/>
        </w:rPr>
        <w:t>Totodată, având în vedere că orice restricții privind libera circulație a persoanelor pe teritoriul Uniunii instituite pentru a limita răspândirea SARS-CoV-2, inclusiv cerința de a prezenta certificate digitale ale UE privind COVID, ar trebui eliminate de îndată ce situația epidemiologică permite acest lucru, prin modificarea Regulamentului (UE) 2021/954, Comisia propune menținerea trimiterilor existente la Regulamentul (UE) 2021/953 și realizarea unei trimiteri dinamice la același regulament în ceea ce privește durata de aplicare a Regulamentului (UE) 2021/954.</w:t>
      </w:r>
    </w:p>
    <w:p w14:paraId="78227C6D" w14:textId="77777777" w:rsidR="008E01F8" w:rsidRPr="002A22B2" w:rsidRDefault="008E01F8" w:rsidP="008E01F8">
      <w:pPr>
        <w:pBdr>
          <w:top w:val="nil"/>
          <w:left w:val="nil"/>
          <w:bottom w:val="nil"/>
          <w:right w:val="nil"/>
          <w:between w:val="nil"/>
          <w:bar w:val="nil"/>
        </w:pBdr>
        <w:rPr>
          <w:noProof/>
        </w:rPr>
      </w:pPr>
    </w:p>
    <w:p w14:paraId="5E0C4E04" w14:textId="77777777" w:rsidR="00E9039D" w:rsidRPr="002A22B2" w:rsidRDefault="00E9039D" w:rsidP="00044058">
      <w:pPr>
        <w:pStyle w:val="ManualHeading2"/>
        <w:rPr>
          <w:rFonts w:eastAsia="Arial Unicode MS"/>
          <w:noProof/>
          <w:color w:val="000000"/>
          <w:u w:color="000000"/>
          <w:bdr w:val="nil"/>
        </w:rPr>
      </w:pPr>
      <w:r w:rsidRPr="002A22B2">
        <w:rPr>
          <w:noProof/>
          <w:color w:val="000000"/>
          <w:u w:color="000000"/>
          <w:bdr w:val="nil"/>
        </w:rPr>
        <w:t>•</w:t>
      </w:r>
      <w:r w:rsidRPr="002A22B2">
        <w:rPr>
          <w:noProof/>
        </w:rPr>
        <w:tab/>
        <w:t>Coerența cu dispozițiile existente în domeniul de politică vizat</w:t>
      </w:r>
    </w:p>
    <w:p w14:paraId="1919E95D" w14:textId="22626FE6" w:rsidR="001A64A9" w:rsidRPr="002A22B2" w:rsidRDefault="00BB2B3C" w:rsidP="001A64A9">
      <w:pPr>
        <w:rPr>
          <w:rFonts w:eastAsia="Times New Roman"/>
          <w:noProof/>
        </w:rPr>
      </w:pPr>
      <w:r w:rsidRPr="002A22B2">
        <w:rPr>
          <w:noProof/>
        </w:rPr>
        <w:t xml:space="preserve">Prezenta propunere nu aduce atingere normelor Schengen în ceea ce privește condițiile de intrare pentru resortisanții țărilor terțe. Regulamentul propus nu ar trebui înțeles în niciun caz ca încurajând sau facilitând reintroducerea controalelor la frontierele interne, care trebuie să rămână o măsură de ultimă instanță, sub rezerva condițiilor prevăzute în Regulamentul (UE) 2016/399 („Codul </w:t>
      </w:r>
      <w:r w:rsidR="00BF245D">
        <w:rPr>
          <w:noProof/>
        </w:rPr>
        <w:t>f</w:t>
      </w:r>
      <w:r w:rsidRPr="002A22B2">
        <w:rPr>
          <w:noProof/>
        </w:rPr>
        <w:t>rontierelor Schengen”).</w:t>
      </w:r>
      <w:r w:rsidRPr="002A22B2">
        <w:rPr>
          <w:rStyle w:val="FootnoteReference"/>
          <w:noProof/>
        </w:rPr>
        <w:t xml:space="preserve"> </w:t>
      </w:r>
      <w:r w:rsidRPr="002A22B2">
        <w:rPr>
          <w:rStyle w:val="FootnoteReference"/>
          <w:rFonts w:eastAsia="Times New Roman"/>
          <w:noProof/>
        </w:rPr>
        <w:footnoteReference w:id="10"/>
      </w:r>
    </w:p>
    <w:p w14:paraId="121A5C92" w14:textId="77777777" w:rsidR="00AD2DE7" w:rsidRPr="002A22B2" w:rsidRDefault="00AD2DE7" w:rsidP="00AD2DE7">
      <w:pPr>
        <w:rPr>
          <w:noProof/>
        </w:rPr>
      </w:pPr>
      <w:r w:rsidRPr="002A22B2">
        <w:rPr>
          <w:noProof/>
        </w:rPr>
        <w:t>În propunerea sa de Recomandare a Consiliului de modificare a Recomandării (UE) 2020/912 privind restricția temporară asupra călătoriilor neesențiale către UE și posibila eliminare a acestei restricții</w:t>
      </w:r>
      <w:r w:rsidRPr="002A22B2">
        <w:rPr>
          <w:rStyle w:val="FootnoteReference"/>
          <w:noProof/>
        </w:rPr>
        <w:footnoteReference w:id="11"/>
      </w:r>
      <w:r w:rsidRPr="002A22B2">
        <w:rPr>
          <w:noProof/>
        </w:rPr>
        <w:t>, Comisia a propus stabilirea unei legături clare între Recomandarea (UE) 2020/912 a Consiliului și certificatul digital al UE privind COVID, astfel încât să ajute autoritățile statelor membre să verifice autenticitatea, valabilitatea și integritatea certificatelor eliberate de țări terțe.</w:t>
      </w:r>
    </w:p>
    <w:p w14:paraId="185E00F8" w14:textId="77777777" w:rsidR="00AD2DE7" w:rsidRPr="002A22B2" w:rsidRDefault="00AD2DE7" w:rsidP="001A64A9">
      <w:pPr>
        <w:rPr>
          <w:rFonts w:eastAsia="Times New Roman"/>
          <w:noProof/>
        </w:rPr>
      </w:pPr>
    </w:p>
    <w:p w14:paraId="6957D8D9" w14:textId="77777777" w:rsidR="00E9039D" w:rsidRPr="002A22B2" w:rsidRDefault="00E9039D" w:rsidP="00A4693B">
      <w:pPr>
        <w:pStyle w:val="ManualHeading2"/>
        <w:rPr>
          <w:rFonts w:eastAsia="Arial Unicode MS"/>
          <w:noProof/>
        </w:rPr>
      </w:pPr>
      <w:r w:rsidRPr="002A22B2">
        <w:rPr>
          <w:noProof/>
          <w:color w:val="000000"/>
          <w:u w:color="000000"/>
          <w:bdr w:val="nil"/>
        </w:rPr>
        <w:t>•</w:t>
      </w:r>
      <w:r w:rsidRPr="002A22B2">
        <w:rPr>
          <w:noProof/>
        </w:rPr>
        <w:tab/>
        <w:t>Coerența cu alte politici ale Uniunii</w:t>
      </w:r>
    </w:p>
    <w:p w14:paraId="6A26E3DB" w14:textId="2ED5639B" w:rsidR="00AD2DE7" w:rsidRPr="002A22B2" w:rsidRDefault="00AD2DE7" w:rsidP="00AD2DE7">
      <w:pPr>
        <w:rPr>
          <w:rStyle w:val="highlight"/>
          <w:noProof/>
        </w:rPr>
      </w:pPr>
      <w:r w:rsidRPr="002A22B2">
        <w:rPr>
          <w:noProof/>
        </w:rPr>
        <w:t>Prezenta propunere face parte din pachetul de măsuri ale Uniunii menite să contracareze efectele pandemiei de COVID-19. Aceasta se bazează, în special, pe lucrările desfășurate în cadrul Comitetului pentru securitate sanitară, în cadrul rețelei de e-sănătate, precum și în cadrul Comitetului pentru certificate digitale ale UE privind COVID</w:t>
      </w:r>
      <w:r w:rsidRPr="002A22B2">
        <w:rPr>
          <w:rStyle w:val="highlight"/>
          <w:noProof/>
        </w:rPr>
        <w:t>.</w:t>
      </w:r>
    </w:p>
    <w:p w14:paraId="71003F64" w14:textId="3115FD0C" w:rsidR="00AD2DE7" w:rsidRPr="002A22B2" w:rsidRDefault="00AD2DE7" w:rsidP="00AD2DE7">
      <w:pPr>
        <w:rPr>
          <w:rFonts w:eastAsia="Times New Roman"/>
          <w:noProof/>
        </w:rPr>
      </w:pPr>
      <w:r w:rsidRPr="002A22B2">
        <w:rPr>
          <w:noProof/>
        </w:rPr>
        <w:t>Prezenta propunere vine în completarea propunerii COM(2022) 50 final, care vizează prelungirea duratei de aplicare a Regulamentului (UE) 2021/953 privind cadrul pentru eliberarea, verificarea și acceptarea certificatelor interoperabile de vaccinare, testare și vindecare de COVID-19 (certificatul digital al UE privind COVID) pentru a facilita libera circulație pe durata pandemiei de COVID-19.</w:t>
      </w:r>
    </w:p>
    <w:p w14:paraId="318CE2AE" w14:textId="77777777" w:rsidR="00AD2DE7" w:rsidRPr="002A22B2" w:rsidRDefault="00AD2DE7" w:rsidP="00AD2DE7">
      <w:pPr>
        <w:rPr>
          <w:noProof/>
        </w:rPr>
      </w:pPr>
      <w:r w:rsidRPr="002A22B2">
        <w:rPr>
          <w:noProof/>
        </w:rPr>
        <w:t>De asemenea, prezenta propunere respectă pe deplin competențele statelor membre în definirea politicii lor de sănătate (articolul 168 din TFUE).</w:t>
      </w:r>
    </w:p>
    <w:p w14:paraId="04E0F0BA" w14:textId="77777777" w:rsidR="00BB2B3C" w:rsidRPr="002A22B2" w:rsidRDefault="00BB2B3C" w:rsidP="00BB2B3C">
      <w:pPr>
        <w:rPr>
          <w:noProof/>
        </w:rPr>
      </w:pPr>
      <w:r w:rsidRPr="002A22B2">
        <w:rPr>
          <w:noProof/>
        </w:rPr>
        <w:t>Prezenta propunere este coerentă cu politica Uniunii în domeniul imigrației resortisanților țărilor terțe.</w:t>
      </w:r>
    </w:p>
    <w:p w14:paraId="447FB5EF" w14:textId="77777777" w:rsidR="000E3548" w:rsidRPr="002A22B2" w:rsidRDefault="000E3548" w:rsidP="00BB2B3C">
      <w:pPr>
        <w:rPr>
          <w:noProof/>
        </w:rPr>
      </w:pPr>
    </w:p>
    <w:p w14:paraId="72736BA9" w14:textId="77777777" w:rsidR="00E9039D" w:rsidRPr="002A22B2" w:rsidRDefault="00E9039D" w:rsidP="00550536">
      <w:pPr>
        <w:pStyle w:val="ManualHeading1"/>
        <w:rPr>
          <w:noProof/>
        </w:rPr>
      </w:pPr>
      <w:r w:rsidRPr="002A22B2">
        <w:rPr>
          <w:noProof/>
        </w:rPr>
        <w:t>2.</w:t>
      </w:r>
      <w:r w:rsidRPr="002A22B2">
        <w:rPr>
          <w:noProof/>
        </w:rPr>
        <w:tab/>
        <w:t>TEMEI JURIDIC, SUBSIDIARITATE ȘI PROPORȚIONALITATE</w:t>
      </w:r>
    </w:p>
    <w:p w14:paraId="50F62A6E"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Temeiul juridic</w:t>
      </w:r>
    </w:p>
    <w:p w14:paraId="0EC69781" w14:textId="35B79281" w:rsidR="00BB2B3C" w:rsidRPr="002A22B2" w:rsidRDefault="00BB2B3C" w:rsidP="00BB2B3C">
      <w:pPr>
        <w:spacing w:before="0" w:after="240"/>
        <w:rPr>
          <w:rFonts w:eastAsia="Times New Roman"/>
          <w:noProof/>
        </w:rPr>
      </w:pPr>
      <w:r w:rsidRPr="002A22B2">
        <w:rPr>
          <w:noProof/>
        </w:rPr>
        <w:t xml:space="preserve">Articolul 77 alineatul (2) litera (c) din TFUE prevede că Uniunea stabilește </w:t>
      </w:r>
      <w:r w:rsidRPr="002A22B2">
        <w:rPr>
          <w:noProof/>
          <w:shd w:val="clear" w:color="auto" w:fill="FFFFFF"/>
        </w:rPr>
        <w:t>condițiile în care resortisanții țărilor terțe a căror ședere sau reședință este legală pot circula liber, pentru o durată scurtă, în interiorul Uniunii</w:t>
      </w:r>
      <w:r w:rsidRPr="002A22B2">
        <w:rPr>
          <w:noProof/>
        </w:rPr>
        <w:t>. Se aplică procedura legislativă ordinară.</w:t>
      </w:r>
    </w:p>
    <w:p w14:paraId="73AEE5A9" w14:textId="339987EE" w:rsidR="000C1911" w:rsidRPr="002A22B2" w:rsidRDefault="000C1911" w:rsidP="000C1911">
      <w:pPr>
        <w:rPr>
          <w:rFonts w:eastAsia="Times New Roman"/>
          <w:noProof/>
        </w:rPr>
      </w:pPr>
      <w:r w:rsidRPr="002A22B2">
        <w:rPr>
          <w:noProof/>
        </w:rPr>
        <w:t>Propunerea ar urma să modifice Regulamentul (UE) 2021/954, care se întemeiază, de asemenea, pe articolul 77 alineatul (2) litera (c) din TFUE.</w:t>
      </w:r>
    </w:p>
    <w:p w14:paraId="17AD6E45" w14:textId="77777777" w:rsidR="000C1911" w:rsidRPr="002A22B2" w:rsidRDefault="000C1911" w:rsidP="00BB2B3C">
      <w:pPr>
        <w:rPr>
          <w:noProof/>
        </w:rPr>
      </w:pPr>
    </w:p>
    <w:p w14:paraId="736C19DD"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 xml:space="preserve">Subsidiaritate (în cazul competențelor neexclusive) </w:t>
      </w:r>
    </w:p>
    <w:p w14:paraId="15293A75" w14:textId="51C9C3AF" w:rsidR="000C1911" w:rsidRPr="002A22B2" w:rsidRDefault="000C1911" w:rsidP="000C1911">
      <w:pPr>
        <w:rPr>
          <w:noProof/>
          <w:u w:color="000000"/>
          <w:bdr w:val="nil"/>
        </w:rPr>
      </w:pPr>
      <w:r w:rsidRPr="002A22B2">
        <w:rPr>
          <w:noProof/>
          <w:u w:color="000000"/>
          <w:bdr w:val="nil"/>
        </w:rPr>
        <w:t xml:space="preserve">Obiectivele prezentei propuneri, și anume prelungirea perioadei de aplicare a </w:t>
      </w:r>
      <w:r w:rsidRPr="002A22B2">
        <w:rPr>
          <w:noProof/>
        </w:rPr>
        <w:t xml:space="preserve">Regulamentului (UE) 2021/954, </w:t>
      </w:r>
      <w:r w:rsidRPr="002A22B2">
        <w:rPr>
          <w:noProof/>
          <w:u w:color="000000"/>
          <w:bdr w:val="nil"/>
        </w:rPr>
        <w:t>nu pot fi realizate de statele membre în mod independent. Prin urmare, este necesară o acțiune la nivelul Uniunii.</w:t>
      </w:r>
    </w:p>
    <w:p w14:paraId="69B4680D" w14:textId="7850DB03" w:rsidR="000C1911" w:rsidRPr="002A22B2" w:rsidRDefault="00B316A1" w:rsidP="00FB09D0">
      <w:pPr>
        <w:pBdr>
          <w:top w:val="nil"/>
          <w:left w:val="nil"/>
          <w:bottom w:val="nil"/>
          <w:right w:val="nil"/>
          <w:between w:val="nil"/>
          <w:bar w:val="nil"/>
        </w:pBdr>
        <w:rPr>
          <w:noProof/>
          <w:u w:color="000000"/>
          <w:bdr w:val="nil"/>
        </w:rPr>
      </w:pPr>
      <w:r w:rsidRPr="002A22B2">
        <w:rPr>
          <w:noProof/>
          <w:u w:color="000000"/>
          <w:bdr w:val="nil"/>
        </w:rPr>
        <w:t xml:space="preserve">Lipsa de acțiune la nivelul Uniunii ar determina </w:t>
      </w:r>
      <w:r w:rsidRPr="002A22B2">
        <w:rPr>
          <w:noProof/>
        </w:rPr>
        <w:t xml:space="preserve">încetarea aplicării Regulamentului (UE) 2021/954 și, în consecință, resortisanții țărilor terțe aflați în situație de ședere legală sau care au reședință legală pe teritoriul unui stat membru al UE/SEE și care au dreptul de a călători în alte state membre în conformitate cu dreptul Uniunii nu ar mai putea solicita și, în cele din urmă, utiliza certificate interoperabile de vaccinare, testare și vindecare de COVID-19. </w:t>
      </w:r>
    </w:p>
    <w:p w14:paraId="4908BADA"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Proporționalitate</w:t>
      </w:r>
    </w:p>
    <w:p w14:paraId="6EF507E5" w14:textId="50EEF5B4" w:rsidR="00BB2B3C" w:rsidRPr="002A22B2" w:rsidRDefault="00CF60F7" w:rsidP="00BB2B3C">
      <w:pPr>
        <w:rPr>
          <w:rFonts w:eastAsia="Times New Roman"/>
          <w:noProof/>
        </w:rPr>
      </w:pPr>
      <w:r w:rsidRPr="002A22B2">
        <w:rPr>
          <w:noProof/>
        </w:rPr>
        <w:t xml:space="preserve">Acțiunea Uniunii poate aduce o valoare adăugată considerabilă în abordarea provocărilor identificate mai sus și este singura modalitate prin care se poate realiza și menține un cadru unic, raționalizat și acceptat pentru certificatul privind COVID-19. </w:t>
      </w:r>
    </w:p>
    <w:p w14:paraId="3F6CBA07" w14:textId="7A54DEB7" w:rsidR="00A66C22" w:rsidRPr="002A22B2" w:rsidRDefault="00BB2B3C" w:rsidP="00BB2B3C">
      <w:pPr>
        <w:rPr>
          <w:rFonts w:eastAsia="Times New Roman"/>
          <w:noProof/>
        </w:rPr>
      </w:pPr>
      <w:r w:rsidRPr="002A22B2">
        <w:rPr>
          <w:noProof/>
        </w:rPr>
        <w:t>Adoptarea unor măsuri unilaterale sau necoordonate referitoare la certificatele de sănătate privind COVID-19 poate conduce la instituirea unor măsuri ce limitează posibilitatea resortisanților țărilor terțe care au dreptul de a călători în Uniune de a efectua astfel de călătorii.</w:t>
      </w:r>
    </w:p>
    <w:p w14:paraId="49296DD1" w14:textId="457D8386" w:rsidR="00BB2B3C" w:rsidRPr="002A22B2" w:rsidRDefault="00CF60F7" w:rsidP="00BB2B3C">
      <w:pPr>
        <w:rPr>
          <w:rFonts w:eastAsia="Times New Roman"/>
          <w:noProof/>
        </w:rPr>
      </w:pPr>
      <w:r w:rsidRPr="002A22B2">
        <w:rPr>
          <w:noProof/>
        </w:rPr>
        <w:t xml:space="preserve">Propunerea de modificare ar trebui să se aplice în conformitate cu Regulamentul (UE) 2021/953, astfel cum se propune a fi modificat prin propunerea COM(2022) 50 final, și, prin urmare, permite ca utilizarea certificatului digital al UE privind COVID să fie prelungită pentru o perioadă limitată în ceea ce privește resortisanții țărilor terțe care au reședință legală sau se află în situație de ședere legală în Uniune și care au dreptul de a călători în interiorul Uniunii. </w:t>
      </w:r>
    </w:p>
    <w:p w14:paraId="5566CB82"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Alegerea instrumentului</w:t>
      </w:r>
    </w:p>
    <w:p w14:paraId="639A193C" w14:textId="77777777" w:rsidR="00BB2B3C" w:rsidRPr="002A22B2" w:rsidRDefault="00BB2B3C" w:rsidP="00BB2B3C">
      <w:pPr>
        <w:rPr>
          <w:noProof/>
        </w:rPr>
      </w:pPr>
      <w:r w:rsidRPr="002A22B2">
        <w:rPr>
          <w:noProof/>
        </w:rPr>
        <w:t>Un regulament asigură punerea în aplicare directă, imediată și comună a dreptului UE în toate statele membre.</w:t>
      </w:r>
    </w:p>
    <w:p w14:paraId="29C6F8ED" w14:textId="77777777" w:rsidR="00E9039D" w:rsidRPr="002A22B2" w:rsidRDefault="00E9039D" w:rsidP="00550536">
      <w:pPr>
        <w:pStyle w:val="ManualHeading1"/>
        <w:rPr>
          <w:noProof/>
        </w:rPr>
      </w:pPr>
      <w:r w:rsidRPr="002A22B2">
        <w:rPr>
          <w:noProof/>
        </w:rPr>
        <w:t>3.</w:t>
      </w:r>
      <w:r w:rsidRPr="002A22B2">
        <w:rPr>
          <w:noProof/>
        </w:rPr>
        <w:tab/>
        <w:t>REZULTATE ALE EVALUĂRILOR EX POST, ALE CONSULTĂRILOR CU PĂRȚILE INTERESATE ȘI ALE EVALUĂRII IMPACTULUI</w:t>
      </w:r>
    </w:p>
    <w:p w14:paraId="514865AD"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Consultări cu părțile interesate</w:t>
      </w:r>
    </w:p>
    <w:p w14:paraId="617185EC" w14:textId="0CCC5D76" w:rsidR="00CF60F7" w:rsidRPr="002A22B2" w:rsidRDefault="00BB2B3C" w:rsidP="00CF60F7">
      <w:pPr>
        <w:rPr>
          <w:noProof/>
        </w:rPr>
      </w:pPr>
      <w:r w:rsidRPr="002A22B2">
        <w:rPr>
          <w:noProof/>
        </w:rPr>
        <w:t>Propunerea ia în considerare discuțiile purtate la intervale regulate cu autoritățile statelor</w:t>
      </w:r>
      <w:r w:rsidR="0045714A">
        <w:rPr>
          <w:noProof/>
        </w:rPr>
        <w:t> </w:t>
      </w:r>
      <w:r w:rsidRPr="002A22B2">
        <w:rPr>
          <w:noProof/>
        </w:rPr>
        <w:t>membre în diferite foruri.</w:t>
      </w:r>
    </w:p>
    <w:p w14:paraId="5B2B9409"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Obținerea și utilizarea expertizei</w:t>
      </w:r>
    </w:p>
    <w:p w14:paraId="31DB0D4A" w14:textId="1A8D79EE" w:rsidR="00CF60F7" w:rsidRPr="002A22B2" w:rsidRDefault="00CF60F7" w:rsidP="00CF60F7">
      <w:pPr>
        <w:rPr>
          <w:rFonts w:eastAsiaTheme="minorEastAsia"/>
          <w:noProof/>
        </w:rPr>
      </w:pPr>
      <w:r w:rsidRPr="002A22B2">
        <w:rPr>
          <w:noProof/>
        </w:rPr>
        <w:t>Propunerea se bazează pe informațiile și evaluările epidemiologice furnizate de Centrul</w:t>
      </w:r>
      <w:r w:rsidR="0045714A">
        <w:rPr>
          <w:noProof/>
        </w:rPr>
        <w:t> </w:t>
      </w:r>
      <w:r w:rsidRPr="002A22B2">
        <w:rPr>
          <w:noProof/>
        </w:rPr>
        <w:t>European de Prevenire și Control al Bolilor (ECDC), pe evaluări ale siguranței, eficacității și calității vaccinurilor împotriva COVID-19 efectuate de Agenția Europeană pentru Medicamente (EMA), pe schimburile tehnice care au loc în cadrul Comitetului pentru securitate sanitară, al grupului său de lucru tehnic privind testele de diagnosticare a COVID</w:t>
      </w:r>
      <w:r w:rsidR="0045714A">
        <w:rPr>
          <w:noProof/>
        </w:rPr>
        <w:t>­</w:t>
      </w:r>
      <w:r w:rsidRPr="002A22B2">
        <w:rPr>
          <w:noProof/>
        </w:rPr>
        <w:t>19 și al rețelei de e-sănătate, precum și pe dovezile științifice relevante disponibile.</w:t>
      </w:r>
    </w:p>
    <w:p w14:paraId="3B999890"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Evaluarea impactului</w:t>
      </w:r>
    </w:p>
    <w:p w14:paraId="0E7EAD7F" w14:textId="67EA1412" w:rsidR="00BB2B3C" w:rsidRPr="002A22B2" w:rsidRDefault="00BB2B3C" w:rsidP="00BB2B3C">
      <w:pPr>
        <w:spacing w:before="0" w:after="240"/>
        <w:rPr>
          <w:noProof/>
        </w:rPr>
      </w:pPr>
      <w:r w:rsidRPr="002A22B2">
        <w:rPr>
          <w:noProof/>
        </w:rPr>
        <w:t>Având în vedere caracterul urgent al situației, Comisia nu a efectuat o evaluare a impactului.</w:t>
      </w:r>
    </w:p>
    <w:p w14:paraId="2CD2AB2B"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Drepturi fundamentale</w:t>
      </w:r>
    </w:p>
    <w:p w14:paraId="28FD55C8" w14:textId="0B30CB91" w:rsidR="00BB2B3C" w:rsidRPr="002A22B2" w:rsidRDefault="00BB2B3C" w:rsidP="00BB2B3C">
      <w:pPr>
        <w:rPr>
          <w:noProof/>
        </w:rPr>
      </w:pPr>
      <w:r w:rsidRPr="002A22B2">
        <w:rPr>
          <w:noProof/>
        </w:rPr>
        <w:t>Prezenta propunere implică prelucrarea de date cu caracter personal, inclusiv de date privind sănătatea. Există impacturi potențiale asupra drepturilor fundamentale ale persoanelor, și anume asupra celor prevăzute la articolul 7 din cartă privind respectarea vieții private și la articolul 8 privind protecția datelor cu caracter personal. Prelucrarea datelor cu caracter personal ale persoanelor fizice, inclusiv colectarea, accesul și utilizarea datelor cu caracter personal, afectează dreptul la viața privată și dreptul la protecția datelor cu caracter personal prevăzute în cartă. Orice atingere adusă acestor drepturi fundamentale trebuie să fie justificată.</w:t>
      </w:r>
    </w:p>
    <w:p w14:paraId="19D0A63C" w14:textId="13D68EF9" w:rsidR="00BB2B3C" w:rsidRPr="002A22B2" w:rsidRDefault="00BB2B3C" w:rsidP="00BB2B3C">
      <w:pPr>
        <w:rPr>
          <w:noProof/>
        </w:rPr>
      </w:pPr>
      <w:r w:rsidRPr="002A22B2">
        <w:rPr>
          <w:noProof/>
        </w:rPr>
        <w:t>În ceea ce privește dreptul la protecția datelor cu caracter personal, inclusiv la securitatea datelor, se aplică în continuare Regulamentul (UE) 2016/679 al Parlamentului European și al Consiliului</w:t>
      </w:r>
      <w:r w:rsidRPr="002A22B2">
        <w:rPr>
          <w:rStyle w:val="FootnoteReference"/>
          <w:noProof/>
        </w:rPr>
        <w:footnoteReference w:id="12"/>
      </w:r>
      <w:r w:rsidRPr="002A22B2">
        <w:rPr>
          <w:noProof/>
        </w:rPr>
        <w:t xml:space="preserve">. Nu este prevăzută nicio derogare de la regimul de protecție a datelor al Uniunii, iar statele membre trebuie să aplice norme și condiții clare și garanții solide, în conformitate cu normele UE privind protecția datelor. </w:t>
      </w:r>
    </w:p>
    <w:p w14:paraId="748617B2" w14:textId="77777777" w:rsidR="00E9039D" w:rsidRPr="002A22B2" w:rsidRDefault="00E9039D" w:rsidP="00550536">
      <w:pPr>
        <w:pStyle w:val="ManualHeading1"/>
        <w:rPr>
          <w:noProof/>
        </w:rPr>
      </w:pPr>
      <w:r w:rsidRPr="002A22B2">
        <w:rPr>
          <w:noProof/>
        </w:rPr>
        <w:t>4.</w:t>
      </w:r>
      <w:r w:rsidRPr="002A22B2">
        <w:rPr>
          <w:noProof/>
        </w:rPr>
        <w:tab/>
        <w:t>IMPLICAȚII BUGETARE</w:t>
      </w:r>
    </w:p>
    <w:p w14:paraId="574807F1" w14:textId="7B2B7BED" w:rsidR="00BB2B3C" w:rsidRPr="002A22B2" w:rsidRDefault="00BB2B3C" w:rsidP="00BB2B3C">
      <w:pPr>
        <w:pBdr>
          <w:top w:val="nil"/>
          <w:left w:val="nil"/>
          <w:bottom w:val="nil"/>
          <w:right w:val="nil"/>
          <w:between w:val="nil"/>
          <w:bar w:val="nil"/>
        </w:pBdr>
        <w:spacing w:before="0" w:after="240"/>
        <w:rPr>
          <w:rFonts w:eastAsia="Arial Unicode MS"/>
          <w:noProof/>
        </w:rPr>
      </w:pPr>
      <w:r w:rsidRPr="002A22B2">
        <w:rPr>
          <w:noProof/>
          <w:sz w:val="23"/>
          <w:szCs w:val="23"/>
        </w:rPr>
        <w:t xml:space="preserve">Finanțarea acțiunilor de sprijinire a acestei inițiative va fi acoperită de fișa financiară legislativă prezentată împreună cu </w:t>
      </w:r>
      <w:r w:rsidRPr="002A22B2">
        <w:rPr>
          <w:noProof/>
        </w:rPr>
        <w:t>propunerea COM(2022) 50 final</w:t>
      </w:r>
      <w:r w:rsidRPr="002A22B2">
        <w:rPr>
          <w:noProof/>
          <w:sz w:val="23"/>
          <w:szCs w:val="23"/>
        </w:rPr>
        <w:t>.</w:t>
      </w:r>
    </w:p>
    <w:p w14:paraId="01658132" w14:textId="77777777" w:rsidR="00E9039D" w:rsidRPr="002A22B2" w:rsidRDefault="00E9039D" w:rsidP="00550536">
      <w:pPr>
        <w:pStyle w:val="ManualHeading1"/>
        <w:rPr>
          <w:noProof/>
        </w:rPr>
      </w:pPr>
      <w:r w:rsidRPr="002A22B2">
        <w:rPr>
          <w:noProof/>
        </w:rPr>
        <w:t>5.</w:t>
      </w:r>
      <w:r w:rsidRPr="002A22B2">
        <w:rPr>
          <w:noProof/>
        </w:rPr>
        <w:tab/>
        <w:t>ALTE ELEMENTE</w:t>
      </w:r>
    </w:p>
    <w:p w14:paraId="2E1A0A12"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Planuri de punere în aplicare și măsuri de monitorizare, evaluare și raportare</w:t>
      </w:r>
    </w:p>
    <w:p w14:paraId="38012324" w14:textId="77777777" w:rsidR="00E9039D" w:rsidRPr="002A22B2" w:rsidRDefault="00BB2B3C" w:rsidP="00BB2B3C">
      <w:pPr>
        <w:pBdr>
          <w:top w:val="nil"/>
          <w:left w:val="nil"/>
          <w:bottom w:val="nil"/>
          <w:right w:val="nil"/>
          <w:between w:val="nil"/>
          <w:bar w:val="nil"/>
        </w:pBdr>
        <w:spacing w:before="0" w:after="240"/>
        <w:rPr>
          <w:rFonts w:eastAsia="Arial Unicode MS"/>
          <w:noProof/>
        </w:rPr>
      </w:pPr>
      <w:r w:rsidRPr="002A22B2">
        <w:rPr>
          <w:noProof/>
        </w:rPr>
        <w:t xml:space="preserve">Nu se aplică. </w:t>
      </w:r>
    </w:p>
    <w:p w14:paraId="1EADEFD0" w14:textId="77777777" w:rsidR="00E9039D" w:rsidRPr="002A22B2" w:rsidRDefault="00E9039D" w:rsidP="00A4693B">
      <w:pPr>
        <w:pStyle w:val="ManualHeading2"/>
        <w:rPr>
          <w:rFonts w:eastAsia="Arial Unicode MS"/>
          <w:noProof/>
          <w:u w:color="000000"/>
          <w:bdr w:val="nil"/>
        </w:rPr>
      </w:pPr>
      <w:r w:rsidRPr="002A22B2">
        <w:rPr>
          <w:noProof/>
          <w:u w:color="000000"/>
          <w:bdr w:val="nil"/>
        </w:rPr>
        <w:t>•</w:t>
      </w:r>
      <w:r w:rsidRPr="002A22B2">
        <w:rPr>
          <w:noProof/>
        </w:rPr>
        <w:tab/>
      </w:r>
      <w:r w:rsidRPr="002A22B2">
        <w:rPr>
          <w:noProof/>
          <w:u w:color="000000"/>
          <w:bdr w:val="nil"/>
        </w:rPr>
        <w:t>Explicații detaliate ale dispozițiilor specifice ale propunerii</w:t>
      </w:r>
    </w:p>
    <w:p w14:paraId="11D5C48C" w14:textId="4ACD834F" w:rsidR="00BB2B3C" w:rsidRPr="002A22B2" w:rsidRDefault="00BB2B3C" w:rsidP="009E6D5A">
      <w:pPr>
        <w:spacing w:before="0" w:after="200" w:line="276" w:lineRule="auto"/>
        <w:jc w:val="left"/>
        <w:rPr>
          <w:noProof/>
        </w:rPr>
      </w:pPr>
      <w:r w:rsidRPr="002A22B2">
        <w:rPr>
          <w:noProof/>
          <w:u w:val="single"/>
        </w:rPr>
        <w:t>Articolul 1</w:t>
      </w:r>
      <w:r w:rsidRPr="002A22B2">
        <w:rPr>
          <w:noProof/>
        </w:rPr>
        <w:t xml:space="preserve"> din propunere prevede modificarea duratei de aplicare a Regulamentului</w:t>
      </w:r>
      <w:r w:rsidR="0045714A">
        <w:rPr>
          <w:noProof/>
        </w:rPr>
        <w:t> </w:t>
      </w:r>
      <w:r w:rsidRPr="002A22B2">
        <w:rPr>
          <w:noProof/>
        </w:rPr>
        <w:t>(UE)</w:t>
      </w:r>
      <w:r w:rsidR="0045714A">
        <w:rPr>
          <w:noProof/>
        </w:rPr>
        <w:t> </w:t>
      </w:r>
      <w:r w:rsidRPr="002A22B2">
        <w:rPr>
          <w:noProof/>
        </w:rPr>
        <w:t>2021/954.</w:t>
      </w:r>
    </w:p>
    <w:p w14:paraId="0874E3B9" w14:textId="67E61719" w:rsidR="00F100A9" w:rsidRPr="002A22B2" w:rsidRDefault="00BB2B3C" w:rsidP="00EA38CB">
      <w:pPr>
        <w:spacing w:before="0" w:after="200" w:line="276" w:lineRule="auto"/>
        <w:jc w:val="left"/>
        <w:rPr>
          <w:rFonts w:eastAsia="Arial Unicode MS"/>
          <w:noProof/>
        </w:rPr>
      </w:pPr>
      <w:r w:rsidRPr="002A22B2">
        <w:rPr>
          <w:noProof/>
          <w:u w:val="single"/>
        </w:rPr>
        <w:t>Articolul 2</w:t>
      </w:r>
      <w:r w:rsidRPr="002A22B2">
        <w:rPr>
          <w:noProof/>
        </w:rPr>
        <w:t xml:space="preserve"> prevede intrarea în vigoare de urgență a regulamentului.</w:t>
      </w:r>
    </w:p>
    <w:p w14:paraId="0750E7E2" w14:textId="77777777" w:rsidR="00BB2B3C" w:rsidRPr="002A22B2" w:rsidRDefault="00BB2B3C" w:rsidP="00BB2B3C">
      <w:pPr>
        <w:rPr>
          <w:noProof/>
        </w:rPr>
        <w:sectPr w:rsidR="00BB2B3C" w:rsidRPr="002A22B2" w:rsidSect="00344DE9">
          <w:footerReference w:type="default" r:id="rId10"/>
          <w:footerReference w:type="first" r:id="rId11"/>
          <w:pgSz w:w="11907" w:h="16839"/>
          <w:pgMar w:top="1134" w:right="1417" w:bottom="1134" w:left="1417" w:header="709" w:footer="709" w:gutter="0"/>
          <w:cols w:space="708"/>
          <w:docGrid w:linePitch="360"/>
        </w:sectPr>
      </w:pPr>
    </w:p>
    <w:p w14:paraId="6A2F4F9F" w14:textId="58810F7E" w:rsidR="0013132B" w:rsidRDefault="0013132B" w:rsidP="0013132B">
      <w:pPr>
        <w:pStyle w:val="Rfrenceinterinstitutionnelle"/>
        <w:rPr>
          <w:noProof/>
        </w:rPr>
      </w:pPr>
      <w:r w:rsidRPr="0013132B">
        <w:t>2022/0030 (COD)</w:t>
      </w:r>
    </w:p>
    <w:p w14:paraId="45DC7B01" w14:textId="7133C591" w:rsidR="00E9039D" w:rsidRPr="002A22B2" w:rsidRDefault="0013734C" w:rsidP="0013734C">
      <w:pPr>
        <w:pStyle w:val="Statut"/>
        <w:rPr>
          <w:noProof/>
        </w:rPr>
      </w:pPr>
      <w:r w:rsidRPr="0013734C">
        <w:rPr>
          <w:noProof/>
        </w:rPr>
        <w:t>Propunere de</w:t>
      </w:r>
    </w:p>
    <w:p w14:paraId="3667AE27" w14:textId="4EA9E5A7" w:rsidR="00E9039D" w:rsidRPr="002A22B2" w:rsidRDefault="0013734C" w:rsidP="0013734C">
      <w:pPr>
        <w:pStyle w:val="Typedudocument"/>
        <w:rPr>
          <w:noProof/>
        </w:rPr>
      </w:pPr>
      <w:r w:rsidRPr="0013734C">
        <w:rPr>
          <w:noProof/>
        </w:rPr>
        <w:t>REGULAMENT AL PARLAMENTULUI EUROPEAN ȘI AL CONSILIULUI</w:t>
      </w:r>
    </w:p>
    <w:p w14:paraId="0D78298E" w14:textId="6A736FDD" w:rsidR="00A015CE" w:rsidRPr="002A22B2" w:rsidRDefault="0013734C" w:rsidP="0013734C">
      <w:pPr>
        <w:pStyle w:val="Titreobjet"/>
        <w:rPr>
          <w:noProof/>
        </w:rPr>
      </w:pPr>
      <w:r w:rsidRPr="0013734C">
        <w:rPr>
          <w:noProof/>
        </w:rPr>
        <w:t>de modificare a Regulamentului (UE) 2021/954 privind cadrul pentru eliberarea, verificarea și acceptarea certificatelor interoperabile de vaccinare, testare și vindecare de COVID-19 (certificatul digital al UE privind COVID) referitor la resortisanții țărilor terțe aflați în situație de ședere legală sau care au reședință legală pe teritoriul statelor membre, pe durata pandemiei de COVID-19</w:t>
      </w:r>
    </w:p>
    <w:p w14:paraId="237BA96B" w14:textId="77777777" w:rsidR="007E3351" w:rsidRPr="002A22B2" w:rsidRDefault="007E3351" w:rsidP="00526C15">
      <w:pPr>
        <w:pStyle w:val="Institutionquiagit"/>
        <w:rPr>
          <w:noProof/>
        </w:rPr>
      </w:pPr>
      <w:r w:rsidRPr="002A22B2">
        <w:rPr>
          <w:noProof/>
        </w:rPr>
        <w:t>PARLAMENTUL EUROPEAN ȘI CONSILIUL UNIUNII EUROPENE,</w:t>
      </w:r>
    </w:p>
    <w:p w14:paraId="10C3E4C8" w14:textId="77777777" w:rsidR="00BB2B3C" w:rsidRPr="002A22B2" w:rsidRDefault="00BB2B3C" w:rsidP="00BB2B3C">
      <w:pPr>
        <w:rPr>
          <w:noProof/>
        </w:rPr>
      </w:pPr>
      <w:r w:rsidRPr="002A22B2">
        <w:rPr>
          <w:noProof/>
        </w:rPr>
        <w:t>având în vedere Tratatul privind funcționarea Uniunii Europene, în special articolul 77 alineatul (2) litera (c),</w:t>
      </w:r>
    </w:p>
    <w:p w14:paraId="462C7CFC" w14:textId="77777777" w:rsidR="00BB2B3C" w:rsidRPr="002A22B2" w:rsidRDefault="00BB2B3C" w:rsidP="00BB2B3C">
      <w:pPr>
        <w:rPr>
          <w:noProof/>
        </w:rPr>
      </w:pPr>
      <w:r w:rsidRPr="002A22B2">
        <w:rPr>
          <w:noProof/>
        </w:rPr>
        <w:t>având în vedere propunerea Comisiei Europene,</w:t>
      </w:r>
    </w:p>
    <w:p w14:paraId="33C3AF75" w14:textId="77777777" w:rsidR="00BB2B3C" w:rsidRPr="002A22B2" w:rsidRDefault="00BB2B3C" w:rsidP="00BB2B3C">
      <w:pPr>
        <w:rPr>
          <w:noProof/>
        </w:rPr>
      </w:pPr>
      <w:r w:rsidRPr="002A22B2">
        <w:rPr>
          <w:noProof/>
        </w:rPr>
        <w:t>hotărând în conformitate cu procedura legislativă ordinară,</w:t>
      </w:r>
    </w:p>
    <w:p w14:paraId="7BDA6304" w14:textId="05704230" w:rsidR="00804358" w:rsidRPr="002A22B2" w:rsidRDefault="00E9039D" w:rsidP="00614C78">
      <w:pPr>
        <w:rPr>
          <w:noProof/>
        </w:rPr>
      </w:pPr>
      <w:r w:rsidRPr="002A22B2">
        <w:rPr>
          <w:noProof/>
        </w:rPr>
        <w:t>întrucât:</w:t>
      </w:r>
    </w:p>
    <w:p w14:paraId="0113431D" w14:textId="0FC819E0" w:rsidR="00BB2B3C" w:rsidRPr="002A22B2" w:rsidRDefault="00D56668" w:rsidP="00D56668">
      <w:pPr>
        <w:pStyle w:val="ManualConsidrant"/>
        <w:rPr>
          <w:noProof/>
          <w:sz w:val="22"/>
        </w:rPr>
      </w:pPr>
      <w:r w:rsidRPr="00D56668">
        <w:t>(1)</w:t>
      </w:r>
      <w:r w:rsidRPr="00D56668">
        <w:tab/>
      </w:r>
      <w:r w:rsidR="00BB2B3C" w:rsidRPr="002A22B2">
        <w:rPr>
          <w:noProof/>
        </w:rPr>
        <w:t>În temeiul acquis-ului Schengen, resortisanții țărilor terțe care au reședința legală în Uniune și resortisanții țărilor terțe care au intrat în mod legal pe teritoriul unui stat membru</w:t>
      </w:r>
      <w:r w:rsidR="00BB2B3C" w:rsidRPr="002A22B2">
        <w:rPr>
          <w:noProof/>
          <w:sz w:val="22"/>
        </w:rPr>
        <w:t xml:space="preserve"> </w:t>
      </w:r>
      <w:r w:rsidR="00BB2B3C" w:rsidRPr="002A22B2">
        <w:rPr>
          <w:noProof/>
        </w:rPr>
        <w:t>pot circula liber pe teritoriile tuturor celorlalte state membre în decursul a 90 de zile în orice perioadă de 180 de zile</w:t>
      </w:r>
      <w:r w:rsidR="00BB2B3C" w:rsidRPr="002A22B2">
        <w:rPr>
          <w:rStyle w:val="FootnoteReference"/>
          <w:noProof/>
        </w:rPr>
        <w:footnoteReference w:id="13"/>
      </w:r>
      <w:r w:rsidR="00BB2B3C" w:rsidRPr="002A22B2">
        <w:rPr>
          <w:noProof/>
        </w:rPr>
        <w:t>.</w:t>
      </w:r>
    </w:p>
    <w:p w14:paraId="5B025227" w14:textId="5A126C0D" w:rsidR="00373178" w:rsidRPr="002A22B2" w:rsidRDefault="00D56668" w:rsidP="00D56668">
      <w:pPr>
        <w:pStyle w:val="ManualConsidrant"/>
        <w:rPr>
          <w:noProof/>
        </w:rPr>
      </w:pPr>
      <w:r w:rsidRPr="00D56668">
        <w:t>(2)</w:t>
      </w:r>
      <w:r w:rsidRPr="00D56668">
        <w:tab/>
      </w:r>
      <w:r w:rsidR="00373178" w:rsidRPr="002A22B2">
        <w:rPr>
          <w:noProof/>
        </w:rPr>
        <w:t>La 14 iunie 2021, Parlamentul European și Consiliul au adoptat Regulamentul (UE) 2021/953 de instituire a certificatului digital al UE privind COVID</w:t>
      </w:r>
      <w:r w:rsidR="00373178" w:rsidRPr="002A22B2">
        <w:rPr>
          <w:rStyle w:val="FootnoteReference"/>
          <w:noProof/>
          <w:szCs w:val="24"/>
        </w:rPr>
        <w:footnoteReference w:id="14"/>
      </w:r>
      <w:r w:rsidR="00373178" w:rsidRPr="002A22B2">
        <w:rPr>
          <w:noProof/>
        </w:rPr>
        <w:t>. Regulamentul respectiv stabilește un cadru comun pentru eliberarea, verificarea și acceptarea certificatelor interoperabile de vaccinare, testare sau vindecare de COVID-19, pentru a facilita libera circulație a cetățenilor UE și a membrilor familiilor acestora pe durata pandemiei de COVID-19. Regulamentul (UE) 2021/953 este însoțit de Regulamentul (UE) 2021/954 al Parlamentului European și al Consiliului</w:t>
      </w:r>
      <w:r w:rsidR="00373178" w:rsidRPr="002A22B2">
        <w:rPr>
          <w:rStyle w:val="FootnoteReference"/>
          <w:rFonts w:eastAsiaTheme="minorEastAsia"/>
          <w:noProof/>
          <w:szCs w:val="24"/>
          <w:lang w:eastAsia="zh-CN"/>
        </w:rPr>
        <w:footnoteReference w:id="15"/>
      </w:r>
      <w:r w:rsidR="00373178" w:rsidRPr="002A22B2">
        <w:rPr>
          <w:noProof/>
        </w:rPr>
        <w:t>, care extinde cadrul pentru certificatul digital al UE privind COVID la resortisanții țărilor terțe aflați în situație de ședere legală sau care au reședință legală pe teritoriul unui stat membru și care au dreptul de a călători în alte state membre în conformitate cu dreptul Uniunii.</w:t>
      </w:r>
    </w:p>
    <w:p w14:paraId="031678DD" w14:textId="56B78912" w:rsidR="002D076D" w:rsidRPr="002A22B2" w:rsidRDefault="00D56668" w:rsidP="00D56668">
      <w:pPr>
        <w:pStyle w:val="ManualConsidrant"/>
        <w:rPr>
          <w:noProof/>
        </w:rPr>
      </w:pPr>
      <w:r w:rsidRPr="00D56668">
        <w:t>(3)</w:t>
      </w:r>
      <w:r w:rsidRPr="00D56668">
        <w:tab/>
      </w:r>
      <w:r w:rsidR="00141E58" w:rsidRPr="002A22B2">
        <w:rPr>
          <w:noProof/>
        </w:rPr>
        <w:t>Regulamentele (UE) 2021/953 și (UE) 2021/954 urmează să expire la 30 iunie 2022. Cu toate acestea, pandemia continuă, iar recenta apariție a variantei „Omicron” a SARS-CoV-2 care determină îngrijorare continuă să aibă un impact negativ asupra călătoriilor în interiorul Uniunii. În consecință, certificatul digital al UE privind COVID își menține caracterul relevant, impunându-se permiterea utilizării sale în continuare.</w:t>
      </w:r>
    </w:p>
    <w:p w14:paraId="10277B4C" w14:textId="76A9448B" w:rsidR="00373178" w:rsidRPr="002A22B2" w:rsidRDefault="00D56668" w:rsidP="00D56668">
      <w:pPr>
        <w:pStyle w:val="ManualConsidrant"/>
        <w:rPr>
          <w:noProof/>
        </w:rPr>
      </w:pPr>
      <w:r w:rsidRPr="00D56668">
        <w:t>(4)</w:t>
      </w:r>
      <w:r w:rsidRPr="00D56668">
        <w:tab/>
      </w:r>
      <w:r w:rsidR="002D076D" w:rsidRPr="002A22B2">
        <w:rPr>
          <w:noProof/>
        </w:rPr>
        <w:t xml:space="preserve">Perioada de aplicare a Regulamentului (UE) 2021/953 urmează să fie prelungită cu 12 luni. Întrucât obiectivul Regulamentului (UE) 2021/954 este de a extinde aplicarea Regulamentului (UE) 2021/953 la anumite categorii de resortisanți ai țărilor terțe care au reședință legală sau </w:t>
      </w:r>
      <w:r w:rsidR="00BB4D1B">
        <w:rPr>
          <w:noProof/>
        </w:rPr>
        <w:t>se află</w:t>
      </w:r>
      <w:r w:rsidR="00BB4D1B" w:rsidRPr="002A22B2">
        <w:rPr>
          <w:noProof/>
        </w:rPr>
        <w:t xml:space="preserve"> </w:t>
      </w:r>
      <w:r w:rsidR="002D076D" w:rsidRPr="002A22B2">
        <w:rPr>
          <w:noProof/>
        </w:rPr>
        <w:t>în situație de ședere legală în Uniune, durata aplicării sale ar trebui să fie direct legată de cea a Regulamentului (UE) 2021/953. Prin urmare, Regulamentul (UE) 2021/954 ar trebui să fie modificat în consecință.</w:t>
      </w:r>
      <w:r w:rsidR="00F3507F">
        <w:rPr>
          <w:noProof/>
        </w:rPr>
        <w:t xml:space="preserve"> </w:t>
      </w:r>
    </w:p>
    <w:p w14:paraId="55B1D140" w14:textId="5592AAA4" w:rsidR="00BB2B3C" w:rsidRPr="002A22B2" w:rsidRDefault="00D56668" w:rsidP="00D56668">
      <w:pPr>
        <w:pStyle w:val="ManualConsidrant"/>
        <w:rPr>
          <w:noProof/>
          <w:szCs w:val="24"/>
        </w:rPr>
      </w:pPr>
      <w:r w:rsidRPr="00D56668">
        <w:t>(5)</w:t>
      </w:r>
      <w:r w:rsidRPr="00D56668">
        <w:tab/>
      </w:r>
      <w:r w:rsidR="00BB2B3C" w:rsidRPr="002A22B2">
        <w:rPr>
          <w:noProof/>
        </w:rPr>
        <w:t xml:space="preserve">Prezentul regulament nu ar trebui înțeles ca o facilitare sau ca o încurajare a adoptării de restricții de călătorie instituite ca răspuns la pandemie. În plus, necesitatea de a verifica certificatele instituite prin Regulamentul (UE) 2021/953 nu ar trebui considerată o justificare a reintroducerii temporare a controalelor la frontierele interne. Controalele la frontierele interne ar trebui să rămână o măsură de ultimă instanță, sub rezerva normelor specifice prevăzute în Regulamentul (UE) 2016/399 al Parlamentului European și al Consiliului (Codul </w:t>
      </w:r>
      <w:r w:rsidR="00356A12">
        <w:rPr>
          <w:noProof/>
        </w:rPr>
        <w:t>f</w:t>
      </w:r>
      <w:r w:rsidR="00BB2B3C" w:rsidRPr="002A22B2">
        <w:rPr>
          <w:noProof/>
        </w:rPr>
        <w:t xml:space="preserve">rontierelor Schengen). </w:t>
      </w:r>
    </w:p>
    <w:p w14:paraId="21B56F66" w14:textId="378DCA32" w:rsidR="00BB2B3C" w:rsidRPr="002A22B2" w:rsidRDefault="00D56668" w:rsidP="00D56668">
      <w:pPr>
        <w:pStyle w:val="ManualConsidrant"/>
        <w:rPr>
          <w:noProof/>
        </w:rPr>
      </w:pPr>
      <w:r w:rsidRPr="00D56668">
        <w:t>(6)</w:t>
      </w:r>
      <w:r w:rsidRPr="00D56668">
        <w:tab/>
      </w:r>
      <w:r w:rsidR="00BB2B3C" w:rsidRPr="002A22B2">
        <w:rPr>
          <w:noProof/>
        </w:rPr>
        <w:t>În conformitate cu articolele 1 și 2 din Protocolul nr. 22 privind poziția Danemarcei, anexat la Tratatul privind Uniunea Europeană și la TFUE, Danemarca nu participă la adoptarea prezentului regulament, nu are obligații în temeiul acestuia și nu face obiectul aplicării sale. Deoarece prezentul regulament constituie o dezvoltare a acquis</w:t>
      </w:r>
      <w:r w:rsidR="0045714A">
        <w:rPr>
          <w:noProof/>
        </w:rPr>
        <w:t>­</w:t>
      </w:r>
      <w:r w:rsidR="00BB2B3C" w:rsidRPr="002A22B2">
        <w:rPr>
          <w:noProof/>
        </w:rPr>
        <w:t xml:space="preserve">ului Schengen, Danemarca decide, în conformitate cu articolul 4 din protocolul respectiv, în termen de șase luni de la data la care Consiliul decide cu privire la prezentul regulament, dacă îl va pune în aplicare în dreptul său intern. </w:t>
      </w:r>
    </w:p>
    <w:p w14:paraId="487F6C27" w14:textId="28253C7A" w:rsidR="003C5B82" w:rsidRPr="002A22B2" w:rsidRDefault="00D56668" w:rsidP="00D56668">
      <w:pPr>
        <w:pStyle w:val="ManualConsidrant"/>
        <w:rPr>
          <w:noProof/>
        </w:rPr>
      </w:pPr>
      <w:r w:rsidRPr="00D56668">
        <w:t>(7)</w:t>
      </w:r>
      <w:r w:rsidRPr="00D56668">
        <w:tab/>
      </w:r>
      <w:r w:rsidR="00BB2B3C" w:rsidRPr="002A22B2">
        <w:rPr>
          <w:noProof/>
        </w:rPr>
        <w:t>Prezentul regulament constituie o dezvoltare a dispozițiilor acquis-ului Schengen la care Irlanda nu participă, în conformitate cu Decizia 2002/192/CE a Consiliului</w:t>
      </w:r>
      <w:r w:rsidR="00BB2B3C" w:rsidRPr="002A22B2">
        <w:rPr>
          <w:rStyle w:val="FootnoteReference"/>
          <w:noProof/>
        </w:rPr>
        <w:footnoteReference w:id="16"/>
      </w:r>
      <w:r w:rsidR="00BB2B3C" w:rsidRPr="002A22B2">
        <w:rPr>
          <w:noProof/>
        </w:rPr>
        <w:t>; prin urmare, Irlanda nu participă la adoptarea prezentului regulament, nu are obligații în temeiul acesteia și nu face obiectul aplicării sale. Pentru ca statele membre să poată accepta, în condițiile stabilite de Regulamentul (UE) 2021/953, certificatele privind COVID-19 eliberate de Irlanda resortisanților țărilor terțe care se află în situație de ședere legală sau au reședință legală pe teritoriul său, pentru a facilita călătoriile pe teritoriul statelor membre, Irlanda ar trebui să le elibereze resortisanților țărilor terțe respectivi certificate privind COVID-19 care respectă cerințele cadrului de încredere pentru certificatul digital al UE privind COVID. Irlanda și celelalte state membre ar trebui să accepte certificatele eliberate resortisanților țărilor terțe vizați de prezentul regulament, în condiții de reciprocitate.</w:t>
      </w:r>
    </w:p>
    <w:p w14:paraId="5B64F4AD" w14:textId="29F7F2AA" w:rsidR="00BB2B3C" w:rsidRPr="002A22B2" w:rsidRDefault="00D56668" w:rsidP="00D56668">
      <w:pPr>
        <w:pStyle w:val="ManualConsidrant"/>
        <w:rPr>
          <w:noProof/>
        </w:rPr>
      </w:pPr>
      <w:r w:rsidRPr="00D56668">
        <w:t>(8)</w:t>
      </w:r>
      <w:r w:rsidRPr="00D56668">
        <w:tab/>
      </w:r>
      <w:r w:rsidR="00BB2B3C" w:rsidRPr="002A22B2">
        <w:rPr>
          <w:noProof/>
        </w:rPr>
        <w:t>În ceea ce privește Bulgaria, Croația, Cipru și România, prezentul regulament constituie o dezvoltare a acquis-ului Schengen în înțelesul articolului 3 alineatul (1) din Actul de aderare din 2003, al articolului 4 alineatul (1) din Actul de aderare din 2005 și, respectiv, al articolului 4 alineatul (1) din Actul de aderare din 2011.</w:t>
      </w:r>
    </w:p>
    <w:p w14:paraId="4B0B68E3" w14:textId="5F4660AF" w:rsidR="00BB2B3C" w:rsidRPr="002A22B2" w:rsidRDefault="00D56668" w:rsidP="00D56668">
      <w:pPr>
        <w:pStyle w:val="ManualConsidrant"/>
        <w:rPr>
          <w:noProof/>
        </w:rPr>
      </w:pPr>
      <w:r w:rsidRPr="00D56668">
        <w:t>(9)</w:t>
      </w:r>
      <w:r w:rsidRPr="00D56668">
        <w:tab/>
      </w:r>
      <w:r w:rsidR="00BB2B3C" w:rsidRPr="002A22B2">
        <w:rPr>
          <w:noProof/>
        </w:rPr>
        <w:t>În ceea ce privește Islanda și Norvegia, prezentul regulament constituie o dezvoltare a dispozițiilor acquis-ului Schengen în înțelesul Acordului încheiat de Consiliul Uniunii</w:t>
      </w:r>
      <w:r w:rsidR="0045714A">
        <w:rPr>
          <w:noProof/>
        </w:rPr>
        <w:t> </w:t>
      </w:r>
      <w:r w:rsidR="00BB2B3C" w:rsidRPr="002A22B2">
        <w:rPr>
          <w:noProof/>
        </w:rPr>
        <w:t>Europene și Republica Islanda și Regatul Norvegiei privind asocierea acestora din urmă la implementarea, aplicarea și dezvoltarea acquis-ului Schengen, care se află sub incidența domeniului menționat la articolul 1 punctul C din Decizia 1999/437/CE a Consiliului</w:t>
      </w:r>
      <w:r w:rsidR="00BB2B3C" w:rsidRPr="002A22B2">
        <w:rPr>
          <w:rStyle w:val="FootnoteReference"/>
          <w:noProof/>
        </w:rPr>
        <w:footnoteReference w:id="17"/>
      </w:r>
      <w:r w:rsidR="00BB2B3C" w:rsidRPr="002A22B2">
        <w:rPr>
          <w:noProof/>
        </w:rPr>
        <w:t xml:space="preserve">. </w:t>
      </w:r>
    </w:p>
    <w:p w14:paraId="0FC3B6B7" w14:textId="765CC033" w:rsidR="00BB2B3C" w:rsidRPr="002A22B2" w:rsidRDefault="00D56668" w:rsidP="00D56668">
      <w:pPr>
        <w:pStyle w:val="ManualConsidrant"/>
        <w:rPr>
          <w:noProof/>
        </w:rPr>
      </w:pPr>
      <w:r w:rsidRPr="00D56668">
        <w:t>(10)</w:t>
      </w:r>
      <w:r w:rsidRPr="00D56668">
        <w:tab/>
      </w:r>
      <w:r w:rsidR="00BB2B3C" w:rsidRPr="002A22B2">
        <w:rPr>
          <w:noProof/>
        </w:rPr>
        <w:t>În ceea ce privește Elveția, prezentul regulament constituie o dezvoltare a dispozițiilor acquis-ului Schengen în înțelesul Acordului dintre Uniunea Europeană, Comunitatea</w:t>
      </w:r>
      <w:r w:rsidR="0045714A">
        <w:rPr>
          <w:noProof/>
        </w:rPr>
        <w:t> </w:t>
      </w:r>
      <w:r w:rsidR="00BB2B3C" w:rsidRPr="002A22B2">
        <w:rPr>
          <w:noProof/>
        </w:rPr>
        <w:t>Europeană și Confederația Elvețiană cu privire la asocierea Confederației</w:t>
      </w:r>
      <w:r w:rsidR="0045714A">
        <w:rPr>
          <w:noProof/>
        </w:rPr>
        <w:t> </w:t>
      </w:r>
      <w:r w:rsidR="00BB2B3C" w:rsidRPr="002A22B2">
        <w:rPr>
          <w:noProof/>
        </w:rPr>
        <w:t>Elvețiene la punerea în aplicare, respectarea și dezvoltarea acquis-ului Schengen, care se află sub incidența domeniului menționat la articolul 1 punctul C din Decizia 1999/437/CE, coroborat cu articolul 3 din Decizia 2008/146/CE a Consiliului</w:t>
      </w:r>
      <w:r w:rsidR="00BB2B3C" w:rsidRPr="002A22B2">
        <w:rPr>
          <w:rStyle w:val="FootnoteReference"/>
          <w:noProof/>
        </w:rPr>
        <w:footnoteReference w:id="18"/>
      </w:r>
      <w:r w:rsidR="00BB2B3C" w:rsidRPr="002A22B2">
        <w:rPr>
          <w:noProof/>
        </w:rPr>
        <w:t>.</w:t>
      </w:r>
    </w:p>
    <w:p w14:paraId="624553AF" w14:textId="0A15835A" w:rsidR="009D40CD" w:rsidRPr="002A22B2" w:rsidRDefault="00D56668" w:rsidP="00D56668">
      <w:pPr>
        <w:pStyle w:val="ManualConsidrant"/>
        <w:rPr>
          <w:noProof/>
        </w:rPr>
      </w:pPr>
      <w:r w:rsidRPr="00D56668">
        <w:t>(11)</w:t>
      </w:r>
      <w:r w:rsidRPr="00D56668">
        <w:tab/>
      </w:r>
      <w:r w:rsidR="00BB2B3C" w:rsidRPr="002A22B2">
        <w:rPr>
          <w:noProof/>
        </w:rPr>
        <w:t>În ceea ce privește Liechtensteinul, prezentul regulament constituie o dezvoltare a dispozițiilor acquis-ului Schengen în înțelesul Protocolului între Uniunea Europeană, Comunitatea Europeană, Confederația Elvețiană și Principatul Liechtenstein cu privire la aderarea Principatului Liechtenstein la Acordul dintre Uniunea Europeană, Comunitatea Europeană și Confederația Elvețiană privind asocierea Confederației</w:t>
      </w:r>
      <w:r w:rsidR="0045714A">
        <w:rPr>
          <w:noProof/>
        </w:rPr>
        <w:t> </w:t>
      </w:r>
      <w:r w:rsidR="00BB2B3C" w:rsidRPr="002A22B2">
        <w:rPr>
          <w:noProof/>
        </w:rPr>
        <w:t>Elvețiene la punerea în practică, aplicarea și dezvoltarea acquis-ului Schengen, care se află sub incidența domeniului menționat la articolul 1 punctul C din Decizia 1999/437/CE, coroborat cu articolul 3 din Decizia 2011/350/UE</w:t>
      </w:r>
      <w:r w:rsidR="00BB2B3C" w:rsidRPr="002A22B2">
        <w:rPr>
          <w:rStyle w:val="FootnoteReference"/>
          <w:noProof/>
        </w:rPr>
        <w:footnoteReference w:id="19"/>
      </w:r>
      <w:r w:rsidR="00BB2B3C" w:rsidRPr="002A22B2">
        <w:rPr>
          <w:noProof/>
        </w:rPr>
        <w:t>.</w:t>
      </w:r>
    </w:p>
    <w:p w14:paraId="3828EB07" w14:textId="1180825A" w:rsidR="003B0C7B" w:rsidRPr="002A22B2" w:rsidRDefault="00D56668" w:rsidP="00D56668">
      <w:pPr>
        <w:pStyle w:val="ManualConsidrant"/>
        <w:rPr>
          <w:noProof/>
        </w:rPr>
      </w:pPr>
      <w:r w:rsidRPr="00D56668">
        <w:t>(12)</w:t>
      </w:r>
      <w:r w:rsidRPr="00D56668">
        <w:tab/>
      </w:r>
      <w:r w:rsidR="003B0C7B" w:rsidRPr="002A22B2">
        <w:rPr>
          <w:noProof/>
        </w:rPr>
        <w:t xml:space="preserve">Dat fiind caracterul urgent al situației legate de pandemia de COVID-19, prezentul regulament ar trebui să intre în vigoare în a treia zi de la data publicării în </w:t>
      </w:r>
      <w:r w:rsidR="003B0C7B" w:rsidRPr="002A22B2">
        <w:rPr>
          <w:i/>
          <w:noProof/>
        </w:rPr>
        <w:t>Jurnalul</w:t>
      </w:r>
      <w:r w:rsidR="0045714A">
        <w:rPr>
          <w:i/>
          <w:noProof/>
        </w:rPr>
        <w:t> </w:t>
      </w:r>
      <w:r w:rsidR="003B0C7B" w:rsidRPr="002A22B2">
        <w:rPr>
          <w:i/>
          <w:noProof/>
        </w:rPr>
        <w:t>Oficial al Uniunii Europene</w:t>
      </w:r>
      <w:r w:rsidR="003B0C7B" w:rsidRPr="002A22B2">
        <w:rPr>
          <w:noProof/>
        </w:rPr>
        <w:t>.</w:t>
      </w:r>
    </w:p>
    <w:p w14:paraId="18A84C2D" w14:textId="72285CE4" w:rsidR="00BB2B3C" w:rsidRPr="002A22B2" w:rsidRDefault="00D56668" w:rsidP="00D56668">
      <w:pPr>
        <w:pStyle w:val="ManualConsidrant"/>
        <w:rPr>
          <w:noProof/>
        </w:rPr>
      </w:pPr>
      <w:r w:rsidRPr="00D56668">
        <w:t>(13)</w:t>
      </w:r>
      <w:r w:rsidRPr="00D56668">
        <w:tab/>
      </w:r>
      <w:r w:rsidR="009D40CD" w:rsidRPr="002A22B2">
        <w:rPr>
          <w:noProof/>
        </w:rPr>
        <w:t>Autoritatea Europeană pentru Protecția Datelor și Comitetul european pentru protecția datelor au fost consultate în conformitate cu articolul 42 din Regulamentul (UE) 2018/1725 al Parlamentului European și al Consiliului</w:t>
      </w:r>
      <w:r w:rsidR="009D40CD" w:rsidRPr="002A22B2">
        <w:rPr>
          <w:rStyle w:val="FootnoteReference"/>
          <w:noProof/>
        </w:rPr>
        <w:footnoteReference w:id="20"/>
      </w:r>
      <w:r w:rsidR="009D40CD" w:rsidRPr="002A22B2">
        <w:rPr>
          <w:noProof/>
        </w:rPr>
        <w:t xml:space="preserve"> și au emis un aviz la [...],</w:t>
      </w:r>
    </w:p>
    <w:p w14:paraId="0B7F0788" w14:textId="16131CCD" w:rsidR="00E9039D" w:rsidRPr="002A22B2" w:rsidRDefault="00E9039D" w:rsidP="00BB2B3C">
      <w:pPr>
        <w:pStyle w:val="Formuledadoption"/>
        <w:rPr>
          <w:noProof/>
        </w:rPr>
      </w:pPr>
      <w:r w:rsidRPr="002A22B2">
        <w:rPr>
          <w:noProof/>
        </w:rPr>
        <w:t>ADOPTĂ PREZENTUL REGULAMENT:</w:t>
      </w:r>
    </w:p>
    <w:p w14:paraId="2350B431" w14:textId="77777777" w:rsidR="00E9039D" w:rsidRPr="002A22B2" w:rsidRDefault="00E9039D" w:rsidP="006D42BA">
      <w:pPr>
        <w:pStyle w:val="Titrearticle"/>
        <w:rPr>
          <w:i w:val="0"/>
          <w:noProof/>
        </w:rPr>
      </w:pPr>
      <w:r w:rsidRPr="002A22B2">
        <w:rPr>
          <w:i w:val="0"/>
          <w:noProof/>
        </w:rPr>
        <w:t>Articolul 1</w:t>
      </w:r>
    </w:p>
    <w:p w14:paraId="6A1D6FB9" w14:textId="77777777" w:rsidR="000023E7" w:rsidRPr="002A22B2" w:rsidRDefault="000023E7" w:rsidP="00BB2B3C">
      <w:pPr>
        <w:autoSpaceDE w:val="0"/>
        <w:autoSpaceDN w:val="0"/>
        <w:spacing w:before="40" w:after="40"/>
        <w:rPr>
          <w:noProof/>
          <w:szCs w:val="24"/>
        </w:rPr>
      </w:pPr>
      <w:r w:rsidRPr="002A22B2">
        <w:rPr>
          <w:noProof/>
        </w:rPr>
        <w:t xml:space="preserve">Articolul 3 din Regulamentul (UE) 2021/954 se înlocuiește cu următorul text: </w:t>
      </w:r>
    </w:p>
    <w:p w14:paraId="065407B1" w14:textId="77777777" w:rsidR="00CB522F" w:rsidRPr="002A22B2" w:rsidRDefault="004C6F6A" w:rsidP="00967E11">
      <w:pPr>
        <w:spacing w:before="100" w:beforeAutospacing="1" w:after="100" w:afterAutospacing="1"/>
        <w:jc w:val="center"/>
        <w:rPr>
          <w:rFonts w:eastAsia="Times New Roman"/>
          <w:noProof/>
          <w:szCs w:val="24"/>
        </w:rPr>
      </w:pPr>
      <w:r w:rsidRPr="002A22B2">
        <w:rPr>
          <w:noProof/>
        </w:rPr>
        <w:t>„</w:t>
      </w:r>
      <w:r w:rsidRPr="002A22B2">
        <w:rPr>
          <w:i/>
          <w:noProof/>
          <w:szCs w:val="24"/>
        </w:rPr>
        <w:t>Articolul 3</w:t>
      </w:r>
    </w:p>
    <w:p w14:paraId="60B7D1F6" w14:textId="021641F5" w:rsidR="00134B69" w:rsidRPr="002A22B2" w:rsidRDefault="00134B69" w:rsidP="00134B69">
      <w:pPr>
        <w:spacing w:before="100" w:beforeAutospacing="1" w:after="100" w:afterAutospacing="1"/>
        <w:jc w:val="left"/>
        <w:rPr>
          <w:rFonts w:eastAsia="Times New Roman"/>
          <w:noProof/>
          <w:szCs w:val="24"/>
        </w:rPr>
      </w:pPr>
      <w:r w:rsidRPr="002A22B2">
        <w:rPr>
          <w:noProof/>
        </w:rPr>
        <w:t xml:space="preserve">Prezentul regulament intră în vigoare în a treia zi de la data publicării în </w:t>
      </w:r>
      <w:r w:rsidRPr="002A22B2">
        <w:rPr>
          <w:i/>
          <w:iCs/>
          <w:noProof/>
        </w:rPr>
        <w:t>Jurnalul Oficial al Uniunii Europene</w:t>
      </w:r>
      <w:r w:rsidRPr="002A22B2">
        <w:rPr>
          <w:noProof/>
        </w:rPr>
        <w:t>.</w:t>
      </w:r>
    </w:p>
    <w:p w14:paraId="06FEC135" w14:textId="77777777" w:rsidR="00134B69" w:rsidRPr="002A22B2" w:rsidRDefault="00134B69" w:rsidP="00134B69">
      <w:pPr>
        <w:spacing w:before="100" w:beforeAutospacing="1" w:after="100" w:afterAutospacing="1"/>
        <w:jc w:val="left"/>
        <w:rPr>
          <w:rFonts w:eastAsia="Times New Roman"/>
          <w:noProof/>
          <w:szCs w:val="24"/>
        </w:rPr>
      </w:pPr>
      <w:r w:rsidRPr="002A22B2">
        <w:rPr>
          <w:noProof/>
        </w:rPr>
        <w:t>Se aplică de la 1 iulie 2021 atât timp cât se aplică Regulamentul (UE) 2021/953.”</w:t>
      </w:r>
    </w:p>
    <w:p w14:paraId="7646C4E0" w14:textId="77777777" w:rsidR="00F100A9" w:rsidRPr="002A22B2" w:rsidRDefault="00F100A9" w:rsidP="00F100A9">
      <w:pPr>
        <w:pStyle w:val="Titrearticle"/>
        <w:rPr>
          <w:i w:val="0"/>
          <w:noProof/>
        </w:rPr>
      </w:pPr>
      <w:r w:rsidRPr="002A22B2">
        <w:rPr>
          <w:i w:val="0"/>
          <w:noProof/>
        </w:rPr>
        <w:t>Articolul 2</w:t>
      </w:r>
    </w:p>
    <w:p w14:paraId="13FBAF2D" w14:textId="7AE7C039" w:rsidR="00F100A9" w:rsidRPr="002A22B2" w:rsidRDefault="00F100A9" w:rsidP="00EA38CB">
      <w:pPr>
        <w:rPr>
          <w:noProof/>
        </w:rPr>
      </w:pPr>
      <w:r w:rsidRPr="002A22B2">
        <w:rPr>
          <w:noProof/>
        </w:rPr>
        <w:t xml:space="preserve">Prezentul regulament intră în vigoare în a treia zi de la data publicării în </w:t>
      </w:r>
      <w:r w:rsidRPr="002A22B2">
        <w:rPr>
          <w:i/>
          <w:iCs/>
          <w:noProof/>
        </w:rPr>
        <w:t>Jurnalul Oficial al Uniunii Europene</w:t>
      </w:r>
      <w:r w:rsidRPr="002A22B2">
        <w:rPr>
          <w:noProof/>
        </w:rPr>
        <w:t>.</w:t>
      </w:r>
    </w:p>
    <w:p w14:paraId="397C171B" w14:textId="34994162" w:rsidR="00F100A9" w:rsidRPr="002A22B2" w:rsidRDefault="00F100A9" w:rsidP="00EA38CB">
      <w:pPr>
        <w:pStyle w:val="Applicationdirecte"/>
        <w:rPr>
          <w:noProof/>
        </w:rPr>
      </w:pPr>
      <w:r w:rsidRPr="002A22B2">
        <w:rPr>
          <w:noProof/>
        </w:rPr>
        <w:t>Prezentul regulament este obligatoriu în toate elementele sale și se aplică direct în statele</w:t>
      </w:r>
      <w:r w:rsidR="0045714A">
        <w:rPr>
          <w:noProof/>
        </w:rPr>
        <w:t> </w:t>
      </w:r>
      <w:r w:rsidRPr="002A22B2">
        <w:rPr>
          <w:noProof/>
        </w:rPr>
        <w:t>membre în conformitate cu tratatele.</w:t>
      </w:r>
    </w:p>
    <w:p w14:paraId="688F44C4" w14:textId="0D8B012D" w:rsidR="00E9039D" w:rsidRPr="002A22B2" w:rsidRDefault="00D0181C" w:rsidP="00CC2BB8">
      <w:pPr>
        <w:pStyle w:val="Fait"/>
        <w:rPr>
          <w:noProof/>
        </w:rPr>
      </w:pPr>
      <w:r w:rsidRPr="00D0181C">
        <w:t>Adoptat la Bruxelles,</w:t>
      </w:r>
    </w:p>
    <w:p w14:paraId="5B4E0ADD" w14:textId="77777777" w:rsidR="00E9039D" w:rsidRPr="002A22B2" w:rsidRDefault="00E9039D" w:rsidP="00CC2BB8">
      <w:pPr>
        <w:pStyle w:val="Institutionquisigne"/>
        <w:rPr>
          <w:noProof/>
        </w:rPr>
      </w:pPr>
      <w:r w:rsidRPr="002A22B2">
        <w:rPr>
          <w:noProof/>
        </w:rPr>
        <w:t>Pentru Parlamentul European,</w:t>
      </w:r>
      <w:r w:rsidRPr="002A22B2">
        <w:rPr>
          <w:noProof/>
        </w:rPr>
        <w:tab/>
        <w:t>Pentru Consiliu,</w:t>
      </w:r>
    </w:p>
    <w:p w14:paraId="2C01DBCC" w14:textId="4F9352BB" w:rsidR="00CE67CF" w:rsidRPr="002A22B2" w:rsidRDefault="00E9039D" w:rsidP="00CE67CF">
      <w:pPr>
        <w:pStyle w:val="Personnequisigne"/>
        <w:rPr>
          <w:noProof/>
        </w:rPr>
      </w:pPr>
      <w:r w:rsidRPr="002A22B2">
        <w:rPr>
          <w:noProof/>
        </w:rPr>
        <w:t>Președint</w:t>
      </w:r>
      <w:r w:rsidR="00BB4D1B">
        <w:rPr>
          <w:noProof/>
        </w:rPr>
        <w:t>a</w:t>
      </w:r>
      <w:r w:rsidRPr="002A22B2">
        <w:rPr>
          <w:noProof/>
        </w:rPr>
        <w:tab/>
        <w:t>Președintele</w:t>
      </w:r>
    </w:p>
    <w:sectPr w:rsidR="00CE67CF" w:rsidRPr="002A22B2" w:rsidSect="00344DE9">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949A76" w16cid:durableId="258ABD3E"/>
  <w16cid:commentId w16cid:paraId="0DBF7D33" w16cid:durableId="258ABD3F"/>
  <w16cid:commentId w16cid:paraId="05B2CAFF" w16cid:durableId="258ABD40"/>
  <w16cid:commentId w16cid:paraId="3FFA5375" w16cid:durableId="258ABD41"/>
  <w16cid:commentId w16cid:paraId="6FC7C5CC" w16cid:durableId="2582ADDC"/>
  <w16cid:commentId w16cid:paraId="71E6A6A1" w16cid:durableId="258ABD43"/>
  <w16cid:commentId w16cid:paraId="3E08A6C0" w16cid:durableId="258ABD44"/>
  <w16cid:commentId w16cid:paraId="01156F2A" w16cid:durableId="258ABD45"/>
  <w16cid:commentId w16cid:paraId="06EB96A4" w16cid:durableId="25868E2E"/>
  <w16cid:commentId w16cid:paraId="69A7DE39" w16cid:durableId="258ABD47"/>
  <w16cid:commentId w16cid:paraId="4B54D404" w16cid:durableId="258ABD48"/>
  <w16cid:commentId w16cid:paraId="485A4B72" w16cid:durableId="258ABD49"/>
  <w16cid:commentId w16cid:paraId="3C835EF3" w16cid:durableId="2586847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C5F47" w14:textId="77777777" w:rsidR="003F0796" w:rsidRDefault="003F0796" w:rsidP="00E9039D">
      <w:pPr>
        <w:spacing w:before="0" w:after="0"/>
      </w:pPr>
      <w:r>
        <w:separator/>
      </w:r>
    </w:p>
  </w:endnote>
  <w:endnote w:type="continuationSeparator" w:id="0">
    <w:p w14:paraId="39F8E280" w14:textId="77777777" w:rsidR="003F0796" w:rsidRDefault="003F0796" w:rsidP="00E9039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EF8AC" w14:textId="345E9913" w:rsidR="0013734C" w:rsidRPr="00344DE9" w:rsidRDefault="00344DE9" w:rsidP="00344DE9">
    <w:pPr>
      <w:pStyle w:val="Footer"/>
      <w:rPr>
        <w:rFonts w:ascii="Arial" w:hAnsi="Arial" w:cs="Arial"/>
        <w:b/>
        <w:sz w:val="48"/>
      </w:rPr>
    </w:pPr>
    <w:r w:rsidRPr="00344DE9">
      <w:rPr>
        <w:rFonts w:ascii="Arial" w:hAnsi="Arial" w:cs="Arial"/>
        <w:b/>
        <w:sz w:val="48"/>
      </w:rPr>
      <w:t>RO</w:t>
    </w:r>
    <w:r w:rsidRPr="00344DE9">
      <w:rPr>
        <w:rFonts w:ascii="Arial" w:hAnsi="Arial" w:cs="Arial"/>
        <w:b/>
        <w:sz w:val="48"/>
      </w:rPr>
      <w:tab/>
    </w:r>
    <w:r w:rsidRPr="00344DE9">
      <w:rPr>
        <w:rFonts w:ascii="Arial" w:hAnsi="Arial" w:cs="Arial"/>
        <w:b/>
        <w:sz w:val="48"/>
      </w:rPr>
      <w:tab/>
    </w:r>
    <w:r w:rsidRPr="00344DE9">
      <w:tab/>
    </w:r>
    <w:r w:rsidRPr="00344DE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ADCFA" w14:textId="2F8D63AE" w:rsidR="00344DE9" w:rsidRPr="00344DE9" w:rsidRDefault="00344DE9" w:rsidP="00344DE9">
    <w:pPr>
      <w:pStyle w:val="Footer"/>
      <w:rPr>
        <w:rFonts w:ascii="Arial" w:hAnsi="Arial" w:cs="Arial"/>
        <w:b/>
        <w:sz w:val="48"/>
      </w:rPr>
    </w:pPr>
    <w:r w:rsidRPr="00344DE9">
      <w:rPr>
        <w:rFonts w:ascii="Arial" w:hAnsi="Arial" w:cs="Arial"/>
        <w:b/>
        <w:sz w:val="48"/>
      </w:rPr>
      <w:t>RO</w:t>
    </w:r>
    <w:r w:rsidRPr="00344DE9">
      <w:rPr>
        <w:rFonts w:ascii="Arial" w:hAnsi="Arial" w:cs="Arial"/>
        <w:b/>
        <w:sz w:val="48"/>
      </w:rPr>
      <w:tab/>
    </w:r>
    <w:r>
      <w:fldChar w:fldCharType="begin"/>
    </w:r>
    <w:r>
      <w:instrText xml:space="preserve"> PAGE  \* MERGEFORMAT </w:instrText>
    </w:r>
    <w:r>
      <w:fldChar w:fldCharType="separate"/>
    </w:r>
    <w:r w:rsidR="00CC2BB8">
      <w:rPr>
        <w:noProof/>
      </w:rPr>
      <w:t>9</w:t>
    </w:r>
    <w:r>
      <w:fldChar w:fldCharType="end"/>
    </w:r>
    <w:r>
      <w:tab/>
    </w:r>
    <w:r w:rsidRPr="00344DE9">
      <w:tab/>
    </w:r>
    <w:r w:rsidRPr="00344DE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A4C5B" w14:textId="77777777" w:rsidR="00344DE9" w:rsidRPr="00344DE9" w:rsidRDefault="00344DE9" w:rsidP="00344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0FB25" w14:textId="77777777" w:rsidR="003F0796" w:rsidRDefault="003F0796" w:rsidP="00E9039D">
      <w:pPr>
        <w:spacing w:before="0" w:after="0"/>
      </w:pPr>
      <w:r>
        <w:separator/>
      </w:r>
    </w:p>
  </w:footnote>
  <w:footnote w:type="continuationSeparator" w:id="0">
    <w:p w14:paraId="522EDE2A" w14:textId="77777777" w:rsidR="003F0796" w:rsidRDefault="003F0796" w:rsidP="00E9039D">
      <w:pPr>
        <w:spacing w:before="0" w:after="0"/>
      </w:pPr>
      <w:r>
        <w:continuationSeparator/>
      </w:r>
    </w:p>
  </w:footnote>
  <w:footnote w:id="1">
    <w:p w14:paraId="0CDED32E" w14:textId="29F4AC3C" w:rsidR="00F538D6" w:rsidRPr="003C5B82" w:rsidRDefault="00F538D6">
      <w:pPr>
        <w:pStyle w:val="FootnoteText"/>
      </w:pPr>
      <w:r>
        <w:rPr>
          <w:rStyle w:val="FootnoteReference"/>
        </w:rPr>
        <w:footnoteRef/>
      </w:r>
      <w:r>
        <w:tab/>
      </w:r>
      <w:hyperlink r:id="rId1" w:history="1">
        <w:r>
          <w:rPr>
            <w:rStyle w:val="Hyperlink"/>
            <w:color w:val="5599FF"/>
            <w:sz w:val="19"/>
            <w:szCs w:val="19"/>
            <w:shd w:val="clear" w:color="auto" w:fill="FFFFFF"/>
          </w:rPr>
          <w:t>JO L 239, 22.9.2000, p. 19</w:t>
        </w:r>
      </w:hyperlink>
      <w:r>
        <w:rPr>
          <w:rStyle w:val="Hyperlink"/>
          <w:color w:val="5599FF"/>
          <w:sz w:val="19"/>
          <w:szCs w:val="19"/>
          <w:shd w:val="clear" w:color="auto" w:fill="FFFFFF"/>
        </w:rPr>
        <w:t>.</w:t>
      </w:r>
    </w:p>
  </w:footnote>
  <w:footnote w:id="2">
    <w:p w14:paraId="5B5855F7" w14:textId="77777777" w:rsidR="00B364D4" w:rsidRPr="00F73EB0" w:rsidRDefault="00B364D4" w:rsidP="00B364D4">
      <w:pPr>
        <w:pStyle w:val="FootnoteText"/>
      </w:pPr>
      <w:r>
        <w:rPr>
          <w:rStyle w:val="FootnoteReference"/>
        </w:rPr>
        <w:footnoteRef/>
      </w:r>
      <w:r>
        <w:tab/>
        <w:t>Regulamentul (UE) 2021/953 al Parlamentului European și al Consiliului din 14 iunie 2021 privind cadrul pentru eliberarea, verificarea și acceptarea certificatelor interoperabile de vaccinare, testare și vindecare de COVID-19 (certificatul digital al UE privind COVID) pentru a facilita libera circulație pe durata pandemiei de COVID-19 (JO L 211, 15.6.2021, p. 1).</w:t>
      </w:r>
    </w:p>
  </w:footnote>
  <w:footnote w:id="3">
    <w:p w14:paraId="66E6BECB" w14:textId="77777777" w:rsidR="00B364D4" w:rsidRPr="00F73EB0" w:rsidRDefault="00B364D4" w:rsidP="00B364D4">
      <w:pPr>
        <w:pStyle w:val="FootnoteText"/>
      </w:pPr>
      <w:r>
        <w:rPr>
          <w:rStyle w:val="FootnoteReference"/>
        </w:rPr>
        <w:footnoteRef/>
      </w:r>
      <w:r>
        <w:tab/>
        <w:t>Regulamentul (UE) 2021/954 al Parlamentului European și al Consiliului din 14 iunie 2021 privind cadrul pentru eliberarea, verificarea și acceptarea certificatelor interoperabile de vaccinare, testare și vindecare de COVID-19 (certificatul digital al UE privind COVID) referitor la resortisanții țărilor terțe aflați în situație de ședere legală sau care au reședință legală pe teritoriul statelor membre, pe durata pandemiei de COVID-19 (JO L 211, 15.6.2021, p. 24).</w:t>
      </w:r>
    </w:p>
  </w:footnote>
  <w:footnote w:id="4">
    <w:p w14:paraId="5122E282" w14:textId="77777777" w:rsidR="00F43587" w:rsidRPr="00693B63" w:rsidRDefault="00F43587" w:rsidP="00F43587">
      <w:pPr>
        <w:pStyle w:val="FootnoteText"/>
      </w:pPr>
      <w:r>
        <w:rPr>
          <w:rStyle w:val="FootnoteReference"/>
        </w:rPr>
        <w:footnoteRef/>
      </w:r>
      <w:r>
        <w:tab/>
        <w:t>Islanda, Liechtenstein și Norvegia.</w:t>
      </w:r>
    </w:p>
  </w:footnote>
  <w:footnote w:id="5">
    <w:p w14:paraId="425876DC" w14:textId="77777777" w:rsidR="00F43587" w:rsidRPr="0018104C" w:rsidRDefault="00F43587" w:rsidP="00F43587">
      <w:pPr>
        <w:pStyle w:val="FootnoteText"/>
      </w:pPr>
      <w:r>
        <w:rPr>
          <w:rStyle w:val="FootnoteReference"/>
        </w:rPr>
        <w:footnoteRef/>
      </w:r>
      <w:r>
        <w:tab/>
        <w:t>Cetățenii Uniunii și resortisanții elvețieni beneficiază de drepturi reciproce de intrare și de ședere în temeiul Acordului dintre Comunitatea Europeană și statele membre ale acesteia, pe de o parte, și Confederația Elvețiană, pe de altă parte, privind libera circulație a persoanelor (JO L 114, 30.4.2002, p. 6).</w:t>
      </w:r>
    </w:p>
  </w:footnote>
  <w:footnote w:id="6">
    <w:p w14:paraId="56D4A366" w14:textId="77777777" w:rsidR="00F43587" w:rsidRPr="00853298" w:rsidRDefault="00F43587" w:rsidP="00F43587">
      <w:pPr>
        <w:pStyle w:val="FootnoteText"/>
      </w:pPr>
      <w:r>
        <w:rPr>
          <w:rStyle w:val="FootnoteReference"/>
        </w:rPr>
        <w:footnoteRef/>
      </w:r>
      <w:r>
        <w:tab/>
      </w:r>
      <w:hyperlink r:id="rId2" w:anchor="recognition-of-covid-certificates-from-third-non-eu-countries" w:history="1">
        <w:r>
          <w:rPr>
            <w:rStyle w:val="Hyperlink"/>
          </w:rPr>
          <w:t>https://ec.europa.eu/info/live-work-travel-eu/coronavirus-response/safe-covid-19-vaccines-europeans/eu-digital-covid-certificate_ro</w:t>
        </w:r>
      </w:hyperlink>
      <w:r>
        <w:t xml:space="preserve">. </w:t>
      </w:r>
    </w:p>
  </w:footnote>
  <w:footnote w:id="7">
    <w:p w14:paraId="368D52DA" w14:textId="517C49B5" w:rsidR="00F43587" w:rsidRPr="009754C7" w:rsidRDefault="00F43587" w:rsidP="00F43587">
      <w:pPr>
        <w:pStyle w:val="FootnoteText"/>
      </w:pPr>
      <w:r>
        <w:rPr>
          <w:rStyle w:val="FootnoteReference"/>
        </w:rPr>
        <w:footnoteRef/>
      </w:r>
      <w:r>
        <w:tab/>
      </w:r>
      <w:hyperlink r:id="rId3" w:history="1">
        <w:r>
          <w:rPr>
            <w:rStyle w:val="Hyperlink"/>
          </w:rPr>
          <w:t>https://wttc.org/News-Article/WTTC-identifies-digital-solutions-for-governments-worldwide-to-significantly-restore-international-mobility</w:t>
        </w:r>
      </w:hyperlink>
      <w:r>
        <w:t xml:space="preserve">. </w:t>
      </w:r>
    </w:p>
  </w:footnote>
  <w:footnote w:id="8">
    <w:p w14:paraId="66B04405" w14:textId="1E9756AC" w:rsidR="00F43587" w:rsidRPr="009754C7" w:rsidRDefault="00F43587" w:rsidP="00F43587">
      <w:pPr>
        <w:pStyle w:val="FootnoteText"/>
      </w:pPr>
      <w:r>
        <w:rPr>
          <w:rStyle w:val="FootnoteReference"/>
        </w:rPr>
        <w:footnoteRef/>
      </w:r>
      <w:r>
        <w:tab/>
      </w:r>
      <w:hyperlink r:id="rId4" w:history="1">
        <w:r>
          <w:rPr>
            <w:rStyle w:val="Hyperlink"/>
          </w:rPr>
          <w:t>https://www.iata.org/en/pressroom/2021-releases/2021-08-26-01/</w:t>
        </w:r>
      </w:hyperlink>
      <w:r>
        <w:t xml:space="preserve">. </w:t>
      </w:r>
    </w:p>
  </w:footnote>
  <w:footnote w:id="9">
    <w:p w14:paraId="132E50F5" w14:textId="77777777" w:rsidR="00F43587" w:rsidRPr="002B274B" w:rsidRDefault="00F43587" w:rsidP="00F43587">
      <w:pPr>
        <w:pStyle w:val="FootnoteText"/>
      </w:pPr>
      <w:r>
        <w:rPr>
          <w:rStyle w:val="FootnoteReference"/>
        </w:rPr>
        <w:footnoteRef/>
      </w:r>
      <w:r>
        <w:tab/>
        <w:t>Prin intermediul unui act de punere în aplicare adoptat în temeiul articolului 8 alineatul (2) din Regulamentul (UE) 2021/953.</w:t>
      </w:r>
    </w:p>
  </w:footnote>
  <w:footnote w:id="10">
    <w:p w14:paraId="11CBF510" w14:textId="1474EFA9" w:rsidR="00264308" w:rsidRDefault="00264308" w:rsidP="00264308">
      <w:pPr>
        <w:pStyle w:val="FootnoteText"/>
      </w:pPr>
      <w:r>
        <w:rPr>
          <w:rStyle w:val="FootnoteReference"/>
        </w:rPr>
        <w:footnoteRef/>
      </w:r>
      <w:r>
        <w:tab/>
        <w:t>Regulamentul (UE) 2016/399 al Parlamentului European și al Consiliului din 9 martie 2016 cu privire la Codul Uniunii privind regimul de trecere a frontierelor de către persoane (JO L 77, 23.3.2016, p. 1).</w:t>
      </w:r>
    </w:p>
  </w:footnote>
  <w:footnote w:id="11">
    <w:p w14:paraId="58852800" w14:textId="5616044A" w:rsidR="00AD2DE7" w:rsidRPr="00617674" w:rsidRDefault="00AD2DE7" w:rsidP="00AD2DE7">
      <w:pPr>
        <w:pStyle w:val="FootnoteText"/>
      </w:pPr>
      <w:r>
        <w:rPr>
          <w:rStyle w:val="FootnoteReference"/>
        </w:rPr>
        <w:footnoteRef/>
      </w:r>
      <w:r>
        <w:tab/>
        <w:t>COM(2021) 754 final.</w:t>
      </w:r>
    </w:p>
  </w:footnote>
  <w:footnote w:id="12">
    <w:p w14:paraId="075C62E4" w14:textId="77777777" w:rsidR="00BB2B3C" w:rsidRPr="00DF1D9C" w:rsidRDefault="00BB2B3C" w:rsidP="00BB2B3C">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13">
    <w:p w14:paraId="7E4A84F7" w14:textId="7356B796" w:rsidR="001F0BA8" w:rsidRDefault="001F0BA8" w:rsidP="001F0BA8">
      <w:pPr>
        <w:pStyle w:val="FootnoteText"/>
      </w:pPr>
      <w:r>
        <w:rPr>
          <w:rStyle w:val="FootnoteReference"/>
        </w:rPr>
        <w:footnoteRef/>
      </w:r>
      <w:r>
        <w:tab/>
        <w:t xml:space="preserve">Regulamentul (UE) 2016/399 al Parlamentului European și al Consiliului din 9 martie 2016 cu privire la Codul Uniunii privind regimul de trecere a frontierelor de către persoane (Codul </w:t>
      </w:r>
      <w:r w:rsidR="00BF245D">
        <w:t>f</w:t>
      </w:r>
      <w:r>
        <w:t>rontierelor Schengen) (JO L 77, 23.3.2016, p. 1).</w:t>
      </w:r>
    </w:p>
  </w:footnote>
  <w:footnote w:id="14">
    <w:p w14:paraId="0BDBE428" w14:textId="27FF289E" w:rsidR="00CB522F" w:rsidRPr="0043730D" w:rsidRDefault="00CB522F" w:rsidP="00CB522F">
      <w:pPr>
        <w:pStyle w:val="FootnoteText"/>
        <w:ind w:left="709" w:hanging="709"/>
      </w:pPr>
      <w:r>
        <w:rPr>
          <w:rStyle w:val="FootnoteReference"/>
        </w:rPr>
        <w:footnoteRef/>
      </w:r>
      <w:r>
        <w:tab/>
        <w:t>Regulamentul (UE) 2021/953 al Parlamentului European și al Consiliului din 14 iunie 2021 privind cadrul pentru eliberarea, verificarea și acceptarea certificatelor interoperabile de vaccinare, testare și vindecare de COVID-19 (certificatul digital al UE privind COVID) pentru a facilita libera circulație pe durata pandemiei de COVID-19 (JO L 211, 15.6.2021, p. 1).</w:t>
      </w:r>
    </w:p>
  </w:footnote>
  <w:footnote w:id="15">
    <w:p w14:paraId="0DCC7FB7" w14:textId="7F5DF5B4" w:rsidR="00373178" w:rsidRDefault="00373178" w:rsidP="00FB09D0">
      <w:pPr>
        <w:pStyle w:val="FootnoteText"/>
        <w:ind w:left="709" w:hanging="709"/>
      </w:pPr>
      <w:r>
        <w:rPr>
          <w:rStyle w:val="FootnoteReference"/>
        </w:rPr>
        <w:footnoteRef/>
      </w:r>
      <w:r>
        <w:tab/>
        <w:t>Regulamentul (UE) 2021/954 al Parlamentului European și al Consiliului din 14 iunie 2021 privind cadrul pentru eliberarea, verificarea și acceptarea certificatelor interoperabile de vaccinare, testare și vindecare de COVID-19 (certificatul digital al UE privind COVID) referitor la resortisanții țărilor terțe aflați în situație de ședere legală sau care au reședință legală pe teritoriul statelor membre, pe durata pandemiei de COVID-19 (JO L 211, 15.6.2021, p. 24).</w:t>
      </w:r>
    </w:p>
  </w:footnote>
  <w:footnote w:id="16">
    <w:p w14:paraId="00BC7FA2" w14:textId="12C99083" w:rsidR="00BB2B3C" w:rsidRPr="00677E74" w:rsidRDefault="00BB2B3C" w:rsidP="00BB2B3C">
      <w:pPr>
        <w:pStyle w:val="FootnoteText"/>
      </w:pPr>
      <w:r>
        <w:rPr>
          <w:rStyle w:val="FootnoteReference"/>
        </w:rPr>
        <w:footnoteRef/>
      </w:r>
      <w:r>
        <w:tab/>
        <w:t>Decizia Consiliului din 28 februarie 2002 privind solicitarea Irlandei de a participa la unele dintre dispozițiile acquis-ului Schengen (JO L 64, 7.3.2002, p. 20).</w:t>
      </w:r>
    </w:p>
  </w:footnote>
  <w:footnote w:id="17">
    <w:p w14:paraId="5A7918AE" w14:textId="77777777" w:rsidR="00BB2B3C" w:rsidRPr="00677E74" w:rsidRDefault="00BB2B3C" w:rsidP="00BB2B3C">
      <w:pPr>
        <w:pStyle w:val="FootnoteText"/>
      </w:pPr>
      <w:r>
        <w:rPr>
          <w:rStyle w:val="FootnoteReference"/>
        </w:rPr>
        <w:footnoteRef/>
      </w:r>
      <w:r>
        <w:tab/>
        <w:t>Decizia Consiliului din 17 mai 1999 privind anumite modalități de aplicare a Acordului încheiat între Consiliul Uniunii Europene și Republica Islanda și Regatul Norvegiei în ceea ce privește asocierea acestor două state în vederea punerii în aplicare, a asigurării respectării și dezvoltării acquis-ului Schengen (JO L 176, 10.7.1999, p. 31).</w:t>
      </w:r>
    </w:p>
  </w:footnote>
  <w:footnote w:id="18">
    <w:p w14:paraId="72B4B934" w14:textId="77777777" w:rsidR="00BB2B3C" w:rsidRPr="00677E74" w:rsidRDefault="00BB2B3C" w:rsidP="00BB2B3C">
      <w:pPr>
        <w:pStyle w:val="FootnoteText"/>
      </w:pPr>
      <w:r>
        <w:rPr>
          <w:rStyle w:val="FootnoteReference"/>
        </w:rPr>
        <w:footnoteRef/>
      </w:r>
      <w:r>
        <w:tab/>
        <w:t>Decizia Consiliului din 28 ianuarie 2008 privind încheierea, în numele Comunității Europene, a Acordului între Uniunea Europeană, Comunitatea Europeană și Confederația Elvețiană cu privire la asocierea Confederației Elvețiene la punerea în aplicare, respectarea și dezvoltarea acquis-ului Schengen (JO L 53, 27.2.2008, p. 1).</w:t>
      </w:r>
    </w:p>
  </w:footnote>
  <w:footnote w:id="19">
    <w:p w14:paraId="1A31FE13" w14:textId="1D9487CD" w:rsidR="00BB2B3C" w:rsidRPr="008631F4" w:rsidRDefault="00BB2B3C" w:rsidP="00BB2B3C">
      <w:pPr>
        <w:pStyle w:val="FootnoteText"/>
      </w:pPr>
      <w:r>
        <w:rPr>
          <w:rStyle w:val="FootnoteReference"/>
        </w:rPr>
        <w:footnoteRef/>
      </w:r>
      <w:r>
        <w:tab/>
        <w:t>Decizia Consiliului din 7 martie 2011 privind încheierea, în numele Uniunii Europene, a Protocolului dintre Uniunea Europeană, Comunitatea Europeană, Confederația Elvețiană și Principatul Liechtenstein privind aderarea Principatului Liechtenstein la Acordul dintre Uniunea Europeană, Comunitatea</w:t>
      </w:r>
      <w:r w:rsidR="0045714A">
        <w:t> </w:t>
      </w:r>
      <w:r>
        <w:t>Europeană și Confederația Elvețiană privind asocierea Confederației Elvețiene la punerea în aplicare, respectarea și dezvoltarea acquis-ului Schengen, în ceea ce privește eliminarea controalelor la frontierele interne și circulația persoanelor (JO L 160, 18.6.2011, p. 19).</w:t>
      </w:r>
    </w:p>
  </w:footnote>
  <w:footnote w:id="20">
    <w:p w14:paraId="0AECCDE3" w14:textId="44799244" w:rsidR="009D40CD" w:rsidRDefault="009D40CD" w:rsidP="009D40CD">
      <w:pPr>
        <w:pStyle w:val="FootnoteText"/>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34687A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204B6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802575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8BE887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4B631A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9E02CF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6BA789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52514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20"/>
  </w:num>
  <w:num w:numId="25">
    <w:abstractNumId w:val="20"/>
  </w:num>
  <w:num w:numId="26">
    <w:abstractNumId w:val="20"/>
  </w:num>
  <w:num w:numId="27">
    <w:abstractNumId w:val="14"/>
  </w:num>
  <w:num w:numId="28">
    <w:abstractNumId w:val="9"/>
  </w:num>
  <w:num w:numId="29">
    <w:abstractNumId w:val="9"/>
  </w:num>
  <w:num w:numId="3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2-17 10:55:3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1C1AA67D-FD83-4635-A1FB-9782556C9457"/>
    <w:docVar w:name="LW_COVERPAGE_TYPE" w:val="1"/>
    <w:docVar w:name="LW_CROSSREFERENCE" w:val="&lt;UNUSED&gt;"/>
    <w:docVar w:name="LW_DocType" w:val="COM"/>
    <w:docVar w:name="LW_EMISSION" w:val="3.2.2022"/>
    <w:docVar w:name="LW_EMISSION_ISODATE" w:val="2022-02-03"/>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30"/>
    <w:docVar w:name="LW_REF.II.NEW.CP_YEAR" w:val="2022"/>
    <w:docVar w:name="LW_REF.INST.NEW" w:val="COM"/>
    <w:docVar w:name="LW_REF.INST.NEW_ADOPTED" w:val="final"/>
    <w:docVar w:name="LW_REF.INST.NEW_TEXT" w:val="(2022) 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1/954 privind cadrul pentru eliberarea, verificarea și acceptarea certificatelor interoperabile de vaccinare, testare și vindecare de COVID-19 (certificatul digital al UE privind COVID) referitor la resortisanții țărilor terțe aflați în situație de ședere legală sau care au reședință legală pe teritoriul statelor membre, pe durata pandemiei de COVID-19"/>
    <w:docVar w:name="LW_TYPE.DOC.CP" w:val="REGULAMENT AL PARLAMENTULUI EUROPEAN ȘI AL CONSILIULUI"/>
    <w:docVar w:name="LwApiVersions" w:val="LW4CoDe 1.23.2.0; LW 8.0, Build 20211117"/>
  </w:docVars>
  <w:rsids>
    <w:rsidRoot w:val="00E9039D"/>
    <w:rsid w:val="000023E7"/>
    <w:rsid w:val="000536D2"/>
    <w:rsid w:val="00092067"/>
    <w:rsid w:val="000A7517"/>
    <w:rsid w:val="000C1911"/>
    <w:rsid w:val="000C50D8"/>
    <w:rsid w:val="000D7CF9"/>
    <w:rsid w:val="000E198E"/>
    <w:rsid w:val="000E3548"/>
    <w:rsid w:val="000E7949"/>
    <w:rsid w:val="0010688B"/>
    <w:rsid w:val="0013132B"/>
    <w:rsid w:val="00134B69"/>
    <w:rsid w:val="0013734C"/>
    <w:rsid w:val="00141E58"/>
    <w:rsid w:val="001503BF"/>
    <w:rsid w:val="00150B9B"/>
    <w:rsid w:val="001619F4"/>
    <w:rsid w:val="00167FC0"/>
    <w:rsid w:val="00171AD4"/>
    <w:rsid w:val="00181532"/>
    <w:rsid w:val="001848E7"/>
    <w:rsid w:val="0019746D"/>
    <w:rsid w:val="001A64A9"/>
    <w:rsid w:val="001A6C35"/>
    <w:rsid w:val="001B13B5"/>
    <w:rsid w:val="001C2816"/>
    <w:rsid w:val="001C5BDE"/>
    <w:rsid w:val="001D166A"/>
    <w:rsid w:val="001E2B93"/>
    <w:rsid w:val="001F0BA8"/>
    <w:rsid w:val="001F538F"/>
    <w:rsid w:val="00203DEA"/>
    <w:rsid w:val="0021080A"/>
    <w:rsid w:val="002248B9"/>
    <w:rsid w:val="002268B9"/>
    <w:rsid w:val="00232E98"/>
    <w:rsid w:val="00240B77"/>
    <w:rsid w:val="00240C43"/>
    <w:rsid w:val="00250757"/>
    <w:rsid w:val="0025597C"/>
    <w:rsid w:val="00264308"/>
    <w:rsid w:val="002A22B2"/>
    <w:rsid w:val="002D076D"/>
    <w:rsid w:val="002D506D"/>
    <w:rsid w:val="002E6AF5"/>
    <w:rsid w:val="0032471D"/>
    <w:rsid w:val="00343AB6"/>
    <w:rsid w:val="00344249"/>
    <w:rsid w:val="00344DE9"/>
    <w:rsid w:val="00356A12"/>
    <w:rsid w:val="00360C8A"/>
    <w:rsid w:val="003631FF"/>
    <w:rsid w:val="00373178"/>
    <w:rsid w:val="003803D2"/>
    <w:rsid w:val="003836FE"/>
    <w:rsid w:val="00390C0D"/>
    <w:rsid w:val="003A0B31"/>
    <w:rsid w:val="003B0C7B"/>
    <w:rsid w:val="003B430A"/>
    <w:rsid w:val="003C5B82"/>
    <w:rsid w:val="003C5F8F"/>
    <w:rsid w:val="003D4717"/>
    <w:rsid w:val="003E2911"/>
    <w:rsid w:val="003E542D"/>
    <w:rsid w:val="003E570E"/>
    <w:rsid w:val="003F0796"/>
    <w:rsid w:val="003F18F9"/>
    <w:rsid w:val="00422E16"/>
    <w:rsid w:val="004430DB"/>
    <w:rsid w:val="00443D84"/>
    <w:rsid w:val="0044791F"/>
    <w:rsid w:val="00451131"/>
    <w:rsid w:val="0045714A"/>
    <w:rsid w:val="00474D52"/>
    <w:rsid w:val="00482E39"/>
    <w:rsid w:val="0049567B"/>
    <w:rsid w:val="004B632C"/>
    <w:rsid w:val="004B6AA4"/>
    <w:rsid w:val="004C6F6A"/>
    <w:rsid w:val="004D39EF"/>
    <w:rsid w:val="004D6626"/>
    <w:rsid w:val="004D77D9"/>
    <w:rsid w:val="004F05EB"/>
    <w:rsid w:val="00511D66"/>
    <w:rsid w:val="00526C15"/>
    <w:rsid w:val="005315BF"/>
    <w:rsid w:val="00566218"/>
    <w:rsid w:val="0057161E"/>
    <w:rsid w:val="00576027"/>
    <w:rsid w:val="00595E94"/>
    <w:rsid w:val="005A1CB2"/>
    <w:rsid w:val="005C5437"/>
    <w:rsid w:val="005D77BE"/>
    <w:rsid w:val="00612AF4"/>
    <w:rsid w:val="00614C78"/>
    <w:rsid w:val="00614E5A"/>
    <w:rsid w:val="006207F4"/>
    <w:rsid w:val="0064150A"/>
    <w:rsid w:val="00645F9F"/>
    <w:rsid w:val="006527FE"/>
    <w:rsid w:val="00654451"/>
    <w:rsid w:val="00664031"/>
    <w:rsid w:val="00664FCF"/>
    <w:rsid w:val="00666477"/>
    <w:rsid w:val="006708EE"/>
    <w:rsid w:val="00695B5A"/>
    <w:rsid w:val="006A7BB8"/>
    <w:rsid w:val="006E7D72"/>
    <w:rsid w:val="006F41A9"/>
    <w:rsid w:val="0070128F"/>
    <w:rsid w:val="00707FA5"/>
    <w:rsid w:val="00710982"/>
    <w:rsid w:val="00730359"/>
    <w:rsid w:val="00736602"/>
    <w:rsid w:val="00751864"/>
    <w:rsid w:val="00751E0A"/>
    <w:rsid w:val="00766EF7"/>
    <w:rsid w:val="0076767D"/>
    <w:rsid w:val="00791E7F"/>
    <w:rsid w:val="00792B7B"/>
    <w:rsid w:val="00794C1F"/>
    <w:rsid w:val="007C06F6"/>
    <w:rsid w:val="007D06B5"/>
    <w:rsid w:val="007D0D0A"/>
    <w:rsid w:val="007D278F"/>
    <w:rsid w:val="007D4020"/>
    <w:rsid w:val="007E3351"/>
    <w:rsid w:val="007F0981"/>
    <w:rsid w:val="008020FD"/>
    <w:rsid w:val="00804358"/>
    <w:rsid w:val="00814FD2"/>
    <w:rsid w:val="00817EC4"/>
    <w:rsid w:val="008360CD"/>
    <w:rsid w:val="00837DC6"/>
    <w:rsid w:val="00852C14"/>
    <w:rsid w:val="008573ED"/>
    <w:rsid w:val="0087258E"/>
    <w:rsid w:val="008801B8"/>
    <w:rsid w:val="00893417"/>
    <w:rsid w:val="008E01F8"/>
    <w:rsid w:val="009108C1"/>
    <w:rsid w:val="0094713E"/>
    <w:rsid w:val="00952D11"/>
    <w:rsid w:val="009618F1"/>
    <w:rsid w:val="00967E11"/>
    <w:rsid w:val="00980090"/>
    <w:rsid w:val="00986B33"/>
    <w:rsid w:val="00987AD5"/>
    <w:rsid w:val="00996BD1"/>
    <w:rsid w:val="009A6361"/>
    <w:rsid w:val="009B4A72"/>
    <w:rsid w:val="009B7138"/>
    <w:rsid w:val="009D40CD"/>
    <w:rsid w:val="009D7604"/>
    <w:rsid w:val="009E454B"/>
    <w:rsid w:val="009E5F3F"/>
    <w:rsid w:val="009E6D5A"/>
    <w:rsid w:val="009F36BD"/>
    <w:rsid w:val="00A015CE"/>
    <w:rsid w:val="00A23AF3"/>
    <w:rsid w:val="00A305EB"/>
    <w:rsid w:val="00A407C3"/>
    <w:rsid w:val="00A56C54"/>
    <w:rsid w:val="00A66C22"/>
    <w:rsid w:val="00A8181A"/>
    <w:rsid w:val="00A92991"/>
    <w:rsid w:val="00AA66C9"/>
    <w:rsid w:val="00AB10BE"/>
    <w:rsid w:val="00AD2DE7"/>
    <w:rsid w:val="00AD309A"/>
    <w:rsid w:val="00AE5EE3"/>
    <w:rsid w:val="00B027BD"/>
    <w:rsid w:val="00B1436E"/>
    <w:rsid w:val="00B20309"/>
    <w:rsid w:val="00B3149B"/>
    <w:rsid w:val="00B316A1"/>
    <w:rsid w:val="00B32E34"/>
    <w:rsid w:val="00B34C8E"/>
    <w:rsid w:val="00B364D4"/>
    <w:rsid w:val="00B43725"/>
    <w:rsid w:val="00B45332"/>
    <w:rsid w:val="00B61645"/>
    <w:rsid w:val="00B64878"/>
    <w:rsid w:val="00B726A4"/>
    <w:rsid w:val="00B80CCA"/>
    <w:rsid w:val="00B85070"/>
    <w:rsid w:val="00B85352"/>
    <w:rsid w:val="00B93179"/>
    <w:rsid w:val="00BB2B3C"/>
    <w:rsid w:val="00BB4D1B"/>
    <w:rsid w:val="00BC697F"/>
    <w:rsid w:val="00BD3352"/>
    <w:rsid w:val="00BE246D"/>
    <w:rsid w:val="00BE4B62"/>
    <w:rsid w:val="00BF17AA"/>
    <w:rsid w:val="00BF245D"/>
    <w:rsid w:val="00C229F3"/>
    <w:rsid w:val="00C24556"/>
    <w:rsid w:val="00C25C10"/>
    <w:rsid w:val="00C26A7A"/>
    <w:rsid w:val="00C27976"/>
    <w:rsid w:val="00C42415"/>
    <w:rsid w:val="00C650A3"/>
    <w:rsid w:val="00C87A32"/>
    <w:rsid w:val="00C921D1"/>
    <w:rsid w:val="00C93DD6"/>
    <w:rsid w:val="00C96BA9"/>
    <w:rsid w:val="00CA7928"/>
    <w:rsid w:val="00CA7FE8"/>
    <w:rsid w:val="00CB522F"/>
    <w:rsid w:val="00CB5BAB"/>
    <w:rsid w:val="00CC2BB8"/>
    <w:rsid w:val="00CE1854"/>
    <w:rsid w:val="00CE67CF"/>
    <w:rsid w:val="00CF60F7"/>
    <w:rsid w:val="00D0181C"/>
    <w:rsid w:val="00D04965"/>
    <w:rsid w:val="00D05590"/>
    <w:rsid w:val="00D10F33"/>
    <w:rsid w:val="00D147E7"/>
    <w:rsid w:val="00D44CF9"/>
    <w:rsid w:val="00D458AE"/>
    <w:rsid w:val="00D516E4"/>
    <w:rsid w:val="00D56668"/>
    <w:rsid w:val="00D81CFE"/>
    <w:rsid w:val="00D84E57"/>
    <w:rsid w:val="00D866CF"/>
    <w:rsid w:val="00D87CF7"/>
    <w:rsid w:val="00D94624"/>
    <w:rsid w:val="00DA6687"/>
    <w:rsid w:val="00DA6FC7"/>
    <w:rsid w:val="00DB5A02"/>
    <w:rsid w:val="00DD456F"/>
    <w:rsid w:val="00DD5B38"/>
    <w:rsid w:val="00DE208A"/>
    <w:rsid w:val="00DE2C70"/>
    <w:rsid w:val="00DE70E3"/>
    <w:rsid w:val="00E2015B"/>
    <w:rsid w:val="00E507D5"/>
    <w:rsid w:val="00E644A7"/>
    <w:rsid w:val="00E736D2"/>
    <w:rsid w:val="00E7413A"/>
    <w:rsid w:val="00E9039D"/>
    <w:rsid w:val="00E90E37"/>
    <w:rsid w:val="00EA38CB"/>
    <w:rsid w:val="00EA6CE5"/>
    <w:rsid w:val="00EB625B"/>
    <w:rsid w:val="00EC6DD8"/>
    <w:rsid w:val="00ED7B81"/>
    <w:rsid w:val="00EF2AEA"/>
    <w:rsid w:val="00EF72B5"/>
    <w:rsid w:val="00F02054"/>
    <w:rsid w:val="00F100A9"/>
    <w:rsid w:val="00F20062"/>
    <w:rsid w:val="00F2339F"/>
    <w:rsid w:val="00F3507F"/>
    <w:rsid w:val="00F404B3"/>
    <w:rsid w:val="00F43587"/>
    <w:rsid w:val="00F504C7"/>
    <w:rsid w:val="00F51156"/>
    <w:rsid w:val="00F5384D"/>
    <w:rsid w:val="00F538D6"/>
    <w:rsid w:val="00F61A8C"/>
    <w:rsid w:val="00F6259D"/>
    <w:rsid w:val="00F73C1F"/>
    <w:rsid w:val="00F90661"/>
    <w:rsid w:val="00F96221"/>
    <w:rsid w:val="00FA77A5"/>
    <w:rsid w:val="00FB09D0"/>
    <w:rsid w:val="00FB4BDA"/>
    <w:rsid w:val="00FB6345"/>
    <w:rsid w:val="00FB7FD9"/>
    <w:rsid w:val="00FC1555"/>
    <w:rsid w:val="00FC4BC6"/>
    <w:rsid w:val="00FD0439"/>
    <w:rsid w:val="00FD5F5B"/>
    <w:rsid w:val="00FD68BB"/>
    <w:rsid w:val="00FE2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B0E0747"/>
  <w15:docId w15:val="{245F6EB1-545C-412E-B261-92EE928CE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9B7138"/>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rsid w:val="00FA77A5"/>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rsid w:val="00FA77A5"/>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rsid w:val="00FA77A5"/>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22E1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22E16"/>
    <w:pPr>
      <w:spacing w:after="0"/>
    </w:pPr>
  </w:style>
  <w:style w:type="paragraph" w:styleId="ListBullet">
    <w:name w:val="List Bullet"/>
    <w:basedOn w:val="Normal"/>
    <w:uiPriority w:val="99"/>
    <w:semiHidden/>
    <w:unhideWhenUsed/>
    <w:rsid w:val="00422E16"/>
    <w:pPr>
      <w:numPr>
        <w:numId w:val="1"/>
      </w:numPr>
      <w:contextualSpacing/>
    </w:pPr>
  </w:style>
  <w:style w:type="paragraph" w:styleId="ListBullet2">
    <w:name w:val="List Bullet 2"/>
    <w:basedOn w:val="Normal"/>
    <w:uiPriority w:val="99"/>
    <w:semiHidden/>
    <w:unhideWhenUsed/>
    <w:rsid w:val="00422E16"/>
    <w:pPr>
      <w:numPr>
        <w:numId w:val="2"/>
      </w:numPr>
      <w:contextualSpacing/>
    </w:pPr>
  </w:style>
  <w:style w:type="paragraph" w:styleId="ListBullet3">
    <w:name w:val="List Bullet 3"/>
    <w:basedOn w:val="Normal"/>
    <w:uiPriority w:val="99"/>
    <w:semiHidden/>
    <w:unhideWhenUsed/>
    <w:rsid w:val="00422E16"/>
    <w:pPr>
      <w:numPr>
        <w:numId w:val="3"/>
      </w:numPr>
      <w:contextualSpacing/>
    </w:pPr>
  </w:style>
  <w:style w:type="paragraph" w:styleId="ListBullet4">
    <w:name w:val="List Bullet 4"/>
    <w:basedOn w:val="Normal"/>
    <w:uiPriority w:val="99"/>
    <w:semiHidden/>
    <w:unhideWhenUsed/>
    <w:rsid w:val="00422E16"/>
    <w:pPr>
      <w:numPr>
        <w:numId w:val="4"/>
      </w:numPr>
      <w:contextualSpacing/>
    </w:pPr>
  </w:style>
  <w:style w:type="paragraph" w:styleId="ListNumber">
    <w:name w:val="List Number"/>
    <w:basedOn w:val="Normal"/>
    <w:uiPriority w:val="99"/>
    <w:semiHidden/>
    <w:unhideWhenUsed/>
    <w:rsid w:val="00422E16"/>
    <w:pPr>
      <w:numPr>
        <w:numId w:val="5"/>
      </w:numPr>
      <w:contextualSpacing/>
    </w:pPr>
  </w:style>
  <w:style w:type="paragraph" w:styleId="ListNumber2">
    <w:name w:val="List Number 2"/>
    <w:basedOn w:val="Normal"/>
    <w:uiPriority w:val="99"/>
    <w:semiHidden/>
    <w:unhideWhenUsed/>
    <w:rsid w:val="00422E16"/>
    <w:pPr>
      <w:numPr>
        <w:numId w:val="6"/>
      </w:numPr>
      <w:contextualSpacing/>
    </w:pPr>
  </w:style>
  <w:style w:type="paragraph" w:styleId="ListNumber3">
    <w:name w:val="List Number 3"/>
    <w:basedOn w:val="Normal"/>
    <w:uiPriority w:val="99"/>
    <w:semiHidden/>
    <w:unhideWhenUsed/>
    <w:rsid w:val="00422E16"/>
    <w:pPr>
      <w:numPr>
        <w:numId w:val="7"/>
      </w:numPr>
      <w:contextualSpacing/>
    </w:pPr>
  </w:style>
  <w:style w:type="paragraph" w:styleId="ListNumber4">
    <w:name w:val="List Number 4"/>
    <w:basedOn w:val="Normal"/>
    <w:uiPriority w:val="99"/>
    <w:semiHidden/>
    <w:unhideWhenUsed/>
    <w:rsid w:val="00422E16"/>
    <w:pPr>
      <w:numPr>
        <w:numId w:val="8"/>
      </w:numPr>
      <w:contextualSpacing/>
    </w:pPr>
  </w:style>
  <w:style w:type="character" w:customStyle="1" w:styleId="titxdkkzwvy9yqo8olape">
    <w:name w:val="titxdkkzwvy9yqo8olape"/>
    <w:basedOn w:val="DefaultParagraphFont"/>
    <w:rsid w:val="002268B9"/>
  </w:style>
  <w:style w:type="character" w:styleId="Hyperlink">
    <w:name w:val="Hyperlink"/>
    <w:basedOn w:val="DefaultParagraphFont"/>
    <w:uiPriority w:val="99"/>
    <w:unhideWhenUsed/>
    <w:qFormat/>
    <w:rsid w:val="002268B9"/>
    <w:rPr>
      <w:color w:val="0000FF" w:themeColor="hyperlink"/>
      <w:u w:val="single"/>
    </w:rPr>
  </w:style>
  <w:style w:type="character" w:customStyle="1" w:styleId="highlight">
    <w:name w:val="highlight"/>
    <w:basedOn w:val="DefaultParagraphFont"/>
    <w:rsid w:val="002268B9"/>
  </w:style>
  <w:style w:type="character" w:customStyle="1" w:styleId="acopre">
    <w:name w:val="acopre"/>
    <w:basedOn w:val="DefaultParagraphFont"/>
    <w:rsid w:val="00BB2B3C"/>
  </w:style>
  <w:style w:type="character" w:styleId="Emphasis">
    <w:name w:val="Emphasis"/>
    <w:basedOn w:val="DefaultParagraphFont"/>
    <w:uiPriority w:val="20"/>
    <w:qFormat/>
    <w:rsid w:val="00BB2B3C"/>
    <w:rPr>
      <w:i/>
      <w:iCs/>
    </w:rPr>
  </w:style>
  <w:style w:type="paragraph" w:styleId="BalloonText">
    <w:name w:val="Balloon Text"/>
    <w:basedOn w:val="Normal"/>
    <w:link w:val="BalloonTextChar"/>
    <w:uiPriority w:val="99"/>
    <w:semiHidden/>
    <w:unhideWhenUsed/>
    <w:rsid w:val="001A64A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4A9"/>
    <w:rPr>
      <w:rFonts w:ascii="Segoe UI" w:hAnsi="Segoe UI" w:cs="Segoe UI"/>
      <w:sz w:val="18"/>
      <w:szCs w:val="18"/>
      <w:lang w:val="ro-RO"/>
    </w:rPr>
  </w:style>
  <w:style w:type="character" w:styleId="CommentReference">
    <w:name w:val="annotation reference"/>
    <w:basedOn w:val="DefaultParagraphFont"/>
    <w:uiPriority w:val="99"/>
    <w:semiHidden/>
    <w:unhideWhenUsed/>
    <w:rsid w:val="00F51156"/>
    <w:rPr>
      <w:sz w:val="16"/>
      <w:szCs w:val="16"/>
    </w:rPr>
  </w:style>
  <w:style w:type="paragraph" w:styleId="CommentText">
    <w:name w:val="annotation text"/>
    <w:basedOn w:val="Normal"/>
    <w:link w:val="CommentTextChar"/>
    <w:uiPriority w:val="99"/>
    <w:semiHidden/>
    <w:unhideWhenUsed/>
    <w:rsid w:val="00F51156"/>
    <w:rPr>
      <w:sz w:val="20"/>
      <w:szCs w:val="20"/>
    </w:rPr>
  </w:style>
  <w:style w:type="character" w:customStyle="1" w:styleId="CommentTextChar">
    <w:name w:val="Comment Text Char"/>
    <w:basedOn w:val="DefaultParagraphFont"/>
    <w:link w:val="CommentText"/>
    <w:uiPriority w:val="99"/>
    <w:semiHidden/>
    <w:rsid w:val="00F5115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51156"/>
    <w:rPr>
      <w:b/>
      <w:bCs/>
    </w:rPr>
  </w:style>
  <w:style w:type="character" w:customStyle="1" w:styleId="CommentSubjectChar">
    <w:name w:val="Comment Subject Char"/>
    <w:basedOn w:val="CommentTextChar"/>
    <w:link w:val="CommentSubject"/>
    <w:uiPriority w:val="99"/>
    <w:semiHidden/>
    <w:rsid w:val="00F51156"/>
    <w:rPr>
      <w:rFonts w:ascii="Times New Roman" w:hAnsi="Times New Roman" w:cs="Times New Roman"/>
      <w:b/>
      <w:bCs/>
      <w:sz w:val="20"/>
      <w:szCs w:val="20"/>
      <w:lang w:val="ro-RO"/>
    </w:rPr>
  </w:style>
  <w:style w:type="paragraph" w:styleId="Revision">
    <w:name w:val="Revision"/>
    <w:hidden/>
    <w:uiPriority w:val="99"/>
    <w:semiHidden/>
    <w:rsid w:val="004D39EF"/>
    <w:pPr>
      <w:spacing w:after="0" w:line="240" w:lineRule="auto"/>
    </w:pPr>
    <w:rPr>
      <w:rFonts w:ascii="Times New Roman" w:hAnsi="Times New Roman" w:cs="Times New Roman"/>
      <w:sz w:val="24"/>
    </w:rPr>
  </w:style>
  <w:style w:type="paragraph" w:customStyle="1" w:styleId="oj-normal">
    <w:name w:val="oj-normal"/>
    <w:basedOn w:val="Normal"/>
    <w:rsid w:val="00F100A9"/>
    <w:pPr>
      <w:spacing w:before="100" w:beforeAutospacing="1" w:after="100" w:afterAutospacing="1"/>
      <w:jc w:val="left"/>
    </w:pPr>
    <w:rPr>
      <w:rFonts w:eastAsia="Times New Roman"/>
      <w:szCs w:val="24"/>
      <w:lang w:eastAsia="en-IE"/>
    </w:rPr>
  </w:style>
  <w:style w:type="paragraph" w:customStyle="1" w:styleId="oj-ti-art">
    <w:name w:val="oj-ti-art"/>
    <w:basedOn w:val="Normal"/>
    <w:rsid w:val="00F100A9"/>
    <w:pPr>
      <w:spacing w:before="100" w:beforeAutospacing="1" w:after="100" w:afterAutospacing="1"/>
      <w:jc w:val="left"/>
    </w:pPr>
    <w:rPr>
      <w:rFonts w:eastAsia="Times New Roman"/>
      <w:szCs w:val="24"/>
      <w:lang w:eastAsia="en-IE"/>
    </w:rPr>
  </w:style>
  <w:style w:type="character" w:customStyle="1" w:styleId="oj-italic">
    <w:name w:val="oj-italic"/>
    <w:basedOn w:val="DefaultParagraphFont"/>
    <w:rsid w:val="00F100A9"/>
  </w:style>
  <w:style w:type="paragraph" w:styleId="Header">
    <w:name w:val="header"/>
    <w:basedOn w:val="Normal"/>
    <w:link w:val="HeaderChar"/>
    <w:uiPriority w:val="99"/>
    <w:unhideWhenUsed/>
    <w:rsid w:val="00344DE9"/>
    <w:pPr>
      <w:tabs>
        <w:tab w:val="center" w:pos="4535"/>
        <w:tab w:val="right" w:pos="9071"/>
      </w:tabs>
      <w:spacing w:before="0"/>
    </w:pPr>
  </w:style>
  <w:style w:type="character" w:customStyle="1" w:styleId="HeaderChar">
    <w:name w:val="Header Char"/>
    <w:basedOn w:val="DefaultParagraphFont"/>
    <w:link w:val="Header"/>
    <w:uiPriority w:val="99"/>
    <w:rsid w:val="00344DE9"/>
    <w:rPr>
      <w:rFonts w:ascii="Times New Roman" w:hAnsi="Times New Roman" w:cs="Times New Roman"/>
      <w:sz w:val="24"/>
      <w:lang w:val="ro-RO"/>
    </w:rPr>
  </w:style>
  <w:style w:type="paragraph" w:styleId="Footer">
    <w:name w:val="footer"/>
    <w:basedOn w:val="Normal"/>
    <w:link w:val="FooterChar"/>
    <w:uiPriority w:val="99"/>
    <w:unhideWhenUsed/>
    <w:rsid w:val="00344DE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44DE9"/>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344DE9"/>
    <w:pPr>
      <w:tabs>
        <w:tab w:val="center" w:pos="7285"/>
        <w:tab w:val="right" w:pos="14003"/>
      </w:tabs>
      <w:spacing w:before="0"/>
    </w:pPr>
  </w:style>
  <w:style w:type="paragraph" w:customStyle="1" w:styleId="FooterLandscape">
    <w:name w:val="FooterLandscape"/>
    <w:basedOn w:val="Normal"/>
    <w:rsid w:val="00344DE9"/>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344DE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44DE9"/>
    <w:pPr>
      <w:spacing w:before="0"/>
      <w:jc w:val="right"/>
    </w:pPr>
    <w:rPr>
      <w:sz w:val="28"/>
    </w:rPr>
  </w:style>
  <w:style w:type="paragraph" w:customStyle="1" w:styleId="FooterSensitivity">
    <w:name w:val="Footer Sensitivity"/>
    <w:basedOn w:val="Normal"/>
    <w:rsid w:val="00344DE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0"/>
      </w:numPr>
    </w:pPr>
  </w:style>
  <w:style w:type="paragraph" w:customStyle="1" w:styleId="Tiret1">
    <w:name w:val="Tiret 1"/>
    <w:basedOn w:val="Point1"/>
    <w:rsid w:val="009B7138"/>
    <w:pPr>
      <w:numPr>
        <w:numId w:val="11"/>
      </w:numPr>
    </w:pPr>
  </w:style>
  <w:style w:type="paragraph" w:customStyle="1" w:styleId="Tiret2">
    <w:name w:val="Tiret 2"/>
    <w:basedOn w:val="Point2"/>
    <w:rsid w:val="009B7138"/>
    <w:pPr>
      <w:numPr>
        <w:numId w:val="12"/>
      </w:numPr>
    </w:pPr>
  </w:style>
  <w:style w:type="paragraph" w:customStyle="1" w:styleId="Tiret3">
    <w:name w:val="Tiret 3"/>
    <w:basedOn w:val="Point3"/>
    <w:rsid w:val="009B7138"/>
    <w:pPr>
      <w:numPr>
        <w:numId w:val="13"/>
      </w:numPr>
    </w:pPr>
  </w:style>
  <w:style w:type="paragraph" w:customStyle="1" w:styleId="Tiret4">
    <w:name w:val="Tiret 4"/>
    <w:basedOn w:val="Point4"/>
    <w:rsid w:val="009B7138"/>
    <w:pPr>
      <w:numPr>
        <w:numId w:val="14"/>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0"/>
      </w:numPr>
    </w:pPr>
  </w:style>
  <w:style w:type="paragraph" w:customStyle="1" w:styleId="NumPar2">
    <w:name w:val="NumPar 2"/>
    <w:basedOn w:val="Normal"/>
    <w:next w:val="Text1"/>
    <w:rsid w:val="009B7138"/>
    <w:pPr>
      <w:numPr>
        <w:ilvl w:val="1"/>
        <w:numId w:val="30"/>
      </w:numPr>
    </w:pPr>
  </w:style>
  <w:style w:type="paragraph" w:customStyle="1" w:styleId="NumPar3">
    <w:name w:val="NumPar 3"/>
    <w:basedOn w:val="Normal"/>
    <w:next w:val="Text1"/>
    <w:rsid w:val="009B7138"/>
    <w:pPr>
      <w:numPr>
        <w:ilvl w:val="2"/>
        <w:numId w:val="30"/>
      </w:numPr>
    </w:pPr>
  </w:style>
  <w:style w:type="paragraph" w:customStyle="1" w:styleId="NumPar4">
    <w:name w:val="NumPar 4"/>
    <w:basedOn w:val="Normal"/>
    <w:next w:val="Text1"/>
    <w:rsid w:val="009B7138"/>
    <w:pPr>
      <w:numPr>
        <w:ilvl w:val="3"/>
        <w:numId w:val="30"/>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17"/>
      </w:numPr>
    </w:pPr>
  </w:style>
  <w:style w:type="paragraph" w:customStyle="1" w:styleId="Point1number">
    <w:name w:val="Point 1 (number)"/>
    <w:basedOn w:val="Normal"/>
    <w:rsid w:val="009B7138"/>
    <w:pPr>
      <w:numPr>
        <w:ilvl w:val="2"/>
        <w:numId w:val="17"/>
      </w:numPr>
    </w:pPr>
  </w:style>
  <w:style w:type="paragraph" w:customStyle="1" w:styleId="Point2number">
    <w:name w:val="Point 2 (number)"/>
    <w:basedOn w:val="Normal"/>
    <w:rsid w:val="009B7138"/>
    <w:pPr>
      <w:numPr>
        <w:ilvl w:val="4"/>
        <w:numId w:val="17"/>
      </w:numPr>
    </w:pPr>
  </w:style>
  <w:style w:type="paragraph" w:customStyle="1" w:styleId="Point3number">
    <w:name w:val="Point 3 (number)"/>
    <w:basedOn w:val="Normal"/>
    <w:rsid w:val="009B7138"/>
    <w:pPr>
      <w:numPr>
        <w:ilvl w:val="6"/>
        <w:numId w:val="17"/>
      </w:numPr>
    </w:pPr>
  </w:style>
  <w:style w:type="paragraph" w:customStyle="1" w:styleId="Point0letter">
    <w:name w:val="Point 0 (letter)"/>
    <w:basedOn w:val="Normal"/>
    <w:rsid w:val="009B7138"/>
    <w:pPr>
      <w:numPr>
        <w:ilvl w:val="1"/>
        <w:numId w:val="17"/>
      </w:numPr>
    </w:pPr>
  </w:style>
  <w:style w:type="paragraph" w:customStyle="1" w:styleId="Point1letter">
    <w:name w:val="Point 1 (letter)"/>
    <w:basedOn w:val="Normal"/>
    <w:rsid w:val="009B7138"/>
    <w:pPr>
      <w:numPr>
        <w:ilvl w:val="3"/>
        <w:numId w:val="17"/>
      </w:numPr>
    </w:pPr>
  </w:style>
  <w:style w:type="paragraph" w:customStyle="1" w:styleId="Point2letter">
    <w:name w:val="Point 2 (letter)"/>
    <w:basedOn w:val="Normal"/>
    <w:rsid w:val="009B7138"/>
    <w:pPr>
      <w:numPr>
        <w:ilvl w:val="5"/>
        <w:numId w:val="17"/>
      </w:numPr>
    </w:pPr>
  </w:style>
  <w:style w:type="paragraph" w:customStyle="1" w:styleId="Point3letter">
    <w:name w:val="Point 3 (letter)"/>
    <w:basedOn w:val="Normal"/>
    <w:rsid w:val="009B7138"/>
    <w:pPr>
      <w:numPr>
        <w:ilvl w:val="7"/>
        <w:numId w:val="17"/>
      </w:numPr>
    </w:pPr>
  </w:style>
  <w:style w:type="paragraph" w:customStyle="1" w:styleId="Point4letter">
    <w:name w:val="Point 4 (letter)"/>
    <w:basedOn w:val="Normal"/>
    <w:rsid w:val="009B7138"/>
    <w:pPr>
      <w:numPr>
        <w:ilvl w:val="8"/>
        <w:numId w:val="17"/>
      </w:numPr>
    </w:pPr>
  </w:style>
  <w:style w:type="paragraph" w:customStyle="1" w:styleId="Bullet0">
    <w:name w:val="Bullet 0"/>
    <w:basedOn w:val="Normal"/>
    <w:rsid w:val="009B7138"/>
    <w:pPr>
      <w:numPr>
        <w:numId w:val="18"/>
      </w:numPr>
    </w:pPr>
  </w:style>
  <w:style w:type="paragraph" w:customStyle="1" w:styleId="Bullet1">
    <w:name w:val="Bullet 1"/>
    <w:basedOn w:val="Normal"/>
    <w:rsid w:val="009B7138"/>
    <w:pPr>
      <w:numPr>
        <w:numId w:val="19"/>
      </w:numPr>
    </w:pPr>
  </w:style>
  <w:style w:type="paragraph" w:customStyle="1" w:styleId="Bullet2">
    <w:name w:val="Bullet 2"/>
    <w:basedOn w:val="Normal"/>
    <w:rsid w:val="009B7138"/>
    <w:pPr>
      <w:numPr>
        <w:numId w:val="20"/>
      </w:numPr>
    </w:pPr>
  </w:style>
  <w:style w:type="paragraph" w:customStyle="1" w:styleId="Bullet3">
    <w:name w:val="Bullet 3"/>
    <w:basedOn w:val="Normal"/>
    <w:rsid w:val="009B7138"/>
    <w:pPr>
      <w:numPr>
        <w:numId w:val="21"/>
      </w:numPr>
    </w:pPr>
  </w:style>
  <w:style w:type="paragraph" w:customStyle="1" w:styleId="Bullet4">
    <w:name w:val="Bullet 4"/>
    <w:basedOn w:val="Normal"/>
    <w:rsid w:val="009B7138"/>
    <w:pPr>
      <w:numPr>
        <w:numId w:val="22"/>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23"/>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FA77A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FA77A5"/>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sid w:val="00FA77A5"/>
    <w:rPr>
      <w:rFonts w:ascii="Times New Roman" w:eastAsiaTheme="majorEastAsia" w:hAnsi="Times New Roman" w:cs="Times New Roman"/>
      <w:iCs/>
      <w:sz w:val="24"/>
      <w:lang w:val="ro-RO"/>
    </w:rPr>
  </w:style>
  <w:style w:type="paragraph" w:customStyle="1" w:styleId="ManualHeading5">
    <w:name w:val="Manual Heading 5"/>
    <w:basedOn w:val="Normal"/>
    <w:next w:val="Text2"/>
    <w:rsid w:val="00FA77A5"/>
    <w:pPr>
      <w:keepNext/>
      <w:tabs>
        <w:tab w:val="left" w:pos="1417"/>
      </w:tabs>
      <w:ind w:left="1417" w:hanging="1417"/>
      <w:outlineLvl w:val="4"/>
    </w:pPr>
  </w:style>
  <w:style w:type="paragraph" w:customStyle="1" w:styleId="ManualHeading6">
    <w:name w:val="Manual Heading 6"/>
    <w:basedOn w:val="Normal"/>
    <w:next w:val="Text2"/>
    <w:rsid w:val="00FA77A5"/>
    <w:pPr>
      <w:keepNext/>
      <w:tabs>
        <w:tab w:val="left" w:pos="1417"/>
      </w:tabs>
      <w:ind w:left="1417" w:hanging="1417"/>
      <w:outlineLvl w:val="5"/>
    </w:pPr>
  </w:style>
  <w:style w:type="paragraph" w:customStyle="1" w:styleId="ManualHeading7">
    <w:name w:val="Manual Heading 7"/>
    <w:basedOn w:val="Normal"/>
    <w:next w:val="Text2"/>
    <w:rsid w:val="00FA77A5"/>
    <w:pPr>
      <w:keepNext/>
      <w:tabs>
        <w:tab w:val="left" w:pos="1417"/>
      </w:tabs>
      <w:ind w:left="1417" w:hanging="1417"/>
      <w:outlineLvl w:val="6"/>
    </w:pPr>
  </w:style>
  <w:style w:type="paragraph" w:customStyle="1" w:styleId="Text5">
    <w:name w:val="Text 5"/>
    <w:basedOn w:val="Normal"/>
    <w:rsid w:val="00FA77A5"/>
    <w:pPr>
      <w:ind w:left="3118"/>
    </w:pPr>
  </w:style>
  <w:style w:type="paragraph" w:customStyle="1" w:styleId="Text6">
    <w:name w:val="Text 6"/>
    <w:basedOn w:val="Normal"/>
    <w:rsid w:val="00FA77A5"/>
    <w:pPr>
      <w:ind w:left="3685"/>
    </w:pPr>
  </w:style>
  <w:style w:type="paragraph" w:customStyle="1" w:styleId="Point5">
    <w:name w:val="Point 5"/>
    <w:basedOn w:val="Normal"/>
    <w:rsid w:val="00FA77A5"/>
    <w:pPr>
      <w:ind w:left="3685" w:hanging="567"/>
    </w:pPr>
  </w:style>
  <w:style w:type="paragraph" w:customStyle="1" w:styleId="Tiret5">
    <w:name w:val="Tiret 5"/>
    <w:basedOn w:val="Point5"/>
    <w:rsid w:val="00FA77A5"/>
    <w:pPr>
      <w:numPr>
        <w:numId w:val="27"/>
      </w:numPr>
    </w:pPr>
  </w:style>
  <w:style w:type="paragraph" w:customStyle="1" w:styleId="NumPar5">
    <w:name w:val="NumPar 5"/>
    <w:basedOn w:val="Normal"/>
    <w:next w:val="Text2"/>
    <w:rsid w:val="00FA77A5"/>
    <w:pPr>
      <w:numPr>
        <w:ilvl w:val="4"/>
        <w:numId w:val="30"/>
      </w:numPr>
    </w:pPr>
  </w:style>
  <w:style w:type="paragraph" w:customStyle="1" w:styleId="NumPar6">
    <w:name w:val="NumPar 6"/>
    <w:basedOn w:val="Normal"/>
    <w:next w:val="Text2"/>
    <w:rsid w:val="00FA77A5"/>
    <w:pPr>
      <w:numPr>
        <w:ilvl w:val="5"/>
        <w:numId w:val="30"/>
      </w:numPr>
    </w:pPr>
  </w:style>
  <w:style w:type="paragraph" w:customStyle="1" w:styleId="NumPar7">
    <w:name w:val="NumPar 7"/>
    <w:basedOn w:val="Normal"/>
    <w:next w:val="Text2"/>
    <w:rsid w:val="00FA77A5"/>
    <w:pPr>
      <w:numPr>
        <w:ilvl w:val="6"/>
        <w:numId w:val="30"/>
      </w:numPr>
    </w:pPr>
  </w:style>
  <w:style w:type="paragraph" w:customStyle="1" w:styleId="ManualNumPar5">
    <w:name w:val="Manual NumPar 5"/>
    <w:basedOn w:val="Normal"/>
    <w:next w:val="Text2"/>
    <w:rsid w:val="00FA77A5"/>
    <w:pPr>
      <w:ind w:left="1417" w:hanging="1417"/>
    </w:pPr>
  </w:style>
  <w:style w:type="paragraph" w:customStyle="1" w:styleId="ManualNumPar6">
    <w:name w:val="Manual NumPar 6"/>
    <w:basedOn w:val="Normal"/>
    <w:next w:val="Text2"/>
    <w:rsid w:val="00FA77A5"/>
    <w:pPr>
      <w:ind w:left="1417" w:hanging="1417"/>
    </w:pPr>
  </w:style>
  <w:style w:type="paragraph" w:customStyle="1" w:styleId="ManualNumPar7">
    <w:name w:val="Manual NumPar 7"/>
    <w:basedOn w:val="Normal"/>
    <w:next w:val="Text2"/>
    <w:rsid w:val="00FA77A5"/>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850491">
      <w:bodyDiv w:val="1"/>
      <w:marLeft w:val="0"/>
      <w:marRight w:val="0"/>
      <w:marTop w:val="0"/>
      <w:marBottom w:val="0"/>
      <w:divBdr>
        <w:top w:val="none" w:sz="0" w:space="0" w:color="auto"/>
        <w:left w:val="none" w:sz="0" w:space="0" w:color="auto"/>
        <w:bottom w:val="none" w:sz="0" w:space="0" w:color="auto"/>
        <w:right w:val="none" w:sz="0" w:space="0" w:color="auto"/>
      </w:divBdr>
    </w:div>
    <w:div w:id="217280352">
      <w:bodyDiv w:val="1"/>
      <w:marLeft w:val="0"/>
      <w:marRight w:val="0"/>
      <w:marTop w:val="0"/>
      <w:marBottom w:val="0"/>
      <w:divBdr>
        <w:top w:val="none" w:sz="0" w:space="0" w:color="auto"/>
        <w:left w:val="none" w:sz="0" w:space="0" w:color="auto"/>
        <w:bottom w:val="none" w:sz="0" w:space="0" w:color="auto"/>
        <w:right w:val="none" w:sz="0" w:space="0" w:color="auto"/>
      </w:divBdr>
    </w:div>
    <w:div w:id="242224394">
      <w:bodyDiv w:val="1"/>
      <w:marLeft w:val="0"/>
      <w:marRight w:val="0"/>
      <w:marTop w:val="0"/>
      <w:marBottom w:val="0"/>
      <w:divBdr>
        <w:top w:val="none" w:sz="0" w:space="0" w:color="auto"/>
        <w:left w:val="none" w:sz="0" w:space="0" w:color="auto"/>
        <w:bottom w:val="none" w:sz="0" w:space="0" w:color="auto"/>
        <w:right w:val="none" w:sz="0" w:space="0" w:color="auto"/>
      </w:divBdr>
    </w:div>
    <w:div w:id="313030237">
      <w:bodyDiv w:val="1"/>
      <w:marLeft w:val="0"/>
      <w:marRight w:val="0"/>
      <w:marTop w:val="0"/>
      <w:marBottom w:val="0"/>
      <w:divBdr>
        <w:top w:val="none" w:sz="0" w:space="0" w:color="auto"/>
        <w:left w:val="none" w:sz="0" w:space="0" w:color="auto"/>
        <w:bottom w:val="none" w:sz="0" w:space="0" w:color="auto"/>
        <w:right w:val="none" w:sz="0" w:space="0" w:color="auto"/>
      </w:divBdr>
    </w:div>
    <w:div w:id="436291422">
      <w:bodyDiv w:val="1"/>
      <w:marLeft w:val="0"/>
      <w:marRight w:val="0"/>
      <w:marTop w:val="0"/>
      <w:marBottom w:val="0"/>
      <w:divBdr>
        <w:top w:val="none" w:sz="0" w:space="0" w:color="auto"/>
        <w:left w:val="none" w:sz="0" w:space="0" w:color="auto"/>
        <w:bottom w:val="none" w:sz="0" w:space="0" w:color="auto"/>
        <w:right w:val="none" w:sz="0" w:space="0" w:color="auto"/>
      </w:divBdr>
    </w:div>
    <w:div w:id="580336071">
      <w:bodyDiv w:val="1"/>
      <w:marLeft w:val="0"/>
      <w:marRight w:val="0"/>
      <w:marTop w:val="0"/>
      <w:marBottom w:val="0"/>
      <w:divBdr>
        <w:top w:val="none" w:sz="0" w:space="0" w:color="auto"/>
        <w:left w:val="none" w:sz="0" w:space="0" w:color="auto"/>
        <w:bottom w:val="none" w:sz="0" w:space="0" w:color="auto"/>
        <w:right w:val="none" w:sz="0" w:space="0" w:color="auto"/>
      </w:divBdr>
      <w:divsChild>
        <w:div w:id="1495873518">
          <w:marLeft w:val="0"/>
          <w:marRight w:val="0"/>
          <w:marTop w:val="0"/>
          <w:marBottom w:val="0"/>
          <w:divBdr>
            <w:top w:val="none" w:sz="0" w:space="0" w:color="auto"/>
            <w:left w:val="none" w:sz="0" w:space="0" w:color="auto"/>
            <w:bottom w:val="none" w:sz="0" w:space="0" w:color="auto"/>
            <w:right w:val="none" w:sz="0" w:space="0" w:color="auto"/>
          </w:divBdr>
        </w:div>
        <w:div w:id="1147278269">
          <w:marLeft w:val="0"/>
          <w:marRight w:val="0"/>
          <w:marTop w:val="0"/>
          <w:marBottom w:val="0"/>
          <w:divBdr>
            <w:top w:val="none" w:sz="0" w:space="0" w:color="auto"/>
            <w:left w:val="none" w:sz="0" w:space="0" w:color="auto"/>
            <w:bottom w:val="none" w:sz="0" w:space="0" w:color="auto"/>
            <w:right w:val="none" w:sz="0" w:space="0" w:color="auto"/>
          </w:divBdr>
        </w:div>
        <w:div w:id="1069107916">
          <w:marLeft w:val="0"/>
          <w:marRight w:val="0"/>
          <w:marTop w:val="0"/>
          <w:marBottom w:val="0"/>
          <w:divBdr>
            <w:top w:val="none" w:sz="0" w:space="0" w:color="auto"/>
            <w:left w:val="none" w:sz="0" w:space="0" w:color="auto"/>
            <w:bottom w:val="none" w:sz="0" w:space="0" w:color="auto"/>
            <w:right w:val="none" w:sz="0" w:space="0" w:color="auto"/>
          </w:divBdr>
        </w:div>
      </w:divsChild>
    </w:div>
    <w:div w:id="608204499">
      <w:bodyDiv w:val="1"/>
      <w:marLeft w:val="0"/>
      <w:marRight w:val="0"/>
      <w:marTop w:val="0"/>
      <w:marBottom w:val="0"/>
      <w:divBdr>
        <w:top w:val="none" w:sz="0" w:space="0" w:color="auto"/>
        <w:left w:val="none" w:sz="0" w:space="0" w:color="auto"/>
        <w:bottom w:val="none" w:sz="0" w:space="0" w:color="auto"/>
        <w:right w:val="none" w:sz="0" w:space="0" w:color="auto"/>
      </w:divBdr>
    </w:div>
    <w:div w:id="688719439">
      <w:bodyDiv w:val="1"/>
      <w:marLeft w:val="0"/>
      <w:marRight w:val="0"/>
      <w:marTop w:val="0"/>
      <w:marBottom w:val="0"/>
      <w:divBdr>
        <w:top w:val="none" w:sz="0" w:space="0" w:color="auto"/>
        <w:left w:val="none" w:sz="0" w:space="0" w:color="auto"/>
        <w:bottom w:val="none" w:sz="0" w:space="0" w:color="auto"/>
        <w:right w:val="none" w:sz="0" w:space="0" w:color="auto"/>
      </w:divBdr>
    </w:div>
    <w:div w:id="703480990">
      <w:bodyDiv w:val="1"/>
      <w:marLeft w:val="0"/>
      <w:marRight w:val="0"/>
      <w:marTop w:val="0"/>
      <w:marBottom w:val="0"/>
      <w:divBdr>
        <w:top w:val="none" w:sz="0" w:space="0" w:color="auto"/>
        <w:left w:val="none" w:sz="0" w:space="0" w:color="auto"/>
        <w:bottom w:val="none" w:sz="0" w:space="0" w:color="auto"/>
        <w:right w:val="none" w:sz="0" w:space="0" w:color="auto"/>
      </w:divBdr>
    </w:div>
    <w:div w:id="771170389">
      <w:bodyDiv w:val="1"/>
      <w:marLeft w:val="0"/>
      <w:marRight w:val="0"/>
      <w:marTop w:val="0"/>
      <w:marBottom w:val="0"/>
      <w:divBdr>
        <w:top w:val="none" w:sz="0" w:space="0" w:color="auto"/>
        <w:left w:val="none" w:sz="0" w:space="0" w:color="auto"/>
        <w:bottom w:val="none" w:sz="0" w:space="0" w:color="auto"/>
        <w:right w:val="none" w:sz="0" w:space="0" w:color="auto"/>
      </w:divBdr>
    </w:div>
    <w:div w:id="860432776">
      <w:bodyDiv w:val="1"/>
      <w:marLeft w:val="0"/>
      <w:marRight w:val="0"/>
      <w:marTop w:val="0"/>
      <w:marBottom w:val="0"/>
      <w:divBdr>
        <w:top w:val="none" w:sz="0" w:space="0" w:color="auto"/>
        <w:left w:val="none" w:sz="0" w:space="0" w:color="auto"/>
        <w:bottom w:val="none" w:sz="0" w:space="0" w:color="auto"/>
        <w:right w:val="none" w:sz="0" w:space="0" w:color="auto"/>
      </w:divBdr>
    </w:div>
    <w:div w:id="1066302122">
      <w:bodyDiv w:val="1"/>
      <w:marLeft w:val="0"/>
      <w:marRight w:val="0"/>
      <w:marTop w:val="0"/>
      <w:marBottom w:val="0"/>
      <w:divBdr>
        <w:top w:val="none" w:sz="0" w:space="0" w:color="auto"/>
        <w:left w:val="none" w:sz="0" w:space="0" w:color="auto"/>
        <w:bottom w:val="none" w:sz="0" w:space="0" w:color="auto"/>
        <w:right w:val="none" w:sz="0" w:space="0" w:color="auto"/>
      </w:divBdr>
    </w:div>
    <w:div w:id="1071461932">
      <w:bodyDiv w:val="1"/>
      <w:marLeft w:val="0"/>
      <w:marRight w:val="0"/>
      <w:marTop w:val="0"/>
      <w:marBottom w:val="0"/>
      <w:divBdr>
        <w:top w:val="none" w:sz="0" w:space="0" w:color="auto"/>
        <w:left w:val="none" w:sz="0" w:space="0" w:color="auto"/>
        <w:bottom w:val="none" w:sz="0" w:space="0" w:color="auto"/>
        <w:right w:val="none" w:sz="0" w:space="0" w:color="auto"/>
      </w:divBdr>
    </w:div>
    <w:div w:id="1072192515">
      <w:bodyDiv w:val="1"/>
      <w:marLeft w:val="0"/>
      <w:marRight w:val="0"/>
      <w:marTop w:val="0"/>
      <w:marBottom w:val="0"/>
      <w:divBdr>
        <w:top w:val="none" w:sz="0" w:space="0" w:color="auto"/>
        <w:left w:val="none" w:sz="0" w:space="0" w:color="auto"/>
        <w:bottom w:val="none" w:sz="0" w:space="0" w:color="auto"/>
        <w:right w:val="none" w:sz="0" w:space="0" w:color="auto"/>
      </w:divBdr>
    </w:div>
    <w:div w:id="1191331946">
      <w:bodyDiv w:val="1"/>
      <w:marLeft w:val="0"/>
      <w:marRight w:val="0"/>
      <w:marTop w:val="0"/>
      <w:marBottom w:val="0"/>
      <w:divBdr>
        <w:top w:val="none" w:sz="0" w:space="0" w:color="auto"/>
        <w:left w:val="none" w:sz="0" w:space="0" w:color="auto"/>
        <w:bottom w:val="none" w:sz="0" w:space="0" w:color="auto"/>
        <w:right w:val="none" w:sz="0" w:space="0" w:color="auto"/>
      </w:divBdr>
    </w:div>
    <w:div w:id="1240293004">
      <w:bodyDiv w:val="1"/>
      <w:marLeft w:val="0"/>
      <w:marRight w:val="0"/>
      <w:marTop w:val="0"/>
      <w:marBottom w:val="0"/>
      <w:divBdr>
        <w:top w:val="none" w:sz="0" w:space="0" w:color="auto"/>
        <w:left w:val="none" w:sz="0" w:space="0" w:color="auto"/>
        <w:bottom w:val="none" w:sz="0" w:space="0" w:color="auto"/>
        <w:right w:val="none" w:sz="0" w:space="0" w:color="auto"/>
      </w:divBdr>
    </w:div>
    <w:div w:id="1370380160">
      <w:bodyDiv w:val="1"/>
      <w:marLeft w:val="0"/>
      <w:marRight w:val="0"/>
      <w:marTop w:val="0"/>
      <w:marBottom w:val="0"/>
      <w:divBdr>
        <w:top w:val="none" w:sz="0" w:space="0" w:color="auto"/>
        <w:left w:val="none" w:sz="0" w:space="0" w:color="auto"/>
        <w:bottom w:val="none" w:sz="0" w:space="0" w:color="auto"/>
        <w:right w:val="none" w:sz="0" w:space="0" w:color="auto"/>
      </w:divBdr>
    </w:div>
    <w:div w:id="1380936219">
      <w:bodyDiv w:val="1"/>
      <w:marLeft w:val="0"/>
      <w:marRight w:val="0"/>
      <w:marTop w:val="0"/>
      <w:marBottom w:val="0"/>
      <w:divBdr>
        <w:top w:val="none" w:sz="0" w:space="0" w:color="auto"/>
        <w:left w:val="none" w:sz="0" w:space="0" w:color="auto"/>
        <w:bottom w:val="none" w:sz="0" w:space="0" w:color="auto"/>
        <w:right w:val="none" w:sz="0" w:space="0" w:color="auto"/>
      </w:divBdr>
    </w:div>
    <w:div w:id="1482425002">
      <w:bodyDiv w:val="1"/>
      <w:marLeft w:val="0"/>
      <w:marRight w:val="0"/>
      <w:marTop w:val="0"/>
      <w:marBottom w:val="0"/>
      <w:divBdr>
        <w:top w:val="none" w:sz="0" w:space="0" w:color="auto"/>
        <w:left w:val="none" w:sz="0" w:space="0" w:color="auto"/>
        <w:bottom w:val="none" w:sz="0" w:space="0" w:color="auto"/>
        <w:right w:val="none" w:sz="0" w:space="0" w:color="auto"/>
      </w:divBdr>
    </w:div>
    <w:div w:id="1617641258">
      <w:bodyDiv w:val="1"/>
      <w:marLeft w:val="0"/>
      <w:marRight w:val="0"/>
      <w:marTop w:val="0"/>
      <w:marBottom w:val="0"/>
      <w:divBdr>
        <w:top w:val="none" w:sz="0" w:space="0" w:color="auto"/>
        <w:left w:val="none" w:sz="0" w:space="0" w:color="auto"/>
        <w:bottom w:val="none" w:sz="0" w:space="0" w:color="auto"/>
        <w:right w:val="none" w:sz="0" w:space="0" w:color="auto"/>
      </w:divBdr>
    </w:div>
    <w:div w:id="1619604054">
      <w:bodyDiv w:val="1"/>
      <w:marLeft w:val="0"/>
      <w:marRight w:val="0"/>
      <w:marTop w:val="0"/>
      <w:marBottom w:val="0"/>
      <w:divBdr>
        <w:top w:val="none" w:sz="0" w:space="0" w:color="auto"/>
        <w:left w:val="none" w:sz="0" w:space="0" w:color="auto"/>
        <w:bottom w:val="none" w:sz="0" w:space="0" w:color="auto"/>
        <w:right w:val="none" w:sz="0" w:space="0" w:color="auto"/>
      </w:divBdr>
    </w:div>
    <w:div w:id="1636982150">
      <w:bodyDiv w:val="1"/>
      <w:marLeft w:val="0"/>
      <w:marRight w:val="0"/>
      <w:marTop w:val="0"/>
      <w:marBottom w:val="0"/>
      <w:divBdr>
        <w:top w:val="none" w:sz="0" w:space="0" w:color="auto"/>
        <w:left w:val="none" w:sz="0" w:space="0" w:color="auto"/>
        <w:bottom w:val="none" w:sz="0" w:space="0" w:color="auto"/>
        <w:right w:val="none" w:sz="0" w:space="0" w:color="auto"/>
      </w:divBdr>
    </w:div>
    <w:div w:id="1710956026">
      <w:bodyDiv w:val="1"/>
      <w:marLeft w:val="0"/>
      <w:marRight w:val="0"/>
      <w:marTop w:val="0"/>
      <w:marBottom w:val="0"/>
      <w:divBdr>
        <w:top w:val="none" w:sz="0" w:space="0" w:color="auto"/>
        <w:left w:val="none" w:sz="0" w:space="0" w:color="auto"/>
        <w:bottom w:val="none" w:sz="0" w:space="0" w:color="auto"/>
        <w:right w:val="none" w:sz="0" w:space="0" w:color="auto"/>
      </w:divBdr>
    </w:div>
    <w:div w:id="1750346837">
      <w:bodyDiv w:val="1"/>
      <w:marLeft w:val="0"/>
      <w:marRight w:val="0"/>
      <w:marTop w:val="0"/>
      <w:marBottom w:val="0"/>
      <w:divBdr>
        <w:top w:val="none" w:sz="0" w:space="0" w:color="auto"/>
        <w:left w:val="none" w:sz="0" w:space="0" w:color="auto"/>
        <w:bottom w:val="none" w:sz="0" w:space="0" w:color="auto"/>
        <w:right w:val="none" w:sz="0" w:space="0" w:color="auto"/>
      </w:divBdr>
    </w:div>
    <w:div w:id="1784492931">
      <w:bodyDiv w:val="1"/>
      <w:marLeft w:val="0"/>
      <w:marRight w:val="0"/>
      <w:marTop w:val="0"/>
      <w:marBottom w:val="0"/>
      <w:divBdr>
        <w:top w:val="none" w:sz="0" w:space="0" w:color="auto"/>
        <w:left w:val="none" w:sz="0" w:space="0" w:color="auto"/>
        <w:bottom w:val="none" w:sz="0" w:space="0" w:color="auto"/>
        <w:right w:val="none" w:sz="0" w:space="0" w:color="auto"/>
      </w:divBdr>
    </w:div>
    <w:div w:id="1821537319">
      <w:bodyDiv w:val="1"/>
      <w:marLeft w:val="0"/>
      <w:marRight w:val="0"/>
      <w:marTop w:val="0"/>
      <w:marBottom w:val="0"/>
      <w:divBdr>
        <w:top w:val="none" w:sz="0" w:space="0" w:color="auto"/>
        <w:left w:val="none" w:sz="0" w:space="0" w:color="auto"/>
        <w:bottom w:val="none" w:sz="0" w:space="0" w:color="auto"/>
        <w:right w:val="none" w:sz="0" w:space="0" w:color="auto"/>
      </w:divBdr>
    </w:div>
    <w:div w:id="1930504316">
      <w:bodyDiv w:val="1"/>
      <w:marLeft w:val="0"/>
      <w:marRight w:val="0"/>
      <w:marTop w:val="0"/>
      <w:marBottom w:val="0"/>
      <w:divBdr>
        <w:top w:val="none" w:sz="0" w:space="0" w:color="auto"/>
        <w:left w:val="none" w:sz="0" w:space="0" w:color="auto"/>
        <w:bottom w:val="none" w:sz="0" w:space="0" w:color="auto"/>
        <w:right w:val="none" w:sz="0" w:space="0" w:color="auto"/>
      </w:divBdr>
    </w:div>
    <w:div w:id="201144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22"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ttc.org/News-Article/WTTC-identifies-digital-solutions-for-governments-worldwide-to-significantly-restore-international-mobility" TargetMode="External"/><Relationship Id="rId2" Type="http://schemas.openxmlformats.org/officeDocument/2006/relationships/hyperlink" Target="https://ec.europa.eu/info/live-work-travel-eu/coronavirus-response/safe-covid-19-vaccines-europeans/eu-digital-covid-certificate_ro" TargetMode="External"/><Relationship Id="rId1" Type="http://schemas.openxmlformats.org/officeDocument/2006/relationships/hyperlink" Target="https://eur-lex.europa.eu/legal-content/EN/AUTO/?uri=OJ:L:2000:239:TOC" TargetMode="External"/><Relationship Id="rId4" Type="http://schemas.openxmlformats.org/officeDocument/2006/relationships/hyperlink" Target="https://www.iata.org/en/pressroom/2021-releases/2021-08-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2FE2C-2C08-4896-BFDF-2228D4827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3177</Words>
  <Characters>19131</Characters>
  <Application>Microsoft Office Word</Application>
  <DocSecurity>0</DocSecurity>
  <Lines>308</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39</cp:revision>
  <dcterms:created xsi:type="dcterms:W3CDTF">2022-02-16T14:31:00Z</dcterms:created>
  <dcterms:modified xsi:type="dcterms:W3CDTF">2022-02-17T09:55:00Z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SJ-023</vt:lpwstr>
  </property>
  <property fmtid="{D5CDD505-2E9C-101B-9397-08002B2CF9AE}" pid="7" name="MSIP_Label_6bd9ddd1-4d20-43f6-abfa-fc3c07406f94_Enabled">
    <vt:lpwstr>true</vt:lpwstr>
  </property>
  <property fmtid="{D5CDD505-2E9C-101B-9397-08002B2CF9AE}" pid="8" name="MSIP_Label_6bd9ddd1-4d20-43f6-abfa-fc3c07406f94_SetDate">
    <vt:lpwstr>2022-01-07T08:39:37Z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0cf55b9a-8be6-4392-88ac-3c3f03f80460</vt:lpwstr>
  </property>
  <property fmtid="{D5CDD505-2E9C-101B-9397-08002B2CF9AE}" pid="13" name="MSIP_Label_6bd9ddd1-4d20-43f6-abfa-fc3c07406f94_ContentBits">
    <vt:lpwstr>0</vt:lpwstr>
  </property>
  <property fmtid="{D5CDD505-2E9C-101B-9397-08002B2CF9AE}" pid="14" name="Category">
    <vt:lpwstr>COM/PL/ORG</vt:lpwstr>
  </property>
  <property fmtid="{D5CDD505-2E9C-101B-9397-08002B2CF9AE}" pid="15" name="DQCStatus">
    <vt:lpwstr>Green (DQC version 03)</vt:lpwstr>
  </property>
  <property name="OP_sanitized" fmtid="{D5CDD505-2E9C-101B-9397-08002B2CF9AE}" pid="16">
    <vt:lpwstr>True</vt:lpwstr>
  </property>
</Properties>
</file>