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A1095" w14:textId="306486DA" w:rsidR="00391376" w:rsidRPr="00CA1DFA" w:rsidRDefault="00116A22" w:rsidP="00116A22">
      <w:pPr>
        <w:pStyle w:val="Pagedecouverture"/>
        <w:rPr>
          <w:noProof/>
        </w:rPr>
      </w:pPr>
      <w:r>
        <w:rPr>
          <w:noProof/>
        </w:rPr>
        <w:pict w14:anchorId="7EB09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ABDA66AE-E3A9-43AB-AB36-064AD4445A20" style="width:455.25pt;height:383.25pt">
            <v:imagedata r:id="rId8" o:title=""/>
          </v:shape>
        </w:pict>
      </w:r>
    </w:p>
    <w:p w14:paraId="2CDB1E90" w14:textId="77777777" w:rsidR="00391376" w:rsidRPr="00CA1DFA" w:rsidRDefault="00391376" w:rsidP="00391376">
      <w:pPr>
        <w:rPr>
          <w:noProof/>
        </w:rPr>
        <w:sectPr w:rsidR="00391376" w:rsidRPr="00CA1DFA" w:rsidSect="00116A22">
          <w:footerReference w:type="default" r:id="rId9"/>
          <w:pgSz w:w="11907" w:h="16839"/>
          <w:pgMar w:top="1134" w:right="1417" w:bottom="1134" w:left="1417" w:header="709" w:footer="709" w:gutter="0"/>
          <w:pgNumType w:start="0"/>
          <w:cols w:space="720"/>
          <w:docGrid w:linePitch="360"/>
        </w:sectPr>
      </w:pPr>
    </w:p>
    <w:p w14:paraId="6D304CA8" w14:textId="77777777" w:rsidR="00391376" w:rsidRPr="00CA1DFA" w:rsidRDefault="00391376" w:rsidP="00BB6B30">
      <w:pPr>
        <w:pStyle w:val="Exposdesmotifstitre"/>
        <w:rPr>
          <w:noProof/>
        </w:rPr>
      </w:pPr>
      <w:bookmarkStart w:id="0" w:name="_GoBack"/>
      <w:bookmarkEnd w:id="0"/>
      <w:r w:rsidRPr="00CA1DFA">
        <w:rPr>
          <w:noProof/>
        </w:rPr>
        <w:lastRenderedPageBreak/>
        <w:t>EXPUNERE DE MOTIVE</w:t>
      </w:r>
    </w:p>
    <w:p w14:paraId="70F9BAC5" w14:textId="77777777" w:rsidR="00B12FDA" w:rsidRPr="00CA1DFA" w:rsidRDefault="00B12FDA" w:rsidP="00B12FDA">
      <w:pPr>
        <w:rPr>
          <w:noProof/>
        </w:rPr>
      </w:pPr>
      <w:r w:rsidRPr="00CA1DFA">
        <w:rPr>
          <w:noProof/>
        </w:rPr>
        <w:t>În conformitate cu articolul 395 alineatul (1) din Directiva 2006/112/CE din 28 noiembrie 2006 privind sistemul comun al taxei pe valoarea adăugată</w:t>
      </w:r>
      <w:r w:rsidRPr="00CA1DFA">
        <w:rPr>
          <w:rStyle w:val="FootnoteReference"/>
          <w:noProof/>
        </w:rPr>
        <w:footnoteReference w:id="2"/>
      </w:r>
      <w:r w:rsidRPr="00CA1DFA">
        <w:rPr>
          <w:noProof/>
        </w:rPr>
        <w:t xml:space="preserve"> (denumită în continuare „Directiva TVA”), Consiliul, hotărând în unanimitate la propunerea Comisiei, poate autoriza orice stat membru să introducă măsuri speciale de derogare de la dispozițiile directivei respective pentru a simplifica procedura de colectare a TVA sau pentru a preveni anumite forme de evaziune fiscală sau de evitare a obligațiilor fiscale.</w:t>
      </w:r>
    </w:p>
    <w:p w14:paraId="377F0D94" w14:textId="45655D0B" w:rsidR="00B12FDA" w:rsidRPr="00CA1DFA" w:rsidRDefault="00B12FDA" w:rsidP="00B12FDA">
      <w:pPr>
        <w:rPr>
          <w:noProof/>
        </w:rPr>
      </w:pPr>
      <w:r w:rsidRPr="00CA1DFA">
        <w:rPr>
          <w:noProof/>
        </w:rPr>
        <w:t xml:space="preserve">Prin scrisoarea înregistrată de Comisie la 4 aprilie 2021, Republica Letonia (denumită în continuare „Letonia”) a solicitat autorizarea de a continua să aplice o măsură de derogare de la articolul 193 din Directiva TVA, care stabilește persoana căreia îi revine obligația plății TVA. Odată cu scrisoarea respectivă, Letonia a trimis un raport privind aplicarea măsurii. </w:t>
      </w:r>
    </w:p>
    <w:p w14:paraId="2038C3E7" w14:textId="5CAF593E" w:rsidR="00B12FDA" w:rsidRPr="00CA1DFA" w:rsidRDefault="00B12FDA" w:rsidP="00B12FDA">
      <w:pPr>
        <w:rPr>
          <w:noProof/>
        </w:rPr>
      </w:pPr>
      <w:r w:rsidRPr="00CA1DFA">
        <w:rPr>
          <w:noProof/>
        </w:rPr>
        <w:t>În conformitate cu articolul 395 alineatul (2) din Directiva TVA, Comisia a informat celelalte state membre, prin scrisori datate 9 august 2021, și Spania prin scrisoarea din 10 august 2021, cu privire la cererea înaintată de Letonia. Printr-o scrisoare din data de 10 august 2021, Comisia a informat Letonia că deține toate informațiile necesare pentru a analiza cererea.</w:t>
      </w:r>
    </w:p>
    <w:p w14:paraId="3CC0464A" w14:textId="77777777" w:rsidR="00391376" w:rsidRPr="00CA1DFA" w:rsidRDefault="00391376" w:rsidP="00BB6B30">
      <w:pPr>
        <w:pStyle w:val="ManualHeading1"/>
        <w:rPr>
          <w:noProof/>
        </w:rPr>
      </w:pPr>
      <w:r w:rsidRPr="00CA1DFA">
        <w:rPr>
          <w:noProof/>
        </w:rPr>
        <w:t>1.</w:t>
      </w:r>
      <w:r w:rsidRPr="00CA1DFA">
        <w:rPr>
          <w:noProof/>
        </w:rPr>
        <w:tab/>
        <w:t>CONTEXTUL PROPUNERII</w:t>
      </w:r>
    </w:p>
    <w:p w14:paraId="375568C3" w14:textId="77777777" w:rsidR="00391376" w:rsidRPr="00CA1DFA" w:rsidRDefault="00391376" w:rsidP="00044058">
      <w:pPr>
        <w:pStyle w:val="ManualHeading2"/>
        <w:rPr>
          <w:rFonts w:eastAsia="Arial Unicode MS"/>
          <w:noProof/>
        </w:rPr>
      </w:pPr>
      <w:r w:rsidRPr="00CA1DFA">
        <w:rPr>
          <w:noProof/>
          <w:color w:val="000000"/>
          <w:u w:color="000000"/>
          <w:bdr w:val="nil"/>
        </w:rPr>
        <w:t>•</w:t>
      </w:r>
      <w:r w:rsidRPr="00CA1DFA">
        <w:rPr>
          <w:noProof/>
        </w:rPr>
        <w:tab/>
        <w:t>Motivele și obiectivele propunerii</w:t>
      </w:r>
    </w:p>
    <w:p w14:paraId="62A0DF8C" w14:textId="77777777" w:rsidR="007B42FC" w:rsidRPr="00CA1DFA" w:rsidRDefault="007B42FC" w:rsidP="007B42FC">
      <w:pPr>
        <w:pBdr>
          <w:top w:val="nil"/>
          <w:left w:val="nil"/>
          <w:bottom w:val="nil"/>
          <w:right w:val="nil"/>
          <w:between w:val="nil"/>
          <w:bar w:val="nil"/>
        </w:pBdr>
        <w:spacing w:before="0" w:after="240"/>
        <w:rPr>
          <w:rFonts w:eastAsia="Arial Unicode MS"/>
          <w:noProof/>
        </w:rPr>
      </w:pPr>
      <w:r w:rsidRPr="00CA1DFA">
        <w:rPr>
          <w:noProof/>
        </w:rPr>
        <w:t>Ca regulă generală, articolul 193 din Directiva TVA prevede că TVA se plătește, în mod normal, de către orice persoană impozabilă care efectuează o livrare de bunuri sau o prestare de servicii.</w:t>
      </w:r>
    </w:p>
    <w:p w14:paraId="50ACEE7A" w14:textId="77777777" w:rsidR="007B42FC" w:rsidRPr="00CA1DFA" w:rsidRDefault="007B42FC" w:rsidP="007B42FC">
      <w:pPr>
        <w:pBdr>
          <w:top w:val="nil"/>
          <w:left w:val="nil"/>
          <w:bottom w:val="nil"/>
          <w:right w:val="nil"/>
          <w:between w:val="nil"/>
          <w:bar w:val="nil"/>
        </w:pBdr>
        <w:spacing w:before="0" w:after="240"/>
        <w:rPr>
          <w:noProof/>
        </w:rPr>
      </w:pPr>
      <w:r w:rsidRPr="00CA1DFA">
        <w:rPr>
          <w:noProof/>
        </w:rPr>
        <w:t>În conformitate cu articolul 395 din Directiva TVA, statele membre pot aplica măsuri de derogare de la dispozițiile directivei respective pentru a simplifica procedura de colectare a TVA sau pentru a preveni anumite forme de evaziune fiscală sau de evitare a obligațiilor fiscale, dacă aceste măsuri au fost autorizate de Consiliu.</w:t>
      </w:r>
    </w:p>
    <w:p w14:paraId="15459863" w14:textId="650F37B5" w:rsidR="007B42FC" w:rsidRPr="00CA1DFA" w:rsidRDefault="007B42FC" w:rsidP="007B42FC">
      <w:pPr>
        <w:pBdr>
          <w:top w:val="nil"/>
          <w:left w:val="nil"/>
          <w:bottom w:val="nil"/>
          <w:right w:val="nil"/>
          <w:between w:val="nil"/>
          <w:bar w:val="nil"/>
        </w:pBdr>
        <w:spacing w:before="0" w:after="240"/>
        <w:rPr>
          <w:noProof/>
        </w:rPr>
      </w:pPr>
      <w:r w:rsidRPr="00CA1DFA">
        <w:rPr>
          <w:noProof/>
        </w:rPr>
        <w:t>Letonia a solicitat continuarea aplicării mecanismului de taxare inversă în cazul tranzacțiilor de pe piața lemnului, care presupune desemnarea persoanei căreia îi sunt furnizate aceste bunuri sau servicii drept persoana căreia îi revine obligația plății TVA.</w:t>
      </w:r>
    </w:p>
    <w:p w14:paraId="29F3CE2E" w14:textId="0681D378" w:rsidR="007B42FC" w:rsidRPr="00CA1DFA" w:rsidRDefault="007B42FC" w:rsidP="007B42FC">
      <w:pPr>
        <w:pBdr>
          <w:top w:val="nil"/>
          <w:left w:val="nil"/>
          <w:bottom w:val="nil"/>
          <w:right w:val="nil"/>
          <w:between w:val="nil"/>
          <w:bar w:val="nil"/>
        </w:pBdr>
        <w:spacing w:before="0" w:after="240"/>
        <w:rPr>
          <w:noProof/>
        </w:rPr>
      </w:pPr>
      <w:r w:rsidRPr="00CA1DFA">
        <w:rPr>
          <w:noProof/>
        </w:rPr>
        <w:t>Măsura de derogare pentru Letonia a fost inițial acordată prin Decizia 2006/42/CE a Consiliului</w:t>
      </w:r>
      <w:r w:rsidRPr="00CA1DFA">
        <w:rPr>
          <w:rStyle w:val="FootnoteReference"/>
          <w:noProof/>
        </w:rPr>
        <w:footnoteReference w:id="3"/>
      </w:r>
      <w:r w:rsidRPr="00CA1DFA">
        <w:rPr>
          <w:noProof/>
        </w:rPr>
        <w:t xml:space="preserve"> până la 31 decembrie 2009 și prin Decizia de punere în aplicare 2009/1008/UE a Consiliului</w:t>
      </w:r>
      <w:r w:rsidRPr="00CA1DFA">
        <w:rPr>
          <w:rStyle w:val="FootnoteReference"/>
          <w:noProof/>
        </w:rPr>
        <w:footnoteReference w:id="4"/>
      </w:r>
      <w:r w:rsidRPr="00CA1DFA">
        <w:rPr>
          <w:noProof/>
        </w:rPr>
        <w:t xml:space="preserve"> până la 31 decembrie 2012. Autorizația de a aplica derogarea a fost ulterior prelungită prin Decizia de punere în aplicare 2013/55/UE a Consiliului</w:t>
      </w:r>
      <w:r w:rsidRPr="00CA1DFA">
        <w:rPr>
          <w:rStyle w:val="FootnoteReference"/>
          <w:noProof/>
        </w:rPr>
        <w:footnoteReference w:id="5"/>
      </w:r>
      <w:r w:rsidRPr="00CA1DFA">
        <w:rPr>
          <w:noProof/>
        </w:rPr>
        <w:t xml:space="preserve"> până la 31 decembrie 2015, prin Decizia de punere în aplicare (UE) 2015/2396 a Consiliului</w:t>
      </w:r>
      <w:r w:rsidRPr="00CA1DFA">
        <w:rPr>
          <w:rStyle w:val="FootnoteReference"/>
          <w:noProof/>
        </w:rPr>
        <w:footnoteReference w:id="6"/>
      </w:r>
      <w:r w:rsidRPr="00CA1DFA">
        <w:rPr>
          <w:noProof/>
        </w:rPr>
        <w:t xml:space="preserve"> până la 31 decembrie 2018 și prin Decizia de punere în aplicare (UE) 2018/2006 a Consiliului</w:t>
      </w:r>
      <w:r w:rsidRPr="00CA1DFA">
        <w:rPr>
          <w:rStyle w:val="FootnoteReference"/>
          <w:noProof/>
        </w:rPr>
        <w:footnoteReference w:id="7"/>
      </w:r>
      <w:r w:rsidRPr="00CA1DFA">
        <w:rPr>
          <w:noProof/>
        </w:rPr>
        <w:t xml:space="preserve"> până la 31 decembrie 2021.</w:t>
      </w:r>
    </w:p>
    <w:p w14:paraId="6F70E703" w14:textId="2B85B1DF" w:rsidR="00DB1ECA" w:rsidRPr="00CA1DFA" w:rsidRDefault="00DB1ECA" w:rsidP="007B42FC">
      <w:pPr>
        <w:pBdr>
          <w:top w:val="nil"/>
          <w:left w:val="nil"/>
          <w:bottom w:val="nil"/>
          <w:right w:val="nil"/>
          <w:between w:val="nil"/>
          <w:bar w:val="nil"/>
        </w:pBdr>
        <w:spacing w:before="0" w:after="240"/>
        <w:rPr>
          <w:noProof/>
        </w:rPr>
      </w:pPr>
      <w:r w:rsidRPr="00CA1DFA">
        <w:rPr>
          <w:noProof/>
        </w:rPr>
        <w:t>Potrivit Letoniei, piața lemnului, care este unul dintre cele mai importante sectoare ale economiei sale, este deosebit de sensibilă la frauda în domeniul TVA, deoarece este dominată de un număr mare de mici operatori locali și furnizori individuali, iar circulația materialelor și tranzacțiile aferente sunt dificil de urmărit. Întreprinderile care își desfășoară activitatea în acest sector pot să nu fie supuse obligațiilor de înregistrare, iar acest lucru poate conduce la tranzacții nedeclarate cu persoane fizice pentru furnizarea de lemn. Astfel, există un risc semnificativ ca unii operatori să se sustragă plății TVA. Natura pieței și a întreprinderilor implicate a condus la fraude în domeniul TVA, considerate de autoritățile fiscale letone ca fiind dificil de controlat. Pentru a combate acest abuz, acestea au introdus mecanismul de taxare inversă în cazul tranzacțiilor de pe piața lemnului, care s-a dovedit a fi foarte eficace și a condus la o reducere semnificativă a fraudei în materie de TVA în acest sector.</w:t>
      </w:r>
    </w:p>
    <w:p w14:paraId="7F192D01" w14:textId="5D2BC354" w:rsidR="007B42FC" w:rsidRPr="00CA1DFA" w:rsidRDefault="007B42FC" w:rsidP="007B42FC">
      <w:pPr>
        <w:pBdr>
          <w:top w:val="nil"/>
          <w:left w:val="nil"/>
          <w:bottom w:val="nil"/>
          <w:right w:val="nil"/>
          <w:between w:val="nil"/>
          <w:bar w:val="nil"/>
        </w:pBdr>
        <w:spacing w:before="0" w:after="240"/>
        <w:rPr>
          <w:noProof/>
        </w:rPr>
      </w:pPr>
      <w:r w:rsidRPr="00CA1DFA">
        <w:rPr>
          <w:noProof/>
        </w:rPr>
        <w:t>În plus, potrivit autorităților letone, această măsură specială nu are un impact negativ asupra valorii totale a veniturilor din TVA colectate în etapa consumului final și, prin urmare, nu afectează resursele proprii ale Uniunii provenind din TVA.</w:t>
      </w:r>
    </w:p>
    <w:p w14:paraId="03E08D48" w14:textId="6F989E24" w:rsidR="007B42FC" w:rsidRPr="00CA1DFA" w:rsidRDefault="007B42FC" w:rsidP="007B42FC">
      <w:pPr>
        <w:pBdr>
          <w:top w:val="nil"/>
          <w:left w:val="nil"/>
          <w:bottom w:val="nil"/>
          <w:right w:val="nil"/>
          <w:between w:val="nil"/>
          <w:bar w:val="nil"/>
        </w:pBdr>
        <w:spacing w:before="0" w:after="240"/>
        <w:rPr>
          <w:noProof/>
        </w:rPr>
      </w:pPr>
      <w:r w:rsidRPr="00CA1DFA">
        <w:rPr>
          <w:noProof/>
        </w:rPr>
        <w:t xml:space="preserve">Derogările sunt în general acordate pentru o perioadă limitată de timp, pentru a permite o evaluare a caracterului adecvat și eficace al măsurii speciale și pentru a acorda statelor membre timpul necesar pentru a introduce alte măsuri convenționale la nivel național pentru a monitoriza circulația materialelor, plata TVA și conformitatea persoanelor impozabile, ceea ce ar combate problema respectivă până la expirarea măsurii de derogare, făcând astfel ca o prelungire a derogării să fie inutilă. O derogare care permite utilizarea mecanismului de taxare inversă este acordată numai în mod excepțional pentru anumite domenii unde se observă fraude și constituie un mijloc de ultimă instanță. </w:t>
      </w:r>
    </w:p>
    <w:p w14:paraId="75D62A51" w14:textId="2D0D41BA" w:rsidR="007B42FC" w:rsidRPr="00CA1DFA" w:rsidRDefault="007B42FC" w:rsidP="007B42FC">
      <w:pPr>
        <w:pBdr>
          <w:top w:val="nil"/>
          <w:left w:val="nil"/>
          <w:bottom w:val="nil"/>
          <w:right w:val="nil"/>
          <w:between w:val="nil"/>
          <w:bar w:val="nil"/>
        </w:pBdr>
        <w:spacing w:before="0" w:after="240"/>
        <w:rPr>
          <w:rFonts w:eastAsia="Arial Unicode MS"/>
          <w:noProof/>
        </w:rPr>
      </w:pPr>
      <w:r w:rsidRPr="00CA1DFA">
        <w:rPr>
          <w:noProof/>
        </w:rPr>
        <w:t xml:space="preserve">Având în vedere situația de drept și de fapt neschimbată, se propune, prin urmare, prelungirea măsurii de derogare, permițând astfel Letoniei să aplice în continuare această măsură de derogare până la 31 decembrie 2024. Până la expirarea acestei derogări, Letonia ar trebui să pună în aplicare alte măsuri convenționale la nivel național pentru a monitoriza circulația materialelor, plata TVA și conformitatea persoanelor impozabile, ceea ce ar sprijini combaterea și prevenirea fraudei în materie de TVA în sectorul lemnului. </w:t>
      </w:r>
    </w:p>
    <w:p w14:paraId="34226016" w14:textId="77777777" w:rsidR="00391376" w:rsidRPr="00CA1DFA" w:rsidRDefault="00391376" w:rsidP="00044058">
      <w:pPr>
        <w:pStyle w:val="ManualHeading2"/>
        <w:rPr>
          <w:rFonts w:eastAsia="Arial Unicode MS"/>
          <w:noProof/>
          <w:color w:val="000000"/>
          <w:u w:color="000000"/>
          <w:bdr w:val="nil"/>
        </w:rPr>
      </w:pPr>
      <w:r w:rsidRPr="00CA1DFA">
        <w:rPr>
          <w:noProof/>
          <w:color w:val="000000"/>
          <w:u w:color="000000"/>
          <w:bdr w:val="nil"/>
        </w:rPr>
        <w:t>•</w:t>
      </w:r>
      <w:r w:rsidRPr="00CA1DFA">
        <w:rPr>
          <w:noProof/>
        </w:rPr>
        <w:tab/>
        <w:t>Coerența cu dispozițiile existente în domeniul de politică vizat</w:t>
      </w:r>
    </w:p>
    <w:p w14:paraId="25CCECCF" w14:textId="045FB8C3" w:rsidR="007B42FC" w:rsidRPr="00CA1DFA" w:rsidRDefault="007B42FC" w:rsidP="007B42FC">
      <w:pPr>
        <w:pBdr>
          <w:top w:val="nil"/>
          <w:left w:val="nil"/>
          <w:bottom w:val="nil"/>
          <w:right w:val="nil"/>
          <w:between w:val="nil"/>
          <w:bar w:val="nil"/>
        </w:pBdr>
        <w:spacing w:before="0" w:after="240"/>
        <w:rPr>
          <w:rFonts w:eastAsia="Arial Unicode MS"/>
          <w:noProof/>
        </w:rPr>
      </w:pPr>
      <w:r w:rsidRPr="00CA1DFA">
        <w:rPr>
          <w:noProof/>
        </w:rPr>
        <w:t>Derogări similare de la articolul 193 din Directiva TVA au fost acordate și altor state membre, și anume Portugalia</w:t>
      </w:r>
      <w:r w:rsidRPr="00CA1DFA">
        <w:rPr>
          <w:rStyle w:val="FootnoteReference"/>
          <w:rFonts w:eastAsia="Arial Unicode MS"/>
          <w:noProof/>
        </w:rPr>
        <w:footnoteReference w:id="8"/>
      </w:r>
      <w:r w:rsidRPr="00CA1DFA">
        <w:rPr>
          <w:noProof/>
        </w:rPr>
        <w:t>, România</w:t>
      </w:r>
      <w:r w:rsidRPr="00CA1DFA">
        <w:rPr>
          <w:rStyle w:val="FootnoteReference"/>
          <w:rFonts w:eastAsia="Arial Unicode MS"/>
          <w:noProof/>
        </w:rPr>
        <w:footnoteReference w:id="9"/>
      </w:r>
      <w:r w:rsidRPr="00CA1DFA">
        <w:rPr>
          <w:noProof/>
        </w:rPr>
        <w:t xml:space="preserve"> și Lituania</w:t>
      </w:r>
      <w:r w:rsidRPr="00CA1DFA">
        <w:rPr>
          <w:rStyle w:val="FootnoteReference"/>
          <w:rFonts w:eastAsia="Arial Unicode MS"/>
          <w:noProof/>
        </w:rPr>
        <w:footnoteReference w:id="10"/>
      </w:r>
      <w:r w:rsidRPr="00CA1DFA">
        <w:rPr>
          <w:noProof/>
        </w:rPr>
        <w:t>.</w:t>
      </w:r>
    </w:p>
    <w:p w14:paraId="41A5793F" w14:textId="77777777" w:rsidR="007B42FC" w:rsidRPr="00CA1DFA" w:rsidRDefault="007B42FC" w:rsidP="007B42FC">
      <w:pPr>
        <w:pBdr>
          <w:top w:val="nil"/>
          <w:left w:val="nil"/>
          <w:bottom w:val="nil"/>
          <w:right w:val="nil"/>
          <w:between w:val="nil"/>
          <w:bar w:val="nil"/>
        </w:pBdr>
        <w:spacing w:before="0" w:after="240"/>
        <w:rPr>
          <w:rFonts w:eastAsia="Arial Unicode MS"/>
          <w:noProof/>
        </w:rPr>
      </w:pPr>
      <w:r w:rsidRPr="00CA1DFA">
        <w:rPr>
          <w:noProof/>
        </w:rPr>
        <w:t xml:space="preserve">Măsura propusă este, prin urmare, în concordanță cu dispozițiile existente din Directiva TVA. </w:t>
      </w:r>
    </w:p>
    <w:p w14:paraId="04293AA2" w14:textId="77777777" w:rsidR="00391376" w:rsidRPr="00CA1DFA" w:rsidRDefault="007B42FC" w:rsidP="00797A93">
      <w:pPr>
        <w:pBdr>
          <w:top w:val="nil"/>
          <w:left w:val="nil"/>
          <w:bottom w:val="nil"/>
          <w:right w:val="nil"/>
          <w:between w:val="nil"/>
          <w:bar w:val="nil"/>
        </w:pBdr>
        <w:spacing w:before="0" w:after="240"/>
        <w:rPr>
          <w:noProof/>
        </w:rPr>
      </w:pPr>
      <w:r w:rsidRPr="00CA1DFA">
        <w:rPr>
          <w:noProof/>
        </w:rPr>
        <w:t xml:space="preserve"> 2.</w:t>
      </w:r>
      <w:r w:rsidRPr="00CA1DFA">
        <w:rPr>
          <w:noProof/>
        </w:rPr>
        <w:tab/>
        <w:t>TEMEI JURIDIC, SUBSIDIARITATE ȘI PROPORȚIONALITATE</w:t>
      </w:r>
    </w:p>
    <w:p w14:paraId="3CBB1D09" w14:textId="77777777" w:rsidR="00391376" w:rsidRPr="00CA1DFA" w:rsidRDefault="00391376" w:rsidP="00A4693B">
      <w:pPr>
        <w:pStyle w:val="ManualHeading2"/>
        <w:rPr>
          <w:rFonts w:eastAsia="Arial Unicode MS"/>
          <w:noProof/>
          <w:u w:color="000000"/>
          <w:bdr w:val="nil"/>
        </w:rPr>
      </w:pPr>
      <w:r w:rsidRPr="00CA1DFA">
        <w:rPr>
          <w:noProof/>
          <w:u w:color="000000"/>
          <w:bdr w:val="nil"/>
        </w:rPr>
        <w:t>•</w:t>
      </w:r>
      <w:r w:rsidRPr="00CA1DFA">
        <w:rPr>
          <w:noProof/>
        </w:rPr>
        <w:tab/>
      </w:r>
      <w:r w:rsidRPr="00CA1DFA">
        <w:rPr>
          <w:noProof/>
          <w:u w:color="000000"/>
          <w:bdr w:val="nil"/>
        </w:rPr>
        <w:t>Temei juridic</w:t>
      </w:r>
    </w:p>
    <w:p w14:paraId="7155C758" w14:textId="77777777" w:rsidR="00391376" w:rsidRPr="00CA1DFA" w:rsidRDefault="00D745C7" w:rsidP="00D745C7">
      <w:pPr>
        <w:pBdr>
          <w:top w:val="nil"/>
          <w:left w:val="nil"/>
          <w:bottom w:val="nil"/>
          <w:right w:val="nil"/>
          <w:between w:val="nil"/>
          <w:bar w:val="nil"/>
        </w:pBdr>
        <w:spacing w:before="0" w:after="240"/>
        <w:rPr>
          <w:rFonts w:eastAsia="Arial Unicode MS"/>
          <w:noProof/>
        </w:rPr>
      </w:pPr>
      <w:r w:rsidRPr="00CA1DFA">
        <w:rPr>
          <w:noProof/>
        </w:rPr>
        <w:t xml:space="preserve">Articolul 395 din Directiva TVA. </w:t>
      </w:r>
    </w:p>
    <w:p w14:paraId="02CD7C73" w14:textId="77777777" w:rsidR="00391376" w:rsidRPr="00CA1DFA" w:rsidRDefault="00391376" w:rsidP="00A4693B">
      <w:pPr>
        <w:pStyle w:val="ManualHeading2"/>
        <w:rPr>
          <w:rFonts w:eastAsia="Arial Unicode MS"/>
          <w:noProof/>
          <w:u w:color="000000"/>
          <w:bdr w:val="nil"/>
        </w:rPr>
      </w:pPr>
      <w:r w:rsidRPr="00CA1DFA">
        <w:rPr>
          <w:noProof/>
          <w:u w:color="000000"/>
          <w:bdr w:val="nil"/>
        </w:rPr>
        <w:t>•</w:t>
      </w:r>
      <w:r w:rsidRPr="00CA1DFA">
        <w:rPr>
          <w:noProof/>
        </w:rPr>
        <w:tab/>
      </w:r>
      <w:r w:rsidRPr="00CA1DFA">
        <w:rPr>
          <w:noProof/>
          <w:u w:color="000000"/>
          <w:bdr w:val="nil"/>
        </w:rPr>
        <w:t xml:space="preserve">Subsidiaritate (în cazul competențelor neexclusive) </w:t>
      </w:r>
    </w:p>
    <w:p w14:paraId="202BF676" w14:textId="77777777" w:rsidR="00391376" w:rsidRPr="00CA1DFA" w:rsidRDefault="00D745C7" w:rsidP="00D745C7">
      <w:pPr>
        <w:pBdr>
          <w:top w:val="nil"/>
          <w:left w:val="nil"/>
          <w:bottom w:val="nil"/>
          <w:right w:val="nil"/>
          <w:between w:val="nil"/>
          <w:bar w:val="nil"/>
        </w:pBdr>
        <w:spacing w:before="0" w:after="240"/>
        <w:rPr>
          <w:rFonts w:eastAsia="Arial Unicode MS"/>
          <w:noProof/>
        </w:rPr>
      </w:pPr>
      <w:r w:rsidRPr="00CA1DFA">
        <w:rPr>
          <w:noProof/>
        </w:rPr>
        <w:t xml:space="preserve">Având în vedere dispoziția din Directiva TVA pe care se întemeiază propunerea, principiul subsidiarității nu se aplică. </w:t>
      </w:r>
    </w:p>
    <w:p w14:paraId="519AC690" w14:textId="77777777" w:rsidR="00391376" w:rsidRPr="00CA1DFA" w:rsidRDefault="00391376" w:rsidP="00A4693B">
      <w:pPr>
        <w:pStyle w:val="ManualHeading2"/>
        <w:rPr>
          <w:rFonts w:eastAsia="Arial Unicode MS"/>
          <w:noProof/>
          <w:u w:color="000000"/>
          <w:bdr w:val="nil"/>
        </w:rPr>
      </w:pPr>
      <w:r w:rsidRPr="00CA1DFA">
        <w:rPr>
          <w:noProof/>
          <w:u w:color="000000"/>
          <w:bdr w:val="nil"/>
        </w:rPr>
        <w:t>•</w:t>
      </w:r>
      <w:r w:rsidRPr="00CA1DFA">
        <w:rPr>
          <w:noProof/>
        </w:rPr>
        <w:tab/>
      </w:r>
      <w:r w:rsidRPr="00CA1DFA">
        <w:rPr>
          <w:noProof/>
          <w:u w:color="000000"/>
          <w:bdr w:val="nil"/>
        </w:rPr>
        <w:t>Proporționalitate</w:t>
      </w:r>
    </w:p>
    <w:p w14:paraId="39C06DE9" w14:textId="77777777" w:rsidR="00D745C7" w:rsidRPr="00CA1DFA" w:rsidRDefault="00D745C7" w:rsidP="00D745C7">
      <w:pPr>
        <w:pBdr>
          <w:top w:val="nil"/>
          <w:left w:val="nil"/>
          <w:bottom w:val="nil"/>
          <w:right w:val="nil"/>
          <w:between w:val="nil"/>
          <w:bar w:val="nil"/>
        </w:pBdr>
        <w:spacing w:before="0" w:after="240"/>
        <w:rPr>
          <w:noProof/>
        </w:rPr>
      </w:pPr>
      <w:r w:rsidRPr="00CA1DFA">
        <w:rPr>
          <w:noProof/>
        </w:rPr>
        <w:t xml:space="preserve">Decizia se referă la o autorizare acordată unui stat membru la cererea acestuia și nu constituie o obligație. </w:t>
      </w:r>
    </w:p>
    <w:p w14:paraId="26455731" w14:textId="77777777" w:rsidR="00391376" w:rsidRPr="00CA1DFA" w:rsidRDefault="00D745C7" w:rsidP="00D745C7">
      <w:pPr>
        <w:rPr>
          <w:rFonts w:eastAsia="Arial Unicode MS"/>
          <w:noProof/>
        </w:rPr>
      </w:pPr>
      <w:r w:rsidRPr="00CA1DFA">
        <w:rPr>
          <w:noProof/>
        </w:rPr>
        <w:t xml:space="preserve">Având în vedere domeniul de aplicare limitat al derogării, măsura specială este proporțională cu obiectivul urmărit. </w:t>
      </w:r>
    </w:p>
    <w:p w14:paraId="4D2EBA95" w14:textId="77777777" w:rsidR="00391376" w:rsidRPr="00CA1DFA" w:rsidRDefault="00391376" w:rsidP="00A4693B">
      <w:pPr>
        <w:pStyle w:val="ManualHeading2"/>
        <w:rPr>
          <w:rFonts w:eastAsia="Arial Unicode MS"/>
          <w:noProof/>
          <w:u w:color="000000"/>
          <w:bdr w:val="nil"/>
        </w:rPr>
      </w:pPr>
      <w:r w:rsidRPr="00CA1DFA">
        <w:rPr>
          <w:noProof/>
          <w:u w:color="000000"/>
          <w:bdr w:val="nil"/>
        </w:rPr>
        <w:t>•</w:t>
      </w:r>
      <w:r w:rsidRPr="00CA1DFA">
        <w:rPr>
          <w:noProof/>
        </w:rPr>
        <w:tab/>
      </w:r>
      <w:r w:rsidRPr="00CA1DFA">
        <w:rPr>
          <w:noProof/>
          <w:u w:color="000000"/>
          <w:bdr w:val="nil"/>
        </w:rPr>
        <w:t>Alegerea instrumentului</w:t>
      </w:r>
    </w:p>
    <w:p w14:paraId="14B8C06C" w14:textId="77777777" w:rsidR="00D745C7" w:rsidRPr="00CA1DFA" w:rsidRDefault="00D745C7" w:rsidP="00D745C7">
      <w:pPr>
        <w:spacing w:before="0" w:after="240"/>
        <w:rPr>
          <w:rFonts w:eastAsia="Arial Unicode MS"/>
          <w:noProof/>
        </w:rPr>
      </w:pPr>
      <w:r w:rsidRPr="00CA1DFA">
        <w:rPr>
          <w:noProof/>
        </w:rPr>
        <w:t>Instrumentul propus: decizie de punere în aplicare a Consiliului.</w:t>
      </w:r>
    </w:p>
    <w:p w14:paraId="0EBA9DFE" w14:textId="0A896659" w:rsidR="00D745C7" w:rsidRPr="00CA1DFA" w:rsidRDefault="00D745C7" w:rsidP="00D745C7">
      <w:pPr>
        <w:spacing w:before="0" w:after="240"/>
        <w:rPr>
          <w:rFonts w:eastAsia="Arial Unicode MS"/>
          <w:noProof/>
        </w:rPr>
      </w:pPr>
      <w:r w:rsidRPr="00CA1DFA">
        <w:rPr>
          <w:noProof/>
        </w:rPr>
        <w:t>În conformitate cu articolul 395 din Directiva TVA, o derogare de la dispozițiile comune în materie de TVA este posibilă numai cu autorizarea Consiliului, hotărând în unanimitate la propunerea Comisiei. O decizie de punere în aplicare a Consiliului este instrumentul cel mai adecvat, deoarece poate fi adresată unui singur stat membru.</w:t>
      </w:r>
    </w:p>
    <w:p w14:paraId="284BD9F0" w14:textId="77777777" w:rsidR="00391376" w:rsidRPr="00CA1DFA" w:rsidRDefault="00391376" w:rsidP="00550536">
      <w:pPr>
        <w:pStyle w:val="ManualHeading1"/>
        <w:rPr>
          <w:noProof/>
        </w:rPr>
      </w:pPr>
      <w:r w:rsidRPr="00CA1DFA">
        <w:rPr>
          <w:noProof/>
        </w:rPr>
        <w:t>3.</w:t>
      </w:r>
      <w:r w:rsidRPr="00CA1DFA">
        <w:rPr>
          <w:noProof/>
        </w:rPr>
        <w:tab/>
        <w:t>REZULTATE ALE EVALUĂRILOR EX POST, ALE CONSULTĂRILOR CU PĂRȚILE INTERESATE ȘI ALE EVALUĂRII IMPACTULUI</w:t>
      </w:r>
    </w:p>
    <w:p w14:paraId="00F49CAA" w14:textId="77777777" w:rsidR="00391376" w:rsidRPr="00CA1DFA" w:rsidRDefault="00391376" w:rsidP="00A4693B">
      <w:pPr>
        <w:pStyle w:val="ManualHeading2"/>
        <w:rPr>
          <w:rFonts w:eastAsia="Arial Unicode MS"/>
          <w:noProof/>
          <w:u w:color="000000"/>
          <w:bdr w:val="nil"/>
        </w:rPr>
      </w:pPr>
      <w:r w:rsidRPr="00CA1DFA">
        <w:rPr>
          <w:noProof/>
          <w:u w:color="000000"/>
          <w:bdr w:val="nil"/>
        </w:rPr>
        <w:t>•</w:t>
      </w:r>
      <w:r w:rsidRPr="00CA1DFA">
        <w:rPr>
          <w:noProof/>
        </w:rPr>
        <w:tab/>
      </w:r>
      <w:r w:rsidRPr="00CA1DFA">
        <w:rPr>
          <w:noProof/>
          <w:u w:color="000000"/>
          <w:bdr w:val="nil"/>
        </w:rPr>
        <w:t>Consultări cu părțile interesate</w:t>
      </w:r>
    </w:p>
    <w:p w14:paraId="432ADC61" w14:textId="77777777" w:rsidR="00D745C7" w:rsidRPr="00CA1DFA" w:rsidRDefault="00D745C7" w:rsidP="00D745C7">
      <w:pPr>
        <w:pBdr>
          <w:top w:val="nil"/>
          <w:left w:val="nil"/>
          <w:bottom w:val="nil"/>
          <w:right w:val="nil"/>
          <w:between w:val="nil"/>
          <w:bar w:val="nil"/>
        </w:pBdr>
        <w:spacing w:before="0" w:after="240"/>
        <w:rPr>
          <w:rFonts w:eastAsia="Arial Unicode MS"/>
          <w:noProof/>
        </w:rPr>
      </w:pPr>
      <w:r w:rsidRPr="00CA1DFA">
        <w:rPr>
          <w:noProof/>
        </w:rPr>
        <w:t>Prezenta propunere se bazează pe o cerere înaintată de Letonia și se referă doar la acest stat membru.</w:t>
      </w:r>
    </w:p>
    <w:p w14:paraId="5E555F09" w14:textId="77777777" w:rsidR="00391376" w:rsidRPr="00CA1DFA" w:rsidRDefault="00391376" w:rsidP="00A4693B">
      <w:pPr>
        <w:pStyle w:val="ManualHeading2"/>
        <w:rPr>
          <w:rFonts w:eastAsia="Arial Unicode MS"/>
          <w:noProof/>
          <w:u w:color="000000"/>
          <w:bdr w:val="nil"/>
        </w:rPr>
      </w:pPr>
      <w:r w:rsidRPr="00CA1DFA">
        <w:rPr>
          <w:noProof/>
          <w:u w:color="000000"/>
          <w:bdr w:val="nil"/>
        </w:rPr>
        <w:t>•</w:t>
      </w:r>
      <w:r w:rsidRPr="00CA1DFA">
        <w:rPr>
          <w:noProof/>
        </w:rPr>
        <w:tab/>
      </w:r>
      <w:r w:rsidRPr="00CA1DFA">
        <w:rPr>
          <w:noProof/>
          <w:u w:color="000000"/>
          <w:bdr w:val="nil"/>
        </w:rPr>
        <w:t>Evaluarea impactului</w:t>
      </w:r>
    </w:p>
    <w:p w14:paraId="0C2BD3DC" w14:textId="77777777" w:rsidR="00D745C7" w:rsidRPr="00CA1DFA" w:rsidRDefault="00D745C7" w:rsidP="00D745C7">
      <w:pPr>
        <w:pBdr>
          <w:top w:val="nil"/>
          <w:left w:val="nil"/>
          <w:bottom w:val="nil"/>
          <w:right w:val="nil"/>
          <w:between w:val="nil"/>
          <w:bar w:val="nil"/>
        </w:pBdr>
        <w:spacing w:before="0" w:after="240"/>
        <w:rPr>
          <w:rFonts w:eastAsia="Arial Unicode MS"/>
          <w:noProof/>
        </w:rPr>
      </w:pPr>
      <w:r w:rsidRPr="00CA1DFA">
        <w:rPr>
          <w:noProof/>
        </w:rPr>
        <w:t xml:space="preserve">Propunerea de decizie de punere în aplicare a Consiliului autorizează Letonia să aplice în continuare mecanismul de taxare inversă în cazul tranzacțiilor de pe piața lemnului. Situația pe care s-a bazat derogarea inițială persistă. Letonia susține că, în pofida faptului că a existat o reducere a numărului de cazuri de fraudă care implică TVA și de evaziune în domeniul TVA de pe piața lemnului de la introducerea procedurii de taxare inversă, riscul nu este eliminat. </w:t>
      </w:r>
    </w:p>
    <w:p w14:paraId="086B4E81" w14:textId="6D4B9355" w:rsidR="002A4424" w:rsidRPr="00CA1DFA" w:rsidRDefault="002A4424" w:rsidP="002A4424">
      <w:pPr>
        <w:pBdr>
          <w:top w:val="nil"/>
          <w:left w:val="nil"/>
          <w:bottom w:val="nil"/>
          <w:right w:val="nil"/>
          <w:between w:val="nil"/>
          <w:bar w:val="nil"/>
        </w:pBdr>
        <w:spacing w:before="0" w:after="240"/>
        <w:rPr>
          <w:noProof/>
        </w:rPr>
      </w:pPr>
      <w:r w:rsidRPr="00CA1DFA">
        <w:rPr>
          <w:noProof/>
        </w:rPr>
        <w:t>Măsura a fost autorizată anterior prin Actul de aderare</w:t>
      </w:r>
      <w:r w:rsidRPr="00CA1DFA">
        <w:rPr>
          <w:rStyle w:val="FootnoteReference"/>
          <w:noProof/>
        </w:rPr>
        <w:footnoteReference w:id="11"/>
      </w:r>
      <w:r w:rsidRPr="00CA1DFA">
        <w:rPr>
          <w:noProof/>
        </w:rPr>
        <w:t xml:space="preserve"> din 2003, în special capitolul 7 punctul 1 litera (b) din anexa VIII la acesta, și prin Decizia 2006/42/CE</w:t>
      </w:r>
      <w:r w:rsidRPr="00CA1DFA">
        <w:rPr>
          <w:rStyle w:val="FootnoteReference"/>
          <w:noProof/>
        </w:rPr>
        <w:footnoteReference w:id="12"/>
      </w:r>
      <w:r w:rsidRPr="00CA1DFA">
        <w:rPr>
          <w:noProof/>
        </w:rPr>
        <w:t>, în temeiul celei de a șasea Directive 77/388/CEE, aplicabile la momentul respectiv. Cu toate acestea, de-a lungul timpului, frauda din sectorul lemnului a ajuns să includă tranzacții care nu făceau obiectul procedurii de taxare inversă a TVA. De exemplu, tranzacțiile legate de produse secundare din lemn. În consecință, domeniul de aplicare al procedurii de taxare inversă a TVA a fost extins, pentru a reduce posibilitățile de fraudă. În plus, începând cu 1 ianuarie 2020, destinatarul lemnului trebuie să plătească bunurile primite, iar beneficiarul serviciilor trebuie să plătească serviciile prestate utilizând mijloace de plată fără numerar. Aceste modificări au fost efectuate pentru a standardiza cerințele privind plățile în toate cazurile în care se aplică procedura de taxare inversă, sporind astfel eficacitatea măsurii care vizează combaterea fraudei în materie de TVA.</w:t>
      </w:r>
    </w:p>
    <w:p w14:paraId="17AF6B74" w14:textId="00479BDE" w:rsidR="002A4424" w:rsidRPr="00CA1DFA" w:rsidRDefault="002A4424" w:rsidP="002A4424">
      <w:pPr>
        <w:pBdr>
          <w:top w:val="nil"/>
          <w:left w:val="nil"/>
          <w:bottom w:val="nil"/>
          <w:right w:val="nil"/>
          <w:between w:val="nil"/>
          <w:bar w:val="nil"/>
        </w:pBdr>
        <w:spacing w:before="0" w:after="240"/>
        <w:rPr>
          <w:noProof/>
        </w:rPr>
      </w:pPr>
      <w:r w:rsidRPr="00CA1DFA">
        <w:rPr>
          <w:noProof/>
        </w:rPr>
        <w:t xml:space="preserve">Letonia susține că prelungirea măsurii de derogare este necesară pentru a combate frauda din sectorul lemnului. Piața lemnului din Letonia este dominată de comercianți și persoane impozabile de dimensiuni mici și mijlocii, care cumpără sau vând lemn și furnizează sau beneficiază de servicii conexe. Procedura de taxare inversă a TVA se aplică tranzacțiilor interne cu lemn și serviciilor specifice numai atunci când atât furnizorul, cât și destinatarul bunurilor sunt înregistrați în scopuri de TVA în Letonia. Potrivit cererii, sectorul lemnului este deosebit de vulnerabil la frauda în materie de TVA, deoarece este foarte dificil să se urmărească circulația materialelor și tranzacțiile aferente. Inițial, procedura de taxare inversă a TVA a fost aplicată numai livrărilor de lemn. Treptat, riscul de fraudă a crescut ca urmare a evoluției pieței lemnului, prin urmare, începând cu 1 aprilie 2001, procedura de taxare inversă a fost extinsă la anumite servicii furnizate în cadrul tranzacțiilor cu lemn. Cu toate acestea, de-a lungul timpului, frauda din sectorul lemnului s-a îndreptat către alte tranzacții conexe care nu făceau obiectul procedurii de taxare inversă a TVA, de exemplu, tranzacțiile cu produse secundare din lemn. În consecință, domeniul de aplicare al procedurii de taxare inversă a TVA a fost extins la alte furnizări de bunuri și servicii, reducând astfel posibilitățile de fraudă. </w:t>
      </w:r>
    </w:p>
    <w:p w14:paraId="3FBA0AA5" w14:textId="1EFC6830" w:rsidR="002A4424" w:rsidRPr="00CA1DFA" w:rsidRDefault="002A4424" w:rsidP="00D745C7">
      <w:pPr>
        <w:pBdr>
          <w:top w:val="nil"/>
          <w:left w:val="nil"/>
          <w:bottom w:val="nil"/>
          <w:right w:val="nil"/>
          <w:between w:val="nil"/>
          <w:bar w:val="nil"/>
        </w:pBdr>
        <w:spacing w:before="0" w:after="240"/>
        <w:rPr>
          <w:noProof/>
        </w:rPr>
      </w:pPr>
      <w:r w:rsidRPr="00CA1DFA">
        <w:rPr>
          <w:noProof/>
        </w:rPr>
        <w:t xml:space="preserve">Conform estimărilor incluse în cerere, pe baza datelor furnizate de Biroul Central de Statistică pentru anul 2020, consumul intermediar din sector reprezintă 69 % din produsele fabricate și serviciile conexe prestate în sectoarele silviculturii și exploatării forestiere (NACE Rev. 2, cod 02). Exporturile reprezintă 18,9 %, în timp ce doar 10,5 % din volumul producției este destinat consumului gospodăriilor. În ceea ce privește producția de lemn și produse din lemn și plută, cu excepția mobilei (NACE Rev. 2, cod 16), 59,9 % sunt destinate exportului. 37,4 % din produse sunt utilizate în consumul intermediar din sector și doar 1,4 % din produse sunt destinate consumului final al gospodăriilor. Conform informațiilor furnizate de experții din sector, tranzacțiile cu lemn care fac obiectul procedurii de taxare inversă a TVA reprezintă aproximativ 2,0 miliarde EUR. </w:t>
      </w:r>
    </w:p>
    <w:p w14:paraId="4AC650F7" w14:textId="57B8EF64" w:rsidR="004619EE" w:rsidRPr="00CA1DFA" w:rsidRDefault="004619EE" w:rsidP="00D745C7">
      <w:pPr>
        <w:pBdr>
          <w:top w:val="nil"/>
          <w:left w:val="nil"/>
          <w:bottom w:val="nil"/>
          <w:right w:val="nil"/>
          <w:between w:val="nil"/>
          <w:bar w:val="nil"/>
        </w:pBdr>
        <w:spacing w:before="0" w:after="240"/>
        <w:rPr>
          <w:noProof/>
        </w:rPr>
      </w:pPr>
      <w:r w:rsidRPr="00CA1DFA">
        <w:rPr>
          <w:noProof/>
        </w:rPr>
        <w:t>La 1 ianuarie 2021, existau 5 389 de persoane impozabile (persoane juridice) înregistrate în sectorul lemnului, din care 3 418 erau plătitoare de TVA.</w:t>
      </w:r>
    </w:p>
    <w:p w14:paraId="5F373D0C" w14:textId="05C53202" w:rsidR="00D745C7" w:rsidRPr="00CA1DFA" w:rsidRDefault="00B5351B" w:rsidP="00D745C7">
      <w:pPr>
        <w:pBdr>
          <w:top w:val="nil"/>
          <w:left w:val="nil"/>
          <w:bottom w:val="nil"/>
          <w:right w:val="nil"/>
          <w:between w:val="nil"/>
          <w:bar w:val="nil"/>
        </w:pBdr>
        <w:spacing w:before="0" w:after="240"/>
        <w:rPr>
          <w:noProof/>
        </w:rPr>
      </w:pPr>
      <w:r w:rsidRPr="00CA1DFA">
        <w:rPr>
          <w:noProof/>
        </w:rPr>
        <w:t>Prelungirea acestei măsuri nu va avea un impact negativ asupra valorii totale a veniturilor din TVA colectate în etapa consumului final și, ca atare, nu afectează resursele proprii ale Uniunii provenind din TVA.</w:t>
      </w:r>
    </w:p>
    <w:p w14:paraId="652DDEC8" w14:textId="77777777" w:rsidR="00391376" w:rsidRPr="00CA1DFA" w:rsidRDefault="00391376" w:rsidP="00D745C7">
      <w:pPr>
        <w:pBdr>
          <w:top w:val="nil"/>
          <w:left w:val="nil"/>
          <w:bottom w:val="nil"/>
          <w:right w:val="nil"/>
          <w:between w:val="nil"/>
          <w:bar w:val="nil"/>
        </w:pBdr>
        <w:spacing w:before="0" w:after="240"/>
        <w:rPr>
          <w:rFonts w:eastAsia="Arial Unicode MS"/>
          <w:noProof/>
        </w:rPr>
      </w:pPr>
    </w:p>
    <w:p w14:paraId="2BC88E4D" w14:textId="77777777" w:rsidR="00391376" w:rsidRPr="00CA1DFA" w:rsidRDefault="00391376" w:rsidP="00550536">
      <w:pPr>
        <w:pStyle w:val="ManualHeading1"/>
        <w:rPr>
          <w:noProof/>
        </w:rPr>
      </w:pPr>
      <w:r w:rsidRPr="00CA1DFA">
        <w:rPr>
          <w:noProof/>
        </w:rPr>
        <w:t>4.</w:t>
      </w:r>
      <w:r w:rsidRPr="00CA1DFA">
        <w:rPr>
          <w:noProof/>
        </w:rPr>
        <w:tab/>
        <w:t>IMPLICAȚII BUGETARE</w:t>
      </w:r>
    </w:p>
    <w:p w14:paraId="4807EC2D" w14:textId="77777777" w:rsidR="00D745C7" w:rsidRPr="00CA1DFA" w:rsidRDefault="00D745C7" w:rsidP="00D745C7">
      <w:pPr>
        <w:rPr>
          <w:noProof/>
        </w:rPr>
      </w:pPr>
      <w:r w:rsidRPr="00CA1DFA">
        <w:rPr>
          <w:noProof/>
        </w:rPr>
        <w:t xml:space="preserve">Propunerea nu are nicio implicație pentru bugetul UE. </w:t>
      </w:r>
    </w:p>
    <w:p w14:paraId="72FC49C5" w14:textId="77777777" w:rsidR="00391376" w:rsidRPr="00CA1DFA" w:rsidRDefault="00391376" w:rsidP="00550536">
      <w:pPr>
        <w:pStyle w:val="ManualHeading1"/>
        <w:rPr>
          <w:noProof/>
        </w:rPr>
      </w:pPr>
      <w:r w:rsidRPr="00CA1DFA">
        <w:rPr>
          <w:noProof/>
        </w:rPr>
        <w:t>5.</w:t>
      </w:r>
      <w:r w:rsidRPr="00CA1DFA">
        <w:rPr>
          <w:noProof/>
        </w:rPr>
        <w:tab/>
        <w:t>ALTE ELEMENTE</w:t>
      </w:r>
    </w:p>
    <w:p w14:paraId="53A6F916" w14:textId="77777777" w:rsidR="00D745C7" w:rsidRPr="00CA1DFA" w:rsidRDefault="00D745C7" w:rsidP="00D745C7">
      <w:pPr>
        <w:rPr>
          <w:noProof/>
        </w:rPr>
      </w:pPr>
      <w:r w:rsidRPr="00CA1DFA">
        <w:rPr>
          <w:noProof/>
        </w:rPr>
        <w:t>Propunerea este limitată în timp.</w:t>
      </w:r>
    </w:p>
    <w:p w14:paraId="7925D37B" w14:textId="77777777" w:rsidR="00391376" w:rsidRPr="00CA1DFA" w:rsidRDefault="00391376" w:rsidP="00C434E6">
      <w:pPr>
        <w:rPr>
          <w:noProof/>
        </w:rPr>
        <w:sectPr w:rsidR="00391376" w:rsidRPr="00CA1DFA" w:rsidSect="00116A22">
          <w:footerReference w:type="default" r:id="rId10"/>
          <w:footerReference w:type="first" r:id="rId11"/>
          <w:pgSz w:w="11907" w:h="16839"/>
          <w:pgMar w:top="1134" w:right="1417" w:bottom="1134" w:left="1417" w:header="709" w:footer="709" w:gutter="0"/>
          <w:cols w:space="708"/>
          <w:docGrid w:linePitch="360"/>
        </w:sectPr>
      </w:pPr>
    </w:p>
    <w:p w14:paraId="50423A9F" w14:textId="451BC215" w:rsidR="00BD0264" w:rsidRDefault="00BD0264" w:rsidP="00BD0264">
      <w:pPr>
        <w:pStyle w:val="Rfrenceinterinstitutionnelle"/>
        <w:rPr>
          <w:noProof/>
        </w:rPr>
      </w:pPr>
      <w:r w:rsidRPr="00BD0264">
        <w:t>2021/0386 (NLE)</w:t>
      </w:r>
    </w:p>
    <w:p w14:paraId="3B2F21A6" w14:textId="44FA4552" w:rsidR="00391376" w:rsidRPr="00CA1DFA" w:rsidRDefault="00CA1DFA" w:rsidP="00CA1DFA">
      <w:pPr>
        <w:pStyle w:val="Statut"/>
        <w:rPr>
          <w:noProof/>
        </w:rPr>
      </w:pPr>
      <w:r w:rsidRPr="00CA1DFA">
        <w:rPr>
          <w:noProof/>
        </w:rPr>
        <w:t>Propunere de</w:t>
      </w:r>
    </w:p>
    <w:p w14:paraId="1A2AC2D6" w14:textId="194C5352" w:rsidR="00391376" w:rsidRPr="00CA1DFA" w:rsidRDefault="00CA1DFA" w:rsidP="00CA1DFA">
      <w:pPr>
        <w:pStyle w:val="Typedudocument"/>
        <w:rPr>
          <w:noProof/>
        </w:rPr>
      </w:pPr>
      <w:r w:rsidRPr="00CA1DFA">
        <w:rPr>
          <w:noProof/>
        </w:rPr>
        <w:t>DECIZIE DE PUNERE ÎN APLICARE A CONSILIULUI</w:t>
      </w:r>
    </w:p>
    <w:p w14:paraId="758143EF" w14:textId="29299CE3" w:rsidR="00391376" w:rsidRPr="00CA1DFA" w:rsidRDefault="00CA1DFA" w:rsidP="00CA1DFA">
      <w:pPr>
        <w:pStyle w:val="Titreobjet"/>
        <w:rPr>
          <w:noProof/>
        </w:rPr>
      </w:pPr>
      <w:r w:rsidRPr="00CA1DFA">
        <w:rPr>
          <w:noProof/>
        </w:rPr>
        <w:t>de modificare a Deciziei de punere în aplicare 2009/1008/UE de autorizare a Republicii Letonia în vederea aplicării în continuare a unei măsuri de derogare de la dispozițiile articolului 193 din Directiva 2006/112/CE privind sistemul comun al taxei pe valoarea adăugată</w:t>
      </w:r>
    </w:p>
    <w:p w14:paraId="7B1830DD" w14:textId="77777777" w:rsidR="00391376" w:rsidRPr="00CA1DFA" w:rsidRDefault="00391376" w:rsidP="00210EE2">
      <w:pPr>
        <w:pStyle w:val="Institutionquiagit"/>
        <w:rPr>
          <w:noProof/>
        </w:rPr>
      </w:pPr>
      <w:r w:rsidRPr="00CA1DFA">
        <w:rPr>
          <w:noProof/>
        </w:rPr>
        <w:t>CONSILIUL UNIUNII EUROPENE,</w:t>
      </w:r>
    </w:p>
    <w:p w14:paraId="6A179707" w14:textId="77777777" w:rsidR="00391376" w:rsidRPr="00CA1DFA" w:rsidRDefault="00391376" w:rsidP="00210EE2">
      <w:pPr>
        <w:rPr>
          <w:noProof/>
        </w:rPr>
      </w:pPr>
      <w:r w:rsidRPr="00CA1DFA">
        <w:rPr>
          <w:noProof/>
        </w:rPr>
        <w:t xml:space="preserve">având în vedere Tratatul privind funcționarea Uniunii Europene, </w:t>
      </w:r>
    </w:p>
    <w:p w14:paraId="2609D46A" w14:textId="791C2E65" w:rsidR="00391376" w:rsidRPr="00CA1DFA" w:rsidRDefault="00391376" w:rsidP="00210EE2">
      <w:pPr>
        <w:rPr>
          <w:noProof/>
        </w:rPr>
      </w:pPr>
      <w:r w:rsidRPr="00CA1DFA">
        <w:rPr>
          <w:noProof/>
        </w:rPr>
        <w:t>având în vedere Directiva 2006/112/CE a Consiliului din 28 noiembrie 2006 privind sistemul comun al taxei pe valoarea adăugată</w:t>
      </w:r>
      <w:r w:rsidRPr="00CA1DFA">
        <w:rPr>
          <w:rStyle w:val="FootnoteReference"/>
          <w:noProof/>
        </w:rPr>
        <w:footnoteReference w:id="13"/>
      </w:r>
      <w:r w:rsidRPr="00CA1DFA">
        <w:rPr>
          <w:noProof/>
        </w:rPr>
        <w:t>, în special articolul 395 alineatul (1),</w:t>
      </w:r>
    </w:p>
    <w:p w14:paraId="6226BD6C" w14:textId="77777777" w:rsidR="00391376" w:rsidRPr="00CA1DFA" w:rsidRDefault="00391376" w:rsidP="00210EE2">
      <w:pPr>
        <w:rPr>
          <w:noProof/>
        </w:rPr>
      </w:pPr>
      <w:r w:rsidRPr="00CA1DFA">
        <w:rPr>
          <w:noProof/>
        </w:rPr>
        <w:t>având în vedere propunerea Comisiei Europene,</w:t>
      </w:r>
    </w:p>
    <w:p w14:paraId="033DCD0D" w14:textId="77777777" w:rsidR="00391376" w:rsidRPr="00CA1DFA" w:rsidRDefault="00391376" w:rsidP="00210EE2">
      <w:pPr>
        <w:rPr>
          <w:noProof/>
        </w:rPr>
      </w:pPr>
      <w:r w:rsidRPr="00CA1DFA">
        <w:rPr>
          <w:noProof/>
        </w:rPr>
        <w:t>întrucât:</w:t>
      </w:r>
    </w:p>
    <w:p w14:paraId="0D0A4363" w14:textId="237B3734" w:rsidR="00D617C3" w:rsidRPr="00CA1DFA" w:rsidRDefault="00171F0A" w:rsidP="00171F0A">
      <w:pPr>
        <w:pStyle w:val="ManualConsidrant"/>
        <w:rPr>
          <w:noProof/>
        </w:rPr>
      </w:pPr>
      <w:r w:rsidRPr="00171F0A">
        <w:t>(1)</w:t>
      </w:r>
      <w:r w:rsidRPr="00171F0A">
        <w:tab/>
      </w:r>
      <w:r w:rsidR="00D617C3" w:rsidRPr="00CA1DFA">
        <w:rPr>
          <w:noProof/>
        </w:rPr>
        <w:t>Decizia 2006/42/CE a Consiliului</w:t>
      </w:r>
      <w:r w:rsidR="00D617C3" w:rsidRPr="00CA1DFA">
        <w:rPr>
          <w:rStyle w:val="FootnoteReference"/>
          <w:noProof/>
        </w:rPr>
        <w:footnoteReference w:id="14"/>
      </w:r>
      <w:r w:rsidR="00D617C3" w:rsidRPr="00CA1DFA">
        <w:rPr>
          <w:noProof/>
        </w:rPr>
        <w:t xml:space="preserve"> a autorizat Letonia să aplice o măsură specială de derogare de la articolul 21 alineatul (1) litera (a) din Directiva 77/388/CEE</w:t>
      </w:r>
      <w:r w:rsidR="00D617C3" w:rsidRPr="00CA1DFA">
        <w:rPr>
          <w:rStyle w:val="FootnoteReference"/>
          <w:noProof/>
        </w:rPr>
        <w:footnoteReference w:id="15"/>
      </w:r>
      <w:r w:rsidR="00D617C3" w:rsidRPr="00CA1DFA">
        <w:rPr>
          <w:noProof/>
        </w:rPr>
        <w:t>, constând în desemnarea destinatarului drept persoana căreia îi revine obligația plății taxei pe valoarea adăugată (TVA) pentru furnizarea de lemn sau prestarea de servicii conexe, până la 31 decembrie 2009. Prin Decizia de punere în aplicare 2009/1008/UE a Consiliului</w:t>
      </w:r>
      <w:r w:rsidR="00D617C3" w:rsidRPr="00CA1DFA">
        <w:rPr>
          <w:rStyle w:val="FootnoteReference"/>
          <w:noProof/>
        </w:rPr>
        <w:footnoteReference w:id="16"/>
      </w:r>
      <w:r w:rsidR="00D617C3" w:rsidRPr="00CA1DFA">
        <w:rPr>
          <w:noProof/>
        </w:rPr>
        <w:t>, Letonia a fost autorizată, prin derogare de la articolul 193 din Directiva 2006/112/CE, să continue să desemneze destinatarul lemnului sau al serviciilor conexe drept persoana căreia îi revine obligația plății TVA în cazul tranzacțiilor de pe piața lemnului, până la 31 decembrie 2012 (denumită în continuare „măsura specială”). În urma unor prelungiri succesive, această autorizație expiră la 31 decembrie 2021</w:t>
      </w:r>
      <w:r w:rsidR="00D617C3" w:rsidRPr="00CA1DFA">
        <w:rPr>
          <w:rStyle w:val="FootnoteReference"/>
          <w:noProof/>
        </w:rPr>
        <w:footnoteReference w:id="17"/>
      </w:r>
      <w:r w:rsidR="00D617C3" w:rsidRPr="00CA1DFA">
        <w:rPr>
          <w:noProof/>
        </w:rPr>
        <w:t xml:space="preserve">. </w:t>
      </w:r>
    </w:p>
    <w:p w14:paraId="33D5FDA5" w14:textId="1D6AC102" w:rsidR="00D617C3" w:rsidRPr="00CA1DFA" w:rsidRDefault="00171F0A" w:rsidP="00171F0A">
      <w:pPr>
        <w:pStyle w:val="ManualConsidrant"/>
        <w:rPr>
          <w:noProof/>
        </w:rPr>
      </w:pPr>
      <w:r w:rsidRPr="00171F0A">
        <w:t>(2)</w:t>
      </w:r>
      <w:r w:rsidRPr="00171F0A">
        <w:tab/>
      </w:r>
      <w:r w:rsidR="00D617C3" w:rsidRPr="00CA1DFA">
        <w:rPr>
          <w:noProof/>
        </w:rPr>
        <w:t>Prin scrisoarea înregistrată de Comisie la 4 aprilie 2021, Letonia a solicitat autorizația de a continua să aplice măsura specială. Odată cu scrisoarea respectivă, Letonia a transmis un raport privind aplicarea măsurii speciale.</w:t>
      </w:r>
    </w:p>
    <w:p w14:paraId="33708240" w14:textId="410CA6E0" w:rsidR="00D617C3" w:rsidRPr="00CA1DFA" w:rsidRDefault="00171F0A" w:rsidP="00171F0A">
      <w:pPr>
        <w:pStyle w:val="ManualConsidrant"/>
        <w:rPr>
          <w:noProof/>
        </w:rPr>
      </w:pPr>
      <w:r w:rsidRPr="00171F0A">
        <w:t>(3)</w:t>
      </w:r>
      <w:r w:rsidRPr="00171F0A">
        <w:tab/>
      </w:r>
      <w:r w:rsidR="00D617C3" w:rsidRPr="00CA1DFA">
        <w:rPr>
          <w:noProof/>
        </w:rPr>
        <w:t xml:space="preserve">În conformitate cu articolul 395 alineatul (2) al doilea paragraf din Directiva 2006/112/CE, Comisia a informat celelalte state membre, prin scrisori datate 9 august 2021, și Spania prin scrisoarea din 10 august 2021, cu privire la cererea înaintată de Letonia. Printr-o scrisoare din data de 10 august 2021, Comisia a informat Letonia că deține toate informațiile necesare pentru a analiza cererea. </w:t>
      </w:r>
    </w:p>
    <w:p w14:paraId="1A40A76E" w14:textId="70748484" w:rsidR="00DB1ECA" w:rsidRPr="00CA1DFA" w:rsidRDefault="00171F0A" w:rsidP="00171F0A">
      <w:pPr>
        <w:pStyle w:val="ManualConsidrant"/>
        <w:rPr>
          <w:noProof/>
        </w:rPr>
      </w:pPr>
      <w:r w:rsidRPr="00171F0A">
        <w:t>(4)</w:t>
      </w:r>
      <w:r w:rsidRPr="00171F0A">
        <w:tab/>
      </w:r>
      <w:r w:rsidR="00DB1ECA" w:rsidRPr="00CA1DFA">
        <w:rPr>
          <w:noProof/>
        </w:rPr>
        <w:t xml:space="preserve">Potrivit Letoniei, piața lemnului, care este unul dintre cele mai importante sectoare ale economiei sale, este deosebit de sensibilă la frauda în domeniul TVA, deoarece este dominată de un număr mare de mici operatori locali și furnizori individuali. Natura pieței și a întreprinderilor implicate a condus la fraude în domeniul TVA, considerate de autoritățile fiscale letone ca fiind dificil de controlat. Pentru a combate acest abuz, autoritățile fiscale letone au introdus mecanismul de taxare inversă pentru plata TVA în cazul tranzacțiilor cu lemn, care s-a dovedit a fi foarte eficace și a redus semnificativ frauda de pe piața respectivă, potrivit raportului prezentat de Letonia. </w:t>
      </w:r>
    </w:p>
    <w:p w14:paraId="06F7D391" w14:textId="7AA6EA39" w:rsidR="00D617C3" w:rsidRPr="00CA1DFA" w:rsidRDefault="00171F0A" w:rsidP="00171F0A">
      <w:pPr>
        <w:pStyle w:val="ManualConsidrant"/>
        <w:rPr>
          <w:noProof/>
        </w:rPr>
      </w:pPr>
      <w:r w:rsidRPr="00171F0A">
        <w:t>(5)</w:t>
      </w:r>
      <w:r w:rsidRPr="00171F0A">
        <w:tab/>
      </w:r>
      <w:r w:rsidR="00D617C3" w:rsidRPr="00CA1DFA">
        <w:rPr>
          <w:noProof/>
        </w:rPr>
        <w:t xml:space="preserve">În general, derogările se acordă pe o perioadă limitată, pentru a se putea evalua dacă măsura specială respectivă este sau nu adecvată și eficace. Derogările acordă statelor membre timpul necesar pentru a introduce alte măsuri convenționale la nivel național pentru a monitoriza circulația materialelor, plata TVA și conformitatea persoanelor impozabile, ceea ce ar combate problema respectivă până la expirarea măsurii de derogare, făcând astfel ca o prelungire a derogării să fie inutilă. O derogare care permite utilizarea mecanismului de taxare inversă este acordată numai în mod excepțional pentru anumite domenii unde se observă fraude și constituie un mijloc de ultimă instanță. Prin urmare, înainte de expirarea prelungirii măsurii speciale prevăzute în prezenta decizie de punere în aplicare, Letonia trebuie să pună în aplicare alte măsuri convenționale de combatere și prevenire a fraudei în materie de TVA pe piața lemnului, astfel încât să nu mai fie necesară o altă prelungire a măsurii speciale.   </w:t>
      </w:r>
    </w:p>
    <w:p w14:paraId="57BFD285" w14:textId="151C52F3" w:rsidR="00BD6F9E" w:rsidRPr="00CA1DFA" w:rsidRDefault="00171F0A" w:rsidP="00171F0A">
      <w:pPr>
        <w:pStyle w:val="ManualConsidrant"/>
        <w:rPr>
          <w:noProof/>
        </w:rPr>
      </w:pPr>
      <w:r w:rsidRPr="00171F0A">
        <w:t>(6)</w:t>
      </w:r>
      <w:r w:rsidRPr="00171F0A">
        <w:tab/>
      </w:r>
      <w:r w:rsidR="00BD6F9E" w:rsidRPr="00CA1DFA">
        <w:rPr>
          <w:noProof/>
        </w:rPr>
        <w:t xml:space="preserve">Este necesar așadar ca Letonia să fie autorizată să aplice măsura specială doar până la 31 decembrie 2024. </w:t>
      </w:r>
    </w:p>
    <w:p w14:paraId="6C7C03C4" w14:textId="5F59DA66" w:rsidR="00D617C3" w:rsidRPr="00CA1DFA" w:rsidRDefault="00171F0A" w:rsidP="00171F0A">
      <w:pPr>
        <w:pStyle w:val="ManualConsidrant"/>
        <w:rPr>
          <w:noProof/>
        </w:rPr>
      </w:pPr>
      <w:r w:rsidRPr="00171F0A">
        <w:t>(7)</w:t>
      </w:r>
      <w:r w:rsidRPr="00171F0A">
        <w:tab/>
      </w:r>
      <w:r w:rsidR="00D617C3" w:rsidRPr="00CA1DFA">
        <w:rPr>
          <w:noProof/>
        </w:rPr>
        <w:t>Măsura specială nu va avea un impact negativ asupra resurselor proprii ale Uniunii provenind din TVA.</w:t>
      </w:r>
    </w:p>
    <w:p w14:paraId="6CA968D7" w14:textId="754B2866" w:rsidR="00D617C3" w:rsidRPr="00CA1DFA" w:rsidRDefault="00171F0A" w:rsidP="00171F0A">
      <w:pPr>
        <w:pStyle w:val="ManualConsidrant"/>
        <w:rPr>
          <w:noProof/>
        </w:rPr>
      </w:pPr>
      <w:r w:rsidRPr="00171F0A">
        <w:t>(8)</w:t>
      </w:r>
      <w:r w:rsidRPr="00171F0A">
        <w:tab/>
      </w:r>
      <w:r w:rsidR="00D617C3" w:rsidRPr="00CA1DFA">
        <w:rPr>
          <w:noProof/>
        </w:rPr>
        <w:t>Prin urmare, Decizia de punere în aplicare 2009/1008/UE trebuie modificată în consecință,</w:t>
      </w:r>
    </w:p>
    <w:p w14:paraId="667A6DF8" w14:textId="77777777" w:rsidR="00391376" w:rsidRPr="00CA1DFA" w:rsidRDefault="00391376" w:rsidP="00210EE2">
      <w:pPr>
        <w:pStyle w:val="Formuledadoption"/>
        <w:rPr>
          <w:noProof/>
        </w:rPr>
      </w:pPr>
      <w:r w:rsidRPr="00CA1DFA">
        <w:rPr>
          <w:noProof/>
        </w:rPr>
        <w:t xml:space="preserve">ADOPTĂ PREZENTA DECIZIE: </w:t>
      </w:r>
    </w:p>
    <w:p w14:paraId="01D9AA59" w14:textId="77777777" w:rsidR="00391376" w:rsidRPr="00CA1DFA" w:rsidRDefault="00391376" w:rsidP="00210EE2">
      <w:pPr>
        <w:pStyle w:val="Titrearticle"/>
        <w:rPr>
          <w:noProof/>
        </w:rPr>
      </w:pPr>
      <w:r w:rsidRPr="00CA1DFA">
        <w:rPr>
          <w:noProof/>
        </w:rPr>
        <w:t>Articolul 1</w:t>
      </w:r>
    </w:p>
    <w:p w14:paraId="1668D759" w14:textId="77777777" w:rsidR="00391376" w:rsidRPr="00CA1DFA" w:rsidRDefault="00D745C7" w:rsidP="00210EE2">
      <w:pPr>
        <w:rPr>
          <w:noProof/>
          <w:szCs w:val="24"/>
        </w:rPr>
      </w:pPr>
      <w:r w:rsidRPr="00CA1DFA">
        <w:rPr>
          <w:noProof/>
          <w:szCs w:val="24"/>
          <w:shd w:val="clear" w:color="auto" w:fill="FFFFFF"/>
        </w:rPr>
        <w:t>Articolul 2 din Decizia de punere în aplicare 2009/1008/UE se înlocuiește cu următorul text:</w:t>
      </w:r>
      <w:r w:rsidRPr="00CA1DFA">
        <w:rPr>
          <w:noProof/>
        </w:rPr>
        <w:t xml:space="preserve"> </w:t>
      </w:r>
    </w:p>
    <w:p w14:paraId="4F1A41F5" w14:textId="014F00A0" w:rsidR="00D745C7" w:rsidRPr="00CA1DFA" w:rsidRDefault="00D745C7" w:rsidP="00D745C7">
      <w:pPr>
        <w:pStyle w:val="ti-art"/>
        <w:shd w:val="clear" w:color="auto" w:fill="FFFFFF"/>
        <w:spacing w:before="360" w:beforeAutospacing="0" w:after="120" w:afterAutospacing="0" w:line="312" w:lineRule="atLeast"/>
        <w:jc w:val="center"/>
        <w:rPr>
          <w:i/>
          <w:iCs/>
          <w:noProof/>
        </w:rPr>
      </w:pPr>
      <w:r w:rsidRPr="00CA1DFA">
        <w:rPr>
          <w:i/>
          <w:iCs/>
          <w:noProof/>
        </w:rPr>
        <w:t>„Articolul 2</w:t>
      </w:r>
    </w:p>
    <w:p w14:paraId="3D612F91" w14:textId="409F3BFA" w:rsidR="00D745C7" w:rsidRPr="00CA1DFA" w:rsidRDefault="00D745C7" w:rsidP="00D745C7">
      <w:pPr>
        <w:pStyle w:val="Normal1"/>
        <w:shd w:val="clear" w:color="auto" w:fill="FFFFFF"/>
        <w:spacing w:before="120" w:beforeAutospacing="0" w:after="0" w:afterAutospacing="0" w:line="312" w:lineRule="atLeast"/>
        <w:jc w:val="both"/>
        <w:rPr>
          <w:noProof/>
        </w:rPr>
      </w:pPr>
      <w:r w:rsidRPr="00CA1DFA">
        <w:rPr>
          <w:noProof/>
        </w:rPr>
        <w:t>Prezenta decizie se aplică până la 31 decembrie 2024.”</w:t>
      </w:r>
    </w:p>
    <w:p w14:paraId="1A7586F5" w14:textId="19F2AD8E" w:rsidR="00391376" w:rsidRPr="00CA1DFA" w:rsidRDefault="00D745C7" w:rsidP="00210EE2">
      <w:pPr>
        <w:pStyle w:val="Titrearticle"/>
        <w:rPr>
          <w:noProof/>
          <w:szCs w:val="24"/>
        </w:rPr>
      </w:pPr>
      <w:r w:rsidRPr="00CA1DFA">
        <w:rPr>
          <w:noProof/>
        </w:rPr>
        <w:t>Articolul 2</w:t>
      </w:r>
    </w:p>
    <w:p w14:paraId="1FA545E5" w14:textId="42FE9DCB" w:rsidR="00D745C7" w:rsidRPr="00CA1DFA" w:rsidRDefault="00D745C7" w:rsidP="00D745C7">
      <w:pPr>
        <w:pStyle w:val="Normal1"/>
        <w:shd w:val="clear" w:color="auto" w:fill="FFFFFF"/>
        <w:spacing w:before="120" w:beforeAutospacing="0" w:after="0" w:afterAutospacing="0" w:line="312" w:lineRule="atLeast"/>
        <w:jc w:val="both"/>
        <w:rPr>
          <w:noProof/>
        </w:rPr>
      </w:pPr>
      <w:r w:rsidRPr="00CA1DFA">
        <w:rPr>
          <w:noProof/>
        </w:rPr>
        <w:t>Prezenta decizie se adresează Republicii Letonia.</w:t>
      </w:r>
    </w:p>
    <w:p w14:paraId="2277215C" w14:textId="1D1F5FD7" w:rsidR="00D745C7" w:rsidRPr="00CA1DFA" w:rsidRDefault="00D745C7" w:rsidP="00D745C7">
      <w:pPr>
        <w:pStyle w:val="Normal1"/>
        <w:shd w:val="clear" w:color="auto" w:fill="FFFFFF"/>
        <w:spacing w:before="120" w:beforeAutospacing="0" w:after="0" w:afterAutospacing="0" w:line="312" w:lineRule="atLeast"/>
        <w:jc w:val="both"/>
        <w:rPr>
          <w:noProof/>
          <w:color w:val="444444"/>
          <w:sz w:val="27"/>
          <w:szCs w:val="27"/>
        </w:rPr>
      </w:pPr>
    </w:p>
    <w:p w14:paraId="4F477E9E" w14:textId="5BCE08EF" w:rsidR="00391376" w:rsidRPr="00CA1DFA" w:rsidRDefault="008C4EC4" w:rsidP="00C85CEE">
      <w:pPr>
        <w:pStyle w:val="Fait"/>
        <w:rPr>
          <w:noProof/>
        </w:rPr>
      </w:pPr>
      <w:r w:rsidRPr="008C4EC4">
        <w:t>Adoptată la Bruxelles,</w:t>
      </w:r>
    </w:p>
    <w:p w14:paraId="04D15615" w14:textId="77777777" w:rsidR="00391376" w:rsidRPr="00CA1DFA" w:rsidRDefault="00391376" w:rsidP="00C85CEE">
      <w:pPr>
        <w:pStyle w:val="Institutionquisigne"/>
        <w:rPr>
          <w:noProof/>
        </w:rPr>
      </w:pPr>
      <w:r w:rsidRPr="00CA1DFA">
        <w:rPr>
          <w:noProof/>
        </w:rPr>
        <w:tab/>
        <w:t>Pentru Consiliu</w:t>
      </w:r>
    </w:p>
    <w:p w14:paraId="6DE01F92" w14:textId="77777777" w:rsidR="00391376" w:rsidRPr="00CA1DFA" w:rsidRDefault="00391376" w:rsidP="00391376">
      <w:pPr>
        <w:pStyle w:val="Personnequisigne"/>
        <w:rPr>
          <w:noProof/>
        </w:rPr>
      </w:pPr>
      <w:r w:rsidRPr="00CA1DFA">
        <w:rPr>
          <w:noProof/>
        </w:rPr>
        <w:tab/>
        <w:t>Președintele</w:t>
      </w:r>
    </w:p>
    <w:sectPr w:rsidR="00391376" w:rsidRPr="00CA1DFA" w:rsidSect="00116A22">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1904D" w14:textId="77777777" w:rsidR="00EF6093" w:rsidRDefault="00EF6093" w:rsidP="00391376">
      <w:pPr>
        <w:spacing w:before="0" w:after="0"/>
      </w:pPr>
      <w:r>
        <w:separator/>
      </w:r>
    </w:p>
    <w:p w14:paraId="6A09B54F" w14:textId="77777777" w:rsidR="00EF6093" w:rsidRDefault="00EF6093"/>
  </w:endnote>
  <w:endnote w:type="continuationSeparator" w:id="0">
    <w:p w14:paraId="16E39101" w14:textId="77777777" w:rsidR="00EF6093" w:rsidRDefault="00EF6093" w:rsidP="00391376">
      <w:pPr>
        <w:spacing w:before="0" w:after="0"/>
      </w:pPr>
      <w:r>
        <w:continuationSeparator/>
      </w:r>
    </w:p>
    <w:p w14:paraId="333E82B8" w14:textId="77777777" w:rsidR="00EF6093" w:rsidRDefault="00EF6093"/>
  </w:endnote>
  <w:endnote w:type="continuationNotice" w:id="1">
    <w:p w14:paraId="13404F9E" w14:textId="77777777" w:rsidR="00EF6093" w:rsidRDefault="00EF609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7CCB0" w14:textId="6FD75A79" w:rsidR="00CA1DFA" w:rsidRPr="00116A22" w:rsidRDefault="00116A22" w:rsidP="00116A22">
    <w:pPr>
      <w:pStyle w:val="Footer"/>
      <w:rPr>
        <w:rFonts w:ascii="Arial" w:hAnsi="Arial" w:cs="Arial"/>
        <w:b/>
        <w:sz w:val="48"/>
      </w:rPr>
    </w:pPr>
    <w:r w:rsidRPr="00116A22">
      <w:rPr>
        <w:rFonts w:ascii="Arial" w:hAnsi="Arial" w:cs="Arial"/>
        <w:b/>
        <w:sz w:val="48"/>
      </w:rPr>
      <w:t>RO</w:t>
    </w:r>
    <w:r w:rsidRPr="00116A22">
      <w:rPr>
        <w:rFonts w:ascii="Arial" w:hAnsi="Arial" w:cs="Arial"/>
        <w:b/>
        <w:sz w:val="48"/>
      </w:rPr>
      <w:tab/>
    </w:r>
    <w:r w:rsidRPr="00116A22">
      <w:rPr>
        <w:rFonts w:ascii="Arial" w:hAnsi="Arial" w:cs="Arial"/>
        <w:b/>
        <w:sz w:val="48"/>
      </w:rPr>
      <w:tab/>
    </w:r>
    <w:r w:rsidRPr="00116A22">
      <w:tab/>
    </w:r>
    <w:r w:rsidRPr="00116A22">
      <w:rPr>
        <w:rFonts w:ascii="Arial" w:hAnsi="Arial" w:cs="Arial"/>
        <w:b/>
        <w:sz w:val="48"/>
      </w:rPr>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3D2C2" w14:textId="7013A1FB" w:rsidR="00116A22" w:rsidRPr="00116A22" w:rsidRDefault="00116A22" w:rsidP="00116A22">
    <w:pPr>
      <w:pStyle w:val="Footer"/>
      <w:rPr>
        <w:rFonts w:ascii="Arial" w:hAnsi="Arial" w:cs="Arial"/>
        <w:b/>
        <w:sz w:val="48"/>
      </w:rPr>
    </w:pPr>
    <w:r w:rsidRPr="00116A22">
      <w:rPr>
        <w:rFonts w:ascii="Arial" w:hAnsi="Arial" w:cs="Arial"/>
        <w:b/>
        <w:sz w:val="48"/>
      </w:rPr>
      <w:t>RO</w:t>
    </w:r>
    <w:r w:rsidRPr="00116A22">
      <w:rPr>
        <w:rFonts w:ascii="Arial" w:hAnsi="Arial" w:cs="Arial"/>
        <w:b/>
        <w:sz w:val="48"/>
      </w:rPr>
      <w:tab/>
    </w:r>
    <w:r>
      <w:fldChar w:fldCharType="begin"/>
    </w:r>
    <w:r>
      <w:instrText xml:space="preserve"> PAGE  \* MERGEFORMAT </w:instrText>
    </w:r>
    <w:r>
      <w:fldChar w:fldCharType="separate"/>
    </w:r>
    <w:r w:rsidR="00C85CEE">
      <w:rPr>
        <w:noProof/>
      </w:rPr>
      <w:t>7</w:t>
    </w:r>
    <w:r>
      <w:fldChar w:fldCharType="end"/>
    </w:r>
    <w:r>
      <w:tab/>
    </w:r>
    <w:r w:rsidRPr="00116A22">
      <w:tab/>
    </w:r>
    <w:r w:rsidRPr="00116A22">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A96B8" w14:textId="77777777" w:rsidR="00116A22" w:rsidRPr="00116A22" w:rsidRDefault="00116A22" w:rsidP="00116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7D127" w14:textId="77777777" w:rsidR="00EF6093" w:rsidRDefault="00EF6093" w:rsidP="00391376">
      <w:pPr>
        <w:spacing w:before="0" w:after="0"/>
      </w:pPr>
      <w:r>
        <w:separator/>
      </w:r>
    </w:p>
    <w:p w14:paraId="716FA1DA" w14:textId="77777777" w:rsidR="00EF6093" w:rsidRDefault="00EF6093"/>
  </w:footnote>
  <w:footnote w:type="continuationSeparator" w:id="0">
    <w:p w14:paraId="59CE974A" w14:textId="77777777" w:rsidR="00EF6093" w:rsidRDefault="00EF6093" w:rsidP="00391376">
      <w:pPr>
        <w:spacing w:before="0" w:after="0"/>
      </w:pPr>
      <w:r>
        <w:continuationSeparator/>
      </w:r>
    </w:p>
    <w:p w14:paraId="658ECE58" w14:textId="77777777" w:rsidR="00EF6093" w:rsidRDefault="00EF6093"/>
  </w:footnote>
  <w:footnote w:type="continuationNotice" w:id="1">
    <w:p w14:paraId="7A991992" w14:textId="77777777" w:rsidR="00EF6093" w:rsidRDefault="00EF6093">
      <w:pPr>
        <w:spacing w:before="0" w:after="0"/>
      </w:pPr>
    </w:p>
  </w:footnote>
  <w:footnote w:id="2">
    <w:p w14:paraId="31C4F5A3" w14:textId="77777777" w:rsidR="00B12FDA" w:rsidRPr="003C03EA" w:rsidRDefault="00B12FDA" w:rsidP="00B12FDA">
      <w:pPr>
        <w:pStyle w:val="FootnoteText"/>
      </w:pPr>
      <w:r>
        <w:rPr>
          <w:rStyle w:val="FootnoteReference"/>
        </w:rPr>
        <w:footnoteRef/>
      </w:r>
      <w:r>
        <w:tab/>
        <w:t>JO L 347, 11.12.2006, p. 1.</w:t>
      </w:r>
    </w:p>
  </w:footnote>
  <w:footnote w:id="3">
    <w:p w14:paraId="116BE9BD" w14:textId="77777777" w:rsidR="007B42FC" w:rsidRPr="00560C2A" w:rsidRDefault="007B42FC" w:rsidP="007B42FC">
      <w:pPr>
        <w:pStyle w:val="FootnoteText"/>
      </w:pPr>
      <w:r>
        <w:rPr>
          <w:rStyle w:val="FootnoteReference"/>
        </w:rPr>
        <w:footnoteRef/>
      </w:r>
      <w:r>
        <w:tab/>
        <w:t>JO L 25, 28.1.2006, p. 31.</w:t>
      </w:r>
    </w:p>
  </w:footnote>
  <w:footnote w:id="4">
    <w:p w14:paraId="73F2B3AD" w14:textId="77777777" w:rsidR="007B42FC" w:rsidRPr="00F55ACA" w:rsidRDefault="007B42FC" w:rsidP="007B42FC">
      <w:pPr>
        <w:pStyle w:val="FootnoteText"/>
      </w:pPr>
      <w:r>
        <w:rPr>
          <w:rStyle w:val="FootnoteReference"/>
        </w:rPr>
        <w:footnoteRef/>
      </w:r>
      <w:r>
        <w:tab/>
        <w:t>JO L 347, 24.12.2009, p.30.</w:t>
      </w:r>
    </w:p>
  </w:footnote>
  <w:footnote w:id="5">
    <w:p w14:paraId="40E3E0A5" w14:textId="77777777" w:rsidR="007B42FC" w:rsidRPr="003C03EA" w:rsidRDefault="007B42FC" w:rsidP="007B42FC">
      <w:pPr>
        <w:pStyle w:val="FootnoteText"/>
      </w:pPr>
      <w:r>
        <w:rPr>
          <w:rStyle w:val="FootnoteReference"/>
        </w:rPr>
        <w:footnoteRef/>
      </w:r>
      <w:r>
        <w:tab/>
        <w:t>JO L 22, 25.1.2013, p.16.</w:t>
      </w:r>
    </w:p>
  </w:footnote>
  <w:footnote w:id="6">
    <w:p w14:paraId="012DE9E5" w14:textId="77777777" w:rsidR="007B42FC" w:rsidRPr="00363AF1" w:rsidRDefault="007B42FC" w:rsidP="007B42FC">
      <w:pPr>
        <w:pStyle w:val="FootnoteText"/>
      </w:pPr>
      <w:r>
        <w:rPr>
          <w:rStyle w:val="FootnoteReference"/>
        </w:rPr>
        <w:footnoteRef/>
      </w:r>
      <w:r>
        <w:tab/>
        <w:t>JO L 332, 18.12.2015, p.142.</w:t>
      </w:r>
    </w:p>
  </w:footnote>
  <w:footnote w:id="7">
    <w:p w14:paraId="5972A266" w14:textId="16E14B9D" w:rsidR="007B42FC" w:rsidRPr="00B12FDA" w:rsidRDefault="007B42FC" w:rsidP="007B42FC">
      <w:pPr>
        <w:pStyle w:val="FootnoteText"/>
      </w:pPr>
      <w:r>
        <w:rPr>
          <w:rStyle w:val="FootnoteReference"/>
        </w:rPr>
        <w:footnoteRef/>
      </w:r>
      <w:r>
        <w:tab/>
        <w:t>Decizia de punere în aplicare (UE) 2018/2006 a Consiliului din 11 decembrie 2018 de modificare a Deciziei de punere în aplicare 2009/1008/UE de autorizare a Republicii Letonia în vederea aplicării în continuare a unei măsuri de derogare de la dispozițiile articolului 193 din Directiva 2006/112/CE privind sistemul comun al taxei pe valoarea adăugată (JO L 322, 18.12.2018, p. 20-21).</w:t>
      </w:r>
    </w:p>
  </w:footnote>
  <w:footnote w:id="8">
    <w:p w14:paraId="5D05EF34" w14:textId="179B8E9A" w:rsidR="000E1118" w:rsidRPr="000E1118" w:rsidRDefault="000E1118" w:rsidP="00797A93">
      <w:pPr>
        <w:pStyle w:val="FootnoteText"/>
      </w:pPr>
      <w:r>
        <w:rPr>
          <w:rStyle w:val="FootnoteReference"/>
        </w:rPr>
        <w:footnoteRef/>
      </w:r>
      <w:r>
        <w:tab/>
        <w:t>Decizia de punere în aplicare (UE) 2019/1592 a Consiliului din 24 septembrie 2019 de autorizare a Portugaliei să introducă o măsură specială de derogare de la articolul 193 din Directiva 2006/112/CE privind sistemul comun al taxei pe valoarea adăugată, JO L 248, 27.9.2019, p. 67-68.</w:t>
      </w:r>
    </w:p>
  </w:footnote>
  <w:footnote w:id="9">
    <w:p w14:paraId="47B68C7C" w14:textId="1B11993A" w:rsidR="007B42FC" w:rsidRPr="007B42FC" w:rsidRDefault="007B42FC" w:rsidP="007B42FC">
      <w:pPr>
        <w:pStyle w:val="FootnoteText"/>
      </w:pPr>
      <w:r>
        <w:rPr>
          <w:rStyle w:val="FootnoteReference"/>
        </w:rPr>
        <w:footnoteRef/>
      </w:r>
      <w:r>
        <w:tab/>
        <w:t>Decizia de punere în aplicare (UE) 2019/1593 a Consiliului din 24 septembrie 2019 de modificare a Deciziei de punere în aplicare 2013/676/UE de autorizare a României să aplice în continuare o măsură specială de derogare de la articolul 193 din Directiva 2006/112/CE privind sistemul comun al taxei pe valoarea adăugată (JO L 248, 27.9.2019, p. 69-70).</w:t>
      </w:r>
    </w:p>
  </w:footnote>
  <w:footnote w:id="10">
    <w:p w14:paraId="41384EC8" w14:textId="0545D8DF" w:rsidR="007B42FC" w:rsidRPr="007B42FC" w:rsidRDefault="007B42FC" w:rsidP="00C350EB">
      <w:pPr>
        <w:pStyle w:val="FootnoteText"/>
      </w:pPr>
      <w:r>
        <w:rPr>
          <w:rStyle w:val="FootnoteReference"/>
        </w:rPr>
        <w:footnoteRef/>
      </w:r>
      <w:r>
        <w:tab/>
        <w:t>Decizia de punere în aplicare (UE) 2018/1920 a Consiliului din 4 decembrie 2018 de modificare a Deciziei de punere în aplicare 2010/99/UE privind autorizarea Republicii Lituania de a prelungi aplicarea unei măsuri de derogare de la dispozițiile articolului 193 din Directiva 2006/112/CE privind sistemul comun al taxei pe valoarea adăugată (JO L 311, 7.12.2018, p. 34-35).</w:t>
      </w:r>
    </w:p>
  </w:footnote>
  <w:footnote w:id="11">
    <w:p w14:paraId="2833316A" w14:textId="2E6F78EC" w:rsidR="002A4424" w:rsidRPr="00266724" w:rsidRDefault="002A4424" w:rsidP="002A4424">
      <w:pPr>
        <w:pStyle w:val="FootnoteText"/>
      </w:pPr>
      <w:r>
        <w:rPr>
          <w:rStyle w:val="FootnoteReference"/>
        </w:rPr>
        <w:footnoteRef/>
      </w:r>
      <w:r>
        <w:tab/>
        <w:t>JO L 236, 23.9.2003, p. 33.</w:t>
      </w:r>
    </w:p>
  </w:footnote>
  <w:footnote w:id="12">
    <w:p w14:paraId="4EFB726B" w14:textId="69F44E58" w:rsidR="002A4424" w:rsidRPr="00266724" w:rsidRDefault="002A4424" w:rsidP="002A4424">
      <w:pPr>
        <w:pStyle w:val="FootnoteText"/>
        <w:rPr>
          <w:rFonts w:asciiTheme="minorHAnsi" w:hAnsiTheme="minorHAnsi" w:cstheme="minorBidi"/>
        </w:rPr>
      </w:pPr>
      <w:r>
        <w:rPr>
          <w:rStyle w:val="FootnoteReference"/>
        </w:rPr>
        <w:footnoteRef/>
      </w:r>
      <w:r>
        <w:tab/>
        <w:t>JO L 25, 28.1.2006, p. 31.</w:t>
      </w:r>
    </w:p>
  </w:footnote>
  <w:footnote w:id="13">
    <w:p w14:paraId="73F68635" w14:textId="77777777" w:rsidR="00391376" w:rsidRPr="00266724" w:rsidRDefault="00391376" w:rsidP="00210EE2">
      <w:pPr>
        <w:pStyle w:val="FootnoteText"/>
      </w:pPr>
      <w:r>
        <w:rPr>
          <w:rStyle w:val="FootnoteReference"/>
        </w:rPr>
        <w:footnoteRef/>
      </w:r>
      <w:r>
        <w:tab/>
        <w:t>JO L 347, 11.12.2006, p. 1.</w:t>
      </w:r>
    </w:p>
  </w:footnote>
  <w:footnote w:id="14">
    <w:p w14:paraId="3E5353A2" w14:textId="663411A0" w:rsidR="00D617C3" w:rsidRPr="00F94580" w:rsidRDefault="00D617C3" w:rsidP="00D617C3">
      <w:pPr>
        <w:pStyle w:val="FootnoteText"/>
      </w:pPr>
      <w:r>
        <w:rPr>
          <w:rStyle w:val="FootnoteReference"/>
        </w:rPr>
        <w:footnoteRef/>
      </w:r>
      <w:r>
        <w:tab/>
        <w:t>Decizia 2006/42/CE a Consiliului din 24 ianuarie 2006 privind autorizarea Letoniei în vederea aplicării în continuare a unei măsuri de derogare de la dispozițiile articolului 21 din A șasea Directivă 77/388/CEE a Consiliului privind armonizarea legislațiilor statelor membre referitoare la impozitele pe cifra de afaceri (JO L 25, 28.1.2006, p. 31).</w:t>
      </w:r>
    </w:p>
  </w:footnote>
  <w:footnote w:id="15">
    <w:p w14:paraId="1DBC42F9" w14:textId="7695199D" w:rsidR="00D617C3" w:rsidRDefault="00D617C3" w:rsidP="00D617C3">
      <w:pPr>
        <w:pStyle w:val="FootnoteText"/>
      </w:pPr>
      <w:r>
        <w:rPr>
          <w:rStyle w:val="FootnoteReference"/>
        </w:rPr>
        <w:footnoteRef/>
      </w:r>
      <w:r>
        <w:tab/>
        <w:t>A șasea Directivă 77/388/CEE a Consiliului din 17 mai 1977 privind armonizarea legislațiilor statelor membre referitoare la impozitele pe cifra de afaceri - sistemul comun al taxei pe valoarea adăugată: baza unitară de evaluare (JO L 145, 13.6.1977, p. 1).</w:t>
      </w:r>
    </w:p>
  </w:footnote>
  <w:footnote w:id="16">
    <w:p w14:paraId="5A620B1E" w14:textId="77777777" w:rsidR="00D617C3" w:rsidRDefault="00D617C3" w:rsidP="00D617C3">
      <w:pPr>
        <w:pStyle w:val="FootnoteText"/>
      </w:pPr>
      <w:r>
        <w:rPr>
          <w:rStyle w:val="FootnoteReference"/>
        </w:rPr>
        <w:footnoteRef/>
      </w:r>
      <w:r>
        <w:tab/>
        <w:t>Decizia de punere în aplicare 2009/1008/UE a Consiliului din 7 decembrie 2009 de autorizare a Republicii Letonia în vederea aplicării în continuare a unei măsuri de derogare de la dispozițiile articolului 193 din Directiva 2006/112/CE privind sistemul comun al taxei pe valoarea adăugată (JO L 347, 24.12.2009, p. 30).</w:t>
      </w:r>
    </w:p>
  </w:footnote>
  <w:footnote w:id="17">
    <w:p w14:paraId="760317EC" w14:textId="364FBFE9" w:rsidR="0008439C" w:rsidRPr="00B12FDA" w:rsidRDefault="0008439C" w:rsidP="0008439C">
      <w:pPr>
        <w:pStyle w:val="FootnoteText"/>
      </w:pPr>
      <w:r>
        <w:rPr>
          <w:rStyle w:val="FootnoteReference"/>
        </w:rPr>
        <w:footnoteRef/>
      </w:r>
      <w:r>
        <w:tab/>
        <w:t>Decizia de punere în aplicare (UE) 2018/2006 a Consiliului din 11 decembrie 2018 de modificare a Deciziei de punere în aplicare 2009/1008/UE de autorizare a Republicii Letonia în vederea aplicării în continuare a unei măsuri de derogare de la dispozițiile articolului 193 din Directiva 2006/112/CE privind sistemul comun al taxei pe valoarea adăugată (JO L 322, 18.12.2018, p. 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1D626F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B9F220A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F1CCB8A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FC8858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9FAE9B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7CA2EF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CC45E1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DC727B4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2"/>
    <w:lvlOverride w:ilvl="0">
      <w:startOverride w:val="1"/>
    </w:lvlOverride>
  </w:num>
  <w:num w:numId="6">
    <w:abstractNumId w:val="6"/>
  </w:num>
  <w:num w:numId="7">
    <w:abstractNumId w:val="2"/>
  </w:num>
  <w:num w:numId="8">
    <w:abstractNumId w:val="1"/>
  </w:num>
  <w:num w:numId="9">
    <w:abstractNumId w:val="0"/>
  </w:num>
  <w:num w:numId="10">
    <w:abstractNumId w:val="19"/>
  </w:num>
  <w:num w:numId="11">
    <w:abstractNumId w:val="12"/>
  </w:num>
  <w:num w:numId="12">
    <w:abstractNumId w:val="21"/>
  </w:num>
  <w:num w:numId="13">
    <w:abstractNumId w:val="11"/>
  </w:num>
  <w:num w:numId="14">
    <w:abstractNumId w:val="13"/>
  </w:num>
  <w:num w:numId="15">
    <w:abstractNumId w:val="9"/>
  </w:num>
  <w:num w:numId="16">
    <w:abstractNumId w:val="20"/>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 w:numId="24">
    <w:abstractNumId w:val="20"/>
  </w:num>
  <w:num w:numId="25">
    <w:abstractNumId w:val="20"/>
  </w:num>
  <w:num w:numId="26">
    <w:abstractNumId w:val="20"/>
  </w:num>
  <w:num w:numId="27">
    <w:abstractNumId w:val="14"/>
  </w:num>
  <w:num w:numId="28">
    <w:abstractNumId w:val="9"/>
  </w:num>
  <w:num w:numId="29">
    <w:abstractNumId w:val="9"/>
  </w:num>
  <w:num w:numId="3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it-IT" w:vendorID="64" w:dllVersion="131078" w:nlCheck="1" w:checkStyle="0"/>
  <w:activeWritingStyle w:appName="MSWord" w:lang="en-I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nl-NL" w:vendorID="64" w:dllVersion="131078" w:nlCheck="1" w:checkStyle="0"/>
  <w:attachedTemplate r:id="rId1"/>
  <w:revisionView w:markup="0"/>
  <w:defaultTabStop w:val="720"/>
  <w:hyphenationZone w:val="283"/>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11-26 19:00:57"/>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4"/>
    <w:docVar w:name="DQCResult_UnknownFonts" w:val="0;0"/>
    <w:docVar w:name="DQCResult_UnknownStyles" w:val="0;4"/>
    <w:docVar w:name="DQCStatus" w:val="Green"/>
    <w:docVar w:name="DQCVersion" w:val="3"/>
    <w:docVar w:name="DQCWithWarnings" w:val="0"/>
    <w:docVar w:name="LW_CORRIGENDUM" w:val="&lt;UNUSED&gt;"/>
    <w:docVar w:name="LW_COVERPAGE_EXISTS" w:val="True"/>
    <w:docVar w:name="LW_COVERPAGE_GUID" w:val="ABDA66AE-E3A9-43AB-AB36-064AD4445A20"/>
    <w:docVar w:name="LW_COVERPAGE_TYPE" w:val="1"/>
    <w:docVar w:name="LW_CROSSREFERENCE" w:val="&lt;UNUSED&gt;"/>
    <w:docVar w:name="LW_DocType" w:val="COM"/>
    <w:docVar w:name="LW_EMISSION" w:val="30.11.2021"/>
    <w:docVar w:name="LW_EMISSION_ISODATE" w:val="2021-11-30"/>
    <w:docVar w:name="LW_EMISSION_LOCATION" w:val="BRX"/>
    <w:docVar w:name="LW_EMISSION_PREFIX" w:val="Bruxelles, "/>
    <w:docVar w:name="LW_EMISSION_SUFFIX" w:val=" "/>
    <w:docVar w:name="LW_ID_DOCMODEL" w:val="SJ-021"/>
    <w:docVar w:name="LW_ID_DOCSIGNATURE" w:val="SJ-021"/>
    <w:docVar w:name="LW_ID_DOCSTRUCTURE" w:val="COM/PL/ORG"/>
    <w:docVar w:name="LW_ID_DOCTYPE" w:val="SJ-021"/>
    <w:docVar w:name="LW_ID_EXP.MOTIFS.NEW" w:val="EM_PL_"/>
    <w:docVar w:name="LW_ID_STATUT" w:val="SJ-021"/>
    <w:docVar w:name="LW_INTERETEEE.CP" w:val="&lt;UNUSED&gt;"/>
    <w:docVar w:name="LW_LANGUE" w:val="RO"/>
    <w:docVar w:name="LW_LEVEL_OF_SENSITIVITY" w:val="Standard treatment"/>
    <w:docVar w:name="LW_NOM.INST" w:val="COMISIA EUROPEAN\u258?"/>
    <w:docVar w:name="LW_NOM.INST_JOINTDOC" w:val="&lt;EMPTY&gt;"/>
    <w:docVar w:name="LW_PART_NBR" w:val="1"/>
    <w:docVar w:name="LW_PART_NBR_TOTAL" w:val="1"/>
    <w:docVar w:name="LW_REF.II.NEW.CP" w:val="NLE"/>
    <w:docVar w:name="LW_REF.II.NEW.CP_NUMBER" w:val="0386"/>
    <w:docVar w:name="LW_REF.II.NEW.CP_YEAR" w:val="2021"/>
    <w:docVar w:name="LW_REF.INST.NEW" w:val="COM"/>
    <w:docVar w:name="LW_REF.INST.NEW_ADOPTED" w:val="final"/>
    <w:docVar w:name="LW_REF.INST.NEW_TEXT" w:val="(2021) 73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unere de"/>
    <w:docVar w:name="LW_SUPERTITRE" w:val="&lt;UNUSED&gt;"/>
    <w:docVar w:name="LW_TITRE.OBJ.CP" w:val="de modificare a Deciziei de punere în aplicare 2009/1008/UE de autorizare a Republicii Letonia în vederea aplic\u259?rii în continuare a unei m\u259?suri de derogare de la dispozi\u539?iile articolului 193 din Directiva 2006/112/CE privind sistemul comun al taxei pe valoarea ad\u259?ugat\u259?"/>
    <w:docVar w:name="LW_TYPE.DOC.CP" w:val="DECIZIE DE PUNERE ÎN APLICARE A CONSILIULUI"/>
    <w:docVar w:name="LwApiVersions" w:val="LW4CoDe 1.23.1.0; LW 8.0, Build 20210728"/>
  </w:docVars>
  <w:rsids>
    <w:rsidRoot w:val="00391376"/>
    <w:rsid w:val="00003789"/>
    <w:rsid w:val="00046914"/>
    <w:rsid w:val="00046A5B"/>
    <w:rsid w:val="00057067"/>
    <w:rsid w:val="0008439C"/>
    <w:rsid w:val="000A17B7"/>
    <w:rsid w:val="000A6A2F"/>
    <w:rsid w:val="000A7517"/>
    <w:rsid w:val="000B108E"/>
    <w:rsid w:val="000C1698"/>
    <w:rsid w:val="000C538C"/>
    <w:rsid w:val="000D6856"/>
    <w:rsid w:val="000E1118"/>
    <w:rsid w:val="000E198E"/>
    <w:rsid w:val="00103E11"/>
    <w:rsid w:val="00112803"/>
    <w:rsid w:val="00114238"/>
    <w:rsid w:val="00116A22"/>
    <w:rsid w:val="00141283"/>
    <w:rsid w:val="00146804"/>
    <w:rsid w:val="00160DE7"/>
    <w:rsid w:val="00166419"/>
    <w:rsid w:val="0017152F"/>
    <w:rsid w:val="00171F0A"/>
    <w:rsid w:val="001758E7"/>
    <w:rsid w:val="0018700F"/>
    <w:rsid w:val="001A022D"/>
    <w:rsid w:val="001C0342"/>
    <w:rsid w:val="001C2816"/>
    <w:rsid w:val="001C4C03"/>
    <w:rsid w:val="001D6A4D"/>
    <w:rsid w:val="002305AA"/>
    <w:rsid w:val="00232E98"/>
    <w:rsid w:val="002334B8"/>
    <w:rsid w:val="00235A76"/>
    <w:rsid w:val="002534D1"/>
    <w:rsid w:val="00262A5D"/>
    <w:rsid w:val="00263D45"/>
    <w:rsid w:val="00266724"/>
    <w:rsid w:val="00280AA5"/>
    <w:rsid w:val="00284D07"/>
    <w:rsid w:val="002A4424"/>
    <w:rsid w:val="002B2CD9"/>
    <w:rsid w:val="002B382F"/>
    <w:rsid w:val="002B3C0A"/>
    <w:rsid w:val="002F0D25"/>
    <w:rsid w:val="002F62B5"/>
    <w:rsid w:val="003140C7"/>
    <w:rsid w:val="00335FF2"/>
    <w:rsid w:val="003435BB"/>
    <w:rsid w:val="003472A5"/>
    <w:rsid w:val="003570F3"/>
    <w:rsid w:val="00363AF1"/>
    <w:rsid w:val="0036703D"/>
    <w:rsid w:val="003870B7"/>
    <w:rsid w:val="00391376"/>
    <w:rsid w:val="003A1658"/>
    <w:rsid w:val="003C03EA"/>
    <w:rsid w:val="003D0400"/>
    <w:rsid w:val="004073C0"/>
    <w:rsid w:val="004218AE"/>
    <w:rsid w:val="00433ED6"/>
    <w:rsid w:val="004619EE"/>
    <w:rsid w:val="00464B0E"/>
    <w:rsid w:val="00466D33"/>
    <w:rsid w:val="00484156"/>
    <w:rsid w:val="00494012"/>
    <w:rsid w:val="004979BF"/>
    <w:rsid w:val="004B1865"/>
    <w:rsid w:val="004B3AC4"/>
    <w:rsid w:val="004D1BE9"/>
    <w:rsid w:val="004F4B23"/>
    <w:rsid w:val="00504CE3"/>
    <w:rsid w:val="00597E2B"/>
    <w:rsid w:val="005A4464"/>
    <w:rsid w:val="005C30D3"/>
    <w:rsid w:val="005C47CE"/>
    <w:rsid w:val="005F165A"/>
    <w:rsid w:val="00602B4C"/>
    <w:rsid w:val="00611CDC"/>
    <w:rsid w:val="00621B70"/>
    <w:rsid w:val="00630735"/>
    <w:rsid w:val="00633382"/>
    <w:rsid w:val="006378AA"/>
    <w:rsid w:val="00647109"/>
    <w:rsid w:val="00661003"/>
    <w:rsid w:val="00687F9C"/>
    <w:rsid w:val="0069116E"/>
    <w:rsid w:val="006B5FDA"/>
    <w:rsid w:val="006D0FB4"/>
    <w:rsid w:val="006D4334"/>
    <w:rsid w:val="006F02BC"/>
    <w:rsid w:val="0070128F"/>
    <w:rsid w:val="007135A2"/>
    <w:rsid w:val="007304DB"/>
    <w:rsid w:val="007463E9"/>
    <w:rsid w:val="007517DB"/>
    <w:rsid w:val="007663A9"/>
    <w:rsid w:val="00767AF4"/>
    <w:rsid w:val="007700BB"/>
    <w:rsid w:val="00774145"/>
    <w:rsid w:val="007958BB"/>
    <w:rsid w:val="00797A93"/>
    <w:rsid w:val="007A31EB"/>
    <w:rsid w:val="007B3474"/>
    <w:rsid w:val="007B42FC"/>
    <w:rsid w:val="007C06F6"/>
    <w:rsid w:val="007C0C6E"/>
    <w:rsid w:val="007C400D"/>
    <w:rsid w:val="007F257D"/>
    <w:rsid w:val="00832C8B"/>
    <w:rsid w:val="00867443"/>
    <w:rsid w:val="00876CEE"/>
    <w:rsid w:val="00876F8B"/>
    <w:rsid w:val="00882175"/>
    <w:rsid w:val="008957F7"/>
    <w:rsid w:val="00897CB5"/>
    <w:rsid w:val="008C4EC4"/>
    <w:rsid w:val="008D1EB4"/>
    <w:rsid w:val="00907605"/>
    <w:rsid w:val="00910076"/>
    <w:rsid w:val="0092320D"/>
    <w:rsid w:val="00936F7D"/>
    <w:rsid w:val="00940333"/>
    <w:rsid w:val="00940A33"/>
    <w:rsid w:val="00951B69"/>
    <w:rsid w:val="0095788E"/>
    <w:rsid w:val="00980CC7"/>
    <w:rsid w:val="0098561E"/>
    <w:rsid w:val="00986B33"/>
    <w:rsid w:val="00987AD5"/>
    <w:rsid w:val="009B7138"/>
    <w:rsid w:val="009C75BF"/>
    <w:rsid w:val="009D135F"/>
    <w:rsid w:val="009E0E9E"/>
    <w:rsid w:val="009E0F40"/>
    <w:rsid w:val="009F3A93"/>
    <w:rsid w:val="00A01027"/>
    <w:rsid w:val="00A03465"/>
    <w:rsid w:val="00A04AE9"/>
    <w:rsid w:val="00A13243"/>
    <w:rsid w:val="00A30155"/>
    <w:rsid w:val="00A6663D"/>
    <w:rsid w:val="00A73759"/>
    <w:rsid w:val="00A80857"/>
    <w:rsid w:val="00A83724"/>
    <w:rsid w:val="00AB2857"/>
    <w:rsid w:val="00AC311C"/>
    <w:rsid w:val="00AD7328"/>
    <w:rsid w:val="00B12FDA"/>
    <w:rsid w:val="00B26956"/>
    <w:rsid w:val="00B30AF7"/>
    <w:rsid w:val="00B5062B"/>
    <w:rsid w:val="00B5351B"/>
    <w:rsid w:val="00B62BB6"/>
    <w:rsid w:val="00B657BE"/>
    <w:rsid w:val="00B723AA"/>
    <w:rsid w:val="00B778E8"/>
    <w:rsid w:val="00B9498C"/>
    <w:rsid w:val="00BB2A00"/>
    <w:rsid w:val="00BD0264"/>
    <w:rsid w:val="00BD6F9E"/>
    <w:rsid w:val="00BE1AD2"/>
    <w:rsid w:val="00BE246D"/>
    <w:rsid w:val="00BF17AA"/>
    <w:rsid w:val="00C216E2"/>
    <w:rsid w:val="00C24556"/>
    <w:rsid w:val="00C350EB"/>
    <w:rsid w:val="00C45C3B"/>
    <w:rsid w:val="00C67E20"/>
    <w:rsid w:val="00C73EF9"/>
    <w:rsid w:val="00C85CEE"/>
    <w:rsid w:val="00CA1DFA"/>
    <w:rsid w:val="00D32852"/>
    <w:rsid w:val="00D44429"/>
    <w:rsid w:val="00D54D03"/>
    <w:rsid w:val="00D60701"/>
    <w:rsid w:val="00D617C3"/>
    <w:rsid w:val="00D661DD"/>
    <w:rsid w:val="00D745C7"/>
    <w:rsid w:val="00D92200"/>
    <w:rsid w:val="00DA1FA2"/>
    <w:rsid w:val="00DA50CB"/>
    <w:rsid w:val="00DB1ECA"/>
    <w:rsid w:val="00DC17D2"/>
    <w:rsid w:val="00DD18C9"/>
    <w:rsid w:val="00DD1BDA"/>
    <w:rsid w:val="00DF5587"/>
    <w:rsid w:val="00E02DE6"/>
    <w:rsid w:val="00E03D45"/>
    <w:rsid w:val="00E224A1"/>
    <w:rsid w:val="00E225C5"/>
    <w:rsid w:val="00E57595"/>
    <w:rsid w:val="00E80B08"/>
    <w:rsid w:val="00EC17C9"/>
    <w:rsid w:val="00EE5FE5"/>
    <w:rsid w:val="00EF6093"/>
    <w:rsid w:val="00F20062"/>
    <w:rsid w:val="00F336E7"/>
    <w:rsid w:val="00F3447A"/>
    <w:rsid w:val="00F37FCA"/>
    <w:rsid w:val="00F51D17"/>
    <w:rsid w:val="00F55B2D"/>
    <w:rsid w:val="00F7463A"/>
    <w:rsid w:val="00F84E0E"/>
    <w:rsid w:val="00F96441"/>
    <w:rsid w:val="00F96765"/>
    <w:rsid w:val="00FC46C2"/>
    <w:rsid w:val="00FC5C87"/>
    <w:rsid w:val="00FD0BB4"/>
    <w:rsid w:val="00FE07A1"/>
    <w:rsid w:val="00FE2434"/>
    <w:rsid w:val="00FE3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181F58"/>
  <w15:docId w15:val="{64435EA9-E6F5-436C-B21D-E5A0AF48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ro-RO"/>
    </w:rPr>
  </w:style>
  <w:style w:type="paragraph" w:styleId="Heading1">
    <w:name w:val="heading 1"/>
    <w:basedOn w:val="Normal"/>
    <w:next w:val="Text1"/>
    <w:link w:val="Heading1Char"/>
    <w:uiPriority w:val="9"/>
    <w:qFormat/>
    <w:rsid w:val="009B7138"/>
    <w:pPr>
      <w:keepNext/>
      <w:numPr>
        <w:numId w:val="2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2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26"/>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26"/>
      </w:numPr>
      <w:outlineLvl w:val="3"/>
    </w:pPr>
    <w:rPr>
      <w:rFonts w:eastAsiaTheme="majorEastAsia"/>
      <w:bCs/>
      <w:iCs/>
    </w:rPr>
  </w:style>
  <w:style w:type="paragraph" w:styleId="Heading5">
    <w:name w:val="heading 5"/>
    <w:basedOn w:val="Normal"/>
    <w:next w:val="Text2"/>
    <w:link w:val="Heading5Char"/>
    <w:uiPriority w:val="9"/>
    <w:semiHidden/>
    <w:unhideWhenUsed/>
    <w:qFormat/>
    <w:rsid w:val="00A01027"/>
    <w:pPr>
      <w:keepNext/>
      <w:numPr>
        <w:ilvl w:val="4"/>
        <w:numId w:val="26"/>
      </w:numPr>
      <w:outlineLvl w:val="4"/>
    </w:pPr>
    <w:rPr>
      <w:rFonts w:eastAsiaTheme="majorEastAsia"/>
    </w:rPr>
  </w:style>
  <w:style w:type="paragraph" w:styleId="Heading6">
    <w:name w:val="heading 6"/>
    <w:basedOn w:val="Normal"/>
    <w:next w:val="Text2"/>
    <w:link w:val="Heading6Char"/>
    <w:uiPriority w:val="9"/>
    <w:semiHidden/>
    <w:unhideWhenUsed/>
    <w:qFormat/>
    <w:rsid w:val="00A01027"/>
    <w:pPr>
      <w:keepNext/>
      <w:numPr>
        <w:ilvl w:val="5"/>
        <w:numId w:val="26"/>
      </w:numPr>
      <w:outlineLvl w:val="5"/>
    </w:pPr>
    <w:rPr>
      <w:rFonts w:eastAsiaTheme="majorEastAsia"/>
      <w:iCs/>
    </w:rPr>
  </w:style>
  <w:style w:type="paragraph" w:styleId="Heading7">
    <w:name w:val="heading 7"/>
    <w:basedOn w:val="Normal"/>
    <w:next w:val="Text2"/>
    <w:link w:val="Heading7Char"/>
    <w:uiPriority w:val="9"/>
    <w:semiHidden/>
    <w:unhideWhenUsed/>
    <w:qFormat/>
    <w:rsid w:val="00A01027"/>
    <w:pPr>
      <w:keepNext/>
      <w:numPr>
        <w:ilvl w:val="6"/>
        <w:numId w:val="26"/>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art">
    <w:name w:val="ti-art"/>
    <w:basedOn w:val="Normal"/>
    <w:rsid w:val="00D745C7"/>
    <w:pPr>
      <w:spacing w:before="100" w:beforeAutospacing="1" w:after="100" w:afterAutospacing="1"/>
      <w:jc w:val="left"/>
    </w:pPr>
    <w:rPr>
      <w:rFonts w:eastAsia="Times New Roman"/>
      <w:szCs w:val="24"/>
      <w:lang w:eastAsia="it-IT"/>
    </w:rPr>
  </w:style>
  <w:style w:type="paragraph" w:customStyle="1" w:styleId="Normal1">
    <w:name w:val="Normal1"/>
    <w:basedOn w:val="Normal"/>
    <w:rsid w:val="00D745C7"/>
    <w:pPr>
      <w:spacing w:before="100" w:beforeAutospacing="1" w:after="100" w:afterAutospacing="1"/>
      <w:jc w:val="left"/>
    </w:pPr>
    <w:rPr>
      <w:rFonts w:eastAsia="Times New Roman"/>
      <w:szCs w:val="24"/>
      <w:lang w:eastAsia="it-IT"/>
    </w:rPr>
  </w:style>
  <w:style w:type="paragraph" w:styleId="ListBullet">
    <w:name w:val="List Bullet"/>
    <w:basedOn w:val="Normal"/>
    <w:uiPriority w:val="99"/>
    <w:semiHidden/>
    <w:unhideWhenUsed/>
    <w:rsid w:val="00832C8B"/>
    <w:pPr>
      <w:numPr>
        <w:numId w:val="1"/>
      </w:numPr>
      <w:contextualSpacing/>
    </w:pPr>
  </w:style>
  <w:style w:type="paragraph" w:styleId="ListBullet2">
    <w:name w:val="List Bullet 2"/>
    <w:basedOn w:val="Normal"/>
    <w:uiPriority w:val="99"/>
    <w:semiHidden/>
    <w:unhideWhenUsed/>
    <w:rsid w:val="00832C8B"/>
    <w:pPr>
      <w:numPr>
        <w:numId w:val="2"/>
      </w:numPr>
      <w:contextualSpacing/>
    </w:pPr>
  </w:style>
  <w:style w:type="paragraph" w:styleId="ListBullet3">
    <w:name w:val="List Bullet 3"/>
    <w:basedOn w:val="Normal"/>
    <w:uiPriority w:val="99"/>
    <w:semiHidden/>
    <w:unhideWhenUsed/>
    <w:rsid w:val="00832C8B"/>
    <w:pPr>
      <w:numPr>
        <w:numId w:val="3"/>
      </w:numPr>
      <w:contextualSpacing/>
    </w:pPr>
  </w:style>
  <w:style w:type="paragraph" w:styleId="ListBullet4">
    <w:name w:val="List Bullet 4"/>
    <w:basedOn w:val="Normal"/>
    <w:uiPriority w:val="99"/>
    <w:semiHidden/>
    <w:unhideWhenUsed/>
    <w:rsid w:val="00832C8B"/>
    <w:pPr>
      <w:numPr>
        <w:numId w:val="4"/>
      </w:numPr>
      <w:contextualSpacing/>
    </w:pPr>
  </w:style>
  <w:style w:type="paragraph" w:styleId="BalloonText">
    <w:name w:val="Balloon Text"/>
    <w:basedOn w:val="Normal"/>
    <w:link w:val="BalloonTextChar"/>
    <w:uiPriority w:val="99"/>
    <w:semiHidden/>
    <w:unhideWhenUsed/>
    <w:rsid w:val="007C0C6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C6E"/>
    <w:rPr>
      <w:rFonts w:ascii="Segoe UI" w:hAnsi="Segoe UI" w:cs="Segoe UI"/>
      <w:sz w:val="18"/>
      <w:szCs w:val="18"/>
      <w:lang w:val="ro-RO"/>
    </w:rPr>
  </w:style>
  <w:style w:type="character" w:styleId="CommentReference">
    <w:name w:val="annotation reference"/>
    <w:basedOn w:val="DefaultParagraphFont"/>
    <w:uiPriority w:val="99"/>
    <w:semiHidden/>
    <w:unhideWhenUsed/>
    <w:rsid w:val="000E1118"/>
    <w:rPr>
      <w:sz w:val="16"/>
      <w:szCs w:val="16"/>
    </w:rPr>
  </w:style>
  <w:style w:type="paragraph" w:styleId="CommentText">
    <w:name w:val="annotation text"/>
    <w:basedOn w:val="Normal"/>
    <w:link w:val="CommentTextChar"/>
    <w:uiPriority w:val="99"/>
    <w:semiHidden/>
    <w:unhideWhenUsed/>
    <w:rsid w:val="000E1118"/>
    <w:rPr>
      <w:sz w:val="20"/>
      <w:szCs w:val="20"/>
    </w:rPr>
  </w:style>
  <w:style w:type="character" w:customStyle="1" w:styleId="CommentTextChar">
    <w:name w:val="Comment Text Char"/>
    <w:basedOn w:val="DefaultParagraphFont"/>
    <w:link w:val="CommentText"/>
    <w:uiPriority w:val="99"/>
    <w:semiHidden/>
    <w:rsid w:val="000E1118"/>
    <w:rPr>
      <w:rFonts w:ascii="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0E1118"/>
    <w:rPr>
      <w:b/>
      <w:bCs/>
    </w:rPr>
  </w:style>
  <w:style w:type="character" w:customStyle="1" w:styleId="CommentSubjectChar">
    <w:name w:val="Comment Subject Char"/>
    <w:basedOn w:val="CommentTextChar"/>
    <w:link w:val="CommentSubject"/>
    <w:uiPriority w:val="99"/>
    <w:semiHidden/>
    <w:rsid w:val="000E1118"/>
    <w:rPr>
      <w:rFonts w:ascii="Times New Roman" w:hAnsi="Times New Roman" w:cs="Times New Roman"/>
      <w:b/>
      <w:bCs/>
      <w:sz w:val="20"/>
      <w:szCs w:val="20"/>
      <w:lang w:val="ro-RO"/>
    </w:rPr>
  </w:style>
  <w:style w:type="paragraph" w:styleId="Revision">
    <w:name w:val="Revision"/>
    <w:hidden/>
    <w:uiPriority w:val="99"/>
    <w:semiHidden/>
    <w:rsid w:val="000E1118"/>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rsid w:val="00A80857"/>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A80857"/>
    <w:pPr>
      <w:spacing w:after="0"/>
    </w:pPr>
  </w:style>
  <w:style w:type="paragraph" w:styleId="ListNumber">
    <w:name w:val="List Number"/>
    <w:basedOn w:val="Normal"/>
    <w:uiPriority w:val="99"/>
    <w:semiHidden/>
    <w:unhideWhenUsed/>
    <w:rsid w:val="00A80857"/>
    <w:pPr>
      <w:numPr>
        <w:numId w:val="6"/>
      </w:numPr>
      <w:contextualSpacing/>
    </w:pPr>
  </w:style>
  <w:style w:type="paragraph" w:styleId="ListNumber2">
    <w:name w:val="List Number 2"/>
    <w:basedOn w:val="Normal"/>
    <w:uiPriority w:val="99"/>
    <w:semiHidden/>
    <w:unhideWhenUsed/>
    <w:rsid w:val="00A80857"/>
    <w:pPr>
      <w:numPr>
        <w:numId w:val="7"/>
      </w:numPr>
      <w:contextualSpacing/>
    </w:pPr>
  </w:style>
  <w:style w:type="paragraph" w:styleId="ListNumber3">
    <w:name w:val="List Number 3"/>
    <w:basedOn w:val="Normal"/>
    <w:uiPriority w:val="99"/>
    <w:semiHidden/>
    <w:unhideWhenUsed/>
    <w:rsid w:val="00A80857"/>
    <w:pPr>
      <w:numPr>
        <w:numId w:val="8"/>
      </w:numPr>
      <w:contextualSpacing/>
    </w:pPr>
  </w:style>
  <w:style w:type="paragraph" w:styleId="ListNumber4">
    <w:name w:val="List Number 4"/>
    <w:basedOn w:val="Normal"/>
    <w:uiPriority w:val="99"/>
    <w:semiHidden/>
    <w:unhideWhenUsed/>
    <w:rsid w:val="00A80857"/>
    <w:pPr>
      <w:numPr>
        <w:numId w:val="9"/>
      </w:numPr>
      <w:contextualSpacing/>
    </w:pPr>
  </w:style>
  <w:style w:type="character" w:styleId="Hyperlink">
    <w:name w:val="Hyperlink"/>
    <w:basedOn w:val="DefaultParagraphFont"/>
    <w:uiPriority w:val="99"/>
    <w:unhideWhenUsed/>
    <w:rsid w:val="004F4B23"/>
    <w:rPr>
      <w:color w:val="0000FF" w:themeColor="hyperlink"/>
      <w:u w:val="single"/>
    </w:rPr>
  </w:style>
  <w:style w:type="character" w:styleId="FollowedHyperlink">
    <w:name w:val="FollowedHyperlink"/>
    <w:basedOn w:val="DefaultParagraphFont"/>
    <w:uiPriority w:val="99"/>
    <w:semiHidden/>
    <w:unhideWhenUsed/>
    <w:rsid w:val="00466D33"/>
    <w:rPr>
      <w:color w:val="800080" w:themeColor="followedHyperlink"/>
      <w:u w:val="single"/>
    </w:rPr>
  </w:style>
  <w:style w:type="paragraph" w:styleId="Header">
    <w:name w:val="header"/>
    <w:basedOn w:val="Normal"/>
    <w:link w:val="HeaderChar"/>
    <w:uiPriority w:val="99"/>
    <w:unhideWhenUsed/>
    <w:rsid w:val="00116A22"/>
    <w:pPr>
      <w:tabs>
        <w:tab w:val="center" w:pos="4535"/>
        <w:tab w:val="right" w:pos="9071"/>
      </w:tabs>
      <w:spacing w:before="0"/>
    </w:pPr>
  </w:style>
  <w:style w:type="character" w:customStyle="1" w:styleId="HeaderChar">
    <w:name w:val="Header Char"/>
    <w:basedOn w:val="DefaultParagraphFont"/>
    <w:link w:val="Header"/>
    <w:uiPriority w:val="99"/>
    <w:rsid w:val="00116A22"/>
    <w:rPr>
      <w:rFonts w:ascii="Times New Roman" w:hAnsi="Times New Roman" w:cs="Times New Roman"/>
      <w:sz w:val="24"/>
      <w:lang w:val="ro-RO"/>
    </w:rPr>
  </w:style>
  <w:style w:type="paragraph" w:styleId="Footer">
    <w:name w:val="footer"/>
    <w:basedOn w:val="Normal"/>
    <w:link w:val="FooterChar"/>
    <w:uiPriority w:val="99"/>
    <w:unhideWhenUsed/>
    <w:rsid w:val="00116A22"/>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116A22"/>
    <w:rPr>
      <w:rFonts w:ascii="Times New Roman" w:hAnsi="Times New Roman" w:cs="Times New Roman"/>
      <w:sz w:val="24"/>
      <w:lang w:val="ro-RO"/>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116A22"/>
    <w:pPr>
      <w:tabs>
        <w:tab w:val="center" w:pos="7285"/>
        <w:tab w:val="right" w:pos="14003"/>
      </w:tabs>
      <w:spacing w:before="0"/>
    </w:pPr>
  </w:style>
  <w:style w:type="paragraph" w:customStyle="1" w:styleId="FooterLandscape">
    <w:name w:val="FooterLandscape"/>
    <w:basedOn w:val="Normal"/>
    <w:rsid w:val="00116A22"/>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116A22"/>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116A22"/>
    <w:pPr>
      <w:spacing w:before="0"/>
      <w:jc w:val="right"/>
    </w:pPr>
    <w:rPr>
      <w:sz w:val="28"/>
    </w:rPr>
  </w:style>
  <w:style w:type="paragraph" w:customStyle="1" w:styleId="FooterSensitivity">
    <w:name w:val="Footer Sensitivity"/>
    <w:basedOn w:val="Normal"/>
    <w:rsid w:val="00116A22"/>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0"/>
      </w:numPr>
    </w:pPr>
  </w:style>
  <w:style w:type="paragraph" w:customStyle="1" w:styleId="Tiret1">
    <w:name w:val="Tiret 1"/>
    <w:basedOn w:val="Point1"/>
    <w:rsid w:val="009B7138"/>
    <w:pPr>
      <w:numPr>
        <w:numId w:val="11"/>
      </w:numPr>
    </w:pPr>
  </w:style>
  <w:style w:type="paragraph" w:customStyle="1" w:styleId="Tiret2">
    <w:name w:val="Tiret 2"/>
    <w:basedOn w:val="Point2"/>
    <w:rsid w:val="009B7138"/>
    <w:pPr>
      <w:numPr>
        <w:numId w:val="12"/>
      </w:numPr>
    </w:pPr>
  </w:style>
  <w:style w:type="paragraph" w:customStyle="1" w:styleId="Tiret3">
    <w:name w:val="Tiret 3"/>
    <w:basedOn w:val="Point3"/>
    <w:rsid w:val="009B7138"/>
    <w:pPr>
      <w:numPr>
        <w:numId w:val="13"/>
      </w:numPr>
    </w:pPr>
  </w:style>
  <w:style w:type="paragraph" w:customStyle="1" w:styleId="Tiret4">
    <w:name w:val="Tiret 4"/>
    <w:basedOn w:val="Point4"/>
    <w:rsid w:val="009B7138"/>
    <w:pPr>
      <w:numPr>
        <w:numId w:val="14"/>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30"/>
      </w:numPr>
    </w:pPr>
  </w:style>
  <w:style w:type="paragraph" w:customStyle="1" w:styleId="NumPar2">
    <w:name w:val="NumPar 2"/>
    <w:basedOn w:val="Normal"/>
    <w:next w:val="Text1"/>
    <w:rsid w:val="009B7138"/>
    <w:pPr>
      <w:numPr>
        <w:ilvl w:val="1"/>
        <w:numId w:val="30"/>
      </w:numPr>
    </w:pPr>
  </w:style>
  <w:style w:type="paragraph" w:customStyle="1" w:styleId="NumPar3">
    <w:name w:val="NumPar 3"/>
    <w:basedOn w:val="Normal"/>
    <w:next w:val="Text1"/>
    <w:rsid w:val="009B7138"/>
    <w:pPr>
      <w:numPr>
        <w:ilvl w:val="2"/>
        <w:numId w:val="30"/>
      </w:numPr>
    </w:pPr>
  </w:style>
  <w:style w:type="paragraph" w:customStyle="1" w:styleId="NumPar4">
    <w:name w:val="NumPar 4"/>
    <w:basedOn w:val="Normal"/>
    <w:next w:val="Text1"/>
    <w:rsid w:val="009B7138"/>
    <w:pPr>
      <w:numPr>
        <w:ilvl w:val="3"/>
        <w:numId w:val="30"/>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DC17D2"/>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17"/>
      </w:numPr>
    </w:pPr>
  </w:style>
  <w:style w:type="paragraph" w:customStyle="1" w:styleId="Point1number">
    <w:name w:val="Point 1 (number)"/>
    <w:basedOn w:val="Normal"/>
    <w:rsid w:val="009B7138"/>
    <w:pPr>
      <w:numPr>
        <w:ilvl w:val="2"/>
        <w:numId w:val="17"/>
      </w:numPr>
    </w:pPr>
  </w:style>
  <w:style w:type="paragraph" w:customStyle="1" w:styleId="Point2number">
    <w:name w:val="Point 2 (number)"/>
    <w:basedOn w:val="Normal"/>
    <w:rsid w:val="009B7138"/>
    <w:pPr>
      <w:numPr>
        <w:ilvl w:val="4"/>
        <w:numId w:val="17"/>
      </w:numPr>
    </w:pPr>
  </w:style>
  <w:style w:type="paragraph" w:customStyle="1" w:styleId="Point3number">
    <w:name w:val="Point 3 (number)"/>
    <w:basedOn w:val="Normal"/>
    <w:rsid w:val="009B7138"/>
    <w:pPr>
      <w:numPr>
        <w:ilvl w:val="6"/>
        <w:numId w:val="17"/>
      </w:numPr>
    </w:pPr>
  </w:style>
  <w:style w:type="paragraph" w:customStyle="1" w:styleId="Point0letter">
    <w:name w:val="Point 0 (letter)"/>
    <w:basedOn w:val="Normal"/>
    <w:rsid w:val="009B7138"/>
    <w:pPr>
      <w:numPr>
        <w:ilvl w:val="1"/>
        <w:numId w:val="17"/>
      </w:numPr>
    </w:pPr>
  </w:style>
  <w:style w:type="paragraph" w:customStyle="1" w:styleId="Point1letter">
    <w:name w:val="Point 1 (letter)"/>
    <w:basedOn w:val="Normal"/>
    <w:rsid w:val="009B7138"/>
    <w:pPr>
      <w:numPr>
        <w:ilvl w:val="3"/>
        <w:numId w:val="17"/>
      </w:numPr>
    </w:pPr>
  </w:style>
  <w:style w:type="paragraph" w:customStyle="1" w:styleId="Point2letter">
    <w:name w:val="Point 2 (letter)"/>
    <w:basedOn w:val="Normal"/>
    <w:rsid w:val="009B7138"/>
    <w:pPr>
      <w:numPr>
        <w:ilvl w:val="5"/>
        <w:numId w:val="17"/>
      </w:numPr>
    </w:pPr>
  </w:style>
  <w:style w:type="paragraph" w:customStyle="1" w:styleId="Point3letter">
    <w:name w:val="Point 3 (letter)"/>
    <w:basedOn w:val="Normal"/>
    <w:rsid w:val="009B7138"/>
    <w:pPr>
      <w:numPr>
        <w:ilvl w:val="7"/>
        <w:numId w:val="17"/>
      </w:numPr>
    </w:pPr>
  </w:style>
  <w:style w:type="paragraph" w:customStyle="1" w:styleId="Point4letter">
    <w:name w:val="Point 4 (letter)"/>
    <w:basedOn w:val="Normal"/>
    <w:rsid w:val="009B7138"/>
    <w:pPr>
      <w:numPr>
        <w:ilvl w:val="8"/>
        <w:numId w:val="17"/>
      </w:numPr>
    </w:pPr>
  </w:style>
  <w:style w:type="paragraph" w:customStyle="1" w:styleId="Bullet0">
    <w:name w:val="Bullet 0"/>
    <w:basedOn w:val="Normal"/>
    <w:rsid w:val="009B7138"/>
    <w:pPr>
      <w:numPr>
        <w:numId w:val="18"/>
      </w:numPr>
    </w:pPr>
  </w:style>
  <w:style w:type="paragraph" w:customStyle="1" w:styleId="Bullet1">
    <w:name w:val="Bullet 1"/>
    <w:basedOn w:val="Normal"/>
    <w:rsid w:val="009B7138"/>
    <w:pPr>
      <w:numPr>
        <w:numId w:val="19"/>
      </w:numPr>
    </w:pPr>
  </w:style>
  <w:style w:type="paragraph" w:customStyle="1" w:styleId="Bullet2">
    <w:name w:val="Bullet 2"/>
    <w:basedOn w:val="Normal"/>
    <w:rsid w:val="009B7138"/>
    <w:pPr>
      <w:numPr>
        <w:numId w:val="20"/>
      </w:numPr>
    </w:pPr>
  </w:style>
  <w:style w:type="paragraph" w:customStyle="1" w:styleId="Bullet3">
    <w:name w:val="Bullet 3"/>
    <w:basedOn w:val="Normal"/>
    <w:rsid w:val="009B7138"/>
    <w:pPr>
      <w:numPr>
        <w:numId w:val="21"/>
      </w:numPr>
    </w:pPr>
  </w:style>
  <w:style w:type="paragraph" w:customStyle="1" w:styleId="Bullet4">
    <w:name w:val="Bullet 4"/>
    <w:basedOn w:val="Normal"/>
    <w:rsid w:val="009B7138"/>
    <w:pPr>
      <w:numPr>
        <w:numId w:val="22"/>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3"/>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A01027"/>
    <w:rPr>
      <w:rFonts w:ascii="Times New Roman" w:eastAsiaTheme="majorEastAsia" w:hAnsi="Times New Roman" w:cs="Times New Roman"/>
      <w:sz w:val="24"/>
      <w:lang w:val="ro-RO"/>
    </w:rPr>
  </w:style>
  <w:style w:type="character" w:customStyle="1" w:styleId="Heading6Char">
    <w:name w:val="Heading 6 Char"/>
    <w:basedOn w:val="DefaultParagraphFont"/>
    <w:link w:val="Heading6"/>
    <w:uiPriority w:val="9"/>
    <w:semiHidden/>
    <w:rsid w:val="00A01027"/>
    <w:rPr>
      <w:rFonts w:ascii="Times New Roman" w:eastAsiaTheme="majorEastAsia" w:hAnsi="Times New Roman" w:cs="Times New Roman"/>
      <w:iCs/>
      <w:sz w:val="24"/>
      <w:lang w:val="ro-RO"/>
    </w:rPr>
  </w:style>
  <w:style w:type="character" w:customStyle="1" w:styleId="Heading7Char">
    <w:name w:val="Heading 7 Char"/>
    <w:basedOn w:val="DefaultParagraphFont"/>
    <w:link w:val="Heading7"/>
    <w:uiPriority w:val="9"/>
    <w:semiHidden/>
    <w:rsid w:val="00A01027"/>
    <w:rPr>
      <w:rFonts w:ascii="Times New Roman" w:eastAsiaTheme="majorEastAsia" w:hAnsi="Times New Roman" w:cs="Times New Roman"/>
      <w:iCs/>
      <w:sz w:val="24"/>
      <w:lang w:val="ro-RO"/>
    </w:rPr>
  </w:style>
  <w:style w:type="paragraph" w:customStyle="1" w:styleId="ManualHeading5">
    <w:name w:val="Manual Heading 5"/>
    <w:basedOn w:val="Normal"/>
    <w:next w:val="Text2"/>
    <w:rsid w:val="00A01027"/>
    <w:pPr>
      <w:keepNext/>
      <w:tabs>
        <w:tab w:val="left" w:pos="1417"/>
      </w:tabs>
      <w:ind w:left="1417" w:hanging="1417"/>
      <w:outlineLvl w:val="4"/>
    </w:pPr>
  </w:style>
  <w:style w:type="paragraph" w:customStyle="1" w:styleId="ManualHeading6">
    <w:name w:val="Manual Heading 6"/>
    <w:basedOn w:val="Normal"/>
    <w:next w:val="Text2"/>
    <w:rsid w:val="00A01027"/>
    <w:pPr>
      <w:keepNext/>
      <w:tabs>
        <w:tab w:val="left" w:pos="1417"/>
      </w:tabs>
      <w:ind w:left="1417" w:hanging="1417"/>
      <w:outlineLvl w:val="5"/>
    </w:pPr>
  </w:style>
  <w:style w:type="paragraph" w:customStyle="1" w:styleId="ManualHeading7">
    <w:name w:val="Manual Heading 7"/>
    <w:basedOn w:val="Normal"/>
    <w:next w:val="Text2"/>
    <w:rsid w:val="00A01027"/>
    <w:pPr>
      <w:keepNext/>
      <w:tabs>
        <w:tab w:val="left" w:pos="1417"/>
      </w:tabs>
      <w:ind w:left="1417" w:hanging="1417"/>
      <w:outlineLvl w:val="6"/>
    </w:pPr>
  </w:style>
  <w:style w:type="paragraph" w:customStyle="1" w:styleId="Text5">
    <w:name w:val="Text 5"/>
    <w:basedOn w:val="Normal"/>
    <w:rsid w:val="00A01027"/>
    <w:pPr>
      <w:ind w:left="3118"/>
    </w:pPr>
  </w:style>
  <w:style w:type="paragraph" w:customStyle="1" w:styleId="Text6">
    <w:name w:val="Text 6"/>
    <w:basedOn w:val="Normal"/>
    <w:rsid w:val="00A01027"/>
    <w:pPr>
      <w:ind w:left="3685"/>
    </w:pPr>
  </w:style>
  <w:style w:type="paragraph" w:customStyle="1" w:styleId="Point5">
    <w:name w:val="Point 5"/>
    <w:basedOn w:val="Normal"/>
    <w:rsid w:val="00A01027"/>
    <w:pPr>
      <w:ind w:left="3685" w:hanging="567"/>
    </w:pPr>
  </w:style>
  <w:style w:type="paragraph" w:customStyle="1" w:styleId="Tiret5">
    <w:name w:val="Tiret 5"/>
    <w:basedOn w:val="Point5"/>
    <w:rsid w:val="00A01027"/>
    <w:pPr>
      <w:numPr>
        <w:numId w:val="27"/>
      </w:numPr>
    </w:pPr>
  </w:style>
  <w:style w:type="paragraph" w:customStyle="1" w:styleId="NumPar5">
    <w:name w:val="NumPar 5"/>
    <w:basedOn w:val="Normal"/>
    <w:next w:val="Text2"/>
    <w:rsid w:val="00A01027"/>
    <w:pPr>
      <w:numPr>
        <w:ilvl w:val="4"/>
        <w:numId w:val="30"/>
      </w:numPr>
    </w:pPr>
  </w:style>
  <w:style w:type="paragraph" w:customStyle="1" w:styleId="NumPar6">
    <w:name w:val="NumPar 6"/>
    <w:basedOn w:val="Normal"/>
    <w:next w:val="Text2"/>
    <w:rsid w:val="00A01027"/>
    <w:pPr>
      <w:numPr>
        <w:ilvl w:val="5"/>
        <w:numId w:val="30"/>
      </w:numPr>
    </w:pPr>
  </w:style>
  <w:style w:type="paragraph" w:customStyle="1" w:styleId="NumPar7">
    <w:name w:val="NumPar 7"/>
    <w:basedOn w:val="Normal"/>
    <w:next w:val="Text2"/>
    <w:rsid w:val="00A01027"/>
    <w:pPr>
      <w:numPr>
        <w:ilvl w:val="6"/>
        <w:numId w:val="30"/>
      </w:numPr>
    </w:pPr>
  </w:style>
  <w:style w:type="paragraph" w:customStyle="1" w:styleId="ManualNumPar5">
    <w:name w:val="Manual NumPar 5"/>
    <w:basedOn w:val="Normal"/>
    <w:next w:val="Text2"/>
    <w:rsid w:val="00A01027"/>
    <w:pPr>
      <w:ind w:left="1417" w:hanging="1417"/>
    </w:pPr>
  </w:style>
  <w:style w:type="paragraph" w:customStyle="1" w:styleId="ManualNumPar6">
    <w:name w:val="Manual NumPar 6"/>
    <w:basedOn w:val="Normal"/>
    <w:next w:val="Text2"/>
    <w:rsid w:val="00A01027"/>
    <w:pPr>
      <w:ind w:left="1417" w:hanging="1417"/>
    </w:pPr>
  </w:style>
  <w:style w:type="paragraph" w:customStyle="1" w:styleId="ManualNumPar7">
    <w:name w:val="Manual NumPar 7"/>
    <w:basedOn w:val="Normal"/>
    <w:next w:val="Text2"/>
    <w:rsid w:val="00A01027"/>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90219">
      <w:bodyDiv w:val="1"/>
      <w:marLeft w:val="0"/>
      <w:marRight w:val="0"/>
      <w:marTop w:val="0"/>
      <w:marBottom w:val="0"/>
      <w:divBdr>
        <w:top w:val="none" w:sz="0" w:space="0" w:color="auto"/>
        <w:left w:val="none" w:sz="0" w:space="0" w:color="auto"/>
        <w:bottom w:val="none" w:sz="0" w:space="0" w:color="auto"/>
        <w:right w:val="none" w:sz="0" w:space="0" w:color="auto"/>
      </w:divBdr>
    </w:div>
    <w:div w:id="420835115">
      <w:bodyDiv w:val="1"/>
      <w:marLeft w:val="0"/>
      <w:marRight w:val="0"/>
      <w:marTop w:val="0"/>
      <w:marBottom w:val="0"/>
      <w:divBdr>
        <w:top w:val="none" w:sz="0" w:space="0" w:color="auto"/>
        <w:left w:val="none" w:sz="0" w:space="0" w:color="auto"/>
        <w:bottom w:val="none" w:sz="0" w:space="0" w:color="auto"/>
        <w:right w:val="none" w:sz="0" w:space="0" w:color="auto"/>
      </w:divBdr>
    </w:div>
    <w:div w:id="783383464">
      <w:bodyDiv w:val="1"/>
      <w:marLeft w:val="0"/>
      <w:marRight w:val="0"/>
      <w:marTop w:val="0"/>
      <w:marBottom w:val="0"/>
      <w:divBdr>
        <w:top w:val="none" w:sz="0" w:space="0" w:color="auto"/>
        <w:left w:val="none" w:sz="0" w:space="0" w:color="auto"/>
        <w:bottom w:val="none" w:sz="0" w:space="0" w:color="auto"/>
        <w:right w:val="none" w:sz="0" w:space="0" w:color="auto"/>
      </w:divBdr>
    </w:div>
    <w:div w:id="820540725">
      <w:bodyDiv w:val="1"/>
      <w:marLeft w:val="0"/>
      <w:marRight w:val="0"/>
      <w:marTop w:val="0"/>
      <w:marBottom w:val="0"/>
      <w:divBdr>
        <w:top w:val="none" w:sz="0" w:space="0" w:color="auto"/>
        <w:left w:val="none" w:sz="0" w:space="0" w:color="auto"/>
        <w:bottom w:val="none" w:sz="0" w:space="0" w:color="auto"/>
        <w:right w:val="none" w:sz="0" w:space="0" w:color="auto"/>
      </w:divBdr>
    </w:div>
    <w:div w:id="895703823">
      <w:bodyDiv w:val="1"/>
      <w:marLeft w:val="0"/>
      <w:marRight w:val="0"/>
      <w:marTop w:val="0"/>
      <w:marBottom w:val="0"/>
      <w:divBdr>
        <w:top w:val="none" w:sz="0" w:space="0" w:color="auto"/>
        <w:left w:val="none" w:sz="0" w:space="0" w:color="auto"/>
        <w:bottom w:val="none" w:sz="0" w:space="0" w:color="auto"/>
        <w:right w:val="none" w:sz="0" w:space="0" w:color="auto"/>
      </w:divBdr>
    </w:div>
    <w:div w:id="1006633156">
      <w:bodyDiv w:val="1"/>
      <w:marLeft w:val="0"/>
      <w:marRight w:val="0"/>
      <w:marTop w:val="0"/>
      <w:marBottom w:val="0"/>
      <w:divBdr>
        <w:top w:val="none" w:sz="0" w:space="0" w:color="auto"/>
        <w:left w:val="none" w:sz="0" w:space="0" w:color="auto"/>
        <w:bottom w:val="none" w:sz="0" w:space="0" w:color="auto"/>
        <w:right w:val="none" w:sz="0" w:space="0" w:color="auto"/>
      </w:divBdr>
    </w:div>
    <w:div w:id="1332218227">
      <w:bodyDiv w:val="1"/>
      <w:marLeft w:val="0"/>
      <w:marRight w:val="0"/>
      <w:marTop w:val="0"/>
      <w:marBottom w:val="0"/>
      <w:divBdr>
        <w:top w:val="none" w:sz="0" w:space="0" w:color="auto"/>
        <w:left w:val="none" w:sz="0" w:space="0" w:color="auto"/>
        <w:bottom w:val="none" w:sz="0" w:space="0" w:color="auto"/>
        <w:right w:val="none" w:sz="0" w:space="0" w:color="auto"/>
      </w:divBdr>
    </w:div>
    <w:div w:id="1710035228">
      <w:bodyDiv w:val="1"/>
      <w:marLeft w:val="0"/>
      <w:marRight w:val="0"/>
      <w:marTop w:val="0"/>
      <w:marBottom w:val="0"/>
      <w:divBdr>
        <w:top w:val="none" w:sz="0" w:space="0" w:color="auto"/>
        <w:left w:val="none" w:sz="0" w:space="0" w:color="auto"/>
        <w:bottom w:val="none" w:sz="0" w:space="0" w:color="auto"/>
        <w:right w:val="none" w:sz="0" w:space="0" w:color="auto"/>
      </w:divBdr>
    </w:div>
    <w:div w:id="1926184337">
      <w:bodyDiv w:val="1"/>
      <w:marLeft w:val="0"/>
      <w:marRight w:val="0"/>
      <w:marTop w:val="0"/>
      <w:marBottom w:val="0"/>
      <w:divBdr>
        <w:top w:val="none" w:sz="0" w:space="0" w:color="auto"/>
        <w:left w:val="none" w:sz="0" w:space="0" w:color="auto"/>
        <w:bottom w:val="none" w:sz="0" w:space="0" w:color="auto"/>
        <w:right w:val="none" w:sz="0" w:space="0" w:color="auto"/>
      </w:divBdr>
    </w:div>
    <w:div w:id="20718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5AD02DE-C4D8-41A7-8D5D-4F06F7548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8</Pages>
  <Words>2325</Words>
  <Characters>13163</Characters>
  <Application>Microsoft Office Word</Application>
  <DocSecurity>0</DocSecurity>
  <Lines>215</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35</cp:revision>
  <cp:lastPrinted>2021-09-09T15:29:00Z</cp:lastPrinted>
  <dcterms:created xsi:type="dcterms:W3CDTF">2021-11-26T08:33:00Z</dcterms:created>
  <dcterms:modified xsi:type="dcterms:W3CDTF">2021-11-26T18:00:00Z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SJ-021</vt:lpwstr>
  </property>
  <property fmtid="{D5CDD505-2E9C-101B-9397-08002B2CF9AE}" pid="10" name="DQCStatus">
    <vt:lpwstr>Green (DQC version 03)</vt:lpwstr>
  </property>
  <property name="OP_sanitized" fmtid="{D5CDD505-2E9C-101B-9397-08002B2CF9AE}" pid="11">
    <vt:lpwstr>True</vt:lpwstr>
  </property>
</Properties>
</file>