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5E3CF67-B3F2-4081-B8D2-3095C991D42F" style="width:455.25pt;height:40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2018/0258 (COD)</w:t>
      </w:r>
    </w:p>
    <w:p>
      <w:pPr>
        <w:pStyle w:val="Typedudocument"/>
        <w:rPr>
          <w:noProof/>
        </w:rPr>
      </w:pPr>
      <w:r>
        <w:rPr>
          <w:noProof/>
        </w:rPr>
        <w:t>COMUNICARE A COMISIEI CĂTRE PARLAMENTUL EUROPEAN</w:t>
      </w:r>
      <w:r>
        <w:rPr>
          <w:noProof/>
        </w:rPr>
        <w:br/>
      </w:r>
      <w:r>
        <w:rPr>
          <w:noProof/>
        </w:rPr>
        <w:br/>
        <w:t>în conformitate cu articolul 294 alineatul (6) din Tratatul privind funcționarea Uniunii Europene</w:t>
      </w:r>
      <w:r>
        <w:rPr>
          <w:noProof/>
        </w:rPr>
        <w:br/>
      </w:r>
      <w:r>
        <w:rPr>
          <w:noProof/>
        </w:rPr>
        <w:br/>
        <w:t>privind</w:t>
      </w:r>
    </w:p>
    <w:p>
      <w:pPr>
        <w:pStyle w:val="Titreobjet"/>
        <w:rPr>
          <w:noProof/>
        </w:rPr>
      </w:pPr>
      <w:r>
        <w:rPr>
          <w:noProof/>
        </w:rPr>
        <w:t xml:space="preserve">poziția Consiliului cu privire la adoptarea unui regulament de instituire a Instrumentului de sprijin financiar pentru echipamente de control vamal   </w:t>
      </w:r>
      <w:r>
        <w:rPr>
          <w:noProof/>
        </w:rPr>
        <w:br/>
      </w:r>
    </w:p>
    <w:p>
      <w:pPr>
        <w:pStyle w:val="ManualHeading1"/>
        <w:rPr>
          <w:noProof/>
          <w:sz w:val="22"/>
        </w:rPr>
      </w:pPr>
      <w:r>
        <w:rPr>
          <w:noProof/>
        </w:rPr>
        <w:t>1.</w:t>
      </w:r>
      <w:r>
        <w:rPr>
          <w:noProof/>
        </w:rPr>
        <w:tab/>
        <w:t>Context</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 xml:space="preserve">Data transmiterii propunerii către Parlamentul European și Consiliu </w:t>
            </w:r>
            <w:r>
              <w:rPr>
                <w:noProof/>
              </w:rPr>
              <w:br/>
              <w:t>(document COM(2018) 474 final – 2018/0258 COD):</w:t>
            </w:r>
          </w:p>
        </w:tc>
        <w:tc>
          <w:tcPr>
            <w:tcW w:w="2483" w:type="dxa"/>
          </w:tcPr>
          <w:p>
            <w:pPr>
              <w:jc w:val="left"/>
              <w:rPr>
                <w:noProof/>
              </w:rPr>
            </w:pPr>
            <w:r>
              <w:rPr>
                <w:noProof/>
              </w:rPr>
              <w:t>12 iunie 2018</w:t>
            </w:r>
          </w:p>
        </w:tc>
      </w:tr>
      <w:tr>
        <w:tc>
          <w:tcPr>
            <w:tcW w:w="6804" w:type="dxa"/>
          </w:tcPr>
          <w:p>
            <w:pPr>
              <w:rPr>
                <w:noProof/>
              </w:rPr>
            </w:pPr>
            <w:r>
              <w:rPr>
                <w:noProof/>
              </w:rPr>
              <w:t>Data avizului Comitetului Economic și Social European:</w:t>
            </w:r>
          </w:p>
        </w:tc>
        <w:tc>
          <w:tcPr>
            <w:tcW w:w="2483" w:type="dxa"/>
          </w:tcPr>
          <w:p>
            <w:pPr>
              <w:jc w:val="left"/>
              <w:rPr>
                <w:noProof/>
              </w:rPr>
            </w:pPr>
            <w:r>
              <w:rPr>
                <w:noProof/>
              </w:rPr>
              <w:t>17 octombrie 2018</w:t>
            </w:r>
          </w:p>
        </w:tc>
      </w:tr>
      <w:tr>
        <w:tc>
          <w:tcPr>
            <w:tcW w:w="6804" w:type="dxa"/>
          </w:tcPr>
          <w:p>
            <w:pPr>
              <w:rPr>
                <w:noProof/>
              </w:rPr>
            </w:pPr>
            <w:r>
              <w:rPr>
                <w:noProof/>
              </w:rPr>
              <w:t>Data avizului Parlamentului European în primă lectură:</w:t>
            </w:r>
          </w:p>
        </w:tc>
        <w:tc>
          <w:tcPr>
            <w:tcW w:w="2483" w:type="dxa"/>
          </w:tcPr>
          <w:p>
            <w:pPr>
              <w:jc w:val="left"/>
              <w:rPr>
                <w:noProof/>
              </w:rPr>
            </w:pPr>
            <w:r>
              <w:rPr>
                <w:noProof/>
              </w:rPr>
              <w:t>15 ianuarie 2019</w:t>
            </w:r>
          </w:p>
        </w:tc>
      </w:tr>
      <w:tr>
        <w:tc>
          <w:tcPr>
            <w:tcW w:w="6804" w:type="dxa"/>
          </w:tcPr>
          <w:p>
            <w:pPr>
              <w:rPr>
                <w:noProof/>
              </w:rPr>
            </w:pPr>
            <w:r>
              <w:rPr>
                <w:noProof/>
              </w:rPr>
              <w:t>Data transmiterii propunerii modificate:</w:t>
            </w:r>
          </w:p>
        </w:tc>
        <w:tc>
          <w:tcPr>
            <w:tcW w:w="2483" w:type="dxa"/>
          </w:tcPr>
          <w:p>
            <w:pPr>
              <w:jc w:val="left"/>
              <w:rPr>
                <w:noProof/>
              </w:rPr>
            </w:pPr>
            <w:r>
              <w:rPr>
                <w:noProof/>
              </w:rPr>
              <w:t>N/A</w:t>
            </w:r>
          </w:p>
        </w:tc>
      </w:tr>
      <w:tr>
        <w:tc>
          <w:tcPr>
            <w:tcW w:w="6804" w:type="dxa"/>
          </w:tcPr>
          <w:p>
            <w:pPr>
              <w:rPr>
                <w:noProof/>
              </w:rPr>
            </w:pPr>
            <w:r>
              <w:rPr>
                <w:noProof/>
              </w:rPr>
              <w:t>Data adoptării poziției Consiliului:</w:t>
            </w:r>
          </w:p>
        </w:tc>
        <w:tc>
          <w:tcPr>
            <w:tcW w:w="2483" w:type="dxa"/>
          </w:tcPr>
          <w:p>
            <w:pPr>
              <w:jc w:val="left"/>
              <w:rPr>
                <w:noProof/>
              </w:rPr>
            </w:pPr>
            <w:r>
              <w:rPr>
                <w:noProof/>
              </w:rPr>
              <w:t>27 mai 2021</w:t>
            </w:r>
          </w:p>
        </w:tc>
      </w:tr>
    </w:tbl>
    <w:p>
      <w:pPr>
        <w:pStyle w:val="ManualHeading1"/>
        <w:rPr>
          <w:noProof/>
        </w:rPr>
      </w:pPr>
      <w:r>
        <w:rPr>
          <w:noProof/>
        </w:rPr>
        <w:t>2.</w:t>
      </w:r>
      <w:r>
        <w:rPr>
          <w:noProof/>
        </w:rPr>
        <w:tab/>
        <w:t>Obiectul propunerii Comisiei</w:t>
      </w:r>
    </w:p>
    <w:p>
      <w:pPr>
        <w:rPr>
          <w:noProof/>
        </w:rPr>
      </w:pPr>
      <w:r>
        <w:rPr>
          <w:noProof/>
        </w:rPr>
        <w:t xml:space="preserve">La 2 mai 2018, Comisia a adoptat o propunere de instituire a unui nou Fond de gestionare integrată a frontierelor (FGIF) în contextul cadrului financiar multianual (CFM) pentru perioada 2021-2027. </w:t>
      </w:r>
    </w:p>
    <w:p>
      <w:pPr>
        <w:rPr>
          <w:noProof/>
        </w:rPr>
      </w:pPr>
      <w:r>
        <w:rPr>
          <w:noProof/>
        </w:rPr>
        <w:t>FGIF va contribui la dezvoltarea în continuare a politicii comune în domeniul vizelor și la punerea în aplicare a gestionării europene integrate a frontierelor de către statele membre, la combaterea migrației neregulamentare, la facilitarea călătoriilor și a schimburilor comerciale legitime, precum și la îmbunătățirea performanțelor uniunii vamale.</w:t>
      </w:r>
    </w:p>
    <w:p>
      <w:pPr>
        <w:rPr>
          <w:noProof/>
        </w:rPr>
      </w:pPr>
      <w:r>
        <w:rPr>
          <w:noProof/>
        </w:rPr>
        <w:t>În acest sens, FGIF va fi compus dintr-un instrument de sprijin financiar pentru gestionarea frontierelor și vize și dintr-un instrument de sprijin financiar pentru echipamente de control vamal.</w:t>
      </w:r>
    </w:p>
    <w:p>
      <w:pPr>
        <w:rPr>
          <w:noProof/>
        </w:rPr>
      </w:pPr>
      <w:r>
        <w:rPr>
          <w:noProof/>
        </w:rPr>
        <w:t>Prezenta comunicare se referă la Instrumentul pentru echipamentele de control vamal (IECV) care urmărește obiectivul general de sprijinire a uniunii vamale și a autorităților vamale în vederea protejării intereselor financiare și economice ale Uniunii și ale statelor sale membre, pentru a garanta securitatea și siguranța în Uniune și pentru a proteja Uniunea împotriva comerțului ilicit, facilitând în același timp, activitățile comerciale legitime. Instrumentul are ca obiectiv specific să contribuie la obținerea unor rezultate adecvate și echivalente ale controalelor vamale prin achiziționarea, întreținerea și modernizarea în mod transparent a unor echipamente de control vamal relevante, de ultimă generație și fiabile, care ar trebui să fie, de asemenea, securizate, sigure și ecologice.</w:t>
      </w:r>
    </w:p>
    <w:p>
      <w:pPr>
        <w:rPr>
          <w:noProof/>
        </w:rPr>
      </w:pPr>
      <w:r>
        <w:rPr>
          <w:noProof/>
        </w:rPr>
        <w:lastRenderedPageBreak/>
        <w:t>Instrumentul va viza, de asemenea, echipamentele utilizate în scopuri de control care depășesc sfera controalelor vamale, atât timp cât acestea rămân principalul obiectiv al respectivelor echipamente.</w:t>
      </w:r>
    </w:p>
    <w:p>
      <w:pPr>
        <w:rPr>
          <w:noProof/>
        </w:rPr>
      </w:pPr>
      <w:r>
        <w:rPr>
          <w:noProof/>
        </w:rPr>
        <w:t>Programul a fost conceput pentru a aborda dezechilibrele existente în ceea ce privește disponibilitatea unor echipamente de control vamal adecvate și moderne în statele membre, ținând seama de particularitățile diferitelor puncte de trecere a frontierei, în special de localizarea geografică, dimensiunea, caracteristicile traficului, analizele de risc și amenințările la care sunt expuse.</w:t>
      </w:r>
    </w:p>
    <w:p>
      <w:pPr>
        <w:rPr>
          <w:noProof/>
        </w:rPr>
      </w:pPr>
      <w:r>
        <w:rPr>
          <w:noProof/>
        </w:rPr>
        <w:t>Aceasta vine ca răspuns la solicitările statelor membre privind o soluție structurată pentru a furniza administrațiilor vamale naționale echipamente tehnice adecvate și eficace pentru controlul mărfurilor care intră și ies din UE.</w:t>
      </w:r>
    </w:p>
    <w:p>
      <w:pPr>
        <w:rPr>
          <w:noProof/>
        </w:rPr>
      </w:pPr>
      <w:r>
        <w:rPr>
          <w:noProof/>
        </w:rPr>
        <w:t>Disponibilitatea unor astfel de echipamente la frontierele externe și la laboratoarele vamale este de o importanță capitală pentru facilitarea uniunii vamale pentru a face față dificultăților existente, precum și celor noi.</w:t>
      </w:r>
    </w:p>
    <w:p>
      <w:pPr>
        <w:rPr>
          <w:noProof/>
        </w:rPr>
      </w:pPr>
      <w:r>
        <w:rPr>
          <w:noProof/>
        </w:rPr>
        <w:t>Prin sprijinirea modernizării echipamentelor de control vamal la nivelul Uniunii, IECV urmărește obiective de politică orientate către o uniune vamală mai puternică și mai bine echipată, către o valoare adăugată sporită a UE și către o mai bună inovare și sustenabilitate a acțiunii UE.</w:t>
      </w:r>
    </w:p>
    <w:p>
      <w:pPr>
        <w:pStyle w:val="ManualHeading1"/>
        <w:rPr>
          <w:noProof/>
        </w:rPr>
      </w:pPr>
      <w:r>
        <w:rPr>
          <w:noProof/>
        </w:rPr>
        <w:t>3.</w:t>
      </w:r>
      <w:r>
        <w:rPr>
          <w:noProof/>
        </w:rPr>
        <w:tab/>
        <w:t>Observații privind poziția Consiliului</w:t>
      </w:r>
    </w:p>
    <w:p>
      <w:pPr>
        <w:widowControl w:val="0"/>
        <w:rPr>
          <w:noProof/>
        </w:rPr>
      </w:pPr>
      <w:r>
        <w:rPr>
          <w:noProof/>
        </w:rPr>
        <w:t xml:space="preserve">Poziția Consiliului, astfel cum a fost adoptată în primă lectură, reflectă pe deplin acordul la care s-a ajuns în cadrul trilogurilor. </w:t>
      </w:r>
    </w:p>
    <w:p>
      <w:pPr>
        <w:widowControl w:val="0"/>
        <w:rPr>
          <w:noProof/>
        </w:rPr>
      </w:pPr>
      <w:r>
        <w:rPr>
          <w:noProof/>
        </w:rPr>
        <w:t>Printre principalele puncte ale acordului general se numără următoarele:</w:t>
      </w:r>
    </w:p>
    <w:p>
      <w:pPr>
        <w:pStyle w:val="Tiret1"/>
        <w:numPr>
          <w:ilvl w:val="0"/>
          <w:numId w:val="1"/>
        </w:numPr>
        <w:tabs>
          <w:tab w:val="clear" w:pos="1417"/>
          <w:tab w:val="num" w:pos="709"/>
        </w:tabs>
        <w:ind w:left="709"/>
        <w:rPr>
          <w:noProof/>
        </w:rPr>
      </w:pPr>
      <w:r>
        <w:rPr>
          <w:noProof/>
        </w:rPr>
        <w:t>Includerea formulării privind „rezultatele echivalente ale controalelor vamale” în unele considerente [(1), (2), (5), (6), (19), (26)</w:t>
      </w:r>
      <w:r>
        <w:rPr>
          <w:rStyle w:val="FootnoteReference"/>
          <w:noProof/>
        </w:rPr>
        <w:footnoteReference w:id="1"/>
      </w:r>
      <w:r>
        <w:rPr>
          <w:noProof/>
        </w:rPr>
        <w:t>].</w:t>
      </w:r>
    </w:p>
    <w:p>
      <w:pPr>
        <w:pStyle w:val="Tiret1"/>
        <w:numPr>
          <w:ilvl w:val="0"/>
          <w:numId w:val="1"/>
        </w:numPr>
        <w:tabs>
          <w:tab w:val="clear" w:pos="1417"/>
          <w:tab w:val="num" w:pos="709"/>
        </w:tabs>
        <w:ind w:left="709"/>
        <w:rPr>
          <w:noProof/>
        </w:rPr>
      </w:pPr>
      <w:r>
        <w:rPr>
          <w:noProof/>
        </w:rPr>
        <w:t>Includerea unui considerent privind schimbările climatice și biodiversitatea [considerentul (10) litera (a)] și a unui considerent privind condiționalitatea bugetară [considerentul (24)].</w:t>
      </w:r>
    </w:p>
    <w:p>
      <w:pPr>
        <w:pStyle w:val="Tiret1"/>
        <w:numPr>
          <w:ilvl w:val="0"/>
          <w:numId w:val="1"/>
        </w:numPr>
        <w:tabs>
          <w:tab w:val="clear" w:pos="1417"/>
          <w:tab w:val="num" w:pos="709"/>
        </w:tabs>
        <w:ind w:left="709"/>
        <w:rPr>
          <w:noProof/>
        </w:rPr>
      </w:pPr>
      <w:r>
        <w:rPr>
          <w:noProof/>
        </w:rPr>
        <w:t>Specificarea faptului că programele de lucru ar trebui să acopere, în principiu, mai mult de un exercițiu bugetar, dar nu mai mult de trei ani [considerentul 17)].</w:t>
      </w:r>
    </w:p>
    <w:p>
      <w:pPr>
        <w:pStyle w:val="Tiret1"/>
        <w:numPr>
          <w:ilvl w:val="0"/>
          <w:numId w:val="1"/>
        </w:numPr>
        <w:tabs>
          <w:tab w:val="clear" w:pos="1417"/>
          <w:tab w:val="num" w:pos="709"/>
        </w:tabs>
        <w:ind w:left="709"/>
        <w:rPr>
          <w:noProof/>
        </w:rPr>
      </w:pPr>
      <w:r>
        <w:rPr>
          <w:noProof/>
        </w:rPr>
        <w:t>Includerea în evaluările intermediare și finale ale Comisiei a detaliilor privind partajarea între autoritățile vamale și alte autorități de frontieră a echipamentelor finanțate în cadrul instrumentului, în măsura în care statele membre au furnizat Comisiei informații relevante. Includerea unei trimiteri la rapoartele anuale privind progresele înregistrate care urmează să fie pregătite de Comisie în plus față de evaluările intermediare și finale ale instrumentului, ca parte a sistemului de raportare cu privire la performanță [considerentul (21)].</w:t>
      </w:r>
    </w:p>
    <w:p>
      <w:pPr>
        <w:pStyle w:val="Tiret1"/>
        <w:numPr>
          <w:ilvl w:val="0"/>
          <w:numId w:val="1"/>
        </w:numPr>
        <w:tabs>
          <w:tab w:val="clear" w:pos="1417"/>
          <w:tab w:val="num" w:pos="709"/>
        </w:tabs>
        <w:ind w:left="709"/>
        <w:rPr>
          <w:noProof/>
        </w:rPr>
      </w:pPr>
      <w:r>
        <w:rPr>
          <w:noProof/>
        </w:rPr>
        <w:t>Durata de aplicare a instrumentului este cuprinsă între 1 ianuarie 2021 și 31 decembrie 2027 [articolul 1 alineatul (1)]. Aceeași durată este stabilită pentru Fondul de gestionare integrată a frontierelor, din care face parte Instrumentul de sprijin financiar pentru echipamente de control vamal [articolul 1 alineatul (2)].</w:t>
      </w:r>
    </w:p>
    <w:p>
      <w:pPr>
        <w:pStyle w:val="Tiret1"/>
        <w:numPr>
          <w:ilvl w:val="0"/>
          <w:numId w:val="1"/>
        </w:numPr>
        <w:tabs>
          <w:tab w:val="clear" w:pos="1417"/>
          <w:tab w:val="num" w:pos="709"/>
        </w:tabs>
        <w:ind w:left="709"/>
        <w:rPr>
          <w:noProof/>
        </w:rPr>
      </w:pPr>
      <w:r>
        <w:rPr>
          <w:noProof/>
        </w:rPr>
        <w:t>Formularea de compromis a obiectivelor instrumentului prin includerea formulării „în vederea obiectivului pe termen lung de aplicare armonizată a controalelor vamale de către statele membre” [articolul 3 alineatul (1)].</w:t>
      </w:r>
    </w:p>
    <w:p>
      <w:pPr>
        <w:pStyle w:val="Tiret1"/>
        <w:numPr>
          <w:ilvl w:val="0"/>
          <w:numId w:val="1"/>
        </w:numPr>
        <w:tabs>
          <w:tab w:val="clear" w:pos="1417"/>
          <w:tab w:val="num" w:pos="709"/>
        </w:tabs>
        <w:ind w:left="709"/>
        <w:rPr>
          <w:noProof/>
        </w:rPr>
      </w:pPr>
      <w:r>
        <w:rPr>
          <w:noProof/>
        </w:rPr>
        <w:tab/>
        <w:t>Clarificarea obiectivului specific al instrumentului de a contribui la rezultate adecvate și echivalente ale controalelor vamale prin achiziționarea, întreținerea și modernizarea în mod transparent a echipamentelor de control vamal relevante, de ultimă generație, cum ar fi echipamente de control vamal securizate, sigure, ecologice și fiabile, sprijinind astfel autoritățile vamale care acționează ca o singură entitate pentru protejarea intereselor Uniunii [articolul 3 alineatul (2)].</w:t>
      </w:r>
    </w:p>
    <w:p>
      <w:pPr>
        <w:pStyle w:val="Tiret1"/>
        <w:numPr>
          <w:ilvl w:val="0"/>
          <w:numId w:val="1"/>
        </w:numPr>
        <w:tabs>
          <w:tab w:val="clear" w:pos="1417"/>
          <w:tab w:val="num" w:pos="709"/>
        </w:tabs>
        <w:ind w:left="709"/>
        <w:rPr>
          <w:noProof/>
        </w:rPr>
      </w:pPr>
      <w:r>
        <w:rPr>
          <w:noProof/>
        </w:rPr>
        <w:t>Pachetul financiar pentru punerea în aplicare a instrumentului se ridică la 1 006 407 000 EUR în prețuri curente [articolul 4 alineatul (1)].</w:t>
      </w:r>
    </w:p>
    <w:p>
      <w:pPr>
        <w:pStyle w:val="Tiret1"/>
        <w:numPr>
          <w:ilvl w:val="0"/>
          <w:numId w:val="1"/>
        </w:numPr>
        <w:tabs>
          <w:tab w:val="clear" w:pos="1417"/>
          <w:tab w:val="num" w:pos="709"/>
        </w:tabs>
        <w:ind w:left="709"/>
        <w:rPr>
          <w:noProof/>
        </w:rPr>
      </w:pPr>
      <w:r>
        <w:rPr>
          <w:noProof/>
        </w:rPr>
        <w:t>Specificarea faptului că o acțiune eligibilă poate sprijini achiziționarea, întreținerea și modernizarea echipamentelor tehnologice inovatoare de detectare [articolul 6 alineatul (1)].</w:t>
      </w:r>
    </w:p>
    <w:p>
      <w:pPr>
        <w:pStyle w:val="Tiret1"/>
        <w:numPr>
          <w:ilvl w:val="0"/>
          <w:numId w:val="1"/>
        </w:numPr>
        <w:tabs>
          <w:tab w:val="clear" w:pos="1417"/>
        </w:tabs>
        <w:ind w:left="709"/>
        <w:rPr>
          <w:noProof/>
        </w:rPr>
      </w:pPr>
      <w:r>
        <w:rPr>
          <w:noProof/>
        </w:rPr>
        <w:t>Aplicarea retroactivă a programului începând cu 1 ianuarie 2021 [articolul 6 alineatul (2) litera (a)]</w:t>
      </w:r>
    </w:p>
    <w:p>
      <w:pPr>
        <w:pStyle w:val="Tiret1"/>
        <w:numPr>
          <w:ilvl w:val="0"/>
          <w:numId w:val="1"/>
        </w:numPr>
        <w:tabs>
          <w:tab w:val="clear" w:pos="1417"/>
          <w:tab w:val="num" w:pos="709"/>
        </w:tabs>
        <w:ind w:left="709"/>
        <w:rPr>
          <w:noProof/>
        </w:rPr>
      </w:pPr>
      <w:r>
        <w:rPr>
          <w:noProof/>
        </w:rPr>
        <w:t>Clarificarea faptului că echipamentele de control vamal finanțate în temeiul acestui instrument trebuie utilizate în principal pentru controale vamale, dar pot fi utilizate și în scopuri suplimentare, inclusiv pentru controlul persoanelor în sprijinul autorităților naționale de gestionare a frontierelor și pentru anchete. Cu toate acestea, actul de partajare nu ar trebui să fie sistematic [articolul 6 alineatul (4)].</w:t>
      </w:r>
    </w:p>
    <w:p>
      <w:pPr>
        <w:pStyle w:val="Tiret1"/>
        <w:numPr>
          <w:ilvl w:val="0"/>
          <w:numId w:val="1"/>
        </w:numPr>
        <w:tabs>
          <w:tab w:val="clear" w:pos="1417"/>
          <w:tab w:val="num" w:pos="709"/>
        </w:tabs>
        <w:ind w:left="709"/>
        <w:rPr>
          <w:noProof/>
        </w:rPr>
      </w:pPr>
      <w:r>
        <w:rPr>
          <w:noProof/>
        </w:rPr>
        <w:t>Introducerea cerinței ca Comisia să încurajeze achiziționarea și testarea în comun a echipamentelor de control vamal între statele membre [articolul 6 alineatul (4) litera (a)].</w:t>
      </w:r>
    </w:p>
    <w:p>
      <w:pPr>
        <w:pStyle w:val="Tiret1"/>
        <w:numPr>
          <w:ilvl w:val="0"/>
          <w:numId w:val="1"/>
        </w:numPr>
        <w:tabs>
          <w:tab w:val="clear" w:pos="1417"/>
          <w:tab w:val="num" w:pos="709"/>
        </w:tabs>
        <w:ind w:left="709"/>
        <w:rPr>
          <w:noProof/>
        </w:rPr>
      </w:pPr>
      <w:r>
        <w:rPr>
          <w:noProof/>
        </w:rPr>
        <w:t>Unele modificări ale listei de costuri care nu ar trebui să fie eligibile pentru finanțare în cadrul instrumentului și excepțiile aferente [articolul 9 alineatul (1)].</w:t>
      </w:r>
    </w:p>
    <w:p>
      <w:pPr>
        <w:pStyle w:val="Tiret1"/>
        <w:numPr>
          <w:ilvl w:val="0"/>
          <w:numId w:val="1"/>
        </w:numPr>
        <w:tabs>
          <w:tab w:val="clear" w:pos="1417"/>
          <w:tab w:val="num" w:pos="709"/>
        </w:tabs>
        <w:ind w:left="709"/>
        <w:rPr>
          <w:noProof/>
        </w:rPr>
      </w:pPr>
      <w:r>
        <w:rPr>
          <w:noProof/>
        </w:rPr>
        <w:t>Adoptarea programelor de lucru prin acte de punere în aplicare, dar cu adăugarea unei serii de elemente care sunt incluse în regulament. Majoritatea acestor elemente sunt deja obligatorii în conformitate cu Regulamentul (UE, Euratom) nr. 2018/1046 al Parlamentului European și al Consiliului din 18 iulie 2018 privind normele financiare aplicabile bugetului general al Uniunii [articolul 11 alineatul (1) litera (a)].</w:t>
      </w:r>
    </w:p>
    <w:p>
      <w:pPr>
        <w:pStyle w:val="Tiret1"/>
        <w:numPr>
          <w:ilvl w:val="0"/>
          <w:numId w:val="1"/>
        </w:numPr>
        <w:tabs>
          <w:tab w:val="clear" w:pos="1417"/>
          <w:tab w:val="num" w:pos="709"/>
        </w:tabs>
        <w:ind w:left="709"/>
        <w:rPr>
          <w:noProof/>
        </w:rPr>
      </w:pPr>
      <w:r>
        <w:rPr>
          <w:noProof/>
        </w:rPr>
        <w:t>Unele modificări ale elementelor evaluării necesităților în materie de echipamente vamale, care vor sprijini pregătirea programelor de lucru (în special o descriere cuprinzătoare a echipamentelor de control vamal disponibile; o listă comună a echipamentelor de control vamal care ar trebui să fie disponibile, cu trimitere la categoria punctelor de trecere a frontierei și o estimare a nevoilor financiare) [articolul 11 alineatul (3)].</w:t>
      </w:r>
    </w:p>
    <w:p>
      <w:pPr>
        <w:pStyle w:val="Tiret1"/>
        <w:numPr>
          <w:ilvl w:val="0"/>
          <w:numId w:val="1"/>
        </w:numPr>
        <w:tabs>
          <w:tab w:val="clear" w:pos="1417"/>
          <w:tab w:val="num" w:pos="709"/>
        </w:tabs>
        <w:ind w:left="709"/>
        <w:rPr>
          <w:noProof/>
        </w:rPr>
      </w:pPr>
      <w:r>
        <w:rPr>
          <w:noProof/>
        </w:rPr>
        <w:tab/>
        <w:t>Consolidarea cerințelor de raportare, inclusiv comunicarea anuală către Comisie a informațiilor referitoare la costuri care depășesc 10 000 EUR, împreună cu o listă detaliată a echipamentelor de control vamal finanțate în cadrul instrumentului și a rezultatelor utilizării echipamentelor, împreună cu statisticile relevante, după caz [articolul 12 alineatul (4)].</w:t>
      </w:r>
    </w:p>
    <w:p>
      <w:pPr>
        <w:pStyle w:val="Tiret1"/>
        <w:numPr>
          <w:ilvl w:val="0"/>
          <w:numId w:val="1"/>
        </w:numPr>
        <w:tabs>
          <w:tab w:val="clear" w:pos="1417"/>
          <w:tab w:val="num" w:pos="709"/>
        </w:tabs>
        <w:ind w:left="709"/>
        <w:rPr>
          <w:noProof/>
        </w:rPr>
      </w:pPr>
      <w:r>
        <w:rPr>
          <w:noProof/>
        </w:rPr>
        <w:t>Un raport care urmează să fie elaborat de Comisie cu privire la delegarea competenței conferite Comisiei de a modifica anexa 1 (privind lista indicativă a echipamentelor) și anexa 2 (privind indicatorii) [articolul 14 alineatul (2)].</w:t>
      </w:r>
    </w:p>
    <w:p>
      <w:pPr>
        <w:pStyle w:val="Tiret1"/>
        <w:numPr>
          <w:ilvl w:val="0"/>
          <w:numId w:val="1"/>
        </w:numPr>
        <w:ind w:left="709"/>
        <w:rPr>
          <w:noProof/>
        </w:rPr>
      </w:pPr>
      <w:r>
        <w:rPr>
          <w:noProof/>
        </w:rPr>
        <w:t xml:space="preserve">Intrarea în vigoare a regulamentului la data publicării în </w:t>
      </w:r>
      <w:r>
        <w:rPr>
          <w:i/>
          <w:noProof/>
        </w:rPr>
        <w:t>Jurnalul Oficial al Uniunii Europene</w:t>
      </w:r>
      <w:r>
        <w:rPr>
          <w:noProof/>
        </w:rPr>
        <w:t xml:space="preserve"> [articolul 18 alineatul (1)].</w:t>
      </w:r>
    </w:p>
    <w:p>
      <w:pPr>
        <w:pStyle w:val="Tiret1"/>
        <w:numPr>
          <w:ilvl w:val="0"/>
          <w:numId w:val="1"/>
        </w:numPr>
        <w:tabs>
          <w:tab w:val="clear" w:pos="1417"/>
          <w:tab w:val="num" w:pos="709"/>
        </w:tabs>
        <w:ind w:left="709"/>
        <w:rPr>
          <w:noProof/>
        </w:rPr>
      </w:pPr>
      <w:r>
        <w:rPr>
          <w:noProof/>
        </w:rPr>
        <w:t>Completarea anexei 1 privind lista echipamentelor.</w:t>
      </w:r>
    </w:p>
    <w:p>
      <w:pPr>
        <w:pStyle w:val="Text1"/>
        <w:tabs>
          <w:tab w:val="left" w:pos="0"/>
        </w:tabs>
        <w:spacing w:before="100" w:beforeAutospacing="1" w:after="100" w:afterAutospacing="1"/>
        <w:ind w:left="0"/>
        <w:rPr>
          <w:noProof/>
        </w:rPr>
      </w:pPr>
      <w:r>
        <w:rPr>
          <w:noProof/>
        </w:rPr>
        <w:t>Comisia sprijină acordul la care s-a ajuns în cadrul trilogurilor, care pregătește terenul pentru o adoptare rapidă a noului instrument. IECV ar consolida eforturile și capacitățile autorităților vamale care acționează ca o singură entitate pentru a proteja piața unică și pentru a aduce uniunea vamală la un nivel superior.</w:t>
      </w:r>
    </w:p>
    <w:p>
      <w:pPr>
        <w:pStyle w:val="Text1"/>
        <w:tabs>
          <w:tab w:val="left" w:pos="0"/>
        </w:tabs>
        <w:spacing w:before="100" w:beforeAutospacing="1" w:after="100" w:afterAutospacing="1"/>
        <w:ind w:left="0"/>
        <w:rPr>
          <w:noProof/>
        </w:rPr>
      </w:pPr>
      <w:r>
        <w:rPr>
          <w:noProof/>
        </w:rPr>
        <w:t>Comisia își menține preocupările cu privire la considerentul (22), în care Parlamentul European a adăugat formularea „pe deplin transparent” în ceea ce privește consultările adecvate pe care Comisia trebuie să le desfășoare în cursul lucrărilor sale pregătitoare pentru adoptarea actelor delegate. Solicitarea Comisiei de a elimina această formulare, deoarece se abate de la clauzele standard convenite între cele trei instituții în Acordul interinstituțional privind o mai bună legiferare și în înțelegerea comună anexată la acesta, a fost respinsă de colegiuitori. Prin urmare, Comisia face o declarație cu privire la acest subiect, care însoțește adoptarea finală a regulamentului și care figurează la punctul 5 de mai jos.</w:t>
      </w:r>
    </w:p>
    <w:p>
      <w:pPr>
        <w:pStyle w:val="ManualHeading1"/>
        <w:rPr>
          <w:noProof/>
        </w:rPr>
      </w:pPr>
      <w:r>
        <w:rPr>
          <w:noProof/>
        </w:rPr>
        <w:t>4.</w:t>
      </w:r>
      <w:r>
        <w:rPr>
          <w:noProof/>
        </w:rPr>
        <w:tab/>
        <w:t>Concluzii</w:t>
      </w:r>
    </w:p>
    <w:p>
      <w:pPr>
        <w:rPr>
          <w:noProof/>
        </w:rPr>
      </w:pPr>
      <w:r>
        <w:rPr>
          <w:noProof/>
        </w:rPr>
        <w:t>Comisia acceptă poziția adoptată de Consiliu, care reflectă pe deplin rezultatele negocierilor interinstituționale.</w:t>
      </w:r>
    </w:p>
    <w:p>
      <w:pPr>
        <w:pStyle w:val="ManualHeading1"/>
        <w:rPr>
          <w:noProof/>
        </w:rPr>
      </w:pPr>
      <w:r>
        <w:rPr>
          <w:noProof/>
        </w:rPr>
        <w:t>5.</w:t>
      </w:r>
      <w:r>
        <w:rPr>
          <w:noProof/>
        </w:rPr>
        <w:tab/>
        <w:t>Anexă: Declarația Comisiei</w:t>
      </w:r>
    </w:p>
    <w:p>
      <w:pPr>
        <w:pStyle w:val="Text1"/>
        <w:tabs>
          <w:tab w:val="left" w:pos="567"/>
        </w:tabs>
        <w:spacing w:before="100" w:beforeAutospacing="1" w:after="100" w:afterAutospacing="1"/>
        <w:ind w:left="0"/>
        <w:rPr>
          <w:noProof/>
        </w:rPr>
      </w:pPr>
      <w:r>
        <w:rPr>
          <w:noProof/>
        </w:rPr>
        <w:t xml:space="preserve"> „Comisia regretă faptul că legiuitorul s-a îndepărtat în considerentul (22) de la considerentul standard convenit în Acordul interinstituțional privind o mai bună legiferare. Comisia subliniază că principiile convenite în înțelegerea comună anexată la respectivul acord interinstituțional asigură deja transparența deplină. Comisia va pregăti orice acte delegate în temeiul regulamentului în conformitate cu aceste principii convenite. Adăugarea la considerentul standard nu ar trebui să creeze un precedent pentru alte cazuri.”</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t>Numerele considerentelor și articolelor menționate se referă la textul convenit al proiectului de regulament înainte de revizuirea lingvistică.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40CB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E30B1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C258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4C63E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BA467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6CC9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4EFE8E"/>
    <w:lvl w:ilvl="0">
      <w:start w:val="1"/>
      <w:numFmt w:val="decimal"/>
      <w:pStyle w:val="ListNumber"/>
      <w:lvlText w:val="%1."/>
      <w:lvlJc w:val="left"/>
      <w:pPr>
        <w:tabs>
          <w:tab w:val="num" w:pos="360"/>
        </w:tabs>
        <w:ind w:left="360" w:hanging="360"/>
      </w:pPr>
    </w:lvl>
  </w:abstractNum>
  <w:abstractNum w:abstractNumId="7">
    <w:nsid w:val="FFFFFF89"/>
    <w:multiLevelType w:val="singleLevel"/>
    <w:tmpl w:val="D5884EF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lvlOverride w:ilvl="0">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6 17:07:3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5E3CF67-B3F2-4081-B8D2-3095C991D42F"/>
    <w:docVar w:name="LW_COVERPAGE_TYPE" w:val="1"/>
    <w:docVar w:name="LW_CROSSREFERENCE" w:val="&lt;UNUSED&gt;"/>
    <w:docVar w:name="LW_DocType" w:val="COM"/>
    <w:docVar w:name="LW_EMISSION" w:val="28.5.2021"/>
    <w:docVar w:name="LW_EMISSION_ISODATE" w:val="2021-05-28"/>
    <w:docVar w:name="LW_EMISSION_LOCATION" w:val="BRX"/>
    <w:docVar w:name="LW_EMISSION_PREFIX" w:val="Bruxelles, "/>
    <w:docVar w:name="LW_EMISSION_SUFFIX" w:val=" "/>
    <w:docVar w:name="LW_ID_DOCMODEL" w:val="SJ-028"/>
    <w:docVar w:name="LW_ID_DOCSTRUCTURE" w:val="COM/PL/CODEC"/>
    <w:docVar w:name="LW_ID_DOCTYPE" w:val="SJ-028"/>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58"/>
    <w:docVar w:name="LW_REF.II.NEW.CP_YEAR" w:val="2018"/>
    <w:docVar w:name="LW_REF.INST.NEW" w:val="COM"/>
    <w:docVar w:name="LW_REF.INST.NEW_ADOPTED" w:val="final"/>
    <w:docVar w:name="LW_REF.INST.NEW_TEXT" w:val="(2021)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zi\u539?ia Consiliului cu privire la adoptarea unui regulament de instituire a Instrumentului de sprijin financiar pentru echipamente de control vamal   _x000b_"/>
    <w:docVar w:name="LW_TYPE.DOC.CP" w:val="COMUNICARE A COMISIEI C\u258?TRE PARLAMENTUL EUROPEAN_x000b__x000b_în conformitate cu articolul 294 alineatul (6) din Tratatul privind func\u539?ionarea Uniunii Europene_x000b__x000b_privind"/>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5</Pages>
  <Words>1452</Words>
  <Characters>9064</Characters>
  <Application>Microsoft Office Word</Application>
  <DocSecurity>0</DocSecurity>
  <Lines>156</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2021-05-26T08:37:00Z</dcterms:created>
  <dcterms:modified xsi:type="dcterms:W3CDTF">2021-05-26T15:07:00Z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