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harts/chart1.xml" ContentType="application/vnd.openxmlformats-officedocument.drawingml.chart+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alt="8F011376-15EF-4E34-B335-50DF690C2C87" style="width:455.25pt;height:324pt">
            <v:imagedata r:id="rId13" o:title=""/>
          </v:shape>
        </w:pict>
      </w:r>
    </w:p>
    <w:bookmarkEnd w:id="0"/>
    <w:p>
      <w:pPr>
        <w:rPr>
          <w:noProof/>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pStyle w:val="Pagedecouverture"/>
        <w:rPr>
          <w:noProof/>
        </w:rPr>
      </w:pPr>
      <w:bookmarkStart w:id="1" w:name="_GoBack"/>
      <w:bookmarkEnd w:id="1"/>
    </w:p>
    <w:p>
      <w:pPr>
        <w:rPr>
          <w:noProof/>
        </w:rPr>
      </w:pPr>
    </w:p>
    <w:p>
      <w:pPr>
        <w:rPr>
          <w:noProof/>
        </w:rPr>
      </w:pPr>
    </w:p>
    <w:sdt>
      <w:sdtPr>
        <w:rPr>
          <w:rFonts w:asciiTheme="minorHAnsi" w:eastAsiaTheme="minorHAnsi" w:hAnsiTheme="minorHAnsi" w:cstheme="minorBidi"/>
          <w:b w:val="0"/>
          <w:bCs w:val="0"/>
          <w:noProof/>
          <w:color w:val="auto"/>
          <w:sz w:val="22"/>
          <w:szCs w:val="22"/>
          <w:lang w:eastAsia="en-US"/>
        </w:rPr>
        <w:id w:val="-864520646"/>
        <w:docPartObj>
          <w:docPartGallery w:val="Table of Contents"/>
          <w:docPartUnique/>
        </w:docPartObj>
      </w:sdtPr>
      <w:sdtEndPr>
        <w:rPr>
          <w:rFonts w:ascii="Times New Roman" w:hAnsi="Times New Roman" w:cs="Times New Roman"/>
        </w:rPr>
      </w:sdtEndPr>
      <w:sdtContent>
        <w:p>
          <w:pPr>
            <w:pStyle w:val="TOCHeading"/>
            <w:spacing w:before="0" w:after="240"/>
            <w:rPr>
              <w:rFonts w:ascii="Times New Roman" w:hAnsi="Times New Roman" w:cs="Times New Roman"/>
              <w:noProof/>
              <w:color w:val="auto"/>
              <w:sz w:val="22"/>
              <w:szCs w:val="22"/>
            </w:rPr>
          </w:pPr>
          <w:r>
            <w:rPr>
              <w:rFonts w:ascii="Times New Roman" w:hAnsi="Times New Roman"/>
              <w:noProof/>
              <w:color w:val="auto"/>
              <w:sz w:val="22"/>
              <w:szCs w:val="22"/>
            </w:rPr>
            <w:t>Cuprins</w:t>
          </w:r>
        </w:p>
        <w:p>
          <w:pPr>
            <w:rPr>
              <w:noProof/>
              <w:lang w:val="en-US" w:eastAsia="ja-JP"/>
            </w:rPr>
          </w:pPr>
        </w:p>
        <w:p>
          <w:pPr>
            <w:pStyle w:val="TOC1"/>
            <w:tabs>
              <w:tab w:val="right" w:leader="dot" w:pos="9062"/>
            </w:tabs>
            <w:rPr>
              <w:rFonts w:eastAsiaTheme="minorEastAsia"/>
              <w:noProof/>
              <w:lang w:val="en-US"/>
            </w:rPr>
          </w:pPr>
          <w:r>
            <w:rPr>
              <w:rFonts w:ascii="Times New Roman" w:hAnsi="Times New Roman" w:cs="Times New Roman"/>
              <w:b/>
              <w:noProof/>
            </w:rPr>
            <w:fldChar w:fldCharType="begin"/>
          </w:r>
          <w:r>
            <w:rPr>
              <w:rFonts w:ascii="Times New Roman" w:hAnsi="Times New Roman" w:cs="Times New Roman"/>
              <w:b/>
              <w:noProof/>
            </w:rPr>
            <w:instrText xml:space="preserve"> TOC \o "1-3" \h \z \u </w:instrText>
          </w:r>
          <w:r>
            <w:rPr>
              <w:rFonts w:ascii="Times New Roman" w:hAnsi="Times New Roman" w:cs="Times New Roman"/>
              <w:b/>
              <w:noProof/>
            </w:rPr>
            <w:fldChar w:fldCharType="separate"/>
          </w:r>
          <w:hyperlink w:anchor="_Toc75440769" w:history="1">
            <w:r>
              <w:rPr>
                <w:rStyle w:val="Hyperlink"/>
                <w:rFonts w:ascii="Times New Roman" w:hAnsi="Times New Roman"/>
                <w:b/>
                <w:noProof/>
              </w:rPr>
              <w:t>1. Introducere</w:t>
            </w:r>
            <w:r>
              <w:rPr>
                <w:noProof/>
                <w:webHidden/>
              </w:rPr>
              <w:tab/>
            </w:r>
            <w:r>
              <w:rPr>
                <w:noProof/>
                <w:webHidden/>
              </w:rPr>
              <w:fldChar w:fldCharType="begin"/>
            </w:r>
            <w:r>
              <w:rPr>
                <w:noProof/>
                <w:webHidden/>
              </w:rPr>
              <w:instrText xml:space="preserve"> PAGEREF _Toc75440769 \h </w:instrText>
            </w:r>
            <w:r>
              <w:rPr>
                <w:noProof/>
                <w:webHidden/>
              </w:rPr>
            </w:r>
            <w:r>
              <w:rPr>
                <w:noProof/>
                <w:webHidden/>
              </w:rPr>
              <w:fldChar w:fldCharType="separate"/>
            </w:r>
            <w:r>
              <w:rPr>
                <w:noProof/>
                <w:webHidden/>
              </w:rPr>
              <w:t>2</w:t>
            </w:r>
            <w:r>
              <w:rPr>
                <w:noProof/>
                <w:webHidden/>
              </w:rPr>
              <w:fldChar w:fldCharType="end"/>
            </w:r>
          </w:hyperlink>
        </w:p>
        <w:p>
          <w:pPr>
            <w:pStyle w:val="TOC1"/>
            <w:tabs>
              <w:tab w:val="right" w:leader="dot" w:pos="9062"/>
            </w:tabs>
            <w:rPr>
              <w:rFonts w:eastAsiaTheme="minorEastAsia"/>
              <w:noProof/>
              <w:lang w:val="en-US"/>
            </w:rPr>
          </w:pPr>
          <w:hyperlink w:anchor="_Toc75440770" w:history="1">
            <w:r>
              <w:rPr>
                <w:rStyle w:val="Hyperlink"/>
                <w:rFonts w:ascii="Times New Roman" w:hAnsi="Times New Roman"/>
                <w:b/>
                <w:noProof/>
              </w:rPr>
              <w:t>2. Garanția UE</w:t>
            </w:r>
            <w:r>
              <w:rPr>
                <w:noProof/>
                <w:webHidden/>
              </w:rPr>
              <w:tab/>
            </w:r>
            <w:r>
              <w:rPr>
                <w:noProof/>
                <w:webHidden/>
              </w:rPr>
              <w:fldChar w:fldCharType="begin"/>
            </w:r>
            <w:r>
              <w:rPr>
                <w:noProof/>
                <w:webHidden/>
              </w:rPr>
              <w:instrText xml:space="preserve"> PAGEREF _Toc75440770 \h </w:instrText>
            </w:r>
            <w:r>
              <w:rPr>
                <w:noProof/>
                <w:webHidden/>
              </w:rPr>
            </w:r>
            <w:r>
              <w:rPr>
                <w:noProof/>
                <w:webHidden/>
              </w:rPr>
              <w:fldChar w:fldCharType="separate"/>
            </w:r>
            <w:r>
              <w:rPr>
                <w:noProof/>
                <w:webHidden/>
              </w:rPr>
              <w:t>3</w:t>
            </w:r>
            <w:r>
              <w:rPr>
                <w:noProof/>
                <w:webHidden/>
              </w:rPr>
              <w:fldChar w:fldCharType="end"/>
            </w:r>
          </w:hyperlink>
        </w:p>
        <w:p>
          <w:pPr>
            <w:pStyle w:val="TOC1"/>
            <w:tabs>
              <w:tab w:val="right" w:leader="dot" w:pos="9062"/>
            </w:tabs>
            <w:rPr>
              <w:rFonts w:eastAsiaTheme="minorEastAsia"/>
              <w:noProof/>
              <w:lang w:val="en-US"/>
            </w:rPr>
          </w:pPr>
          <w:hyperlink w:anchor="_Toc75440771" w:history="1">
            <w:r>
              <w:rPr>
                <w:rStyle w:val="Hyperlink"/>
                <w:rFonts w:ascii="Times New Roman" w:hAnsi="Times New Roman"/>
                <w:b/>
                <w:noProof/>
              </w:rPr>
              <w:t>3. Utilizarea garanției UE</w:t>
            </w:r>
            <w:r>
              <w:rPr>
                <w:noProof/>
                <w:webHidden/>
              </w:rPr>
              <w:tab/>
            </w:r>
            <w:r>
              <w:rPr>
                <w:noProof/>
                <w:webHidden/>
              </w:rPr>
              <w:fldChar w:fldCharType="begin"/>
            </w:r>
            <w:r>
              <w:rPr>
                <w:noProof/>
                <w:webHidden/>
              </w:rPr>
              <w:instrText xml:space="preserve"> PAGEREF _Toc75440771 \h </w:instrText>
            </w:r>
            <w:r>
              <w:rPr>
                <w:noProof/>
                <w:webHidden/>
              </w:rPr>
            </w:r>
            <w:r>
              <w:rPr>
                <w:noProof/>
                <w:webHidden/>
              </w:rPr>
              <w:fldChar w:fldCharType="separate"/>
            </w:r>
            <w:r>
              <w:rPr>
                <w:noProof/>
                <w:webHidden/>
              </w:rPr>
              <w:t>5</w:t>
            </w:r>
            <w:r>
              <w:rPr>
                <w:noProof/>
                <w:webHidden/>
              </w:rPr>
              <w:fldChar w:fldCharType="end"/>
            </w:r>
          </w:hyperlink>
        </w:p>
        <w:p>
          <w:pPr>
            <w:pStyle w:val="TOC2"/>
            <w:tabs>
              <w:tab w:val="right" w:leader="dot" w:pos="9062"/>
            </w:tabs>
            <w:rPr>
              <w:rFonts w:eastAsiaTheme="minorEastAsia"/>
              <w:noProof/>
              <w:lang w:val="en-US"/>
            </w:rPr>
          </w:pPr>
          <w:hyperlink w:anchor="_Toc75440772" w:history="1">
            <w:r>
              <w:rPr>
                <w:rStyle w:val="Hyperlink"/>
                <w:rFonts w:ascii="Times New Roman" w:hAnsi="Times New Roman"/>
                <w:noProof/>
              </w:rPr>
              <w:t>3.1. Componenta pentru infrastructură și inovare</w:t>
            </w:r>
            <w:r>
              <w:rPr>
                <w:noProof/>
                <w:webHidden/>
              </w:rPr>
              <w:tab/>
            </w:r>
            <w:r>
              <w:rPr>
                <w:noProof/>
                <w:webHidden/>
              </w:rPr>
              <w:fldChar w:fldCharType="begin"/>
            </w:r>
            <w:r>
              <w:rPr>
                <w:noProof/>
                <w:webHidden/>
              </w:rPr>
              <w:instrText xml:space="preserve"> PAGEREF _Toc75440772 \h </w:instrText>
            </w:r>
            <w:r>
              <w:rPr>
                <w:noProof/>
                <w:webHidden/>
              </w:rPr>
            </w:r>
            <w:r>
              <w:rPr>
                <w:noProof/>
                <w:webHidden/>
              </w:rPr>
              <w:fldChar w:fldCharType="separate"/>
            </w:r>
            <w:r>
              <w:rPr>
                <w:noProof/>
                <w:webHidden/>
              </w:rPr>
              <w:t>7</w:t>
            </w:r>
            <w:r>
              <w:rPr>
                <w:noProof/>
                <w:webHidden/>
              </w:rPr>
              <w:fldChar w:fldCharType="end"/>
            </w:r>
          </w:hyperlink>
        </w:p>
        <w:p>
          <w:pPr>
            <w:pStyle w:val="TOC3"/>
            <w:tabs>
              <w:tab w:val="right" w:leader="dot" w:pos="9062"/>
            </w:tabs>
            <w:rPr>
              <w:rFonts w:eastAsiaTheme="minorEastAsia"/>
              <w:noProof/>
              <w:lang w:val="en-US"/>
            </w:rPr>
          </w:pPr>
          <w:hyperlink w:anchor="_Toc75440773" w:history="1">
            <w:r>
              <w:rPr>
                <w:rStyle w:val="Hyperlink"/>
                <w:rFonts w:ascii="Times New Roman" w:hAnsi="Times New Roman"/>
                <w:noProof/>
              </w:rPr>
              <w:t>3.1.1. Portofoliul de împrumuturi al IIW</w:t>
            </w:r>
            <w:r>
              <w:rPr>
                <w:noProof/>
                <w:webHidden/>
              </w:rPr>
              <w:tab/>
            </w:r>
            <w:r>
              <w:rPr>
                <w:noProof/>
                <w:webHidden/>
              </w:rPr>
              <w:fldChar w:fldCharType="begin"/>
            </w:r>
            <w:r>
              <w:rPr>
                <w:noProof/>
                <w:webHidden/>
              </w:rPr>
              <w:instrText xml:space="preserve"> PAGEREF _Toc75440773 \h </w:instrText>
            </w:r>
            <w:r>
              <w:rPr>
                <w:noProof/>
                <w:webHidden/>
              </w:rPr>
            </w:r>
            <w:r>
              <w:rPr>
                <w:noProof/>
                <w:webHidden/>
              </w:rPr>
              <w:fldChar w:fldCharType="separate"/>
            </w:r>
            <w:r>
              <w:rPr>
                <w:noProof/>
                <w:webHidden/>
              </w:rPr>
              <w:t>7</w:t>
            </w:r>
            <w:r>
              <w:rPr>
                <w:noProof/>
                <w:webHidden/>
              </w:rPr>
              <w:fldChar w:fldCharType="end"/>
            </w:r>
          </w:hyperlink>
        </w:p>
        <w:p>
          <w:pPr>
            <w:pStyle w:val="TOC3"/>
            <w:tabs>
              <w:tab w:val="right" w:leader="dot" w:pos="9062"/>
            </w:tabs>
            <w:rPr>
              <w:rFonts w:eastAsiaTheme="minorEastAsia"/>
              <w:noProof/>
              <w:lang w:val="en-US"/>
            </w:rPr>
          </w:pPr>
          <w:hyperlink w:anchor="_Toc75440774" w:history="1">
            <w:r>
              <w:rPr>
                <w:rStyle w:val="Hyperlink"/>
                <w:rFonts w:ascii="Times New Roman" w:hAnsi="Times New Roman"/>
                <w:noProof/>
              </w:rPr>
              <w:t>3.1.2. Portofoliul de capital al IIW</w:t>
            </w:r>
            <w:r>
              <w:rPr>
                <w:noProof/>
                <w:webHidden/>
              </w:rPr>
              <w:tab/>
            </w:r>
            <w:r>
              <w:rPr>
                <w:noProof/>
                <w:webHidden/>
              </w:rPr>
              <w:fldChar w:fldCharType="begin"/>
            </w:r>
            <w:r>
              <w:rPr>
                <w:noProof/>
                <w:webHidden/>
              </w:rPr>
              <w:instrText xml:space="preserve"> PAGEREF _Toc75440774 \h </w:instrText>
            </w:r>
            <w:r>
              <w:rPr>
                <w:noProof/>
                <w:webHidden/>
              </w:rPr>
            </w:r>
            <w:r>
              <w:rPr>
                <w:noProof/>
                <w:webHidden/>
              </w:rPr>
              <w:fldChar w:fldCharType="separate"/>
            </w:r>
            <w:r>
              <w:rPr>
                <w:noProof/>
                <w:webHidden/>
              </w:rPr>
              <w:t>8</w:t>
            </w:r>
            <w:r>
              <w:rPr>
                <w:noProof/>
                <w:webHidden/>
              </w:rPr>
              <w:fldChar w:fldCharType="end"/>
            </w:r>
          </w:hyperlink>
        </w:p>
        <w:p>
          <w:pPr>
            <w:pStyle w:val="TOC2"/>
            <w:tabs>
              <w:tab w:val="right" w:leader="dot" w:pos="9062"/>
            </w:tabs>
            <w:rPr>
              <w:rFonts w:eastAsiaTheme="minorEastAsia"/>
              <w:noProof/>
              <w:lang w:val="en-US"/>
            </w:rPr>
          </w:pPr>
          <w:hyperlink w:anchor="_Toc75440775" w:history="1">
            <w:r>
              <w:rPr>
                <w:rStyle w:val="Hyperlink"/>
                <w:rFonts w:ascii="Times New Roman" w:hAnsi="Times New Roman"/>
                <w:noProof/>
              </w:rPr>
              <w:t>3.2. Componenta pentru IMM-uri</w:t>
            </w:r>
            <w:r>
              <w:rPr>
                <w:noProof/>
                <w:webHidden/>
              </w:rPr>
              <w:tab/>
            </w:r>
            <w:r>
              <w:rPr>
                <w:noProof/>
                <w:webHidden/>
              </w:rPr>
              <w:fldChar w:fldCharType="begin"/>
            </w:r>
            <w:r>
              <w:rPr>
                <w:noProof/>
                <w:webHidden/>
              </w:rPr>
              <w:instrText xml:space="preserve"> PAGEREF _Toc75440775 \h </w:instrText>
            </w:r>
            <w:r>
              <w:rPr>
                <w:noProof/>
                <w:webHidden/>
              </w:rPr>
            </w:r>
            <w:r>
              <w:rPr>
                <w:noProof/>
                <w:webHidden/>
              </w:rPr>
              <w:fldChar w:fldCharType="separate"/>
            </w:r>
            <w:r>
              <w:rPr>
                <w:noProof/>
                <w:webHidden/>
              </w:rPr>
              <w:t>9</w:t>
            </w:r>
            <w:r>
              <w:rPr>
                <w:noProof/>
                <w:webHidden/>
              </w:rPr>
              <w:fldChar w:fldCharType="end"/>
            </w:r>
          </w:hyperlink>
        </w:p>
        <w:p>
          <w:pPr>
            <w:pStyle w:val="TOC3"/>
            <w:tabs>
              <w:tab w:val="right" w:leader="dot" w:pos="9062"/>
            </w:tabs>
            <w:rPr>
              <w:rFonts w:eastAsiaTheme="minorEastAsia"/>
              <w:noProof/>
              <w:lang w:val="en-US"/>
            </w:rPr>
          </w:pPr>
          <w:hyperlink w:anchor="_Toc75440776" w:history="1">
            <w:r>
              <w:rPr>
                <w:rStyle w:val="Hyperlink"/>
                <w:rFonts w:ascii="Times New Roman" w:hAnsi="Times New Roman"/>
                <w:noProof/>
              </w:rPr>
              <w:t>3.2.1. Portofoliul de împrumuturi al SMEW</w:t>
            </w:r>
            <w:r>
              <w:rPr>
                <w:noProof/>
                <w:webHidden/>
              </w:rPr>
              <w:tab/>
            </w:r>
            <w:r>
              <w:rPr>
                <w:noProof/>
                <w:webHidden/>
              </w:rPr>
              <w:fldChar w:fldCharType="begin"/>
            </w:r>
            <w:r>
              <w:rPr>
                <w:noProof/>
                <w:webHidden/>
              </w:rPr>
              <w:instrText xml:space="preserve"> PAGEREF _Toc75440776 \h </w:instrText>
            </w:r>
            <w:r>
              <w:rPr>
                <w:noProof/>
                <w:webHidden/>
              </w:rPr>
            </w:r>
            <w:r>
              <w:rPr>
                <w:noProof/>
                <w:webHidden/>
              </w:rPr>
              <w:fldChar w:fldCharType="separate"/>
            </w:r>
            <w:r>
              <w:rPr>
                <w:noProof/>
                <w:webHidden/>
              </w:rPr>
              <w:t>9</w:t>
            </w:r>
            <w:r>
              <w:rPr>
                <w:noProof/>
                <w:webHidden/>
              </w:rPr>
              <w:fldChar w:fldCharType="end"/>
            </w:r>
          </w:hyperlink>
        </w:p>
        <w:p>
          <w:pPr>
            <w:pStyle w:val="TOC3"/>
            <w:tabs>
              <w:tab w:val="right" w:leader="dot" w:pos="9062"/>
            </w:tabs>
            <w:rPr>
              <w:rFonts w:eastAsiaTheme="minorEastAsia"/>
              <w:noProof/>
              <w:lang w:val="en-US"/>
            </w:rPr>
          </w:pPr>
          <w:hyperlink w:anchor="_Toc75440777" w:history="1">
            <w:r>
              <w:rPr>
                <w:rStyle w:val="Hyperlink"/>
                <w:rFonts w:ascii="Times New Roman" w:hAnsi="Times New Roman"/>
                <w:noProof/>
              </w:rPr>
              <w:t>3.2.2. Portofoliul de capital al SMEW</w:t>
            </w:r>
            <w:r>
              <w:rPr>
                <w:noProof/>
                <w:webHidden/>
              </w:rPr>
              <w:tab/>
            </w:r>
            <w:r>
              <w:rPr>
                <w:noProof/>
                <w:webHidden/>
              </w:rPr>
              <w:fldChar w:fldCharType="begin"/>
            </w:r>
            <w:r>
              <w:rPr>
                <w:noProof/>
                <w:webHidden/>
              </w:rPr>
              <w:instrText xml:space="preserve"> PAGEREF _Toc75440777 \h </w:instrText>
            </w:r>
            <w:r>
              <w:rPr>
                <w:noProof/>
                <w:webHidden/>
              </w:rPr>
            </w:r>
            <w:r>
              <w:rPr>
                <w:noProof/>
                <w:webHidden/>
              </w:rPr>
              <w:fldChar w:fldCharType="separate"/>
            </w:r>
            <w:r>
              <w:rPr>
                <w:noProof/>
                <w:webHidden/>
              </w:rPr>
              <w:t>10</w:t>
            </w:r>
            <w:r>
              <w:rPr>
                <w:noProof/>
                <w:webHidden/>
              </w:rPr>
              <w:fldChar w:fldCharType="end"/>
            </w:r>
          </w:hyperlink>
        </w:p>
        <w:p>
          <w:pPr>
            <w:pStyle w:val="TOC1"/>
            <w:tabs>
              <w:tab w:val="right" w:leader="dot" w:pos="9062"/>
            </w:tabs>
            <w:rPr>
              <w:rFonts w:eastAsiaTheme="minorEastAsia"/>
              <w:noProof/>
              <w:lang w:val="en-US"/>
            </w:rPr>
          </w:pPr>
          <w:hyperlink w:anchor="_Toc75440778" w:history="1">
            <w:r>
              <w:rPr>
                <w:rStyle w:val="Hyperlink"/>
                <w:rFonts w:ascii="Times New Roman" w:hAnsi="Times New Roman"/>
                <w:b/>
                <w:noProof/>
              </w:rPr>
              <w:t>4. Funcționarea Fondului de garantare al UE în cadrul FEIS</w:t>
            </w:r>
            <w:r>
              <w:rPr>
                <w:noProof/>
                <w:webHidden/>
              </w:rPr>
              <w:tab/>
            </w:r>
            <w:r>
              <w:rPr>
                <w:noProof/>
                <w:webHidden/>
              </w:rPr>
              <w:fldChar w:fldCharType="begin"/>
            </w:r>
            <w:r>
              <w:rPr>
                <w:noProof/>
                <w:webHidden/>
              </w:rPr>
              <w:instrText xml:space="preserve"> PAGEREF _Toc75440778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062"/>
            </w:tabs>
            <w:rPr>
              <w:rFonts w:eastAsiaTheme="minorEastAsia"/>
              <w:noProof/>
              <w:lang w:val="en-US"/>
            </w:rPr>
          </w:pPr>
          <w:hyperlink w:anchor="_Toc75440779" w:history="1">
            <w:r>
              <w:rPr>
                <w:rStyle w:val="Hyperlink"/>
                <w:rFonts w:ascii="Times New Roman" w:hAnsi="Times New Roman"/>
                <w:noProof/>
              </w:rPr>
              <w:t>4.1. Mecanismul de provizionare al Fondului de garantare</w:t>
            </w:r>
            <w:r>
              <w:rPr>
                <w:noProof/>
                <w:webHidden/>
              </w:rPr>
              <w:tab/>
            </w:r>
            <w:r>
              <w:rPr>
                <w:noProof/>
                <w:webHidden/>
              </w:rPr>
              <w:fldChar w:fldCharType="begin"/>
            </w:r>
            <w:r>
              <w:rPr>
                <w:noProof/>
                <w:webHidden/>
              </w:rPr>
              <w:instrText xml:space="preserve"> PAGEREF _Toc75440779 \h </w:instrText>
            </w:r>
            <w:r>
              <w:rPr>
                <w:noProof/>
                <w:webHidden/>
              </w:rPr>
            </w:r>
            <w:r>
              <w:rPr>
                <w:noProof/>
                <w:webHidden/>
              </w:rPr>
              <w:fldChar w:fldCharType="separate"/>
            </w:r>
            <w:r>
              <w:rPr>
                <w:noProof/>
                <w:webHidden/>
              </w:rPr>
              <w:t>11</w:t>
            </w:r>
            <w:r>
              <w:rPr>
                <w:noProof/>
                <w:webHidden/>
              </w:rPr>
              <w:fldChar w:fldCharType="end"/>
            </w:r>
          </w:hyperlink>
        </w:p>
        <w:p>
          <w:pPr>
            <w:pStyle w:val="TOC2"/>
            <w:tabs>
              <w:tab w:val="right" w:leader="dot" w:pos="9062"/>
            </w:tabs>
            <w:rPr>
              <w:rFonts w:eastAsiaTheme="minorEastAsia"/>
              <w:noProof/>
              <w:lang w:val="en-US"/>
            </w:rPr>
          </w:pPr>
          <w:hyperlink w:anchor="_Toc75440780" w:history="1">
            <w:r>
              <w:rPr>
                <w:rStyle w:val="Hyperlink"/>
                <w:rFonts w:ascii="Times New Roman" w:hAnsi="Times New Roman"/>
                <w:noProof/>
              </w:rPr>
              <w:t>4.2. Fluxurile anuale și cumulate</w:t>
            </w:r>
            <w:r>
              <w:rPr>
                <w:noProof/>
                <w:webHidden/>
              </w:rPr>
              <w:tab/>
            </w:r>
            <w:r>
              <w:rPr>
                <w:noProof/>
                <w:webHidden/>
              </w:rPr>
              <w:fldChar w:fldCharType="begin"/>
            </w:r>
            <w:r>
              <w:rPr>
                <w:noProof/>
                <w:webHidden/>
              </w:rPr>
              <w:instrText xml:space="preserve"> PAGEREF _Toc75440780 \h </w:instrText>
            </w:r>
            <w:r>
              <w:rPr>
                <w:noProof/>
                <w:webHidden/>
              </w:rPr>
            </w:r>
            <w:r>
              <w:rPr>
                <w:noProof/>
                <w:webHidden/>
              </w:rPr>
              <w:fldChar w:fldCharType="separate"/>
            </w:r>
            <w:r>
              <w:rPr>
                <w:noProof/>
                <w:webHidden/>
              </w:rPr>
              <w:t>11</w:t>
            </w:r>
            <w:r>
              <w:rPr>
                <w:noProof/>
                <w:webHidden/>
              </w:rPr>
              <w:fldChar w:fldCharType="end"/>
            </w:r>
          </w:hyperlink>
        </w:p>
        <w:p>
          <w:pPr>
            <w:pStyle w:val="TOC2"/>
            <w:tabs>
              <w:tab w:val="right" w:leader="dot" w:pos="9062"/>
            </w:tabs>
            <w:rPr>
              <w:rFonts w:eastAsiaTheme="minorEastAsia"/>
              <w:noProof/>
              <w:lang w:val="en-US"/>
            </w:rPr>
          </w:pPr>
          <w:hyperlink w:anchor="_Toc75440781" w:history="1">
            <w:r>
              <w:rPr>
                <w:rStyle w:val="Hyperlink"/>
                <w:rFonts w:ascii="Times New Roman" w:hAnsi="Times New Roman"/>
                <w:noProof/>
              </w:rPr>
              <w:t>4.3. Componența portofoliului și principalele sale caracteristici</w:t>
            </w:r>
            <w:r>
              <w:rPr>
                <w:noProof/>
                <w:webHidden/>
              </w:rPr>
              <w:tab/>
            </w:r>
            <w:r>
              <w:rPr>
                <w:noProof/>
                <w:webHidden/>
              </w:rPr>
              <w:fldChar w:fldCharType="begin"/>
            </w:r>
            <w:r>
              <w:rPr>
                <w:noProof/>
                <w:webHidden/>
              </w:rPr>
              <w:instrText xml:space="preserve"> PAGEREF _Toc75440781 \h </w:instrText>
            </w:r>
            <w:r>
              <w:rPr>
                <w:noProof/>
                <w:webHidden/>
              </w:rPr>
            </w:r>
            <w:r>
              <w:rPr>
                <w:noProof/>
                <w:webHidden/>
              </w:rPr>
              <w:fldChar w:fldCharType="separate"/>
            </w:r>
            <w:r>
              <w:rPr>
                <w:noProof/>
                <w:webHidden/>
              </w:rPr>
              <w:t>12</w:t>
            </w:r>
            <w:r>
              <w:rPr>
                <w:noProof/>
                <w:webHidden/>
              </w:rPr>
              <w:fldChar w:fldCharType="end"/>
            </w:r>
          </w:hyperlink>
        </w:p>
        <w:p>
          <w:pPr>
            <w:pStyle w:val="TOC2"/>
            <w:tabs>
              <w:tab w:val="right" w:leader="dot" w:pos="9062"/>
            </w:tabs>
            <w:rPr>
              <w:rFonts w:eastAsiaTheme="minorEastAsia"/>
              <w:noProof/>
              <w:lang w:val="en-US"/>
            </w:rPr>
          </w:pPr>
          <w:hyperlink w:anchor="_Toc75440782" w:history="1">
            <w:r>
              <w:rPr>
                <w:rStyle w:val="Hyperlink"/>
                <w:rFonts w:ascii="Times New Roman" w:hAnsi="Times New Roman"/>
                <w:noProof/>
              </w:rPr>
              <w:t>4.4. Performanța</w:t>
            </w:r>
            <w:r>
              <w:rPr>
                <w:noProof/>
                <w:webHidden/>
              </w:rPr>
              <w:tab/>
            </w:r>
            <w:r>
              <w:rPr>
                <w:noProof/>
                <w:webHidden/>
              </w:rPr>
              <w:fldChar w:fldCharType="begin"/>
            </w:r>
            <w:r>
              <w:rPr>
                <w:noProof/>
                <w:webHidden/>
              </w:rPr>
              <w:instrText xml:space="preserve"> PAGEREF _Toc75440782 \h </w:instrText>
            </w:r>
            <w:r>
              <w:rPr>
                <w:noProof/>
                <w:webHidden/>
              </w:rPr>
            </w:r>
            <w:r>
              <w:rPr>
                <w:noProof/>
                <w:webHidden/>
              </w:rPr>
              <w:fldChar w:fldCharType="separate"/>
            </w:r>
            <w:r>
              <w:rPr>
                <w:noProof/>
                <w:webHidden/>
              </w:rPr>
              <w:t>13</w:t>
            </w:r>
            <w:r>
              <w:rPr>
                <w:noProof/>
                <w:webHidden/>
              </w:rPr>
              <w:fldChar w:fldCharType="end"/>
            </w:r>
          </w:hyperlink>
        </w:p>
        <w:p>
          <w:pPr>
            <w:pStyle w:val="TOC2"/>
            <w:tabs>
              <w:tab w:val="right" w:leader="dot" w:pos="9062"/>
            </w:tabs>
            <w:rPr>
              <w:rFonts w:eastAsiaTheme="minorEastAsia"/>
              <w:noProof/>
              <w:lang w:val="en-US"/>
            </w:rPr>
          </w:pPr>
          <w:hyperlink w:anchor="_Toc75440783" w:history="1">
            <w:r>
              <w:rPr>
                <w:rStyle w:val="Hyperlink"/>
                <w:rFonts w:ascii="Times New Roman" w:hAnsi="Times New Roman"/>
                <w:noProof/>
              </w:rPr>
              <w:t>4.5. Evaluarea adecvării ratei țintă și a nivelului Fondului de garantare</w:t>
            </w:r>
            <w:r>
              <w:rPr>
                <w:noProof/>
                <w:webHidden/>
              </w:rPr>
              <w:tab/>
            </w:r>
            <w:r>
              <w:rPr>
                <w:noProof/>
                <w:webHidden/>
              </w:rPr>
              <w:fldChar w:fldCharType="begin"/>
            </w:r>
            <w:r>
              <w:rPr>
                <w:noProof/>
                <w:webHidden/>
              </w:rPr>
              <w:instrText xml:space="preserve"> PAGEREF _Toc75440783 \h </w:instrText>
            </w:r>
            <w:r>
              <w:rPr>
                <w:noProof/>
                <w:webHidden/>
              </w:rPr>
            </w:r>
            <w:r>
              <w:rPr>
                <w:noProof/>
                <w:webHidden/>
              </w:rPr>
              <w:fldChar w:fldCharType="separate"/>
            </w:r>
            <w:r>
              <w:rPr>
                <w:noProof/>
                <w:webHidden/>
              </w:rPr>
              <w:t>13</w:t>
            </w:r>
            <w:r>
              <w:rPr>
                <w:noProof/>
                <w:webHidden/>
              </w:rPr>
              <w:fldChar w:fldCharType="end"/>
            </w:r>
          </w:hyperlink>
        </w:p>
        <w:p>
          <w:pPr>
            <w:pStyle w:val="TOC1"/>
            <w:tabs>
              <w:tab w:val="right" w:leader="dot" w:pos="9062"/>
            </w:tabs>
            <w:rPr>
              <w:rFonts w:eastAsiaTheme="minorEastAsia"/>
              <w:noProof/>
              <w:lang w:val="en-US"/>
            </w:rPr>
          </w:pPr>
          <w:hyperlink w:anchor="_Toc75440784" w:history="1">
            <w:r>
              <w:rPr>
                <w:rStyle w:val="Hyperlink"/>
                <w:rFonts w:ascii="Times New Roman" w:hAnsi="Times New Roman"/>
                <w:b/>
                <w:noProof/>
              </w:rPr>
              <w:t>5. Concluzii</w:t>
            </w:r>
            <w:r>
              <w:rPr>
                <w:noProof/>
                <w:webHidden/>
              </w:rPr>
              <w:tab/>
            </w:r>
            <w:r>
              <w:rPr>
                <w:noProof/>
                <w:webHidden/>
              </w:rPr>
              <w:fldChar w:fldCharType="begin"/>
            </w:r>
            <w:r>
              <w:rPr>
                <w:noProof/>
                <w:webHidden/>
              </w:rPr>
              <w:instrText xml:space="preserve"> PAGEREF _Toc75440784 \h </w:instrText>
            </w:r>
            <w:r>
              <w:rPr>
                <w:noProof/>
                <w:webHidden/>
              </w:rPr>
            </w:r>
            <w:r>
              <w:rPr>
                <w:noProof/>
                <w:webHidden/>
              </w:rPr>
              <w:fldChar w:fldCharType="separate"/>
            </w:r>
            <w:r>
              <w:rPr>
                <w:noProof/>
                <w:webHidden/>
              </w:rPr>
              <w:t>14</w:t>
            </w:r>
            <w:r>
              <w:rPr>
                <w:noProof/>
                <w:webHidden/>
              </w:rPr>
              <w:fldChar w:fldCharType="end"/>
            </w:r>
          </w:hyperlink>
        </w:p>
        <w:p>
          <w:pPr>
            <w:rPr>
              <w:rFonts w:ascii="Times New Roman" w:hAnsi="Times New Roman" w:cs="Times New Roman"/>
              <w:noProof/>
            </w:rPr>
          </w:pPr>
          <w:r>
            <w:rPr>
              <w:rFonts w:ascii="Times New Roman" w:hAnsi="Times New Roman" w:cs="Times New Roman"/>
              <w:b/>
              <w:bCs/>
              <w:noProof/>
            </w:rPr>
            <w:fldChar w:fldCharType="end"/>
          </w:r>
        </w:p>
      </w:sdtContent>
    </w:sdt>
    <w:p>
      <w:pPr>
        <w:spacing w:after="240"/>
        <w:ind w:left="850" w:hanging="850"/>
        <w:jc w:val="both"/>
        <w:outlineLvl w:val="0"/>
        <w:rPr>
          <w:rFonts w:ascii="Times New Roman" w:hAnsi="Times New Roman" w:cs="Times New Roman"/>
          <w:b/>
          <w:noProof/>
          <w:sz w:val="28"/>
          <w:szCs w:val="28"/>
        </w:rPr>
      </w:pPr>
      <w:r>
        <w:rPr>
          <w:noProof/>
        </w:rPr>
        <w:br w:type="page"/>
      </w:r>
      <w:bookmarkStart w:id="2" w:name="_Toc358640308"/>
      <w:bookmarkStart w:id="3" w:name="_Toc358640576"/>
      <w:bookmarkStart w:id="4" w:name="_Toc358640627"/>
      <w:bookmarkStart w:id="5" w:name="_Toc358640725"/>
      <w:bookmarkStart w:id="6" w:name="_Toc385254771"/>
      <w:bookmarkStart w:id="7" w:name="_Toc415736037"/>
      <w:bookmarkStart w:id="8" w:name="_Toc415748654"/>
      <w:bookmarkStart w:id="9" w:name="_Toc417031771"/>
      <w:bookmarkStart w:id="10" w:name="_Toc449626267"/>
      <w:bookmarkStart w:id="11" w:name="_Toc449626494"/>
      <w:bookmarkStart w:id="12" w:name="_Toc477351964"/>
      <w:bookmarkStart w:id="13" w:name="_Toc477528171"/>
      <w:bookmarkStart w:id="14" w:name="_Toc477855448"/>
      <w:bookmarkStart w:id="15" w:name="_Toc502311792"/>
      <w:bookmarkStart w:id="16" w:name="_Toc75440769"/>
      <w:bookmarkStart w:id="17" w:name="_Toc70409213"/>
      <w:bookmarkStart w:id="18" w:name="_Toc449689407"/>
      <w:r>
        <w:rPr>
          <w:rFonts w:ascii="Times New Roman" w:hAnsi="Times New Roman"/>
          <w:b/>
          <w:noProof/>
          <w:sz w:val="28"/>
          <w:szCs w:val="28"/>
        </w:rPr>
        <w:lastRenderedPageBreak/>
        <w:t>1. Introducere</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Fonts w:ascii="Times New Roman" w:hAnsi="Times New Roman"/>
          <w:b/>
          <w:noProof/>
          <w:sz w:val="28"/>
          <w:szCs w:val="28"/>
        </w:rPr>
        <w:t xml:space="preserve"> </w:t>
      </w:r>
      <w:bookmarkEnd w:id="17"/>
    </w:p>
    <w:bookmarkEnd w:id="18"/>
    <w:p>
      <w:pPr>
        <w:spacing w:after="240"/>
        <w:jc w:val="both"/>
        <w:rPr>
          <w:rFonts w:ascii="Times New Roman" w:hAnsi="Times New Roman" w:cs="Times New Roman"/>
          <w:noProof/>
          <w:sz w:val="24"/>
          <w:szCs w:val="24"/>
        </w:rPr>
      </w:pPr>
      <w:r>
        <w:rPr>
          <w:rFonts w:ascii="Times New Roman" w:hAnsi="Times New Roman"/>
          <w:noProof/>
          <w:sz w:val="24"/>
          <w:szCs w:val="24"/>
        </w:rPr>
        <w:t>Fondul european pentru investiții strategice (FEIS), împreună cu Platforma europeană de consiliere în materie de investiții (EIAH) și Portalul european pentru proiecte de investiții (PEPI) au fost înființate în 2015 în temeiul Regulamentului (UE) 2015/1017 al Parlamentului European și al Consiliului din 25 iunie 2015 de modificare a Regulamentelor (UE) nr. 1291/2013 și (UE) nr. 1316/2013</w:t>
      </w:r>
      <w:r>
        <w:rPr>
          <w:rStyle w:val="FootnoteReference"/>
          <w:rFonts w:ascii="Times New Roman" w:eastAsia="Times New Roman" w:hAnsi="Times New Roman" w:cs="Times New Roman"/>
          <w:noProof/>
          <w:sz w:val="24"/>
          <w:szCs w:val="24"/>
          <w:lang w:eastAsia="en-GB"/>
        </w:rPr>
        <w:footnoteReference w:id="2"/>
      </w:r>
      <w:r>
        <w:rPr>
          <w:rFonts w:ascii="Times New Roman" w:hAnsi="Times New Roman"/>
          <w:noProof/>
          <w:sz w:val="24"/>
          <w:szCs w:val="24"/>
        </w:rPr>
        <w:t xml:space="preserve"> (Regulamentul FEIS), cu scopul de a lansa investiții în Uniune prin mobilizarea de fonduri private. Acordul privind gestionarea FEIS și acordarea garanției UE (denumit în continuare „Acordul FEIS”) a fost semnat de către Comisie și Banca Europeană de Investiții (BEI) la 22 iulie 2015. </w:t>
      </w:r>
    </w:p>
    <w:p>
      <w:pPr>
        <w:spacing w:after="240"/>
        <w:jc w:val="both"/>
        <w:rPr>
          <w:rFonts w:ascii="Times New Roman" w:hAnsi="Times New Roman" w:cs="Times New Roman"/>
          <w:noProof/>
          <w:sz w:val="24"/>
          <w:szCs w:val="24"/>
        </w:rPr>
      </w:pPr>
      <w:r>
        <w:rPr>
          <w:rFonts w:ascii="Times New Roman" w:hAnsi="Times New Roman"/>
          <w:noProof/>
          <w:sz w:val="24"/>
          <w:szCs w:val="24"/>
        </w:rPr>
        <w:t>Acordul FEIS a fost modificat și reformulat de mai multe ori:</w:t>
      </w:r>
    </w:p>
    <w:p>
      <w:pPr>
        <w:pStyle w:val="ListParagraph"/>
        <w:numPr>
          <w:ilvl w:val="0"/>
          <w:numId w:val="12"/>
        </w:numPr>
        <w:spacing w:after="240"/>
        <w:ind w:left="714" w:hanging="357"/>
        <w:contextualSpacing w:val="0"/>
        <w:jc w:val="both"/>
        <w:rPr>
          <w:rFonts w:ascii="Times New Roman" w:hAnsi="Times New Roman" w:cs="Times New Roman"/>
          <w:noProof/>
          <w:sz w:val="24"/>
          <w:szCs w:val="24"/>
        </w:rPr>
      </w:pPr>
      <w:r>
        <w:rPr>
          <w:rFonts w:ascii="Times New Roman" w:hAnsi="Times New Roman"/>
          <w:b/>
          <w:noProof/>
          <w:sz w:val="24"/>
          <w:szCs w:val="24"/>
        </w:rPr>
        <w:t>Prima</w:t>
      </w:r>
      <w:r>
        <w:rPr>
          <w:rFonts w:ascii="Times New Roman" w:hAnsi="Times New Roman"/>
          <w:noProof/>
          <w:sz w:val="24"/>
          <w:szCs w:val="24"/>
        </w:rPr>
        <w:t xml:space="preserve"> modificare și reformulare a Acordului FEIS a fost semnată la 21 iulie 2016 și a vizat adăugarea a două produse noi în cadrul componentei pentru IMM-uri: produsele de capital ale componentei pentru IMM-uri și consolidarea instrumentului de garantare EaSI</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w:t>
      </w:r>
    </w:p>
    <w:p>
      <w:pPr>
        <w:pStyle w:val="ListParagraph"/>
        <w:numPr>
          <w:ilvl w:val="0"/>
          <w:numId w:val="12"/>
        </w:numPr>
        <w:spacing w:after="240"/>
        <w:ind w:left="714" w:hanging="357"/>
        <w:contextualSpacing w:val="0"/>
        <w:jc w:val="both"/>
        <w:rPr>
          <w:rFonts w:ascii="Times New Roman" w:hAnsi="Times New Roman" w:cs="Times New Roman"/>
          <w:noProof/>
          <w:sz w:val="24"/>
          <w:szCs w:val="24"/>
        </w:rPr>
      </w:pPr>
      <w:r>
        <w:rPr>
          <w:rFonts w:ascii="Times New Roman" w:hAnsi="Times New Roman"/>
          <w:b/>
          <w:noProof/>
          <w:sz w:val="24"/>
          <w:szCs w:val="24"/>
        </w:rPr>
        <w:t>A doua</w:t>
      </w:r>
      <w:r>
        <w:rPr>
          <w:rFonts w:ascii="Times New Roman" w:hAnsi="Times New Roman"/>
          <w:noProof/>
          <w:sz w:val="24"/>
          <w:szCs w:val="24"/>
        </w:rPr>
        <w:t xml:space="preserve"> modificare și reformulare a Acordului FEIS a fost semnată la 21 noiembrie 2017 și a vizat transformarea celor trei produse de garantare în cadrul componentei pentru IMM-uri de la produse cu o structură de consolidare temporară (concentrare la începutul perioadei) la produse cu o structură de consolidare permanentă (finanțare suplimentară) și adăugarea unui nou produs în cadrul componentei pentru IMM-uri, consolidarea Mecanismului de garantare pentru sectoarele culturale și creative (CCS GF);</w:t>
      </w:r>
    </w:p>
    <w:p>
      <w:pPr>
        <w:pStyle w:val="ListParagraph"/>
        <w:numPr>
          <w:ilvl w:val="0"/>
          <w:numId w:val="12"/>
        </w:numPr>
        <w:spacing w:after="240"/>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În 2017, Regulamentul FEIS a fost modificat prin Regulamentul (UE) 2017/2396 al Parlamentului European și al Consiliului din 13 decembrie 2017 de modificare a Regulamentelor (UE) nr. 1316/2013 și (UE) 2015/1017 în ceea ce privește prelungirea duratei Fondului european pentru investiții strategice și introducerea unor îmbunătățiri tehnice ale fondului și ale Platformei europene de consiliere în materie de investiții</w:t>
      </w:r>
      <w:r>
        <w:rPr>
          <w:noProof/>
          <w:vertAlign w:val="superscript"/>
        </w:rPr>
        <w:footnoteReference w:id="4"/>
      </w:r>
      <w:r>
        <w:rPr>
          <w:rFonts w:ascii="Times New Roman" w:hAnsi="Times New Roman"/>
          <w:noProof/>
          <w:sz w:val="24"/>
          <w:szCs w:val="24"/>
        </w:rPr>
        <w:t xml:space="preserve"> (Regulamentul FEIS 2.0). Printre altele, Regulamentul FEIS 2.0 a majorat dimensiunea garanției UE și a ajustat rata țintă de provizionare. </w:t>
      </w:r>
      <w:r>
        <w:rPr>
          <w:rFonts w:ascii="Times New Roman" w:hAnsi="Times New Roman"/>
          <w:b/>
          <w:noProof/>
          <w:sz w:val="24"/>
          <w:szCs w:val="24"/>
        </w:rPr>
        <w:t>A treia</w:t>
      </w:r>
      <w:r>
        <w:rPr>
          <w:rFonts w:ascii="Times New Roman" w:hAnsi="Times New Roman"/>
          <w:noProof/>
          <w:sz w:val="24"/>
          <w:szCs w:val="24"/>
        </w:rPr>
        <w:t xml:space="preserve"> modificare și reformulare a Acordului FEIS a fost semnată la 9 martie 2018 pentru a reflecta Regulamentul FEIS 2.0;</w:t>
      </w:r>
    </w:p>
    <w:p>
      <w:pPr>
        <w:pStyle w:val="ListParagraph"/>
        <w:numPr>
          <w:ilvl w:val="0"/>
          <w:numId w:val="12"/>
        </w:numPr>
        <w:spacing w:after="240"/>
        <w:ind w:left="714" w:hanging="357"/>
        <w:contextualSpacing w:val="0"/>
        <w:jc w:val="both"/>
        <w:rPr>
          <w:rFonts w:ascii="Times New Roman" w:hAnsi="Times New Roman" w:cs="Times New Roman"/>
          <w:noProof/>
          <w:sz w:val="24"/>
          <w:szCs w:val="24"/>
        </w:rPr>
      </w:pPr>
      <w:r>
        <w:rPr>
          <w:rFonts w:ascii="Times New Roman" w:hAnsi="Times New Roman"/>
          <w:b/>
          <w:noProof/>
          <w:sz w:val="24"/>
          <w:szCs w:val="24"/>
        </w:rPr>
        <w:t>A patra</w:t>
      </w:r>
      <w:r>
        <w:rPr>
          <w:rFonts w:ascii="Times New Roman" w:hAnsi="Times New Roman"/>
          <w:noProof/>
          <w:sz w:val="24"/>
          <w:szCs w:val="24"/>
        </w:rPr>
        <w:t xml:space="preserve"> modificare și reformulare a Acordului FEIS a fost semnată la 20 decembrie 2018 pentru a spori contribuția FEIS la produsele SMEW existente și pentru a adăuga alte două produse SMEW (produsul de combinare FEIS și creditul privat FEIS pentru produsele destinate IMM-urilor);</w:t>
      </w:r>
    </w:p>
    <w:p>
      <w:pPr>
        <w:pStyle w:val="ListParagraph"/>
        <w:numPr>
          <w:ilvl w:val="0"/>
          <w:numId w:val="15"/>
        </w:numPr>
        <w:autoSpaceDE w:val="0"/>
        <w:autoSpaceDN w:val="0"/>
        <w:adjustRightInd w:val="0"/>
        <w:spacing w:after="240"/>
        <w:ind w:left="714" w:hanging="357"/>
        <w:contextualSpacing w:val="0"/>
        <w:jc w:val="both"/>
        <w:rPr>
          <w:rFonts w:ascii="Times New Roman" w:hAnsi="Times New Roman" w:cs="Times New Roman"/>
          <w:noProof/>
          <w:sz w:val="24"/>
          <w:szCs w:val="24"/>
        </w:rPr>
      </w:pPr>
      <w:r>
        <w:rPr>
          <w:rFonts w:ascii="Times New Roman" w:hAnsi="Times New Roman"/>
          <w:b/>
          <w:noProof/>
          <w:sz w:val="24"/>
          <w:szCs w:val="24"/>
        </w:rPr>
        <w:t>A cincea</w:t>
      </w:r>
      <w:r>
        <w:rPr>
          <w:rFonts w:ascii="Times New Roman" w:hAnsi="Times New Roman"/>
          <w:noProof/>
          <w:sz w:val="24"/>
          <w:szCs w:val="24"/>
        </w:rPr>
        <w:t xml:space="preserve"> modificare și reformulare a Acordului FEIS a fost semnată la 27 martie 2020 pentru a spori, printre altele, contribuția FEIS la produsele SMEW existente și pentru a adăuga alte două produse SMEW [produsul Acțiunea europeană de dezvoltare a capitalului de risc (ESCALAR) și produsul Competențe și educație (C&amp;E)]</w:t>
      </w:r>
      <w:r>
        <w:rPr>
          <w:noProof/>
        </w:rPr>
        <w:t xml:space="preserve"> </w:t>
      </w:r>
    </w:p>
    <w:p>
      <w:pPr>
        <w:pStyle w:val="ListParagraph"/>
        <w:numPr>
          <w:ilvl w:val="0"/>
          <w:numId w:val="15"/>
        </w:numPr>
        <w:autoSpaceDE w:val="0"/>
        <w:autoSpaceDN w:val="0"/>
        <w:adjustRightInd w:val="0"/>
        <w:spacing w:after="240"/>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Ca răspuns de limitare a impactului economic al pandemiei de COVID-19, </w:t>
      </w:r>
      <w:r>
        <w:rPr>
          <w:rFonts w:ascii="Times New Roman" w:hAnsi="Times New Roman"/>
          <w:b/>
          <w:noProof/>
          <w:sz w:val="24"/>
          <w:szCs w:val="24"/>
        </w:rPr>
        <w:t>a șasea</w:t>
      </w:r>
      <w:r>
        <w:rPr>
          <w:rFonts w:ascii="Times New Roman" w:hAnsi="Times New Roman"/>
          <w:noProof/>
          <w:sz w:val="24"/>
          <w:szCs w:val="24"/>
        </w:rPr>
        <w:t xml:space="preserve"> modificare și reformulare a Acordului FEIS a fost semnată la 27 aprilie 2020 pentru a reorienta resursele din portofoliul de capitaluri proprii al băncilor naționale de promovare din cadrul componentei pentru infrastructură și inovare (IIW), precum și anumite produse existente din cadrul componentei pentru IMM-uri cu scopul de a sprijini împrumuturile de capital circulant acordate întreprinderilor afectate de pandemia de COVID-19.  </w:t>
      </w:r>
    </w:p>
    <w:p>
      <w:pPr>
        <w:spacing w:after="240"/>
        <w:ind w:left="709"/>
        <w:jc w:val="both"/>
        <w:rPr>
          <w:rFonts w:ascii="Times New Roman" w:hAnsi="Times New Roman" w:cs="Times New Roman"/>
          <w:noProof/>
          <w:sz w:val="24"/>
          <w:szCs w:val="24"/>
        </w:rPr>
      </w:pPr>
      <w:r>
        <w:rPr>
          <w:rFonts w:ascii="Times New Roman" w:hAnsi="Times New Roman"/>
          <w:noProof/>
          <w:sz w:val="24"/>
          <w:szCs w:val="24"/>
        </w:rPr>
        <w:t xml:space="preserve">În acest context, garanția UE alocată Mecanismului de garantare a împrumuturilor din cadrul COSME (COSME LGF) a fost majorată la 1 484 de milioane EUR, iar garanția UE alocată consolidării Fondului de garantare pentru IMM-uri din cadrul InnovFin a fost majorată la 1 400 de milioane EUR. </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Conform articolului 18 alineatul (3) litera (b) din Regulamentul FEIS, Comisia are obligația de a publica, până la 30 iunie 2018, iar apoi o dată la trei ani, un raport cuprinzător privind utilizarea garanției UE și funcționarea Fondului de garantare. </w:t>
      </w:r>
    </w:p>
    <w:p>
      <w:pPr>
        <w:spacing w:after="240"/>
        <w:jc w:val="both"/>
        <w:rPr>
          <w:rFonts w:ascii="Times New Roman" w:eastAsia="Times New Roman" w:hAnsi="Times New Roman" w:cs="Times New Roman"/>
          <w:noProof/>
          <w:sz w:val="24"/>
          <w:szCs w:val="24"/>
        </w:rPr>
      </w:pPr>
      <w:r>
        <w:rPr>
          <w:rFonts w:ascii="Times New Roman" w:hAnsi="Times New Roman"/>
          <w:noProof/>
          <w:sz w:val="24"/>
          <w:szCs w:val="24"/>
        </w:rPr>
        <w:t xml:space="preserve">Perioada de angajament privind FEIS s-a încheiat la 31 decembrie 2020. Semnarea operațiunilor FEIS deja aprobate poate avea loc până la 31 decembrie 2022, în timp ce monitorizarea operațională va continua până la rambursarea tuturor operațiunilor de finanțare și de investiții sprijinite de garanția UE. </w:t>
      </w:r>
    </w:p>
    <w:p>
      <w:pPr>
        <w:spacing w:after="240"/>
        <w:jc w:val="both"/>
        <w:rPr>
          <w:rFonts w:ascii="Times New Roman" w:hAnsi="Times New Roman" w:cs="Times New Roman"/>
          <w:noProof/>
          <w:sz w:val="24"/>
          <w:szCs w:val="24"/>
        </w:rPr>
      </w:pPr>
      <w:r>
        <w:rPr>
          <w:rFonts w:ascii="Times New Roman" w:hAnsi="Times New Roman"/>
          <w:noProof/>
          <w:sz w:val="24"/>
          <w:szCs w:val="24"/>
        </w:rPr>
        <w:t>În prezentul raport nu au fost luate în calcul cifrele ulterioare datei de 31 decembrie 2020.</w:t>
      </w:r>
    </w:p>
    <w:p>
      <w:pPr>
        <w:spacing w:after="240"/>
        <w:jc w:val="both"/>
        <w:rPr>
          <w:rFonts w:ascii="Times New Roman" w:hAnsi="Times New Roman" w:cs="Times New Roman"/>
          <w:noProof/>
          <w:sz w:val="24"/>
          <w:szCs w:val="24"/>
        </w:rPr>
      </w:pPr>
    </w:p>
    <w:p>
      <w:pPr>
        <w:pStyle w:val="Heading1"/>
        <w:spacing w:before="0" w:after="240"/>
        <w:rPr>
          <w:rFonts w:ascii="Times New Roman" w:hAnsi="Times New Roman" w:cs="Times New Roman"/>
          <w:b w:val="0"/>
          <w:noProof/>
          <w:color w:val="auto"/>
          <w:sz w:val="24"/>
          <w:szCs w:val="24"/>
        </w:rPr>
      </w:pPr>
      <w:bookmarkStart w:id="19" w:name="_Toc75440770"/>
      <w:bookmarkStart w:id="20" w:name="_Toc70409214"/>
      <w:r>
        <w:rPr>
          <w:rFonts w:ascii="Times New Roman" w:hAnsi="Times New Roman"/>
          <w:noProof/>
          <w:color w:val="auto"/>
        </w:rPr>
        <w:t>2. Garanția UE</w:t>
      </w:r>
      <w:bookmarkEnd w:id="19"/>
      <w:r>
        <w:rPr>
          <w:rFonts w:ascii="Times New Roman" w:hAnsi="Times New Roman"/>
          <w:noProof/>
          <w:color w:val="auto"/>
        </w:rPr>
        <w:t xml:space="preserve"> </w:t>
      </w:r>
      <w:bookmarkEnd w:id="20"/>
    </w:p>
    <w:p>
      <w:pPr>
        <w:spacing w:after="240"/>
        <w:jc w:val="both"/>
        <w:rPr>
          <w:rFonts w:ascii="Times New Roman" w:hAnsi="Times New Roman" w:cs="Times New Roman"/>
          <w:noProof/>
          <w:sz w:val="24"/>
          <w:szCs w:val="24"/>
        </w:rPr>
      </w:pPr>
      <w:r>
        <w:rPr>
          <w:rFonts w:ascii="Times New Roman" w:hAnsi="Times New Roman"/>
          <w:noProof/>
          <w:sz w:val="24"/>
          <w:szCs w:val="24"/>
        </w:rPr>
        <w:t>Uniunea acordă BEI o garanție irevocabilă, necondiționată și la prima cerere pentru operațiuni de finanțare și de investiții în cadrul FEIS. Prin asigurarea unei capacități mai mari de asumare a riscurilor pentru BEI, garanția UE permite o creștere a volumului proiectelor cu risc mai ridicat sprijinite de operațiunile de finanțare și de investiții ale BEI în cadrul componentei pentru infrastructură și inovare (IIW) și, prin urmare, contribuie la remedierea disfuncționalităților pieței și a situațiilor suboptime în ceea ce privește investițiile. De asemenea, garanția UE permite creșterea volumului de împrumuturi și a numărului de întreprinderi acoperite în cadrul componentei pentru IMM-uri de Fondul european de investiții (FEI), facilitând astfel accesul la finanțare</w:t>
      </w:r>
      <w:r>
        <w:rPr>
          <w:rFonts w:ascii="Times New Roman" w:hAnsi="Times New Roman" w:cs="Times New Roman"/>
          <w:noProof/>
          <w:sz w:val="24"/>
          <w:szCs w:val="24"/>
          <w:vertAlign w:val="superscript"/>
        </w:rPr>
        <w:footnoteReference w:id="5"/>
      </w:r>
      <w:r>
        <w:rPr>
          <w:rFonts w:ascii="Times New Roman" w:hAnsi="Times New Roman"/>
          <w:noProof/>
          <w:sz w:val="24"/>
          <w:szCs w:val="24"/>
        </w:rPr>
        <w:t xml:space="preserve"> pentru IMM-uri și întreprinderile mici cu capitalizare medie.</w:t>
      </w:r>
    </w:p>
    <w:p>
      <w:pPr>
        <w:spacing w:after="240"/>
        <w:jc w:val="both"/>
        <w:rPr>
          <w:rFonts w:ascii="Times New Roman" w:eastAsia="Times New Roman" w:hAnsi="Times New Roman" w:cs="Times New Roman"/>
          <w:noProof/>
          <w:sz w:val="24"/>
          <w:szCs w:val="24"/>
        </w:rPr>
      </w:pPr>
      <w:r>
        <w:rPr>
          <w:rFonts w:ascii="Times New Roman" w:hAnsi="Times New Roman"/>
          <w:noProof/>
          <w:sz w:val="24"/>
          <w:szCs w:val="24"/>
        </w:rPr>
        <w:t>O parte a totalității operațiunilor FEIS este acoperită de garanția UE, iar o altă parte este realizată de BEI pe propriul risc. Resursele atribuite inițial garanției UE au fost de 16 miliarde EUR din bugetul Uniunii, suplimentate cu o alocare de 5 miliarde EUR din resursele proprii ale BEI. Aceste sume au fost majorate la 26 de miliarde EUR, respectiv 7,5 miliarde EUR prin Regulamentul FEIS 2.0.</w:t>
      </w:r>
    </w:p>
    <w:p>
      <w:pPr>
        <w:spacing w:after="240"/>
        <w:jc w:val="both"/>
        <w:rPr>
          <w:rFonts w:ascii="Times New Roman" w:hAnsi="Times New Roman" w:cs="Times New Roman"/>
          <w:noProof/>
          <w:sz w:val="24"/>
          <w:szCs w:val="24"/>
        </w:rPr>
      </w:pPr>
      <w:r>
        <w:rPr>
          <w:rFonts w:ascii="Times New Roman" w:hAnsi="Times New Roman"/>
          <w:noProof/>
          <w:sz w:val="24"/>
          <w:szCs w:val="24"/>
        </w:rPr>
        <w:t>Natura garanției UE se reînnoiește până la sfârșitul anului 2022, ceea ce înseamnă că acoperirea garanției UE poate fi pusă la dispoziția unor noi operațiuni în urma amortizării operațiunilor existente, cu condiția ca garanția UE să nu depășească niciodată suma de 26 de miliarde EUR și ca plățile nete agregate din bugetul general al Uniunii în cadrul garanției UE să nu depășească suma de 26 de miliarde EUR.</w:t>
      </w:r>
    </w:p>
    <w:p>
      <w:pPr>
        <w:spacing w:after="240"/>
        <w:jc w:val="both"/>
        <w:rPr>
          <w:rFonts w:ascii="Times New Roman" w:eastAsia="Times New Roman" w:hAnsi="Times New Roman" w:cs="Times New Roman"/>
          <w:noProof/>
          <w:sz w:val="24"/>
          <w:szCs w:val="24"/>
        </w:rPr>
      </w:pPr>
      <w:r>
        <w:rPr>
          <w:rFonts w:ascii="Times New Roman" w:hAnsi="Times New Roman"/>
          <w:noProof/>
          <w:sz w:val="24"/>
          <w:szCs w:val="24"/>
        </w:rPr>
        <w:t>Garanția UE acoperă operațiunile de finanțare și de investiții semnate de BEI în cadrul componentei pentru infrastructură și inovare (IIW) și de FEI în cadrul componentei pentru IMM-uri (SMEW). Repartiția inițială între cele două componente a fost de maximum 13,5 miliarde EUR pentru IIW și de maximum 2,5 miliarde EUR pentru SMEW. Având în vedere răspunsul puternic la SMEW, Comitetul director al FEIS a decis să consolideze această componentă prin realocarea unei sume de 500 de milioane EUR de la IIW către SMEW în iulie 2016. Regulamentul FEIS 2.0 a majorat și mai mult ponderea SMEW, stabilind o limită de 6,5 miliarde EUR, care poate fi ajustată de către Comitetul director până la o valoare maximă de 9 miliarde EUR</w:t>
      </w:r>
      <w:r>
        <w:rPr>
          <w:rFonts w:ascii="Times New Roman" w:eastAsia="Times New Roman" w:hAnsi="Times New Roman" w:cs="Times New Roman"/>
          <w:noProof/>
          <w:sz w:val="24"/>
          <w:szCs w:val="24"/>
          <w:vertAlign w:val="superscript"/>
          <w:lang w:eastAsia="en-GB"/>
        </w:rPr>
        <w:footnoteReference w:id="6"/>
      </w:r>
      <w:r>
        <w:rPr>
          <w:rFonts w:ascii="Times New Roman" w:hAnsi="Times New Roman"/>
          <w:noProof/>
          <w:sz w:val="24"/>
          <w:szCs w:val="24"/>
        </w:rPr>
        <w:t xml:space="preserve"> (tabelul 1). </w:t>
      </w:r>
    </w:p>
    <w:p>
      <w:pPr>
        <w:spacing w:after="240"/>
        <w:jc w:val="both"/>
        <w:rPr>
          <w:rFonts w:ascii="Times New Roman" w:eastAsia="Times New Roman" w:hAnsi="Times New Roman" w:cs="Times New Roman"/>
          <w:noProof/>
          <w:sz w:val="24"/>
          <w:szCs w:val="24"/>
        </w:rPr>
      </w:pPr>
      <w:r>
        <w:rPr>
          <w:rFonts w:ascii="Times New Roman" w:hAnsi="Times New Roman"/>
          <w:noProof/>
          <w:sz w:val="24"/>
          <w:szCs w:val="24"/>
        </w:rPr>
        <w:t>În aprilie 2020, ca răspuns la pandemia de COVID-19, Comitetul director al FEIS a aprobat transferul a 250 de milioane EUR din portofoliul de capitaluri proprii al IIW către SMEW, pentru a spori capacitatea instrumentelor care vizează IMM-urile afectate de pandemia de COVID-19.</w:t>
      </w:r>
    </w:p>
    <w:p>
      <w:pPr>
        <w:keepLines/>
        <w:spacing w:after="240"/>
        <w:jc w:val="both"/>
        <w:rPr>
          <w:rFonts w:ascii="Times New Roman" w:hAnsi="Times New Roman" w:cs="Times New Roman"/>
          <w:b/>
          <w:bCs/>
          <w:noProof/>
          <w:sz w:val="24"/>
          <w:szCs w:val="24"/>
        </w:rPr>
      </w:pPr>
      <w:r>
        <w:rPr>
          <w:rFonts w:ascii="Times New Roman" w:hAnsi="Times New Roman"/>
          <w:b/>
          <w:bCs/>
          <w:noProof/>
          <w:sz w:val="24"/>
          <w:szCs w:val="24"/>
        </w:rPr>
        <w:t xml:space="preserve">Tabelul </w:t>
      </w:r>
      <w:r>
        <w:rPr>
          <w:noProof/>
        </w:rPr>
        <w:fldChar w:fldCharType="begin"/>
      </w:r>
      <w:r>
        <w:rPr>
          <w:rFonts w:ascii="Times New Roman" w:hAnsi="Times New Roman" w:cs="Times New Roman"/>
          <w:b/>
          <w:bCs/>
          <w:noProof/>
          <w:sz w:val="24"/>
          <w:szCs w:val="24"/>
        </w:rPr>
        <w:instrText xml:space="preserve"> SEQ Table \* ARABIC </w:instrText>
      </w:r>
      <w:r>
        <w:rPr>
          <w:rFonts w:ascii="Times New Roman" w:hAnsi="Times New Roman" w:cs="Times New Roman"/>
          <w:b/>
          <w:bCs/>
          <w:noProof/>
          <w:sz w:val="24"/>
          <w:szCs w:val="24"/>
        </w:rPr>
        <w:fldChar w:fldCharType="separate"/>
      </w:r>
      <w:r>
        <w:rPr>
          <w:rFonts w:ascii="Times New Roman" w:hAnsi="Times New Roman" w:cs="Times New Roman"/>
          <w:b/>
          <w:bCs/>
          <w:noProof/>
          <w:sz w:val="24"/>
          <w:szCs w:val="24"/>
        </w:rPr>
        <w:t>1</w:t>
      </w:r>
      <w:r>
        <w:rPr>
          <w:noProof/>
        </w:rPr>
        <w:fldChar w:fldCharType="end"/>
      </w:r>
      <w:r>
        <w:rPr>
          <w:rFonts w:ascii="Times New Roman" w:hAnsi="Times New Roman"/>
          <w:b/>
          <w:bCs/>
          <w:noProof/>
          <w:sz w:val="24"/>
          <w:szCs w:val="24"/>
        </w:rPr>
        <w:t xml:space="preserve">- Repartiția garanției UE și evoluția sa în timp </w:t>
      </w:r>
    </w:p>
    <w:tbl>
      <w:tblPr>
        <w:tblW w:w="5248" w:type="pct"/>
        <w:tblLook w:val="04A0" w:firstRow="1" w:lastRow="0" w:firstColumn="1" w:lastColumn="0" w:noHBand="0" w:noVBand="1"/>
      </w:tblPr>
      <w:tblGrid>
        <w:gridCol w:w="2804"/>
        <w:gridCol w:w="1135"/>
        <w:gridCol w:w="1135"/>
        <w:gridCol w:w="990"/>
        <w:gridCol w:w="1135"/>
        <w:gridCol w:w="1275"/>
        <w:gridCol w:w="1275"/>
      </w:tblGrid>
      <w:tr>
        <w:trPr>
          <w:trHeight w:val="870"/>
        </w:trPr>
        <w:tc>
          <w:tcPr>
            <w:tcW w:w="1438" w:type="pct"/>
            <w:tcBorders>
              <w:top w:val="single" w:sz="8" w:space="0" w:color="auto"/>
              <w:left w:val="single" w:sz="8" w:space="0" w:color="auto"/>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(în miliarde EUR)</w:t>
            </w:r>
          </w:p>
        </w:tc>
        <w:tc>
          <w:tcPr>
            <w:tcW w:w="582" w:type="pct"/>
            <w:tcBorders>
              <w:top w:val="single" w:sz="8" w:space="0" w:color="auto"/>
              <w:left w:val="nil"/>
              <w:bottom w:val="single" w:sz="8" w:space="0" w:color="auto"/>
              <w:right w:val="single" w:sz="4" w:space="0" w:color="auto"/>
            </w:tcBorders>
            <w:shd w:val="clear" w:color="000000" w:fill="366092"/>
          </w:tcPr>
          <w:p>
            <w:pPr>
              <w:spacing w:after="0" w:line="240" w:lineRule="auto"/>
              <w:jc w:val="center"/>
              <w:rPr>
                <w:rFonts w:ascii="Times New Roman" w:eastAsia="Times New Roman" w:hAnsi="Times New Roman" w:cs="Times New Roman"/>
                <w:b/>
                <w:bCs/>
                <w:noProof/>
                <w:color w:val="FFFFFF"/>
                <w:lang w:eastAsia="en-GB"/>
              </w:rPr>
            </w:pPr>
          </w:p>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Anul</w:t>
            </w:r>
          </w:p>
        </w:tc>
        <w:tc>
          <w:tcPr>
            <w:tcW w:w="582" w:type="pct"/>
            <w:tcBorders>
              <w:top w:val="single" w:sz="8" w:space="0" w:color="auto"/>
              <w:left w:val="single" w:sz="4" w:space="0" w:color="auto"/>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IIW</w:t>
            </w:r>
          </w:p>
        </w:tc>
        <w:tc>
          <w:tcPr>
            <w:tcW w:w="508" w:type="pct"/>
            <w:tcBorders>
              <w:top w:val="single" w:sz="8" w:space="0" w:color="auto"/>
              <w:left w:val="nil"/>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SMEW</w:t>
            </w:r>
          </w:p>
        </w:tc>
        <w:tc>
          <w:tcPr>
            <w:tcW w:w="582" w:type="pct"/>
            <w:tcBorders>
              <w:top w:val="single" w:sz="8" w:space="0" w:color="auto"/>
              <w:left w:val="nil"/>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Garanția UE totală</w:t>
            </w:r>
          </w:p>
        </w:tc>
        <w:tc>
          <w:tcPr>
            <w:tcW w:w="654" w:type="pct"/>
            <w:tcBorders>
              <w:top w:val="single" w:sz="8" w:space="0" w:color="auto"/>
              <w:left w:val="nil"/>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Resurse proprii ale BEI</w:t>
            </w:r>
          </w:p>
        </w:tc>
        <w:tc>
          <w:tcPr>
            <w:tcW w:w="654" w:type="pct"/>
            <w:tcBorders>
              <w:top w:val="single" w:sz="8" w:space="0" w:color="auto"/>
              <w:left w:val="nil"/>
              <w:bottom w:val="single" w:sz="8" w:space="0" w:color="auto"/>
              <w:right w:val="single" w:sz="8"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Total FEIS</w:t>
            </w:r>
          </w:p>
        </w:tc>
      </w:tr>
      <w:tr>
        <w:trPr>
          <w:trHeight w:val="330"/>
        </w:trPr>
        <w:tc>
          <w:tcPr>
            <w:tcW w:w="1438" w:type="pct"/>
            <w:tcBorders>
              <w:top w:val="nil"/>
              <w:left w:val="single" w:sz="8" w:space="0" w:color="auto"/>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b/>
                <w:bCs/>
                <w:noProof/>
                <w:color w:val="000000"/>
              </w:rPr>
            </w:pPr>
            <w:r>
              <w:rPr>
                <w:rFonts w:ascii="Times New Roman" w:hAnsi="Times New Roman"/>
                <w:b/>
                <w:bCs/>
                <w:noProof/>
                <w:color w:val="000000"/>
              </w:rPr>
              <w:t>FEIS 1.0</w:t>
            </w:r>
          </w:p>
        </w:tc>
        <w:tc>
          <w:tcPr>
            <w:tcW w:w="582" w:type="pct"/>
            <w:tcBorders>
              <w:top w:val="nil"/>
              <w:left w:val="nil"/>
              <w:bottom w:val="single" w:sz="4"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2015</w:t>
            </w:r>
          </w:p>
        </w:tc>
        <w:tc>
          <w:tcPr>
            <w:tcW w:w="58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13,5</w:t>
            </w:r>
          </w:p>
        </w:tc>
        <w:tc>
          <w:tcPr>
            <w:tcW w:w="508" w:type="pct"/>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2,5</w:t>
            </w:r>
          </w:p>
        </w:tc>
        <w:tc>
          <w:tcPr>
            <w:tcW w:w="582" w:type="pct"/>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noProof/>
                <w:color w:val="000000"/>
              </w:rPr>
            </w:pPr>
            <w:r>
              <w:rPr>
                <w:rFonts w:ascii="Times New Roman" w:hAnsi="Times New Roman"/>
                <w:b/>
                <w:bCs/>
                <w:noProof/>
                <w:color w:val="000000"/>
              </w:rPr>
              <w:t>16,0</w:t>
            </w:r>
          </w:p>
        </w:tc>
        <w:tc>
          <w:tcPr>
            <w:tcW w:w="654" w:type="pct"/>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5,0</w:t>
            </w:r>
          </w:p>
        </w:tc>
        <w:tc>
          <w:tcPr>
            <w:tcW w:w="654" w:type="pct"/>
            <w:tcBorders>
              <w:top w:val="nil"/>
              <w:left w:val="nil"/>
              <w:bottom w:val="single" w:sz="4" w:space="0" w:color="auto"/>
              <w:right w:val="single" w:sz="8" w:space="0" w:color="auto"/>
            </w:tcBorders>
            <w:shd w:val="clear" w:color="000000" w:fill="FFFFFF"/>
            <w:vAlign w:val="center"/>
            <w:hideMark/>
          </w:tcPr>
          <w:p>
            <w:pPr>
              <w:spacing w:after="0" w:line="240" w:lineRule="auto"/>
              <w:jc w:val="center"/>
              <w:rPr>
                <w:rFonts w:ascii="Times New Roman" w:eastAsia="Times New Roman" w:hAnsi="Times New Roman" w:cs="Times New Roman"/>
                <w:b/>
                <w:bCs/>
                <w:noProof/>
                <w:color w:val="000000"/>
              </w:rPr>
            </w:pPr>
            <w:r>
              <w:rPr>
                <w:rFonts w:ascii="Times New Roman" w:hAnsi="Times New Roman"/>
                <w:b/>
                <w:bCs/>
                <w:noProof/>
                <w:color w:val="000000"/>
              </w:rPr>
              <w:t>21,0</w:t>
            </w:r>
          </w:p>
        </w:tc>
      </w:tr>
      <w:tr>
        <w:trPr>
          <w:trHeight w:val="330"/>
        </w:trPr>
        <w:tc>
          <w:tcPr>
            <w:tcW w:w="1438" w:type="pct"/>
            <w:tcBorders>
              <w:top w:val="nil"/>
              <w:left w:val="single" w:sz="8" w:space="0" w:color="auto"/>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b/>
                <w:bCs/>
                <w:noProof/>
                <w:color w:val="000000"/>
              </w:rPr>
            </w:pPr>
            <w:r>
              <w:rPr>
                <w:rFonts w:ascii="Times New Roman" w:hAnsi="Times New Roman"/>
                <w:b/>
                <w:bCs/>
                <w:noProof/>
                <w:color w:val="000000"/>
              </w:rPr>
              <w:t>Ajustare FEIS 1.0</w:t>
            </w:r>
          </w:p>
        </w:tc>
        <w:tc>
          <w:tcPr>
            <w:tcW w:w="582" w:type="pct"/>
            <w:tcBorders>
              <w:top w:val="nil"/>
              <w:left w:val="nil"/>
              <w:bottom w:val="single" w:sz="4"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2016</w:t>
            </w:r>
          </w:p>
        </w:tc>
        <w:tc>
          <w:tcPr>
            <w:tcW w:w="58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13,0</w:t>
            </w:r>
          </w:p>
        </w:tc>
        <w:tc>
          <w:tcPr>
            <w:tcW w:w="508" w:type="pct"/>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3,0</w:t>
            </w:r>
          </w:p>
        </w:tc>
        <w:tc>
          <w:tcPr>
            <w:tcW w:w="582" w:type="pct"/>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noProof/>
                <w:color w:val="000000"/>
              </w:rPr>
            </w:pPr>
            <w:r>
              <w:rPr>
                <w:rFonts w:ascii="Times New Roman" w:hAnsi="Times New Roman"/>
                <w:b/>
                <w:bCs/>
                <w:noProof/>
                <w:color w:val="000000"/>
              </w:rPr>
              <w:t>16,0</w:t>
            </w:r>
          </w:p>
        </w:tc>
        <w:tc>
          <w:tcPr>
            <w:tcW w:w="654" w:type="pct"/>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5,0</w:t>
            </w:r>
          </w:p>
        </w:tc>
        <w:tc>
          <w:tcPr>
            <w:tcW w:w="654" w:type="pct"/>
            <w:tcBorders>
              <w:top w:val="nil"/>
              <w:left w:val="nil"/>
              <w:bottom w:val="single" w:sz="4" w:space="0" w:color="auto"/>
              <w:right w:val="single" w:sz="8" w:space="0" w:color="auto"/>
            </w:tcBorders>
            <w:shd w:val="clear" w:color="000000" w:fill="FFFFFF"/>
            <w:vAlign w:val="center"/>
            <w:hideMark/>
          </w:tcPr>
          <w:p>
            <w:pPr>
              <w:spacing w:after="0" w:line="240" w:lineRule="auto"/>
              <w:jc w:val="center"/>
              <w:rPr>
                <w:rFonts w:ascii="Times New Roman" w:eastAsia="Times New Roman" w:hAnsi="Times New Roman" w:cs="Times New Roman"/>
                <w:b/>
                <w:bCs/>
                <w:noProof/>
                <w:color w:val="000000"/>
              </w:rPr>
            </w:pPr>
            <w:r>
              <w:rPr>
                <w:rFonts w:ascii="Times New Roman" w:hAnsi="Times New Roman"/>
                <w:b/>
                <w:bCs/>
                <w:noProof/>
                <w:color w:val="000000"/>
              </w:rPr>
              <w:t>21,0</w:t>
            </w:r>
          </w:p>
        </w:tc>
      </w:tr>
      <w:tr>
        <w:trPr>
          <w:trHeight w:val="330"/>
        </w:trPr>
        <w:tc>
          <w:tcPr>
            <w:tcW w:w="1438" w:type="pct"/>
            <w:tcBorders>
              <w:top w:val="nil"/>
              <w:left w:val="single" w:sz="8" w:space="0" w:color="auto"/>
              <w:bottom w:val="single" w:sz="4"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b/>
                <w:bCs/>
                <w:noProof/>
                <w:color w:val="000000"/>
              </w:rPr>
            </w:pPr>
            <w:r>
              <w:rPr>
                <w:rFonts w:ascii="Times New Roman" w:hAnsi="Times New Roman"/>
                <w:b/>
                <w:bCs/>
                <w:noProof/>
                <w:color w:val="000000"/>
              </w:rPr>
              <w:t>FEIS 2.0</w:t>
            </w:r>
          </w:p>
        </w:tc>
        <w:tc>
          <w:tcPr>
            <w:tcW w:w="582" w:type="pct"/>
            <w:tcBorders>
              <w:top w:val="nil"/>
              <w:left w:val="nil"/>
              <w:bottom w:val="single" w:sz="4"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2018</w:t>
            </w:r>
          </w:p>
        </w:tc>
        <w:tc>
          <w:tcPr>
            <w:tcW w:w="582" w:type="pct"/>
            <w:tcBorders>
              <w:top w:val="nil"/>
              <w:left w:val="single" w:sz="4" w:space="0" w:color="auto"/>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19,5</w:t>
            </w:r>
          </w:p>
        </w:tc>
        <w:tc>
          <w:tcPr>
            <w:tcW w:w="508" w:type="pct"/>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6,5</w:t>
            </w:r>
          </w:p>
        </w:tc>
        <w:tc>
          <w:tcPr>
            <w:tcW w:w="582" w:type="pct"/>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noProof/>
                <w:color w:val="000000"/>
              </w:rPr>
            </w:pPr>
            <w:r>
              <w:rPr>
                <w:rFonts w:ascii="Times New Roman" w:hAnsi="Times New Roman"/>
                <w:b/>
                <w:bCs/>
                <w:noProof/>
                <w:color w:val="000000"/>
              </w:rPr>
              <w:t>26,0</w:t>
            </w:r>
          </w:p>
        </w:tc>
        <w:tc>
          <w:tcPr>
            <w:tcW w:w="654" w:type="pct"/>
            <w:tcBorders>
              <w:top w:val="nil"/>
              <w:left w:val="nil"/>
              <w:bottom w:val="single" w:sz="4"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7,5</w:t>
            </w:r>
          </w:p>
        </w:tc>
        <w:tc>
          <w:tcPr>
            <w:tcW w:w="654" w:type="pct"/>
            <w:tcBorders>
              <w:top w:val="nil"/>
              <w:left w:val="nil"/>
              <w:bottom w:val="single" w:sz="4" w:space="0" w:color="auto"/>
              <w:right w:val="single" w:sz="8" w:space="0" w:color="auto"/>
            </w:tcBorders>
            <w:shd w:val="clear" w:color="000000" w:fill="FFFFFF"/>
            <w:vAlign w:val="center"/>
            <w:hideMark/>
          </w:tcPr>
          <w:p>
            <w:pPr>
              <w:spacing w:after="0" w:line="240" w:lineRule="auto"/>
              <w:jc w:val="center"/>
              <w:rPr>
                <w:rFonts w:ascii="Times New Roman" w:eastAsia="Times New Roman" w:hAnsi="Times New Roman" w:cs="Times New Roman"/>
                <w:b/>
                <w:bCs/>
                <w:noProof/>
                <w:color w:val="000000"/>
              </w:rPr>
            </w:pPr>
            <w:r>
              <w:rPr>
                <w:rFonts w:ascii="Times New Roman" w:hAnsi="Times New Roman"/>
                <w:b/>
                <w:bCs/>
                <w:noProof/>
                <w:color w:val="000000"/>
              </w:rPr>
              <w:t>33,5</w:t>
            </w:r>
          </w:p>
        </w:tc>
      </w:tr>
      <w:tr>
        <w:trPr>
          <w:trHeight w:val="390"/>
        </w:trPr>
        <w:tc>
          <w:tcPr>
            <w:tcW w:w="1438" w:type="pct"/>
            <w:tcBorders>
              <w:top w:val="nil"/>
              <w:left w:val="single" w:sz="8" w:space="0" w:color="auto"/>
              <w:bottom w:val="single" w:sz="8" w:space="0" w:color="auto"/>
              <w:right w:val="single" w:sz="4" w:space="0" w:color="auto"/>
            </w:tcBorders>
            <w:shd w:val="clear" w:color="000000" w:fill="FFFFFF"/>
            <w:vAlign w:val="center"/>
            <w:hideMark/>
          </w:tcPr>
          <w:p>
            <w:pPr>
              <w:spacing w:after="0" w:line="240" w:lineRule="auto"/>
              <w:rPr>
                <w:rFonts w:ascii="Times New Roman" w:eastAsia="Times New Roman" w:hAnsi="Times New Roman" w:cs="Times New Roman"/>
                <w:b/>
                <w:bCs/>
                <w:noProof/>
                <w:color w:val="000000"/>
              </w:rPr>
            </w:pPr>
            <w:r>
              <w:rPr>
                <w:rFonts w:ascii="Times New Roman" w:hAnsi="Times New Roman"/>
                <w:b/>
                <w:bCs/>
                <w:noProof/>
                <w:color w:val="000000"/>
              </w:rPr>
              <w:t>Ajustare FEIS 2.0</w:t>
            </w:r>
          </w:p>
        </w:tc>
        <w:tc>
          <w:tcPr>
            <w:tcW w:w="582" w:type="pct"/>
            <w:tcBorders>
              <w:top w:val="nil"/>
              <w:left w:val="nil"/>
              <w:bottom w:val="single" w:sz="8" w:space="0" w:color="auto"/>
              <w:right w:val="single" w:sz="4" w:space="0" w:color="auto"/>
            </w:tcBorders>
            <w:shd w:val="clear" w:color="000000" w:fill="FFFFFF"/>
            <w:vAlign w:val="center"/>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2020</w:t>
            </w:r>
          </w:p>
        </w:tc>
        <w:tc>
          <w:tcPr>
            <w:tcW w:w="582" w:type="pct"/>
            <w:tcBorders>
              <w:top w:val="nil"/>
              <w:left w:val="single" w:sz="4" w:space="0" w:color="auto"/>
              <w:bottom w:val="single" w:sz="8"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19,25</w:t>
            </w:r>
          </w:p>
        </w:tc>
        <w:tc>
          <w:tcPr>
            <w:tcW w:w="508" w:type="pct"/>
            <w:tcBorders>
              <w:top w:val="nil"/>
              <w:left w:val="nil"/>
              <w:bottom w:val="single" w:sz="8"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6,75</w:t>
            </w:r>
          </w:p>
        </w:tc>
        <w:tc>
          <w:tcPr>
            <w:tcW w:w="582" w:type="pct"/>
            <w:tcBorders>
              <w:top w:val="nil"/>
              <w:left w:val="nil"/>
              <w:bottom w:val="single" w:sz="8"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b/>
                <w:bCs/>
                <w:noProof/>
                <w:color w:val="000000"/>
              </w:rPr>
            </w:pPr>
            <w:r>
              <w:rPr>
                <w:rFonts w:ascii="Times New Roman" w:hAnsi="Times New Roman"/>
                <w:b/>
                <w:bCs/>
                <w:noProof/>
                <w:color w:val="000000"/>
              </w:rPr>
              <w:t>26,0</w:t>
            </w:r>
          </w:p>
        </w:tc>
        <w:tc>
          <w:tcPr>
            <w:tcW w:w="654" w:type="pct"/>
            <w:tcBorders>
              <w:top w:val="nil"/>
              <w:left w:val="nil"/>
              <w:bottom w:val="single" w:sz="8" w:space="0" w:color="auto"/>
              <w:right w:val="single" w:sz="4" w:space="0" w:color="auto"/>
            </w:tcBorders>
            <w:shd w:val="clear" w:color="000000" w:fill="FFFFFF"/>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7,5</w:t>
            </w:r>
          </w:p>
        </w:tc>
        <w:tc>
          <w:tcPr>
            <w:tcW w:w="654" w:type="pct"/>
            <w:tcBorders>
              <w:top w:val="nil"/>
              <w:left w:val="nil"/>
              <w:bottom w:val="single" w:sz="8" w:space="0" w:color="auto"/>
              <w:right w:val="single" w:sz="8" w:space="0" w:color="auto"/>
            </w:tcBorders>
            <w:shd w:val="clear" w:color="000000" w:fill="FFFFFF"/>
            <w:vAlign w:val="center"/>
            <w:hideMark/>
          </w:tcPr>
          <w:p>
            <w:pPr>
              <w:spacing w:after="0" w:line="240" w:lineRule="auto"/>
              <w:jc w:val="center"/>
              <w:rPr>
                <w:rFonts w:ascii="Times New Roman" w:eastAsia="Times New Roman" w:hAnsi="Times New Roman" w:cs="Times New Roman"/>
                <w:b/>
                <w:bCs/>
                <w:noProof/>
                <w:color w:val="000000"/>
              </w:rPr>
            </w:pPr>
            <w:r>
              <w:rPr>
                <w:rFonts w:ascii="Times New Roman" w:hAnsi="Times New Roman"/>
                <w:b/>
                <w:bCs/>
                <w:noProof/>
                <w:color w:val="000000"/>
              </w:rPr>
              <w:t>33,5</w:t>
            </w:r>
          </w:p>
        </w:tc>
      </w:tr>
    </w:tbl>
    <w:p>
      <w:pPr>
        <w:keepLines/>
        <w:spacing w:after="240"/>
        <w:jc w:val="both"/>
        <w:rPr>
          <w:rFonts w:ascii="Times New Roman" w:hAnsi="Times New Roman" w:cs="Times New Roman"/>
          <w:noProof/>
        </w:rPr>
      </w:pPr>
      <w:r>
        <w:rPr>
          <w:rFonts w:ascii="Times New Roman" w:hAnsi="Times New Roman"/>
          <w:b/>
          <w:noProof/>
        </w:rPr>
        <w:t>Sursă</w:t>
      </w:r>
      <w:r>
        <w:rPr>
          <w:rFonts w:ascii="Times New Roman" w:hAnsi="Times New Roman"/>
          <w:noProof/>
        </w:rPr>
        <w:t>: serviciile Comisiei</w:t>
      </w:r>
    </w:p>
    <w:p>
      <w:pPr>
        <w:keepLines/>
        <w:spacing w:before="240" w:after="240"/>
        <w:jc w:val="both"/>
        <w:rPr>
          <w:rFonts w:ascii="Times New Roman" w:hAnsi="Times New Roman" w:cs="Times New Roman"/>
          <w:b/>
          <w:noProof/>
          <w:sz w:val="24"/>
          <w:szCs w:val="24"/>
        </w:rPr>
      </w:pPr>
    </w:p>
    <w:p>
      <w:pPr>
        <w:keepLines/>
        <w:spacing w:before="240" w:after="240"/>
        <w:jc w:val="both"/>
        <w:rPr>
          <w:rFonts w:ascii="Times New Roman" w:hAnsi="Times New Roman" w:cs="Times New Roman"/>
          <w:b/>
          <w:noProof/>
          <w:sz w:val="24"/>
          <w:szCs w:val="24"/>
        </w:rPr>
      </w:pPr>
    </w:p>
    <w:p>
      <w:pPr>
        <w:keepLines/>
        <w:spacing w:before="240" w:after="240"/>
        <w:jc w:val="both"/>
        <w:rPr>
          <w:rFonts w:ascii="Times New Roman" w:hAnsi="Times New Roman" w:cs="Times New Roman"/>
          <w:b/>
          <w:noProof/>
          <w:sz w:val="24"/>
          <w:szCs w:val="24"/>
        </w:rPr>
      </w:pPr>
    </w:p>
    <w:p>
      <w:pPr>
        <w:keepLines/>
        <w:spacing w:before="240" w:after="240"/>
        <w:jc w:val="both"/>
        <w:rPr>
          <w:rFonts w:ascii="Times New Roman" w:hAnsi="Times New Roman" w:cs="Times New Roman"/>
          <w:b/>
          <w:noProof/>
          <w:sz w:val="24"/>
          <w:szCs w:val="24"/>
        </w:rPr>
      </w:pPr>
    </w:p>
    <w:p>
      <w:pPr>
        <w:keepLines/>
        <w:spacing w:before="240" w:after="240"/>
        <w:jc w:val="both"/>
        <w:rPr>
          <w:rFonts w:ascii="Times New Roman" w:hAnsi="Times New Roman" w:cs="Times New Roman"/>
          <w:b/>
          <w:noProof/>
          <w:sz w:val="24"/>
          <w:szCs w:val="24"/>
        </w:rPr>
      </w:pPr>
    </w:p>
    <w:p>
      <w:pPr>
        <w:keepLines/>
        <w:spacing w:before="240" w:after="240"/>
        <w:jc w:val="both"/>
        <w:rPr>
          <w:rFonts w:ascii="Times New Roman" w:hAnsi="Times New Roman" w:cs="Times New Roman"/>
          <w:b/>
          <w:noProof/>
          <w:sz w:val="24"/>
          <w:szCs w:val="24"/>
        </w:rPr>
      </w:pPr>
    </w:p>
    <w:p>
      <w:pPr>
        <w:keepLines/>
        <w:spacing w:before="240" w:after="240"/>
        <w:jc w:val="both"/>
        <w:rPr>
          <w:rFonts w:ascii="Times New Roman" w:hAnsi="Times New Roman" w:cs="Times New Roman"/>
          <w:b/>
          <w:noProof/>
          <w:sz w:val="24"/>
          <w:szCs w:val="24"/>
        </w:rPr>
      </w:pPr>
    </w:p>
    <w:p>
      <w:pPr>
        <w:keepLines/>
        <w:spacing w:before="240" w:after="240"/>
        <w:jc w:val="both"/>
        <w:rPr>
          <w:rFonts w:ascii="Times New Roman" w:hAnsi="Times New Roman" w:cs="Times New Roman"/>
          <w:b/>
          <w:noProof/>
          <w:color w:val="365F91" w:themeColor="accent1" w:themeShade="BF"/>
          <w:sz w:val="24"/>
          <w:szCs w:val="24"/>
        </w:rPr>
      </w:pPr>
      <w:r>
        <w:rPr>
          <w:rFonts w:ascii="Times New Roman" w:hAnsi="Times New Roman"/>
          <w:b/>
          <w:noProof/>
          <w:color w:val="365F91" w:themeColor="accent1" w:themeShade="BF"/>
          <w:sz w:val="24"/>
          <w:szCs w:val="24"/>
        </w:rPr>
        <w:t xml:space="preserve">Răspunsul FEIS la criza provocată de pandemia de COVID-19 </w:t>
      </w:r>
    </w:p>
    <w:p>
      <w:pPr>
        <w:keepLines/>
        <w:spacing w:after="240"/>
        <w:jc w:val="both"/>
        <w:rPr>
          <w:rFonts w:ascii="Times New Roman" w:hAnsi="Times New Roman" w:cs="Times New Roman"/>
          <w:noProof/>
          <w:sz w:val="24"/>
          <w:szCs w:val="24"/>
        </w:rPr>
      </w:pPr>
      <w:r>
        <w:rPr>
          <w:rFonts w:ascii="Times New Roman" w:hAnsi="Times New Roman"/>
          <w:noProof/>
          <w:sz w:val="24"/>
          <w:szCs w:val="24"/>
        </w:rPr>
        <w:t>În urma izbucnirii pandemiei de COVID-19 la începutul anului 2020, FEIS a făcut parte din răspunsul coordonat la nivel european, menit să atenueze impactul socioeconomic al crizei provocate de pandemia de COVID-19. Pe baza resurselor deblocate din FEIS, FEI a oferit garanții în valoare de 2,2 miliarde EUR intermediarilor financiari, punând la dispoziție o finanțare în valoare de 8 miliarde EUR pentru întreprinderi, inclusiv pentru microîntreprinderi și întreprinderile sociale, precum și pentru IMM-urile din sectoarele culturale și creative.</w:t>
      </w:r>
    </w:p>
    <w:p>
      <w:pPr>
        <w:keepLines/>
        <w:spacing w:after="240"/>
        <w:jc w:val="both"/>
        <w:rPr>
          <w:rFonts w:ascii="Times New Roman" w:hAnsi="Times New Roman" w:cs="Times New Roman"/>
          <w:noProof/>
          <w:sz w:val="24"/>
          <w:szCs w:val="24"/>
        </w:rPr>
      </w:pPr>
      <w:r>
        <w:rPr>
          <w:rFonts w:ascii="Times New Roman" w:hAnsi="Times New Roman"/>
          <w:noProof/>
          <w:sz w:val="24"/>
          <w:szCs w:val="24"/>
        </w:rPr>
        <w:t>În plus, pentru a oferi sprijin beneficiarilor finali în cele mai rapide termene, Comitetul director al FEIS a decis, în aprilie 2020, să simplifice procesul de aprobare pentru operațiunile specifice din cadrul pachetelor de finanțare în contextul pandemiei de COVID-19 din cadrul IIW.</w:t>
      </w:r>
    </w:p>
    <w:p>
      <w:pPr>
        <w:keepLines/>
        <w:spacing w:after="240"/>
        <w:jc w:val="both"/>
        <w:rPr>
          <w:rFonts w:ascii="Times New Roman" w:hAnsi="Times New Roman" w:cs="Times New Roman"/>
          <w:noProof/>
          <w:sz w:val="24"/>
          <w:szCs w:val="24"/>
        </w:rPr>
      </w:pPr>
      <w:r>
        <w:rPr>
          <w:rFonts w:ascii="Times New Roman" w:hAnsi="Times New Roman"/>
          <w:noProof/>
          <w:sz w:val="24"/>
          <w:szCs w:val="24"/>
        </w:rPr>
        <w:t>De exemplu, în mai 2020, Consiliul de administrație al BEI a aprobat tranzacția FEIS de sprijinire a întreprinderii germane BioNTech cu o finanțare prin îndatorare în valoare de 100 de milioane EUR pentru dezvoltarea și fabricarea de vaccinuri împotriva COVID-19. Acest lucru i-a permis întreprinderii să își extindă capacitatea de producție pentru a furniza vaccinul la nivel mondial cât mai rapid posibil ca răspuns la pandemie.</w:t>
      </w:r>
    </w:p>
    <w:p>
      <w:pPr>
        <w:keepLines/>
        <w:spacing w:after="240"/>
        <w:jc w:val="both"/>
        <w:rPr>
          <w:rFonts w:ascii="Times New Roman" w:hAnsi="Times New Roman" w:cs="Times New Roman"/>
          <w:noProof/>
          <w:sz w:val="24"/>
          <w:szCs w:val="24"/>
        </w:rPr>
      </w:pPr>
      <w:r>
        <w:rPr>
          <w:rFonts w:ascii="Times New Roman" w:hAnsi="Times New Roman"/>
          <w:noProof/>
          <w:sz w:val="24"/>
          <w:szCs w:val="24"/>
        </w:rPr>
        <w:t xml:space="preserve"> </w:t>
      </w:r>
    </w:p>
    <w:p>
      <w:pPr>
        <w:pStyle w:val="Heading1"/>
        <w:spacing w:before="0" w:after="240"/>
        <w:rPr>
          <w:rFonts w:ascii="Times New Roman" w:hAnsi="Times New Roman" w:cs="Times New Roman"/>
          <w:noProof/>
          <w:color w:val="auto"/>
        </w:rPr>
      </w:pPr>
      <w:bookmarkStart w:id="21" w:name="_Toc75440771"/>
      <w:bookmarkStart w:id="22" w:name="_Toc70409215"/>
      <w:r>
        <w:rPr>
          <w:rFonts w:ascii="Times New Roman" w:hAnsi="Times New Roman"/>
          <w:noProof/>
          <w:color w:val="auto"/>
        </w:rPr>
        <w:t>3. Utilizarea garanției UE</w:t>
      </w:r>
      <w:bookmarkEnd w:id="21"/>
      <w:r>
        <w:rPr>
          <w:rFonts w:ascii="Times New Roman" w:hAnsi="Times New Roman"/>
          <w:noProof/>
          <w:color w:val="auto"/>
        </w:rPr>
        <w:t xml:space="preserve"> </w:t>
      </w:r>
      <w:bookmarkEnd w:id="22"/>
    </w:p>
    <w:p>
      <w:pPr>
        <w:spacing w:after="240"/>
        <w:jc w:val="both"/>
        <w:rPr>
          <w:rFonts w:ascii="Times New Roman" w:hAnsi="Times New Roman" w:cs="Times New Roman"/>
          <w:noProof/>
          <w:sz w:val="24"/>
          <w:szCs w:val="24"/>
        </w:rPr>
      </w:pPr>
      <w:r>
        <w:rPr>
          <w:rFonts w:ascii="Times New Roman" w:hAnsi="Times New Roman"/>
          <w:noProof/>
          <w:sz w:val="24"/>
          <w:szCs w:val="24"/>
        </w:rPr>
        <w:t>Prezenta secțiune analizează utilizarea garanției UE în cadrul diferitelor activități sprijinite de FEIS. Garanția UE acoperă produse diferite în cadrul celor două componente: componenta pentru infrastructură și inovare și componenta pentru IMM-uri.</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La finele anului 2020, Grupul BEI (BEI și FEI) a aprobat 1 549 de operațiuni în cadrul FEIS pentru o finanțare totală de 103 miliarde EUR. Dintre aceste operațiuni, 1 421 fuseseră deja semnate la finele anului 2020, pentru o finanțare totală de 82,7 miliarde EUR. Se preconizează că operațiunile semnate vor mobiliza investiții în valoare de 545,3 miliarde EUR (din care investițiile totale ale operațiunilor deja semnate se ridică la 479,5 miliarde EUR) în toate statele membre ale UE și în cadrul tuturor obiectivelor stabilite în Regulamentul FEIS, peste jumătate fiind alocate în domeniul cercetării, dezvoltării și inovării (CDI) și IMM-urilor, precum și întreprinderilor cu capitalizare medie (figura 1). </w:t>
      </w:r>
    </w:p>
    <w:p>
      <w:pPr>
        <w:spacing w:after="240"/>
        <w:jc w:val="both"/>
        <w:rPr>
          <w:rFonts w:ascii="Times New Roman" w:hAnsi="Times New Roman" w:cs="Times New Roman"/>
          <w:noProof/>
          <w:sz w:val="24"/>
          <w:szCs w:val="24"/>
        </w:rPr>
      </w:pPr>
    </w:p>
    <w:p>
      <w:pPr>
        <w:spacing w:after="240"/>
        <w:jc w:val="both"/>
        <w:rPr>
          <w:rFonts w:ascii="Times New Roman" w:hAnsi="Times New Roman" w:cs="Times New Roman"/>
          <w:noProof/>
          <w:sz w:val="24"/>
          <w:szCs w:val="24"/>
        </w:rPr>
      </w:pPr>
      <w:bookmarkStart w:id="23" w:name="_Ref458432919"/>
      <w:bookmarkStart w:id="24" w:name="_Toc458500290"/>
      <w:bookmarkStart w:id="25" w:name="_Toc460865972"/>
    </w:p>
    <w:p>
      <w:pPr>
        <w:spacing w:after="240"/>
        <w:jc w:val="both"/>
        <w:rPr>
          <w:rFonts w:ascii="Times New Roman" w:hAnsi="Times New Roman" w:cs="Times New Roman"/>
          <w:noProof/>
          <w:sz w:val="24"/>
          <w:szCs w:val="24"/>
        </w:rPr>
      </w:pPr>
    </w:p>
    <w:p>
      <w:pPr>
        <w:spacing w:after="240"/>
        <w:jc w:val="both"/>
        <w:rPr>
          <w:rFonts w:ascii="Times New Roman" w:hAnsi="Times New Roman" w:cs="Times New Roman"/>
          <w:noProof/>
          <w:sz w:val="24"/>
          <w:szCs w:val="24"/>
        </w:rPr>
      </w:pPr>
    </w:p>
    <w:p>
      <w:pPr>
        <w:spacing w:after="240"/>
        <w:jc w:val="both"/>
        <w:rPr>
          <w:rFonts w:ascii="Times New Roman" w:hAnsi="Times New Roman" w:cs="Times New Roman"/>
          <w:noProof/>
          <w:sz w:val="24"/>
          <w:szCs w:val="24"/>
        </w:rPr>
      </w:pPr>
    </w:p>
    <w:p>
      <w:pPr>
        <w:spacing w:after="240"/>
        <w:jc w:val="both"/>
        <w:rPr>
          <w:rFonts w:ascii="Times New Roman" w:hAnsi="Times New Roman" w:cs="Times New Roman"/>
          <w:noProof/>
          <w:sz w:val="24"/>
          <w:szCs w:val="24"/>
        </w:rPr>
      </w:pPr>
    </w:p>
    <w:p>
      <w:pPr>
        <w:spacing w:after="240"/>
        <w:jc w:val="both"/>
        <w:rPr>
          <w:rFonts w:ascii="Times New Roman" w:hAnsi="Times New Roman" w:cs="Times New Roman"/>
          <w:noProof/>
          <w:sz w:val="24"/>
          <w:szCs w:val="24"/>
        </w:rPr>
      </w:pPr>
      <w:r>
        <w:rPr>
          <w:rFonts w:ascii="Times New Roman" w:hAnsi="Times New Roman"/>
          <w:b/>
          <w:noProof/>
          <w:sz w:val="24"/>
          <w:szCs w:val="24"/>
        </w:rPr>
        <w:t xml:space="preserve">Figura </w:t>
      </w:r>
      <w:r>
        <w:rPr>
          <w:rFonts w:ascii="Times New Roman" w:hAnsi="Times New Roman" w:cs="Times New Roman"/>
          <w:b/>
          <w:noProof/>
          <w:sz w:val="24"/>
          <w:szCs w:val="24"/>
        </w:rPr>
        <w:fldChar w:fldCharType="begin"/>
      </w:r>
      <w:r>
        <w:rPr>
          <w:rFonts w:ascii="Times New Roman" w:hAnsi="Times New Roman" w:cs="Times New Roman"/>
          <w:b/>
          <w:noProof/>
          <w:sz w:val="24"/>
          <w:szCs w:val="24"/>
        </w:rPr>
        <w:instrText xml:space="preserve"> SEQ Figure \* ARABIC </w:instrText>
      </w:r>
      <w:r>
        <w:rPr>
          <w:rFonts w:ascii="Times New Roman" w:hAnsi="Times New Roman" w:cs="Times New Roman"/>
          <w:b/>
          <w:noProof/>
          <w:sz w:val="24"/>
          <w:szCs w:val="24"/>
        </w:rPr>
        <w:fldChar w:fldCharType="separate"/>
      </w:r>
      <w:r>
        <w:rPr>
          <w:rFonts w:ascii="Times New Roman" w:hAnsi="Times New Roman" w:cs="Times New Roman"/>
          <w:b/>
          <w:noProof/>
          <w:sz w:val="24"/>
          <w:szCs w:val="24"/>
        </w:rPr>
        <w:t>1</w:t>
      </w:r>
      <w:r>
        <w:rPr>
          <w:rFonts w:ascii="Times New Roman" w:hAnsi="Times New Roman" w:cs="Times New Roman"/>
          <w:b/>
          <w:noProof/>
          <w:sz w:val="24"/>
          <w:szCs w:val="24"/>
        </w:rPr>
        <w:fldChar w:fldCharType="end"/>
      </w:r>
      <w:bookmarkEnd w:id="23"/>
      <w:r>
        <w:rPr>
          <w:rFonts w:ascii="Times New Roman" w:hAnsi="Times New Roman"/>
          <w:b/>
          <w:noProof/>
          <w:sz w:val="24"/>
          <w:szCs w:val="24"/>
        </w:rPr>
        <w:t xml:space="preserve">: </w:t>
      </w:r>
      <w:bookmarkEnd w:id="24"/>
      <w:bookmarkEnd w:id="25"/>
      <w:r>
        <w:rPr>
          <w:rFonts w:ascii="Times New Roman" w:hAnsi="Times New Roman"/>
          <w:b/>
          <w:noProof/>
          <w:sz w:val="24"/>
          <w:szCs w:val="24"/>
        </w:rPr>
        <w:t xml:space="preserve">Investiții FEIS mobilizate pentru operațiuni semnate (pe sectoare, decembrie 2020) </w:t>
      </w:r>
    </w:p>
    <w:p>
      <w:pPr>
        <w:spacing w:after="240"/>
        <w:jc w:val="both"/>
        <w:rPr>
          <w:rFonts w:ascii="Times New Roman" w:hAnsi="Times New Roman" w:cs="Times New Roman"/>
          <w:noProof/>
          <w:sz w:val="20"/>
          <w:szCs w:val="20"/>
        </w:rPr>
      </w:pPr>
      <w:r>
        <w:rPr>
          <w:noProof/>
          <w:lang w:val="en-GB" w:eastAsia="en-GB"/>
        </w:rPr>
        <w:drawing>
          <wp:inline distT="0" distB="0" distL="0" distR="0">
            <wp:extent cx="5391150" cy="3019425"/>
            <wp:effectExtent l="0" t="0" r="0" b="9525"/>
            <wp:docPr id="1" name="Chart 1">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rFonts w:ascii="Times New Roman" w:hAnsi="Times New Roman"/>
          <w:b/>
          <w:noProof/>
        </w:rPr>
        <w:t>Sursă</w:t>
      </w:r>
      <w:r>
        <w:rPr>
          <w:noProof/>
        </w:rPr>
        <w:t>:</w:t>
      </w:r>
      <w:r>
        <w:rPr>
          <w:rFonts w:ascii="Times New Roman" w:hAnsi="Times New Roman"/>
          <w:noProof/>
        </w:rPr>
        <w:t xml:space="preserve"> serviciile Comisiei</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La finele anului 2020, expunerea bugetului UE la eventuale plăți viitoare acoperite de garanția UE, legate de operațiuni semnate (plătite sau nu), s-a ridicat la 24,1 miliarde EUR, în timp ce soldul total al expunerii plătite acoperite de garanția UE s-a ridicat la aproape 18,9 miliarde EUR. </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La 31 decembrie 2020, a fost solicitată executarea garanției UE în cadrul IIW pentru suma totală de 80,4 milioane EUR. În plus, a fost solicitată o sumă de 5,0 milioane EUR pentru costurile de finanțare ale BEI, 77,4 milioane EUR pentru ajustări valorice ale operațiunilor de capitaluri proprii și 3,9 milioane EUR pentru costurile de recuperare și pentru taxele administrative recuperabile ale BEI. </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La finele anului 2020, în cadrul componentei pentru IMM-uri, a fost solicitată executarea garanției UE pentru suma totală de 45,6 milioane EUR, care a fost utilizată pentru a achiziționa alte monede decât EUR în scopuri de acoperire împotriva riscurilor. </w:t>
      </w:r>
    </w:p>
    <w:p>
      <w:pPr>
        <w:pStyle w:val="Heading2"/>
        <w:spacing w:before="0" w:after="240"/>
        <w:rPr>
          <w:rFonts w:ascii="Times New Roman" w:hAnsi="Times New Roman" w:cs="Times New Roman"/>
          <w:noProof/>
          <w:color w:val="auto"/>
        </w:rPr>
      </w:pPr>
      <w:bookmarkStart w:id="26" w:name="_Toc456716046"/>
      <w:bookmarkStart w:id="27" w:name="_Toc456716111"/>
      <w:bookmarkStart w:id="28" w:name="_Toc456716404"/>
      <w:bookmarkStart w:id="29" w:name="_Toc456716460"/>
      <w:bookmarkStart w:id="30" w:name="_Toc456717219"/>
      <w:bookmarkStart w:id="31" w:name="_Toc456717363"/>
      <w:bookmarkStart w:id="32" w:name="_Toc456717895"/>
      <w:bookmarkStart w:id="33" w:name="_Toc456719731"/>
      <w:bookmarkStart w:id="34" w:name="_Toc456719788"/>
      <w:bookmarkStart w:id="35" w:name="_Toc456720241"/>
      <w:bookmarkStart w:id="36" w:name="_Toc456720595"/>
      <w:bookmarkStart w:id="37" w:name="_Toc456768922"/>
      <w:bookmarkStart w:id="38" w:name="_Toc456777007"/>
      <w:bookmarkStart w:id="39" w:name="_Toc456777072"/>
      <w:bookmarkStart w:id="40" w:name="_Toc456778090"/>
      <w:bookmarkStart w:id="41" w:name="_Toc456778155"/>
      <w:bookmarkStart w:id="42" w:name="_Toc457846721"/>
      <w:bookmarkStart w:id="43" w:name="_Toc457908501"/>
      <w:bookmarkStart w:id="44" w:name="_Toc457908557"/>
      <w:bookmarkStart w:id="45" w:name="_Toc458418177"/>
      <w:bookmarkStart w:id="46" w:name="_Toc458434041"/>
      <w:bookmarkStart w:id="47" w:name="_Toc458434099"/>
      <w:bookmarkStart w:id="48" w:name="_Toc458434177"/>
      <w:bookmarkStart w:id="49" w:name="_Toc458497566"/>
      <w:bookmarkStart w:id="50" w:name="_Toc458500226"/>
      <w:bookmarkStart w:id="51" w:name="_Toc458500306"/>
      <w:bookmarkStart w:id="52" w:name="_Toc458502560"/>
      <w:bookmarkStart w:id="53" w:name="_Toc458507714"/>
      <w:bookmarkStart w:id="54" w:name="_Toc458515947"/>
      <w:bookmarkStart w:id="55" w:name="_Toc458517663"/>
      <w:bookmarkStart w:id="56" w:name="_Toc458520910"/>
      <w:bookmarkStart w:id="57" w:name="_Toc458520976"/>
      <w:bookmarkStart w:id="58" w:name="_Toc458521832"/>
      <w:bookmarkStart w:id="59" w:name="_Toc458521911"/>
      <w:bookmarkStart w:id="60" w:name="_Toc458521991"/>
      <w:bookmarkStart w:id="61" w:name="_Toc459195903"/>
      <w:bookmarkStart w:id="62" w:name="_Toc459886938"/>
      <w:bookmarkStart w:id="63" w:name="_Toc459886979"/>
      <w:bookmarkStart w:id="64" w:name="_Toc459888280"/>
      <w:bookmarkStart w:id="65" w:name="_Toc459904457"/>
      <w:bookmarkStart w:id="66" w:name="_Toc459975755"/>
      <w:bookmarkStart w:id="67" w:name="_Toc459976021"/>
      <w:bookmarkStart w:id="68" w:name="_Toc459976073"/>
      <w:bookmarkStart w:id="69" w:name="_Toc460062193"/>
      <w:bookmarkStart w:id="70" w:name="_Toc460062355"/>
      <w:bookmarkStart w:id="71" w:name="_Toc460419196"/>
      <w:bookmarkStart w:id="72" w:name="_Toc460582017"/>
      <w:bookmarkStart w:id="73" w:name="_Toc460582068"/>
      <w:bookmarkStart w:id="74" w:name="_Toc460865938"/>
      <w:bookmarkStart w:id="75" w:name="_Toc456716047"/>
      <w:bookmarkStart w:id="76" w:name="_Toc456716112"/>
      <w:bookmarkStart w:id="77" w:name="_Toc456716405"/>
      <w:bookmarkStart w:id="78" w:name="_Toc456716461"/>
      <w:bookmarkStart w:id="79" w:name="_Toc456717220"/>
      <w:bookmarkStart w:id="80" w:name="_Toc456717364"/>
      <w:bookmarkStart w:id="81" w:name="_Toc456717896"/>
      <w:bookmarkStart w:id="82" w:name="_Toc456719732"/>
      <w:bookmarkStart w:id="83" w:name="_Toc456719789"/>
      <w:bookmarkStart w:id="84" w:name="_Toc456720242"/>
      <w:bookmarkStart w:id="85" w:name="_Toc456720596"/>
      <w:bookmarkStart w:id="86" w:name="_Toc456768923"/>
      <w:bookmarkStart w:id="87" w:name="_Toc456777008"/>
      <w:bookmarkStart w:id="88" w:name="_Toc456777073"/>
      <w:bookmarkStart w:id="89" w:name="_Toc456778091"/>
      <w:bookmarkStart w:id="90" w:name="_Toc456778156"/>
      <w:bookmarkStart w:id="91" w:name="_Toc457846722"/>
      <w:bookmarkStart w:id="92" w:name="_Toc457908502"/>
      <w:bookmarkStart w:id="93" w:name="_Toc457908558"/>
      <w:bookmarkStart w:id="94" w:name="_Toc458418178"/>
      <w:bookmarkStart w:id="95" w:name="_Toc458434042"/>
      <w:bookmarkStart w:id="96" w:name="_Toc458434100"/>
      <w:bookmarkStart w:id="97" w:name="_Toc458434178"/>
      <w:bookmarkStart w:id="98" w:name="_Toc458497567"/>
      <w:bookmarkStart w:id="99" w:name="_Toc458500227"/>
      <w:bookmarkStart w:id="100" w:name="_Toc458500307"/>
      <w:bookmarkStart w:id="101" w:name="_Toc458502561"/>
      <w:bookmarkStart w:id="102" w:name="_Toc458507715"/>
      <w:bookmarkStart w:id="103" w:name="_Toc458515948"/>
      <w:bookmarkStart w:id="104" w:name="_Toc458517664"/>
      <w:bookmarkStart w:id="105" w:name="_Toc458520911"/>
      <w:bookmarkStart w:id="106" w:name="_Toc458520977"/>
      <w:bookmarkStart w:id="107" w:name="_Toc458521833"/>
      <w:bookmarkStart w:id="108" w:name="_Toc458521912"/>
      <w:bookmarkStart w:id="109" w:name="_Toc458521992"/>
      <w:bookmarkStart w:id="110" w:name="_Toc459195904"/>
      <w:bookmarkStart w:id="111" w:name="_Toc459886939"/>
      <w:bookmarkStart w:id="112" w:name="_Toc459886980"/>
      <w:bookmarkStart w:id="113" w:name="_Toc459888281"/>
      <w:bookmarkStart w:id="114" w:name="_Toc459904458"/>
      <w:bookmarkStart w:id="115" w:name="_Toc459975756"/>
      <w:bookmarkStart w:id="116" w:name="_Toc459976022"/>
      <w:bookmarkStart w:id="117" w:name="_Toc459976074"/>
      <w:bookmarkStart w:id="118" w:name="_Toc460062194"/>
      <w:bookmarkStart w:id="119" w:name="_Toc460062356"/>
      <w:bookmarkStart w:id="120" w:name="_Toc460419197"/>
      <w:bookmarkStart w:id="121" w:name="_Toc460582018"/>
      <w:bookmarkStart w:id="122" w:name="_Toc460582069"/>
      <w:bookmarkStart w:id="123" w:name="_Toc460865939"/>
      <w:bookmarkStart w:id="124" w:name="_Toc456716113"/>
      <w:bookmarkStart w:id="125" w:name="_Toc456716406"/>
      <w:bookmarkStart w:id="126" w:name="_Toc456716462"/>
      <w:bookmarkStart w:id="127" w:name="_Toc456717221"/>
      <w:bookmarkStart w:id="128" w:name="_Toc456717365"/>
      <w:bookmarkStart w:id="129" w:name="_Toc456717897"/>
      <w:bookmarkStart w:id="130" w:name="_Toc456719733"/>
      <w:bookmarkStart w:id="131" w:name="_Toc456719790"/>
      <w:bookmarkStart w:id="132" w:name="_Toc456720243"/>
      <w:bookmarkStart w:id="133" w:name="_Toc456720597"/>
      <w:bookmarkStart w:id="134" w:name="_Toc456768924"/>
      <w:bookmarkStart w:id="135" w:name="_Toc456777009"/>
      <w:bookmarkStart w:id="136" w:name="_Toc456777074"/>
      <w:bookmarkStart w:id="137" w:name="_Toc456778092"/>
      <w:bookmarkStart w:id="138" w:name="_Toc456778157"/>
      <w:bookmarkStart w:id="139" w:name="_Toc457846723"/>
      <w:bookmarkStart w:id="140" w:name="_Toc457908503"/>
      <w:bookmarkStart w:id="141" w:name="_Toc457908559"/>
      <w:bookmarkStart w:id="142" w:name="_Toc458418179"/>
      <w:bookmarkStart w:id="143" w:name="_Toc458434043"/>
      <w:bookmarkStart w:id="144" w:name="_Toc458434101"/>
      <w:bookmarkStart w:id="145" w:name="_Toc458434179"/>
      <w:bookmarkStart w:id="146" w:name="_Toc458497568"/>
      <w:bookmarkStart w:id="147" w:name="_Toc458500228"/>
      <w:bookmarkStart w:id="148" w:name="_Toc458500308"/>
      <w:bookmarkStart w:id="149" w:name="_Toc458502562"/>
      <w:bookmarkStart w:id="150" w:name="_Toc458507716"/>
      <w:bookmarkStart w:id="151" w:name="_Toc458515949"/>
      <w:bookmarkStart w:id="152" w:name="_Toc458517665"/>
      <w:bookmarkStart w:id="153" w:name="_Toc458520912"/>
      <w:bookmarkStart w:id="154" w:name="_Toc458520978"/>
      <w:bookmarkStart w:id="155" w:name="_Toc458521834"/>
      <w:bookmarkStart w:id="156" w:name="_Toc458521913"/>
      <w:bookmarkStart w:id="157" w:name="_Toc458521993"/>
      <w:bookmarkStart w:id="158" w:name="_Toc459195905"/>
      <w:bookmarkStart w:id="159" w:name="_Toc459886940"/>
      <w:bookmarkStart w:id="160" w:name="_Toc459886981"/>
      <w:bookmarkStart w:id="161" w:name="_Toc459888282"/>
      <w:bookmarkStart w:id="162" w:name="_Toc459904459"/>
      <w:bookmarkStart w:id="163" w:name="_Toc459975757"/>
      <w:bookmarkStart w:id="164" w:name="_Toc459976023"/>
      <w:bookmarkStart w:id="165" w:name="_Toc459976075"/>
      <w:bookmarkStart w:id="166" w:name="_Toc460062195"/>
      <w:bookmarkStart w:id="167" w:name="_Toc460062357"/>
      <w:bookmarkStart w:id="168" w:name="_Toc460419198"/>
      <w:bookmarkStart w:id="169" w:name="_Toc460582019"/>
      <w:bookmarkStart w:id="170" w:name="_Toc460582070"/>
      <w:bookmarkStart w:id="171" w:name="_Toc460865940"/>
      <w:bookmarkStart w:id="172" w:name="_Toc459886941"/>
      <w:bookmarkStart w:id="173" w:name="_Toc459886982"/>
      <w:bookmarkStart w:id="174" w:name="_Toc459888283"/>
      <w:bookmarkStart w:id="175" w:name="_Toc459904460"/>
      <w:bookmarkStart w:id="176" w:name="_Toc459975758"/>
      <w:bookmarkStart w:id="177" w:name="_Toc459976024"/>
      <w:bookmarkStart w:id="178" w:name="_Toc459976076"/>
      <w:bookmarkStart w:id="179" w:name="_Toc460062196"/>
      <w:bookmarkStart w:id="180" w:name="_Toc460062358"/>
      <w:bookmarkStart w:id="181" w:name="_Toc460419199"/>
      <w:bookmarkStart w:id="182" w:name="_Toc460582020"/>
      <w:bookmarkStart w:id="183" w:name="_Toc460582071"/>
      <w:bookmarkStart w:id="184" w:name="_Toc460865941"/>
      <w:bookmarkStart w:id="185" w:name="_Toc460865942"/>
      <w:bookmarkStart w:id="186" w:name="_Toc75440772"/>
      <w:bookmarkStart w:id="187" w:name="_Toc70409216"/>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Fonts w:ascii="Times New Roman" w:hAnsi="Times New Roman"/>
          <w:noProof/>
          <w:color w:val="auto"/>
        </w:rPr>
        <w:t>3.1. Componenta pentru infrastructură și inovare</w:t>
      </w:r>
      <w:bookmarkEnd w:id="185"/>
      <w:bookmarkEnd w:id="186"/>
      <w:r>
        <w:rPr>
          <w:rFonts w:ascii="Times New Roman" w:hAnsi="Times New Roman"/>
          <w:noProof/>
          <w:color w:val="auto"/>
        </w:rPr>
        <w:t xml:space="preserve"> </w:t>
      </w:r>
      <w:bookmarkEnd w:id="187"/>
    </w:p>
    <w:p>
      <w:pPr>
        <w:spacing w:after="240"/>
        <w:jc w:val="both"/>
        <w:rPr>
          <w:rFonts w:ascii="Times New Roman" w:hAnsi="Times New Roman" w:cs="Times New Roman"/>
          <w:noProof/>
          <w:sz w:val="24"/>
          <w:szCs w:val="24"/>
        </w:rPr>
      </w:pPr>
      <w:r>
        <w:rPr>
          <w:rFonts w:ascii="Times New Roman" w:hAnsi="Times New Roman"/>
          <w:noProof/>
          <w:sz w:val="24"/>
          <w:szCs w:val="24"/>
        </w:rPr>
        <w:t>În cadrul IIW, încadrarea operațiunilor BEI la portofoliul de împrumuturi sau la cel de capital se face pe baza sistemului BEI de clasificare a împrumuturilor și a evaluării riscurilor standard a BEI. În cadrul IIW, plafonul garanției UE în valoare de 19,25 miliarde EUR este defalcat după cum urmează:</w:t>
      </w:r>
    </w:p>
    <w:p>
      <w:pPr>
        <w:numPr>
          <w:ilvl w:val="0"/>
          <w:numId w:val="25"/>
        </w:numPr>
        <w:spacing w:after="240"/>
        <w:contextualSpacing/>
        <w:jc w:val="both"/>
        <w:rPr>
          <w:rFonts w:ascii="Times New Roman" w:hAnsi="Times New Roman" w:cs="Times New Roman"/>
          <w:noProof/>
          <w:sz w:val="24"/>
          <w:szCs w:val="24"/>
        </w:rPr>
      </w:pPr>
      <w:r>
        <w:rPr>
          <w:rFonts w:ascii="Times New Roman" w:hAnsi="Times New Roman"/>
          <w:noProof/>
          <w:sz w:val="24"/>
          <w:szCs w:val="24"/>
        </w:rPr>
        <w:t>până la 15,24 miliarde EUR pentru operațiuni legate de împrumut;</w:t>
      </w:r>
    </w:p>
    <w:p>
      <w:pPr>
        <w:numPr>
          <w:ilvl w:val="0"/>
          <w:numId w:val="25"/>
        </w:numPr>
        <w:spacing w:after="240"/>
        <w:contextualSpacing/>
        <w:jc w:val="both"/>
        <w:rPr>
          <w:rFonts w:ascii="Times New Roman" w:hAnsi="Times New Roman" w:cs="Times New Roman"/>
          <w:noProof/>
          <w:sz w:val="24"/>
          <w:szCs w:val="24"/>
        </w:rPr>
      </w:pPr>
      <w:r>
        <w:rPr>
          <w:rFonts w:ascii="Times New Roman" w:hAnsi="Times New Roman"/>
          <w:noProof/>
          <w:sz w:val="24"/>
          <w:szCs w:val="24"/>
        </w:rPr>
        <w:t>până la 4,01 miliarde EUR pentru operațiuni legate de capital.</w:t>
      </w:r>
    </w:p>
    <w:p>
      <w:pPr>
        <w:spacing w:before="120" w:after="240"/>
        <w:jc w:val="both"/>
        <w:rPr>
          <w:rFonts w:ascii="Times New Roman" w:hAnsi="Times New Roman" w:cs="Times New Roman"/>
          <w:noProof/>
          <w:sz w:val="6"/>
          <w:szCs w:val="6"/>
        </w:rPr>
      </w:pPr>
      <w:bookmarkStart w:id="188" w:name="_Toc458161748"/>
    </w:p>
    <w:p>
      <w:pPr>
        <w:spacing w:before="120" w:after="240"/>
        <w:jc w:val="both"/>
        <w:rPr>
          <w:rFonts w:ascii="Times New Roman" w:hAnsi="Times New Roman" w:cs="Times New Roman"/>
          <w:noProof/>
          <w:sz w:val="24"/>
          <w:szCs w:val="24"/>
        </w:rPr>
      </w:pPr>
      <w:r>
        <w:rPr>
          <w:rFonts w:ascii="Times New Roman" w:hAnsi="Times New Roman"/>
          <w:noProof/>
          <w:sz w:val="24"/>
          <w:szCs w:val="24"/>
        </w:rPr>
        <w:t>La 31 decembrie 2020, în cadrul IIW, BEI a semnat 629 de operațiuni pentru o finanțare totală de 57,2 miliarde EUR, care se preconizează că vor mobiliza investiții în valoare de 278,2 miliarde EUR în toate statele membre.</w:t>
      </w:r>
    </w:p>
    <w:p>
      <w:pPr>
        <w:spacing w:before="120" w:after="240"/>
        <w:jc w:val="both"/>
        <w:rPr>
          <w:rFonts w:ascii="Times New Roman" w:hAnsi="Times New Roman" w:cs="Times New Roman"/>
          <w:noProof/>
          <w:sz w:val="24"/>
          <w:szCs w:val="24"/>
        </w:rPr>
      </w:pPr>
    </w:p>
    <w:p>
      <w:pPr>
        <w:pStyle w:val="Heading3"/>
        <w:spacing w:before="0" w:after="240"/>
        <w:rPr>
          <w:rFonts w:ascii="Times New Roman" w:hAnsi="Times New Roman" w:cs="Times New Roman"/>
          <w:noProof/>
          <w:color w:val="365F91" w:themeColor="accent1" w:themeShade="BF"/>
          <w:sz w:val="24"/>
          <w:szCs w:val="24"/>
        </w:rPr>
      </w:pPr>
      <w:bookmarkStart w:id="189" w:name="_Toc456716049"/>
      <w:bookmarkStart w:id="190" w:name="_Toc456716115"/>
      <w:bookmarkStart w:id="191" w:name="_Ref458516187"/>
      <w:bookmarkStart w:id="192" w:name="_Ref458516189"/>
      <w:bookmarkStart w:id="193" w:name="_Toc460865943"/>
      <w:bookmarkStart w:id="194" w:name="_Toc70409217"/>
      <w:bookmarkStart w:id="195" w:name="_Toc75440773"/>
      <w:bookmarkEnd w:id="188"/>
      <w:bookmarkEnd w:id="189"/>
      <w:bookmarkEnd w:id="190"/>
      <w:r>
        <w:rPr>
          <w:rFonts w:ascii="Times New Roman" w:hAnsi="Times New Roman"/>
          <w:noProof/>
          <w:color w:val="365F91" w:themeColor="accent1" w:themeShade="BF"/>
          <w:sz w:val="24"/>
          <w:szCs w:val="24"/>
        </w:rPr>
        <w:t>3.1.1. Portofoliul de împrumuturi al IIW</w:t>
      </w:r>
      <w:bookmarkEnd w:id="191"/>
      <w:bookmarkEnd w:id="192"/>
      <w:bookmarkEnd w:id="193"/>
      <w:bookmarkEnd w:id="194"/>
      <w:bookmarkEnd w:id="195"/>
    </w:p>
    <w:p>
      <w:pPr>
        <w:spacing w:after="240"/>
        <w:jc w:val="both"/>
        <w:rPr>
          <w:rFonts w:ascii="Times New Roman" w:hAnsi="Times New Roman" w:cs="Times New Roman"/>
          <w:noProof/>
          <w:sz w:val="24"/>
          <w:szCs w:val="24"/>
        </w:rPr>
      </w:pPr>
      <w:r>
        <w:rPr>
          <w:rFonts w:ascii="Times New Roman" w:hAnsi="Times New Roman"/>
          <w:noProof/>
          <w:sz w:val="24"/>
          <w:szCs w:val="24"/>
        </w:rPr>
        <w:t>Portofoliul de împrumuturi al IIW include toate operațiunile legate de împrumut care au fost semnate și care nu au fost anulate. Pentru fiecare operațiune legată de împrumut, BEI efectuează o evaluare a riscurilor standard, care cuprinde calculul probabilității de nerambursare și al ratei de recuperare, fără a lua în considerare garanția UE (pentru a reflecta riscul general al tranzacției</w:t>
      </w:r>
      <w:r>
        <w:rPr>
          <w:rFonts w:ascii="Times New Roman" w:hAnsi="Times New Roman" w:cs="Times New Roman"/>
          <w:noProof/>
          <w:sz w:val="24"/>
          <w:szCs w:val="24"/>
          <w:vertAlign w:val="superscript"/>
        </w:rPr>
        <w:footnoteReference w:id="7"/>
      </w:r>
      <w:r>
        <w:rPr>
          <w:rFonts w:ascii="Times New Roman" w:hAnsi="Times New Roman"/>
          <w:noProof/>
          <w:sz w:val="24"/>
          <w:szCs w:val="24"/>
        </w:rPr>
        <w:t xml:space="preserve">). Operațiunile sprijinite de garanția UE au în mod normal un profil de risc mai mare decât operațiunile obișnuite ale BEI și se încadrează, prin urmare, în domeniul de aplicare al </w:t>
      </w:r>
      <w:r>
        <w:rPr>
          <w:rFonts w:ascii="Times New Roman" w:hAnsi="Times New Roman"/>
          <w:i/>
          <w:noProof/>
          <w:sz w:val="24"/>
          <w:szCs w:val="24"/>
        </w:rPr>
        <w:t>activităților speciale</w:t>
      </w:r>
      <w:r>
        <w:rPr>
          <w:rFonts w:ascii="Times New Roman" w:hAnsi="Times New Roman" w:cs="Times New Roman"/>
          <w:i/>
          <w:noProof/>
          <w:sz w:val="24"/>
          <w:szCs w:val="24"/>
          <w:vertAlign w:val="superscript"/>
        </w:rPr>
        <w:footnoteReference w:id="8"/>
      </w:r>
      <w:r>
        <w:rPr>
          <w:rFonts w:ascii="Times New Roman" w:hAnsi="Times New Roman"/>
          <w:noProof/>
          <w:sz w:val="24"/>
          <w:szCs w:val="24"/>
        </w:rPr>
        <w:t xml:space="preserve">. Tranzacțiile mai puțin riscante pot fi incluse în portofoliul FEIS, cu condiția să se demonstreze în mod clar valoarea lor adăugată ridicată și cu condiția ca includerea lor să respecte criteriul adiționalității. </w:t>
      </w:r>
    </w:p>
    <w:p>
      <w:pPr>
        <w:spacing w:after="240"/>
        <w:jc w:val="both"/>
        <w:rPr>
          <w:rFonts w:ascii="Times New Roman" w:hAnsi="Times New Roman" w:cs="Times New Roman"/>
          <w:noProof/>
          <w:sz w:val="24"/>
          <w:szCs w:val="24"/>
        </w:rPr>
      </w:pPr>
      <w:r>
        <w:rPr>
          <w:rFonts w:ascii="Times New Roman" w:hAnsi="Times New Roman"/>
          <w:noProof/>
          <w:sz w:val="24"/>
          <w:szCs w:val="24"/>
        </w:rPr>
        <w:t>În cadrul portofoliului de împrumuturi al IIW, bugetul Uniunii asigură o garanție de 100 % pentru tranșa care suportă prima pierdere pentru portofoliul de împrumuturi implementat de BEI în cadrul FEIS. Se preconizează că tranșa care suportă prima pierdere va fi de aproximativ 25 % din volumul portofoliului global de operațiuni finanțate de BEI la sfârșitul perioadei de investiții pentru portofoliul de împrumuturi standard al IIW și de 33 % pentru portofoliul de împrumuturi hibrid al IIW</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xml:space="preserve">, riscul rezidual fiind asumat în totalitate de BEI. </w:t>
      </w:r>
    </w:p>
    <w:p>
      <w:pPr>
        <w:spacing w:after="240"/>
        <w:jc w:val="both"/>
        <w:rPr>
          <w:rFonts w:ascii="Times New Roman" w:hAnsi="Times New Roman" w:cs="Times New Roman"/>
          <w:noProof/>
          <w:sz w:val="24"/>
          <w:szCs w:val="24"/>
        </w:rPr>
      </w:pPr>
      <w:r>
        <w:rPr>
          <w:rFonts w:ascii="Times New Roman" w:hAnsi="Times New Roman"/>
          <w:noProof/>
          <w:sz w:val="24"/>
          <w:szCs w:val="24"/>
        </w:rPr>
        <w:t>Garanția UE poate fi solicitată în cazul neîndeplinirii obligațiilor de către debitorii BEI sau, în cazul unui proces de restructurare, pentru a acoperi pierderile datorate restructurării aferente operațiunilor legate de împrumut.</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Operațiunile de împrumut ale BEI generează venituri stabilite în conformitate cu metodologia BEI de stabilire a costurilor. Veniturile legate de riscuri sunt împărțite între Uniune și BEI pe baza principiilor de partajare a riscurilor și a veniturilor stabilite în Acordul FEIS, conform cărora garanția UE acoperă întreaga tranșă care suportă prima pierdere, în timp ce BEI păstrează întreaga tranșă de risc rezidual. </w:t>
      </w:r>
    </w:p>
    <w:p>
      <w:pPr>
        <w:spacing w:after="240"/>
        <w:jc w:val="both"/>
        <w:rPr>
          <w:rFonts w:ascii="Times New Roman" w:hAnsi="Times New Roman" w:cs="Times New Roman"/>
          <w:noProof/>
          <w:sz w:val="24"/>
          <w:szCs w:val="24"/>
        </w:rPr>
      </w:pPr>
      <w:r>
        <w:rPr>
          <w:rFonts w:ascii="Times New Roman" w:hAnsi="Times New Roman"/>
          <w:noProof/>
          <w:sz w:val="24"/>
          <w:szCs w:val="24"/>
        </w:rPr>
        <w:t>La 31 decembrie 2020, în cadrul IIW, fuseseră semnate 460 de operațiuni legate de împrumut, dintre care 403 standard și 57 hibride,</w:t>
      </w:r>
      <w:r>
        <w:rPr>
          <w:rFonts w:ascii="Times New Roman" w:hAnsi="Times New Roman"/>
          <w:noProof/>
        </w:rPr>
        <w:t xml:space="preserve"> </w:t>
      </w:r>
      <w:r>
        <w:rPr>
          <w:rFonts w:ascii="Times New Roman" w:hAnsi="Times New Roman"/>
          <w:noProof/>
          <w:sz w:val="24"/>
          <w:szCs w:val="24"/>
        </w:rPr>
        <w:t>pentru o finanțare totală de 50,3 miliarde EUR.</w:t>
      </w:r>
    </w:p>
    <w:p>
      <w:pPr>
        <w:pStyle w:val="Heading3"/>
        <w:spacing w:before="0" w:after="240"/>
        <w:rPr>
          <w:rFonts w:ascii="Times New Roman" w:hAnsi="Times New Roman" w:cs="Times New Roman"/>
          <w:noProof/>
          <w:color w:val="365F91" w:themeColor="accent1" w:themeShade="BF"/>
          <w:sz w:val="24"/>
          <w:szCs w:val="24"/>
        </w:rPr>
      </w:pPr>
      <w:bookmarkStart w:id="196" w:name="_Toc70409218"/>
      <w:bookmarkStart w:id="197" w:name="_Toc75440774"/>
      <w:r>
        <w:rPr>
          <w:rFonts w:ascii="Times New Roman" w:hAnsi="Times New Roman"/>
          <w:noProof/>
          <w:color w:val="365F91" w:themeColor="accent1" w:themeShade="BF"/>
          <w:sz w:val="24"/>
          <w:szCs w:val="24"/>
        </w:rPr>
        <w:t xml:space="preserve">3.1.2. </w:t>
      </w:r>
      <w:bookmarkStart w:id="198" w:name="_Toc460865944"/>
      <w:r>
        <w:rPr>
          <w:rFonts w:ascii="Times New Roman" w:hAnsi="Times New Roman"/>
          <w:noProof/>
          <w:color w:val="365F91" w:themeColor="accent1" w:themeShade="BF"/>
          <w:sz w:val="24"/>
          <w:szCs w:val="24"/>
        </w:rPr>
        <w:t>Portofoliul de capital</w:t>
      </w:r>
      <w:bookmarkEnd w:id="198"/>
      <w:r>
        <w:rPr>
          <w:rFonts w:ascii="Times New Roman" w:hAnsi="Times New Roman"/>
          <w:noProof/>
          <w:color w:val="365F91" w:themeColor="accent1" w:themeShade="BF"/>
          <w:sz w:val="24"/>
          <w:szCs w:val="24"/>
        </w:rPr>
        <w:t xml:space="preserve"> al IIW</w:t>
      </w:r>
      <w:bookmarkEnd w:id="196"/>
      <w:bookmarkEnd w:id="197"/>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Portofoliul de capital al IIW include toate operațiunile legate de capital care au fost semnate și care nu au fost anulate. În cadrul acestui portofoliu, garanția UE poate fi utilizată pentru a sprijini investițiile directe în întreprinderi sau proiecte individuale (investiții directe de capital) sau pentru finanțarea de fonduri sau de riscuri de portofoliu analoge (portofoliu de capital). </w:t>
      </w:r>
    </w:p>
    <w:p>
      <w:pPr>
        <w:spacing w:after="240"/>
        <w:jc w:val="both"/>
        <w:rPr>
          <w:rFonts w:ascii="Times New Roman" w:hAnsi="Times New Roman" w:cs="Times New Roman"/>
          <w:noProof/>
          <w:sz w:val="24"/>
          <w:szCs w:val="24"/>
        </w:rPr>
      </w:pPr>
      <w:r>
        <w:rPr>
          <w:rFonts w:ascii="Times New Roman" w:hAnsi="Times New Roman"/>
          <w:noProof/>
          <w:sz w:val="24"/>
          <w:szCs w:val="24"/>
        </w:rPr>
        <w:t>BEI efectuează evaluarea standard și stabilește dacă o operațiune prezintă sau nu riscuri de capital, indiferent de forma juridică și de nomenclatura sa.</w:t>
      </w:r>
    </w:p>
    <w:p>
      <w:pPr>
        <w:jc w:val="both"/>
        <w:rPr>
          <w:rFonts w:ascii="Times New Roman" w:hAnsi="Times New Roman" w:cs="Times New Roman"/>
          <w:iCs/>
          <w:noProof/>
          <w:color w:val="000000"/>
          <w:sz w:val="24"/>
          <w:szCs w:val="24"/>
        </w:rPr>
      </w:pPr>
      <w:r>
        <w:rPr>
          <w:rFonts w:ascii="Times New Roman" w:hAnsi="Times New Roman"/>
          <w:noProof/>
          <w:sz w:val="24"/>
          <w:szCs w:val="24"/>
        </w:rPr>
        <w:t>În cadrul portofoliului de capital standard al IIW, BEI investește în condiții de egalitate (</w:t>
      </w:r>
      <w:r>
        <w:rPr>
          <w:rFonts w:ascii="Times New Roman" w:hAnsi="Times New Roman"/>
          <w:i/>
          <w:noProof/>
          <w:sz w:val="24"/>
          <w:szCs w:val="24"/>
        </w:rPr>
        <w:t>pari passu</w:t>
      </w:r>
      <w:r>
        <w:rPr>
          <w:rFonts w:ascii="Times New Roman" w:hAnsi="Times New Roman"/>
          <w:noProof/>
          <w:sz w:val="24"/>
          <w:szCs w:val="24"/>
        </w:rPr>
        <w:t xml:space="preserve">) cu garanția UE. </w:t>
      </w:r>
      <w:r>
        <w:rPr>
          <w:rFonts w:ascii="Times New Roman" w:hAnsi="Times New Roman"/>
          <w:iCs/>
          <w:noProof/>
          <w:color w:val="000000"/>
          <w:sz w:val="24"/>
          <w:szCs w:val="24"/>
        </w:rPr>
        <w:t>Garanția UE acoperă 50 % pentru fiecare operațiune de capital inclusă în portofoliul de capital standard al IIW, în timp ce BEI păstrează restul de 50 %.</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Garanția UE poate fi solicitată pentru a acoperi ajustările cu valoare negativă, pierderile realizate la cesionare și costurile de finanțare ale BEI pentru partea din investiția de capital garantată de UE. </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Veniturile care pot fi atribuite garanției UE și care pot fi primite în legătură cu portofoliul de capital standard al IIW sunt utilizate pentru remunerarea garanției UE. </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A treia modificare și reformulare a Acordului FEIS din 9 martie 2018 a creat un portofoliu de capital - bănci naționale de promovare (BNP) al IIW, pe lângă portofoliul de capital standard al IIW. În cadrul portofoliului, garanția UE acoperă 95 % din tranșa care suportă prima pierdere, în timp ce BEI păstrează restul de 5 %, precum și întregul risc rezidual. </w:t>
      </w:r>
    </w:p>
    <w:p>
      <w:pPr>
        <w:spacing w:after="240"/>
        <w:jc w:val="both"/>
        <w:rPr>
          <w:rFonts w:ascii="Times New Roman" w:hAnsi="Times New Roman" w:cs="Times New Roman"/>
          <w:noProof/>
          <w:sz w:val="24"/>
          <w:szCs w:val="24"/>
        </w:rPr>
      </w:pPr>
      <w:r>
        <w:rPr>
          <w:rFonts w:ascii="Times New Roman" w:hAnsi="Times New Roman"/>
          <w:noProof/>
          <w:sz w:val="24"/>
          <w:szCs w:val="24"/>
        </w:rPr>
        <w:t>La 31 decembrie 2020, în cadrul IIW, fuseseră semnate 169 de operațiuni legate de capital, din care 163 de operațiuni standard și 6 operațiuni din portofoliul de capital - BNP pentru o finanțare totală de 6,9 miliarde EUR.</w:t>
      </w:r>
    </w:p>
    <w:p>
      <w:pPr>
        <w:pStyle w:val="Heading2"/>
        <w:spacing w:before="0" w:after="240"/>
        <w:rPr>
          <w:rFonts w:ascii="Times New Roman" w:hAnsi="Times New Roman" w:cs="Times New Roman"/>
          <w:noProof/>
          <w:color w:val="auto"/>
        </w:rPr>
      </w:pPr>
      <w:bookmarkStart w:id="199" w:name="_Toc75440775"/>
      <w:bookmarkStart w:id="200" w:name="_Toc70409219"/>
      <w:r>
        <w:rPr>
          <w:rFonts w:ascii="Times New Roman" w:hAnsi="Times New Roman"/>
          <w:noProof/>
          <w:color w:val="auto"/>
        </w:rPr>
        <w:t>3.2. Componenta pentru IMM-uri</w:t>
      </w:r>
      <w:bookmarkEnd w:id="199"/>
      <w:r>
        <w:rPr>
          <w:rFonts w:ascii="Times New Roman" w:hAnsi="Times New Roman"/>
          <w:noProof/>
          <w:color w:val="auto"/>
        </w:rPr>
        <w:t xml:space="preserve"> </w:t>
      </w:r>
      <w:bookmarkEnd w:id="200"/>
    </w:p>
    <w:p>
      <w:pPr>
        <w:spacing w:after="240"/>
        <w:jc w:val="both"/>
        <w:rPr>
          <w:rFonts w:ascii="Times New Roman" w:hAnsi="Times New Roman" w:cs="Times New Roman"/>
          <w:noProof/>
          <w:sz w:val="24"/>
          <w:szCs w:val="24"/>
        </w:rPr>
      </w:pPr>
      <w:r>
        <w:rPr>
          <w:rFonts w:ascii="Times New Roman" w:hAnsi="Times New Roman"/>
          <w:noProof/>
          <w:sz w:val="24"/>
          <w:szCs w:val="24"/>
        </w:rPr>
        <w:t>Componenta pentru IMM-uri (SMEW) facilitează accesul la finanțarea prin împrumuturi și prin capitaluri proprii pentru întreprinderile mici și mijlocii și, într-o măsură limitată, și pentru întreprinderile mici cu capitalizare medie. Componenta este implementată de FEI.</w:t>
      </w:r>
    </w:p>
    <w:p>
      <w:pPr>
        <w:spacing w:after="240"/>
        <w:jc w:val="both"/>
        <w:rPr>
          <w:rFonts w:ascii="Times New Roman" w:hAnsi="Times New Roman" w:cs="Times New Roman"/>
          <w:noProof/>
          <w:sz w:val="24"/>
          <w:szCs w:val="24"/>
        </w:rPr>
      </w:pPr>
      <w:r>
        <w:rPr>
          <w:rFonts w:ascii="Times New Roman" w:hAnsi="Times New Roman"/>
          <w:noProof/>
          <w:sz w:val="24"/>
          <w:szCs w:val="24"/>
        </w:rPr>
        <w:t>Garanția UE alocată componentei pentru IMM-uri în temeiul Regulamentului FEIS este plafonată la 6,75 miliarde EUR atât pentru operațiunile legate de împrumut, cât și pentru operațiunile legate de capital.</w:t>
      </w:r>
    </w:p>
    <w:p>
      <w:pPr>
        <w:spacing w:after="240"/>
        <w:jc w:val="both"/>
        <w:rPr>
          <w:rFonts w:ascii="Times New Roman" w:hAnsi="Times New Roman" w:cs="Times New Roman"/>
          <w:noProof/>
          <w:sz w:val="24"/>
          <w:szCs w:val="24"/>
        </w:rPr>
      </w:pPr>
      <w:r>
        <w:rPr>
          <w:rFonts w:ascii="Times New Roman" w:hAnsi="Times New Roman"/>
          <w:noProof/>
          <w:sz w:val="24"/>
          <w:szCs w:val="24"/>
        </w:rPr>
        <w:t>La 31 decembrie 2020, FEI a semnat operațiuni în cadrul SMEW cu intermediari financiari pentru o finanțare totală din partea FEI în valoare de 25,5 miliarde EUR. Se preconizează că aceste operațiuni vor mobiliza investiții în valoare de 211 miliarde EUR în toate statele membre. În plus, un număr total de 1 427 600 de întreprinderi au primit finanțare din partea FEIS în cadrul componentei pentru IMM-uri.</w:t>
      </w:r>
    </w:p>
    <w:p>
      <w:pPr>
        <w:pStyle w:val="Heading3"/>
        <w:spacing w:before="0" w:after="240"/>
        <w:rPr>
          <w:noProof/>
          <w:color w:val="365F91" w:themeColor="accent1" w:themeShade="BF"/>
          <w:sz w:val="24"/>
          <w:szCs w:val="24"/>
        </w:rPr>
      </w:pPr>
      <w:bookmarkStart w:id="201" w:name="_Toc70409220"/>
      <w:bookmarkStart w:id="202" w:name="_Toc75440776"/>
      <w:r>
        <w:rPr>
          <w:rFonts w:ascii="Times New Roman" w:hAnsi="Times New Roman"/>
          <w:noProof/>
          <w:color w:val="365F91" w:themeColor="accent1" w:themeShade="BF"/>
          <w:sz w:val="24"/>
          <w:szCs w:val="24"/>
        </w:rPr>
        <w:t>3.2.1. Portofoliul de împrumuturi al SMEW</w:t>
      </w:r>
      <w:bookmarkEnd w:id="201"/>
      <w:bookmarkEnd w:id="202"/>
    </w:p>
    <w:p>
      <w:pPr>
        <w:spacing w:after="240"/>
        <w:jc w:val="both"/>
        <w:rPr>
          <w:rFonts w:ascii="Times New Roman" w:hAnsi="Times New Roman" w:cs="Times New Roman"/>
          <w:noProof/>
          <w:sz w:val="24"/>
          <w:szCs w:val="24"/>
        </w:rPr>
      </w:pPr>
      <w:r>
        <w:rPr>
          <w:rFonts w:ascii="Times New Roman" w:hAnsi="Times New Roman"/>
          <w:noProof/>
          <w:sz w:val="24"/>
          <w:szCs w:val="24"/>
        </w:rPr>
        <w:t>În ceea ce privește sprijinirea finanțării prin împrumuturi, partea din SMEW care beneficiază de garanția UE sporește capacitățile instrumentelor financiare preexistente ale UE pentru IMM-uri. Consolidarea lor în cadrul FEIS a permis o utilizare mai rapidă a garanției și a permis acestor instrumente financiare să sprijine un volum mai mare de împrumuturi și un număr mai mare de întreprinderi. În mod specific, sprijinul este acordat următoarelor mecanisme:</w:t>
      </w:r>
    </w:p>
    <w:p>
      <w:pPr>
        <w:pStyle w:val="ListParagraph"/>
        <w:numPr>
          <w:ilvl w:val="0"/>
          <w:numId w:val="26"/>
        </w:numPr>
        <w:spacing w:after="240"/>
        <w:ind w:left="714" w:hanging="357"/>
        <w:jc w:val="both"/>
        <w:rPr>
          <w:rFonts w:ascii="Times New Roman" w:hAnsi="Times New Roman" w:cs="Times New Roman"/>
          <w:noProof/>
          <w:sz w:val="24"/>
          <w:szCs w:val="24"/>
        </w:rPr>
      </w:pPr>
      <w:r>
        <w:rPr>
          <w:rFonts w:ascii="Times New Roman" w:hAnsi="Times New Roman"/>
          <w:noProof/>
          <w:sz w:val="24"/>
          <w:szCs w:val="24"/>
        </w:rPr>
        <w:t>mecanismul COSME LGF, care îmbunătățește accesul la finanțare pentru IMM-urile mai riscante;</w:t>
      </w:r>
    </w:p>
    <w:p>
      <w:pPr>
        <w:pStyle w:val="ListParagraph"/>
        <w:numPr>
          <w:ilvl w:val="0"/>
          <w:numId w:val="26"/>
        </w:numPr>
        <w:spacing w:after="240"/>
        <w:ind w:left="714" w:hanging="357"/>
        <w:jc w:val="both"/>
        <w:rPr>
          <w:rFonts w:ascii="Times New Roman" w:hAnsi="Times New Roman" w:cs="Times New Roman"/>
          <w:noProof/>
          <w:sz w:val="24"/>
          <w:szCs w:val="24"/>
        </w:rPr>
      </w:pPr>
      <w:r>
        <w:rPr>
          <w:rFonts w:ascii="Times New Roman" w:hAnsi="Times New Roman"/>
          <w:noProof/>
          <w:sz w:val="24"/>
          <w:szCs w:val="24"/>
        </w:rPr>
        <w:t>InnovFin SMEG, care se axează pe întreprinderi inovatoare și care desfășoară activități intense de cercetare;</w:t>
      </w:r>
    </w:p>
    <w:p>
      <w:pPr>
        <w:pStyle w:val="ListParagraph"/>
        <w:numPr>
          <w:ilvl w:val="0"/>
          <w:numId w:val="26"/>
        </w:numPr>
        <w:spacing w:after="240"/>
        <w:ind w:left="714" w:hanging="357"/>
        <w:jc w:val="both"/>
        <w:rPr>
          <w:rFonts w:ascii="Times New Roman" w:hAnsi="Times New Roman" w:cs="Times New Roman"/>
          <w:noProof/>
          <w:sz w:val="24"/>
          <w:szCs w:val="24"/>
        </w:rPr>
      </w:pPr>
      <w:r>
        <w:rPr>
          <w:rFonts w:ascii="Times New Roman" w:hAnsi="Times New Roman"/>
          <w:noProof/>
          <w:sz w:val="24"/>
          <w:szCs w:val="24"/>
        </w:rPr>
        <w:t>Fondul de garantare EaSI, care sprijină microfinanțarea și întreprinderile sociale;</w:t>
      </w:r>
    </w:p>
    <w:p>
      <w:pPr>
        <w:pStyle w:val="ListParagraph"/>
        <w:numPr>
          <w:ilvl w:val="0"/>
          <w:numId w:val="26"/>
        </w:numPr>
        <w:spacing w:after="240"/>
        <w:ind w:left="714" w:hanging="357"/>
        <w:jc w:val="both"/>
        <w:rPr>
          <w:rFonts w:ascii="Times New Roman" w:hAnsi="Times New Roman" w:cs="Times New Roman"/>
          <w:noProof/>
          <w:sz w:val="24"/>
          <w:szCs w:val="24"/>
        </w:rPr>
      </w:pPr>
      <w:r>
        <w:rPr>
          <w:rFonts w:ascii="Times New Roman" w:hAnsi="Times New Roman"/>
          <w:noProof/>
          <w:sz w:val="24"/>
          <w:szCs w:val="24"/>
        </w:rPr>
        <w:t>Mecanismul de garantare pentru sectoarele culturale și creative, care oferă sprijin specific IMM-urilor din sectoarele culturale și creative;</w:t>
      </w:r>
    </w:p>
    <w:p>
      <w:pPr>
        <w:pStyle w:val="ListParagraph"/>
        <w:numPr>
          <w:ilvl w:val="0"/>
          <w:numId w:val="26"/>
        </w:numPr>
        <w:spacing w:after="240"/>
        <w:ind w:left="714" w:hanging="357"/>
        <w:jc w:val="both"/>
        <w:rPr>
          <w:rFonts w:ascii="Times New Roman" w:hAnsi="Times New Roman" w:cs="Times New Roman"/>
          <w:noProof/>
          <w:sz w:val="24"/>
          <w:szCs w:val="24"/>
        </w:rPr>
      </w:pPr>
      <w:r>
        <w:rPr>
          <w:rFonts w:ascii="Times New Roman" w:hAnsi="Times New Roman"/>
          <w:noProof/>
          <w:sz w:val="24"/>
          <w:szCs w:val="24"/>
        </w:rPr>
        <w:t>produsul C&amp;E, care a fost dezvoltat ca proiect-pilot în cadrul FEIS și care oferă finanțare studenților și cursanților individuali, întreprinderilor care investesc în recalificarea angajaților lor și organizațiilor care oferă educație și formare sau investesc în acestea; precum și</w:t>
      </w:r>
    </w:p>
    <w:p>
      <w:pPr>
        <w:pStyle w:val="ListParagraph"/>
        <w:numPr>
          <w:ilvl w:val="0"/>
          <w:numId w:val="26"/>
        </w:numPr>
        <w:spacing w:after="240"/>
        <w:ind w:left="714" w:hanging="357"/>
        <w:jc w:val="both"/>
        <w:rPr>
          <w:rFonts w:ascii="Times New Roman" w:hAnsi="Times New Roman" w:cs="Times New Roman"/>
          <w:noProof/>
          <w:sz w:val="24"/>
          <w:szCs w:val="24"/>
        </w:rPr>
      </w:pPr>
      <w:r>
        <w:rPr>
          <w:rFonts w:ascii="Times New Roman" w:hAnsi="Times New Roman"/>
          <w:noProof/>
          <w:sz w:val="24"/>
          <w:szCs w:val="24"/>
        </w:rPr>
        <w:t>produsul de combinare FEIS, care vizează obiective de politică specifice în statele membre, în principal îmbunătățirea accesului la finanțare în sectorul agricol. Acesta combină resurse din fondurile structurale ale UE sau din fonduri naționale și FEIS.</w:t>
      </w:r>
    </w:p>
    <w:p>
      <w:pPr>
        <w:spacing w:after="240"/>
        <w:jc w:val="both"/>
        <w:rPr>
          <w:rFonts w:ascii="Times New Roman" w:hAnsi="Times New Roman" w:cs="Times New Roman"/>
          <w:noProof/>
          <w:sz w:val="24"/>
          <w:szCs w:val="24"/>
        </w:rPr>
      </w:pPr>
      <w:r>
        <w:rPr>
          <w:rFonts w:ascii="Times New Roman" w:hAnsi="Times New Roman"/>
          <w:noProof/>
          <w:sz w:val="24"/>
          <w:szCs w:val="24"/>
        </w:rPr>
        <w:t>La 31 decembrie 2020, în cadrul SMEW fuseseră semnate 437 de operațiuni legate de împrumut pentru o finanțare totală de 15,1 miliarde EUR.</w:t>
      </w:r>
    </w:p>
    <w:p>
      <w:pPr>
        <w:pStyle w:val="Heading3"/>
        <w:spacing w:before="0" w:after="240"/>
        <w:rPr>
          <w:noProof/>
          <w:color w:val="365F91" w:themeColor="accent1" w:themeShade="BF"/>
          <w:sz w:val="24"/>
          <w:szCs w:val="24"/>
        </w:rPr>
      </w:pPr>
      <w:bookmarkStart w:id="203" w:name="_Toc70409221"/>
      <w:bookmarkStart w:id="204" w:name="_Toc75440777"/>
      <w:r>
        <w:rPr>
          <w:rFonts w:ascii="Times New Roman" w:hAnsi="Times New Roman"/>
          <w:noProof/>
          <w:color w:val="365F91" w:themeColor="accent1" w:themeShade="BF"/>
          <w:sz w:val="24"/>
          <w:szCs w:val="24"/>
        </w:rPr>
        <w:t>3.2.2. Portofoliul de capital al SMEW</w:t>
      </w:r>
      <w:bookmarkEnd w:id="203"/>
      <w:bookmarkEnd w:id="204"/>
    </w:p>
    <w:p>
      <w:pPr>
        <w:spacing w:after="240"/>
        <w:contextualSpacing/>
        <w:jc w:val="both"/>
        <w:rPr>
          <w:rFonts w:ascii="Times New Roman" w:hAnsi="Times New Roman" w:cs="Times New Roman"/>
          <w:noProof/>
          <w:sz w:val="24"/>
          <w:szCs w:val="24"/>
        </w:rPr>
      </w:pPr>
      <w:r>
        <w:rPr>
          <w:rFonts w:ascii="Times New Roman" w:hAnsi="Times New Roman"/>
          <w:noProof/>
          <w:sz w:val="24"/>
          <w:szCs w:val="24"/>
        </w:rPr>
        <w:t>În domeniul finanțării prin capitaluri proprii, partea din SMEW care beneficiază de garanția UE în cadrul FEIS sprijină trei mecanisme:</w:t>
      </w:r>
    </w:p>
    <w:p>
      <w:pPr>
        <w:pStyle w:val="ListParagraph"/>
        <w:numPr>
          <w:ilvl w:val="0"/>
          <w:numId w:val="27"/>
        </w:numPr>
        <w:spacing w:after="240"/>
        <w:ind w:left="714" w:hanging="357"/>
        <w:jc w:val="both"/>
        <w:rPr>
          <w:rFonts w:ascii="Times New Roman" w:hAnsi="Times New Roman" w:cs="Times New Roman"/>
          <w:noProof/>
          <w:sz w:val="24"/>
          <w:szCs w:val="24"/>
        </w:rPr>
      </w:pPr>
      <w:r>
        <w:rPr>
          <w:rFonts w:ascii="Times New Roman" w:hAnsi="Times New Roman"/>
          <w:noProof/>
          <w:sz w:val="24"/>
          <w:szCs w:val="24"/>
        </w:rPr>
        <w:t>produsul de capital al SMEW, în cadrul căruia FEI investește în fonduri de capital, fonduri de fonduri sau în vehicule coinvestiționale care direcționează finanțarea prin capitaluri proprii către întreprinderile aflate în etapele inițiale de dezvoltare (cum ar fi întreprinderile nou-înființate) și către întreprinderile aflate în stadii de creștere și de extindere (cum ar fi întreprinderile în curs de extindere);</w:t>
      </w:r>
    </w:p>
    <w:p>
      <w:pPr>
        <w:pStyle w:val="ListParagraph"/>
        <w:numPr>
          <w:ilvl w:val="0"/>
          <w:numId w:val="27"/>
        </w:numPr>
        <w:spacing w:after="240"/>
        <w:ind w:left="714" w:hanging="357"/>
        <w:jc w:val="both"/>
        <w:rPr>
          <w:rFonts w:ascii="Times New Roman" w:hAnsi="Times New Roman" w:cs="Times New Roman"/>
          <w:noProof/>
          <w:sz w:val="24"/>
          <w:szCs w:val="24"/>
        </w:rPr>
      </w:pPr>
      <w:r>
        <w:rPr>
          <w:rFonts w:ascii="Times New Roman" w:hAnsi="Times New Roman"/>
          <w:noProof/>
          <w:sz w:val="24"/>
          <w:szCs w:val="24"/>
        </w:rPr>
        <w:t>ESCALAR, care ajută fondurile axate pe întreprinderile în curs de extindere să atingă o masă critică mai mare; precum și</w:t>
      </w:r>
    </w:p>
    <w:p>
      <w:pPr>
        <w:pStyle w:val="ListParagraph"/>
        <w:numPr>
          <w:ilvl w:val="0"/>
          <w:numId w:val="27"/>
        </w:numPr>
        <w:spacing w:after="240"/>
        <w:ind w:left="714" w:hanging="357"/>
        <w:jc w:val="both"/>
        <w:rPr>
          <w:rFonts w:ascii="Times New Roman" w:hAnsi="Times New Roman" w:cs="Times New Roman"/>
          <w:noProof/>
          <w:sz w:val="24"/>
          <w:szCs w:val="24"/>
        </w:rPr>
      </w:pPr>
      <w:r>
        <w:rPr>
          <w:rFonts w:ascii="Times New Roman" w:hAnsi="Times New Roman"/>
          <w:noProof/>
          <w:sz w:val="24"/>
          <w:szCs w:val="24"/>
        </w:rPr>
        <w:t>Programul de credite private al FEIS, care sprijină fonduri diversificate de împrumut, sporind astfel volumul și diversitatea finanțării alternative prin îndatorare disponibile pentru IMM-urile și întreprinderile mici cu capitalizare medie din Europa.</w:t>
      </w:r>
    </w:p>
    <w:p>
      <w:pPr>
        <w:spacing w:after="240"/>
        <w:jc w:val="both"/>
        <w:rPr>
          <w:rFonts w:ascii="Times New Roman" w:hAnsi="Times New Roman" w:cs="Times New Roman"/>
          <w:noProof/>
          <w:sz w:val="24"/>
          <w:szCs w:val="24"/>
        </w:rPr>
      </w:pPr>
      <w:r>
        <w:rPr>
          <w:rFonts w:ascii="Times New Roman" w:hAnsi="Times New Roman"/>
          <w:noProof/>
          <w:sz w:val="24"/>
          <w:szCs w:val="24"/>
        </w:rPr>
        <w:t>În plus, SMEW beneficiază, de asemenea, de o contribuție directă din partea BEI de 4 miliarde EUR, care a jucat un rol în extinderea mandatului BEI privind resursele de capital de risc acordat FEI cu scopul de a sprijini finanțarea prin capitaluri proprii pentru IMM-uri și întreprinderile cu capitalizare medie.</w:t>
      </w:r>
    </w:p>
    <w:p>
      <w:pPr>
        <w:spacing w:after="240"/>
        <w:jc w:val="both"/>
        <w:rPr>
          <w:rFonts w:ascii="Times New Roman" w:hAnsi="Times New Roman" w:cs="Times New Roman"/>
          <w:noProof/>
          <w:sz w:val="24"/>
          <w:szCs w:val="24"/>
        </w:rPr>
      </w:pPr>
      <w:r>
        <w:rPr>
          <w:rFonts w:ascii="Times New Roman" w:hAnsi="Times New Roman"/>
          <w:noProof/>
          <w:sz w:val="24"/>
          <w:szCs w:val="24"/>
        </w:rPr>
        <w:t>La 31 decembrie 2020, în cadrul SMEW fuseseră semnate 355 de operațiuni legate de capital pentru o finanțare totală de 10,5 miliarde EUR.</w:t>
      </w:r>
    </w:p>
    <w:p>
      <w:pPr>
        <w:spacing w:after="240"/>
        <w:jc w:val="both"/>
        <w:rPr>
          <w:rFonts w:ascii="Times New Roman" w:hAnsi="Times New Roman" w:cs="Times New Roman"/>
          <w:noProof/>
          <w:sz w:val="24"/>
          <w:szCs w:val="24"/>
        </w:rPr>
      </w:pPr>
    </w:p>
    <w:p>
      <w:pPr>
        <w:pStyle w:val="Heading1"/>
        <w:spacing w:before="0" w:after="240"/>
        <w:rPr>
          <w:rFonts w:ascii="Times New Roman" w:hAnsi="Times New Roman" w:cs="Times New Roman"/>
          <w:noProof/>
          <w:color w:val="auto"/>
        </w:rPr>
      </w:pPr>
      <w:bookmarkStart w:id="205" w:name="_Toc75440778"/>
      <w:bookmarkStart w:id="206" w:name="_Toc70409222"/>
      <w:r>
        <w:rPr>
          <w:rFonts w:ascii="Times New Roman" w:hAnsi="Times New Roman"/>
          <w:noProof/>
          <w:color w:val="auto"/>
        </w:rPr>
        <w:t>4. Funcționarea Fondului de garantare al UE în cadrul FEIS</w:t>
      </w:r>
      <w:bookmarkEnd w:id="205"/>
      <w:r>
        <w:rPr>
          <w:rFonts w:ascii="Times New Roman" w:hAnsi="Times New Roman"/>
          <w:noProof/>
          <w:color w:val="auto"/>
        </w:rPr>
        <w:t xml:space="preserve"> </w:t>
      </w:r>
      <w:bookmarkEnd w:id="206"/>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Fondul de garantare din cadrul FEIS („Fondul de garantare”) a fost înființat în temeiul articolului 12 din Regulamentul FEIS și este finanțat în principal din plăți de la bugetul general al Uniunii și din venituri provenite din operațiuni efectuate în temeiul garanției UE. Fondul de garantare reprezintă o rezervă de lichiditate din care este plătită BEI în cazul unei cereri de executare a garanției UE. Fondul de garantare trebuie menținut la un anumit procent (rata țintă) din valoarea totală a obligațiilor în cadrul garanției UE, în prezent de 35 %. Astfel, rezerva de lichiditate are rolul de a oferi o marjă de siguranță adecvată care să evite expunerea bugetului Uniunii la cereri neașteptate de executare a garanției, care ar putea avea ca efect reduceri de cheltuieli sau modificări ale bugetului. </w:t>
      </w:r>
    </w:p>
    <w:p>
      <w:pPr>
        <w:spacing w:after="240"/>
        <w:jc w:val="both"/>
        <w:rPr>
          <w:rFonts w:ascii="Times New Roman" w:hAnsi="Times New Roman" w:cs="Times New Roman"/>
          <w:noProof/>
          <w:sz w:val="24"/>
          <w:szCs w:val="24"/>
        </w:rPr>
      </w:pPr>
      <w:r>
        <w:rPr>
          <w:rFonts w:ascii="Times New Roman" w:hAnsi="Times New Roman"/>
          <w:noProof/>
          <w:sz w:val="24"/>
          <w:szCs w:val="24"/>
        </w:rPr>
        <w:t>În conformitate cu Acordul FEIS, cererile de executare sunt plătite de Fondul de garantare atunci când cuantumul lor depășește fondurile aflate la dispoziția BEI în contul FEIS. Contul FEIS, gestionat de BEI, a fost instituit în vederea colectării veniturilor Uniunii provenite din operațiuni care beneficiază de garanția UE și a sumelor recuperate și în vederea plății cererilor de executare a garanției UE, precum și în vederea plății costurilor administrative recuperabile și a costurilor legate de recuperare ale BEI.</w:t>
      </w:r>
    </w:p>
    <w:p>
      <w:pPr>
        <w:spacing w:after="240"/>
        <w:jc w:val="both"/>
        <w:rPr>
          <w:rFonts w:ascii="Times New Roman" w:hAnsi="Times New Roman" w:cs="Times New Roman"/>
          <w:noProof/>
          <w:sz w:val="24"/>
          <w:szCs w:val="24"/>
        </w:rPr>
      </w:pPr>
      <w:r>
        <w:rPr>
          <w:rFonts w:ascii="Times New Roman" w:hAnsi="Times New Roman"/>
          <w:noProof/>
          <w:sz w:val="24"/>
          <w:szCs w:val="24"/>
        </w:rPr>
        <w:t>Regulamentul financiar</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a instituit fondul comun de provizionare (CPF) pentru a deține provizioanele alocate pentru a acoperi datoriile financiare care decurg din garanțiile bugetare și programele de asistență financiară în temeiul cadrului financiar multianual pentru perioada 2021-2027, precum și pasivele istorice. Prin urmare, începând din ianuarie 2021, Fondul de garantare din cadrul FEIS constituie un compartiment separat în cadrul fondului comun de provizionare.</w:t>
      </w:r>
    </w:p>
    <w:p>
      <w:pPr>
        <w:pStyle w:val="Heading2"/>
        <w:spacing w:before="0" w:after="240"/>
        <w:rPr>
          <w:rFonts w:ascii="Times New Roman" w:hAnsi="Times New Roman" w:cs="Times New Roman"/>
          <w:noProof/>
          <w:color w:val="auto"/>
        </w:rPr>
      </w:pPr>
      <w:bookmarkStart w:id="207" w:name="_Toc70409223"/>
      <w:bookmarkStart w:id="208" w:name="_Toc75440779"/>
      <w:r>
        <w:rPr>
          <w:rFonts w:ascii="Times New Roman" w:hAnsi="Times New Roman"/>
          <w:noProof/>
          <w:color w:val="auto"/>
        </w:rPr>
        <w:t>4.1. Mecanismul de provizionare al Fondului de garantare</w:t>
      </w:r>
      <w:bookmarkEnd w:id="207"/>
      <w:bookmarkEnd w:id="208"/>
    </w:p>
    <w:p>
      <w:pPr>
        <w:spacing w:after="240"/>
        <w:contextualSpacing/>
        <w:jc w:val="both"/>
        <w:rPr>
          <w:rFonts w:ascii="Times New Roman" w:hAnsi="Times New Roman" w:cs="Times New Roman"/>
          <w:noProof/>
          <w:sz w:val="24"/>
          <w:szCs w:val="24"/>
        </w:rPr>
      </w:pPr>
      <w:r>
        <w:rPr>
          <w:rFonts w:ascii="Times New Roman" w:hAnsi="Times New Roman"/>
          <w:noProof/>
          <w:sz w:val="24"/>
          <w:szCs w:val="24"/>
        </w:rPr>
        <w:t>Fondul de garantare este provizionat prin:</w:t>
      </w:r>
    </w:p>
    <w:p>
      <w:pPr>
        <w:numPr>
          <w:ilvl w:val="0"/>
          <w:numId w:val="28"/>
        </w:numPr>
        <w:spacing w:after="240"/>
        <w:ind w:left="714" w:hanging="357"/>
        <w:contextualSpacing/>
        <w:jc w:val="both"/>
        <w:rPr>
          <w:rFonts w:ascii="Times New Roman" w:hAnsi="Times New Roman" w:cs="Times New Roman"/>
          <w:noProof/>
          <w:sz w:val="24"/>
          <w:szCs w:val="24"/>
        </w:rPr>
      </w:pPr>
      <w:r>
        <w:rPr>
          <w:rFonts w:ascii="Times New Roman" w:hAnsi="Times New Roman"/>
          <w:noProof/>
          <w:sz w:val="24"/>
          <w:szCs w:val="24"/>
        </w:rPr>
        <w:t>contribuții de la bugetul general al Uniunii; bugetul alocat pentru provizionarea Fondului de garantare se ridică la 8 425 de milioane EUR;</w:t>
      </w:r>
    </w:p>
    <w:p>
      <w:pPr>
        <w:numPr>
          <w:ilvl w:val="0"/>
          <w:numId w:val="28"/>
        </w:numPr>
        <w:spacing w:after="240"/>
        <w:ind w:left="714" w:hanging="357"/>
        <w:contextualSpacing/>
        <w:jc w:val="both"/>
        <w:rPr>
          <w:rFonts w:ascii="Times New Roman" w:hAnsi="Times New Roman" w:cs="Times New Roman"/>
          <w:noProof/>
          <w:sz w:val="24"/>
          <w:szCs w:val="24"/>
        </w:rPr>
      </w:pPr>
      <w:r>
        <w:rPr>
          <w:rFonts w:ascii="Times New Roman" w:hAnsi="Times New Roman"/>
          <w:noProof/>
          <w:sz w:val="24"/>
          <w:szCs w:val="24"/>
        </w:rPr>
        <w:t>venituri și orice alte plăți primite de Uniune în conformitate cu Acordul FEIS, precum și venituri și rambursări din instrumentele financiare din cadrul „Mecanismului pentru interconectarea Europei”</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și al „Fondului european 2020 pentru energie, schimbări climatice și infrastructură” — Fondul Marguerite</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w:t>
      </w:r>
    </w:p>
    <w:p>
      <w:pPr>
        <w:numPr>
          <w:ilvl w:val="0"/>
          <w:numId w:val="28"/>
        </w:numPr>
        <w:spacing w:after="240"/>
        <w:ind w:left="714" w:hanging="357"/>
        <w:contextualSpacing/>
        <w:jc w:val="both"/>
        <w:rPr>
          <w:rFonts w:ascii="Times New Roman" w:hAnsi="Times New Roman" w:cs="Times New Roman"/>
          <w:noProof/>
          <w:sz w:val="24"/>
          <w:szCs w:val="24"/>
        </w:rPr>
      </w:pPr>
      <w:r>
        <w:rPr>
          <w:rFonts w:ascii="Times New Roman" w:hAnsi="Times New Roman"/>
          <w:noProof/>
          <w:sz w:val="24"/>
          <w:szCs w:val="24"/>
        </w:rPr>
        <w:t>venituri (dobânzi) aferente investițiilor realizate pe piețele financiare din disponibilitățile Fondului de garantare;</w:t>
      </w:r>
    </w:p>
    <w:p>
      <w:pPr>
        <w:numPr>
          <w:ilvl w:val="0"/>
          <w:numId w:val="28"/>
        </w:numPr>
        <w:spacing w:after="240"/>
        <w:ind w:left="714" w:hanging="357"/>
        <w:contextualSpacing/>
        <w:jc w:val="both"/>
        <w:rPr>
          <w:rFonts w:ascii="Times New Roman" w:hAnsi="Times New Roman" w:cs="Times New Roman"/>
          <w:noProof/>
          <w:sz w:val="24"/>
          <w:szCs w:val="24"/>
        </w:rPr>
      </w:pPr>
      <w:r>
        <w:rPr>
          <w:rFonts w:ascii="Times New Roman" w:hAnsi="Times New Roman"/>
          <w:noProof/>
          <w:sz w:val="24"/>
          <w:szCs w:val="24"/>
        </w:rPr>
        <w:t>sumele recuperate de la proiectele pentru care s-a solicitat garanția UE.</w:t>
      </w:r>
    </w:p>
    <w:p>
      <w:pPr>
        <w:spacing w:after="240"/>
        <w:contextualSpacing/>
        <w:jc w:val="both"/>
        <w:rPr>
          <w:rFonts w:ascii="Times New Roman" w:hAnsi="Times New Roman" w:cs="Times New Roman"/>
          <w:noProof/>
          <w:sz w:val="24"/>
          <w:szCs w:val="24"/>
        </w:rPr>
      </w:pPr>
      <w:r>
        <w:rPr>
          <w:rFonts w:ascii="Times New Roman" w:hAnsi="Times New Roman"/>
          <w:noProof/>
          <w:sz w:val="24"/>
          <w:szCs w:val="24"/>
        </w:rPr>
        <w:t xml:space="preserve">Provizionarea globală a Fondului de garantare, ca parte a compartimentului fondului comun de provizionare din ianuarie 2021, este constituită progresiv până în 2022.  </w:t>
      </w:r>
    </w:p>
    <w:p>
      <w:pPr>
        <w:pStyle w:val="Heading2"/>
        <w:spacing w:before="0" w:after="240"/>
        <w:rPr>
          <w:rFonts w:ascii="Times New Roman" w:hAnsi="Times New Roman" w:cs="Times New Roman"/>
          <w:noProof/>
          <w:color w:val="auto"/>
        </w:rPr>
      </w:pPr>
      <w:bookmarkStart w:id="209" w:name="_Toc70409224"/>
      <w:bookmarkStart w:id="210" w:name="_Toc75440780"/>
      <w:r>
        <w:rPr>
          <w:rFonts w:ascii="Times New Roman" w:hAnsi="Times New Roman"/>
          <w:noProof/>
          <w:color w:val="auto"/>
        </w:rPr>
        <w:t>4.2. Fluxurile anuale și cumulate</w:t>
      </w:r>
      <w:bookmarkEnd w:id="209"/>
      <w:bookmarkEnd w:id="210"/>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Angajamentele și plățile bugetare pentru provizionarea Fondului de garantare sunt prezentate în tabelul 2. </w:t>
      </w:r>
    </w:p>
    <w:p>
      <w:pPr>
        <w:keepLines/>
        <w:spacing w:after="240"/>
        <w:jc w:val="both"/>
        <w:rPr>
          <w:rFonts w:ascii="Times New Roman" w:hAnsi="Times New Roman" w:cs="Times New Roman"/>
          <w:noProof/>
          <w:sz w:val="24"/>
          <w:szCs w:val="24"/>
          <w:highlight w:val="yellow"/>
        </w:rPr>
      </w:pPr>
      <w:r>
        <w:rPr>
          <w:rFonts w:ascii="Times New Roman" w:hAnsi="Times New Roman"/>
          <w:b/>
          <w:bCs/>
          <w:noProof/>
          <w:sz w:val="24"/>
          <w:szCs w:val="24"/>
        </w:rPr>
        <w:t xml:space="preserve">Tabelul 2 – Provizionarea Fondului de garantare </w:t>
      </w:r>
    </w:p>
    <w:tbl>
      <w:tblPr>
        <w:tblW w:w="5036" w:type="pct"/>
        <w:tblLook w:val="04A0" w:firstRow="1" w:lastRow="0" w:firstColumn="1" w:lastColumn="0" w:noHBand="0" w:noVBand="1"/>
      </w:tblPr>
      <w:tblGrid>
        <w:gridCol w:w="3633"/>
        <w:gridCol w:w="978"/>
        <w:gridCol w:w="979"/>
        <w:gridCol w:w="979"/>
        <w:gridCol w:w="979"/>
        <w:gridCol w:w="978"/>
        <w:gridCol w:w="978"/>
      </w:tblGrid>
      <w:tr>
        <w:trPr>
          <w:trHeight w:val="406"/>
        </w:trPr>
        <w:tc>
          <w:tcPr>
            <w:tcW w:w="1911" w:type="pct"/>
            <w:tcBorders>
              <w:top w:val="single" w:sz="8" w:space="0" w:color="auto"/>
              <w:left w:val="single" w:sz="8" w:space="0" w:color="auto"/>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(în milioane EUR)</w:t>
            </w:r>
          </w:p>
        </w:tc>
        <w:tc>
          <w:tcPr>
            <w:tcW w:w="514" w:type="pct"/>
            <w:tcBorders>
              <w:top w:val="single" w:sz="8" w:space="0" w:color="auto"/>
              <w:left w:val="nil"/>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2015</w:t>
            </w:r>
          </w:p>
        </w:tc>
        <w:tc>
          <w:tcPr>
            <w:tcW w:w="515" w:type="pct"/>
            <w:tcBorders>
              <w:top w:val="single" w:sz="8" w:space="0" w:color="auto"/>
              <w:left w:val="nil"/>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2016</w:t>
            </w:r>
          </w:p>
        </w:tc>
        <w:tc>
          <w:tcPr>
            <w:tcW w:w="515" w:type="pct"/>
            <w:tcBorders>
              <w:top w:val="single" w:sz="8" w:space="0" w:color="auto"/>
              <w:left w:val="nil"/>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2017</w:t>
            </w:r>
          </w:p>
        </w:tc>
        <w:tc>
          <w:tcPr>
            <w:tcW w:w="515" w:type="pct"/>
            <w:tcBorders>
              <w:top w:val="single" w:sz="8" w:space="0" w:color="auto"/>
              <w:left w:val="nil"/>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2018</w:t>
            </w:r>
          </w:p>
        </w:tc>
        <w:tc>
          <w:tcPr>
            <w:tcW w:w="515" w:type="pct"/>
            <w:tcBorders>
              <w:top w:val="single" w:sz="8" w:space="0" w:color="auto"/>
              <w:left w:val="nil"/>
              <w:bottom w:val="single" w:sz="8" w:space="0" w:color="auto"/>
              <w:right w:val="single" w:sz="4"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2019</w:t>
            </w:r>
          </w:p>
        </w:tc>
        <w:tc>
          <w:tcPr>
            <w:tcW w:w="513" w:type="pct"/>
            <w:tcBorders>
              <w:top w:val="single" w:sz="8" w:space="0" w:color="auto"/>
              <w:left w:val="nil"/>
              <w:bottom w:val="single" w:sz="8" w:space="0" w:color="auto"/>
              <w:right w:val="single" w:sz="8" w:space="0" w:color="auto"/>
            </w:tcBorders>
            <w:shd w:val="clear" w:color="000000" w:fill="366092"/>
            <w:vAlign w:val="center"/>
            <w:hideMark/>
          </w:tcPr>
          <w:p>
            <w:pPr>
              <w:spacing w:after="0" w:line="240" w:lineRule="auto"/>
              <w:jc w:val="center"/>
              <w:rPr>
                <w:rFonts w:ascii="Times New Roman" w:eastAsia="Times New Roman" w:hAnsi="Times New Roman" w:cs="Times New Roman"/>
                <w:b/>
                <w:bCs/>
                <w:noProof/>
                <w:color w:val="FFFFFF"/>
              </w:rPr>
            </w:pPr>
            <w:r>
              <w:rPr>
                <w:rFonts w:ascii="Times New Roman" w:hAnsi="Times New Roman"/>
                <w:b/>
                <w:bCs/>
                <w:noProof/>
                <w:color w:val="FFFFFF"/>
              </w:rPr>
              <w:t>2020</w:t>
            </w:r>
          </w:p>
        </w:tc>
      </w:tr>
      <w:tr>
        <w:trPr>
          <w:trHeight w:val="388"/>
        </w:trPr>
        <w:tc>
          <w:tcPr>
            <w:tcW w:w="1911" w:type="pct"/>
            <w:tcBorders>
              <w:top w:val="nil"/>
              <w:left w:val="single" w:sz="8" w:space="0" w:color="auto"/>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b/>
                <w:bCs/>
                <w:noProof/>
                <w:color w:val="000000"/>
              </w:rPr>
            </w:pPr>
            <w:r>
              <w:rPr>
                <w:rFonts w:ascii="Times New Roman" w:hAnsi="Times New Roman"/>
                <w:b/>
                <w:bCs/>
                <w:noProof/>
                <w:color w:val="000000"/>
              </w:rPr>
              <w:t>Angajamente</w:t>
            </w:r>
          </w:p>
        </w:tc>
        <w:tc>
          <w:tcPr>
            <w:tcW w:w="514"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1 350,0</w:t>
            </w:r>
          </w:p>
        </w:tc>
        <w:tc>
          <w:tcPr>
            <w:tcW w:w="515"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2 110,2</w:t>
            </w:r>
          </w:p>
        </w:tc>
        <w:tc>
          <w:tcPr>
            <w:tcW w:w="515"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2 680,3</w:t>
            </w:r>
          </w:p>
        </w:tc>
        <w:tc>
          <w:tcPr>
            <w:tcW w:w="515"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2 069,3</w:t>
            </w:r>
          </w:p>
        </w:tc>
        <w:tc>
          <w:tcPr>
            <w:tcW w:w="515" w:type="pct"/>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357,3</w:t>
            </w:r>
          </w:p>
        </w:tc>
        <w:tc>
          <w:tcPr>
            <w:tcW w:w="513" w:type="pct"/>
            <w:tcBorders>
              <w:top w:val="nil"/>
              <w:left w:val="nil"/>
              <w:bottom w:val="single" w:sz="4" w:space="0" w:color="auto"/>
              <w:right w:val="single" w:sz="8"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301,0</w:t>
            </w:r>
          </w:p>
        </w:tc>
      </w:tr>
      <w:tr>
        <w:trPr>
          <w:trHeight w:val="406"/>
        </w:trPr>
        <w:tc>
          <w:tcPr>
            <w:tcW w:w="1911" w:type="pct"/>
            <w:tcBorders>
              <w:top w:val="nil"/>
              <w:left w:val="single" w:sz="8" w:space="0" w:color="auto"/>
              <w:bottom w:val="single" w:sz="8"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b/>
                <w:bCs/>
                <w:noProof/>
                <w:color w:val="000000"/>
              </w:rPr>
            </w:pPr>
            <w:r>
              <w:rPr>
                <w:rFonts w:ascii="Times New Roman" w:hAnsi="Times New Roman"/>
                <w:b/>
                <w:bCs/>
                <w:noProof/>
                <w:color w:val="000000"/>
              </w:rPr>
              <w:t>Plăți</w:t>
            </w:r>
          </w:p>
        </w:tc>
        <w:tc>
          <w:tcPr>
            <w:tcW w:w="514" w:type="pct"/>
            <w:tcBorders>
              <w:top w:val="nil"/>
              <w:left w:val="nil"/>
              <w:bottom w:val="single" w:sz="8"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0</w:t>
            </w:r>
          </w:p>
        </w:tc>
        <w:tc>
          <w:tcPr>
            <w:tcW w:w="515" w:type="pct"/>
            <w:tcBorders>
              <w:top w:val="nil"/>
              <w:left w:val="nil"/>
              <w:bottom w:val="single" w:sz="8"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1 018,0</w:t>
            </w:r>
          </w:p>
        </w:tc>
        <w:tc>
          <w:tcPr>
            <w:tcW w:w="515" w:type="pct"/>
            <w:tcBorders>
              <w:top w:val="nil"/>
              <w:left w:val="nil"/>
              <w:bottom w:val="single" w:sz="8"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2. 489,6</w:t>
            </w:r>
          </w:p>
        </w:tc>
        <w:tc>
          <w:tcPr>
            <w:tcW w:w="515" w:type="pct"/>
            <w:tcBorders>
              <w:top w:val="nil"/>
              <w:left w:val="nil"/>
              <w:bottom w:val="single" w:sz="8"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2 013,9</w:t>
            </w:r>
          </w:p>
        </w:tc>
        <w:tc>
          <w:tcPr>
            <w:tcW w:w="515" w:type="pct"/>
            <w:tcBorders>
              <w:top w:val="nil"/>
              <w:left w:val="nil"/>
              <w:bottom w:val="single" w:sz="8"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1 166,2</w:t>
            </w:r>
          </w:p>
        </w:tc>
        <w:tc>
          <w:tcPr>
            <w:tcW w:w="513" w:type="pct"/>
            <w:tcBorders>
              <w:top w:val="nil"/>
              <w:left w:val="nil"/>
              <w:bottom w:val="single" w:sz="8" w:space="0" w:color="auto"/>
              <w:right w:val="single" w:sz="8"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1 248,9</w:t>
            </w:r>
          </w:p>
        </w:tc>
      </w:tr>
      <w:tr>
        <w:trPr>
          <w:trHeight w:val="388"/>
        </w:trPr>
        <w:tc>
          <w:tcPr>
            <w:tcW w:w="5000" w:type="pct"/>
            <w:gridSpan w:val="7"/>
            <w:tcBorders>
              <w:top w:val="nil"/>
              <w:left w:val="nil"/>
              <w:bottom w:val="nil"/>
              <w:right w:val="nil"/>
            </w:tcBorders>
            <w:vAlign w:val="center"/>
            <w:hideMark/>
          </w:tcPr>
          <w:tbl>
            <w:tblPr>
              <w:tblpPr w:leftFromText="180" w:rightFromText="180" w:vertAnchor="text" w:horzAnchor="margin" w:tblpY="-147"/>
              <w:tblW w:w="9288" w:type="dxa"/>
              <w:tblLook w:val="04A0" w:firstRow="1" w:lastRow="0" w:firstColumn="1" w:lastColumn="0" w:noHBand="0" w:noVBand="1"/>
            </w:tblPr>
            <w:tblGrid>
              <w:gridCol w:w="9288"/>
            </w:tblGrid>
            <w:tr>
              <w:trPr>
                <w:trHeight w:val="300"/>
              </w:trPr>
              <w:tc>
                <w:tcPr>
                  <w:tcW w:w="5000" w:type="pct"/>
                  <w:tcBorders>
                    <w:top w:val="nil"/>
                    <w:left w:val="nil"/>
                    <w:bottom w:val="nil"/>
                    <w:right w:val="nil"/>
                  </w:tcBorders>
                  <w:shd w:val="clear" w:color="auto" w:fill="auto"/>
                  <w:hideMark/>
                </w:tcPr>
                <w:p>
                  <w:pPr>
                    <w:spacing w:after="0" w:line="240" w:lineRule="auto"/>
                    <w:jc w:val="both"/>
                    <w:rPr>
                      <w:rFonts w:ascii="Times New Roman" w:eastAsia="Times New Roman" w:hAnsi="Times New Roman" w:cs="Times New Roman"/>
                      <w:noProof/>
                      <w:color w:val="000000"/>
                      <w:lang w:eastAsia="en-GB"/>
                    </w:rPr>
                  </w:pPr>
                </w:p>
              </w:tc>
            </w:tr>
          </w:tbl>
          <w:p>
            <w:pPr>
              <w:spacing w:after="0" w:line="240" w:lineRule="auto"/>
              <w:rPr>
                <w:rFonts w:ascii="Times New Roman" w:eastAsia="Times New Roman" w:hAnsi="Times New Roman" w:cs="Times New Roman"/>
                <w:noProof/>
                <w:color w:val="000000"/>
                <w:lang w:eastAsia="en-GB"/>
              </w:rPr>
            </w:pPr>
          </w:p>
        </w:tc>
      </w:tr>
    </w:tbl>
    <w:p>
      <w:pPr>
        <w:spacing w:after="240"/>
        <w:jc w:val="both"/>
        <w:rPr>
          <w:rFonts w:ascii="Times New Roman" w:hAnsi="Times New Roman" w:cs="Times New Roman"/>
          <w:noProof/>
          <w:sz w:val="24"/>
          <w:szCs w:val="24"/>
        </w:rPr>
      </w:pPr>
    </w:p>
    <w:p>
      <w:pPr>
        <w:spacing w:after="240"/>
        <w:jc w:val="both"/>
        <w:rPr>
          <w:rFonts w:ascii="Times New Roman" w:hAnsi="Times New Roman" w:cs="Times New Roman"/>
          <w:noProof/>
          <w:sz w:val="24"/>
          <w:szCs w:val="24"/>
        </w:rPr>
      </w:pPr>
      <w:r>
        <w:rPr>
          <w:rFonts w:ascii="Times New Roman" w:hAnsi="Times New Roman"/>
          <w:noProof/>
          <w:sz w:val="24"/>
          <w:szCs w:val="24"/>
        </w:rPr>
        <w:t>Perioada de angajament privind FEIS pentru contribuțiile de la bugetul UE s-a încheiat la 31 decembrie 2020. Sumele angajate din veniturile alocate ar putea fi plătite până în 2022, ori de câte ori sunt disponibile. La 31 decembrie 2020, suma cumulată de aproximativ 8 868 de milioane EUR a fost angajată pentru provizionarea Fondului de garantare, din care 8 425 de milioane EUR de la bugetul general al UE și 443 de milioane EUR din veniturile alocate.</w:t>
      </w:r>
    </w:p>
    <w:p>
      <w:pPr>
        <w:spacing w:after="240"/>
        <w:jc w:val="both"/>
        <w:rPr>
          <w:rFonts w:ascii="Times New Roman" w:hAnsi="Times New Roman" w:cs="Times New Roman"/>
          <w:noProof/>
          <w:sz w:val="24"/>
          <w:szCs w:val="24"/>
        </w:rPr>
      </w:pPr>
      <w:r>
        <w:rPr>
          <w:rFonts w:ascii="Times New Roman" w:hAnsi="Times New Roman"/>
          <w:noProof/>
          <w:sz w:val="24"/>
          <w:szCs w:val="24"/>
        </w:rPr>
        <w:t>Plățile către Fondul de garantare din bugetul UE sunt programate până în 2022. Cu toate acestea, plățile din veniturile alocate au putut fi efectuate până în 2023. O sumă totală de aproximativ 7 937 de milioane EUR a fost plătită efectiv Fondului de garantare, din care 7 513 milioane EUR au provenit de la bugetul general al UE, în timp ce 424 de milioane EUR au fost recuperate ca venituri alocate.</w:t>
      </w:r>
    </w:p>
    <w:p>
      <w:pPr>
        <w:spacing w:after="240"/>
        <w:jc w:val="both"/>
        <w:rPr>
          <w:rFonts w:ascii="Times New Roman" w:hAnsi="Times New Roman" w:cs="Times New Roman"/>
          <w:noProof/>
          <w:sz w:val="24"/>
          <w:szCs w:val="24"/>
        </w:rPr>
      </w:pPr>
      <w:r>
        <w:rPr>
          <w:rFonts w:ascii="Times New Roman" w:hAnsi="Times New Roman"/>
          <w:noProof/>
          <w:sz w:val="24"/>
          <w:szCs w:val="24"/>
        </w:rPr>
        <w:t>La 31 decembrie 2020, operațiunile FEIS gestionate de BEI în cadrul componentei pentru infrastructură și inovare generaseră un venit net cumulat de 674 de milioane EUR pentru UE, din care 243 de milioane EUR sunt aferente anului 2020</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xml:space="preserve">. </w:t>
      </w:r>
    </w:p>
    <w:p>
      <w:pPr>
        <w:spacing w:after="240"/>
        <w:jc w:val="both"/>
        <w:rPr>
          <w:rFonts w:ascii="Times New Roman" w:hAnsi="Times New Roman" w:cs="Times New Roman"/>
          <w:noProof/>
          <w:sz w:val="24"/>
          <w:szCs w:val="24"/>
        </w:rPr>
      </w:pPr>
      <w:r>
        <w:rPr>
          <w:rFonts w:ascii="Times New Roman" w:hAnsi="Times New Roman"/>
          <w:noProof/>
          <w:sz w:val="24"/>
          <w:szCs w:val="24"/>
        </w:rPr>
        <w:t>Pentru operațiunile FEIS în cadrul SMEW, UE a suportat un cost net cumulat de 452 de milioane EUR, din care 295 de milioane EUR sunt aferente anului 2020</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xml:space="preserve">. </w:t>
      </w:r>
    </w:p>
    <w:p>
      <w:pPr>
        <w:pStyle w:val="Heading2"/>
        <w:spacing w:before="0" w:after="240"/>
        <w:rPr>
          <w:rFonts w:ascii="Times New Roman" w:hAnsi="Times New Roman" w:cs="Times New Roman"/>
          <w:noProof/>
          <w:color w:val="auto"/>
        </w:rPr>
      </w:pPr>
      <w:bookmarkStart w:id="211" w:name="_Toc70409225"/>
      <w:bookmarkStart w:id="212" w:name="_Toc75440781"/>
      <w:r>
        <w:rPr>
          <w:rFonts w:ascii="Times New Roman" w:hAnsi="Times New Roman"/>
          <w:noProof/>
          <w:color w:val="auto"/>
        </w:rPr>
        <w:t>4.3. Componența portofoliului și principalele sale caracteristici</w:t>
      </w:r>
      <w:bookmarkEnd w:id="211"/>
      <w:bookmarkEnd w:id="212"/>
    </w:p>
    <w:p>
      <w:pPr>
        <w:spacing w:after="240"/>
        <w:jc w:val="both"/>
        <w:rPr>
          <w:rFonts w:ascii="Times New Roman" w:hAnsi="Times New Roman" w:cs="Times New Roman"/>
          <w:noProof/>
          <w:sz w:val="24"/>
          <w:szCs w:val="24"/>
        </w:rPr>
      </w:pPr>
      <w:r>
        <w:rPr>
          <w:rFonts w:ascii="Times New Roman" w:hAnsi="Times New Roman"/>
          <w:noProof/>
          <w:sz w:val="24"/>
          <w:szCs w:val="24"/>
        </w:rPr>
        <w:t>Portofoliul de investiții al Fondului de garantare este investit în conformitate cu principiile de gestionare prevăzute în Decizia C(2016) 165 a Comisiei din 21 ianuarie 2016 de aprobare a orientărilor privind gestionarea activelor Fondului de garantare al FEIS.</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Aceste orientări prevăd că activele din portofoliul de investiții trebuie să furnizeze suficientă lichiditate pentru a acoperi posibilele cereri de executare a garanției, urmărindu-se în același timp optimizarea nivelului de randament și de risc într-un mod care să fie compatibil cu menținerea unui grad înalt de securitate și stabilitate. </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Au fost adoptate strategii de investiții și de gestionare a riscurilor care reflectă obiectivele de investiții și perspectivele pieței. Strategia de investiții vizează o diversificare sporită a diferitelor categorii de active cu venit fix. </w:t>
      </w:r>
    </w:p>
    <w:p>
      <w:pPr>
        <w:spacing w:after="240"/>
        <w:jc w:val="both"/>
        <w:rPr>
          <w:rFonts w:ascii="Times New Roman" w:hAnsi="Times New Roman" w:cs="Times New Roman"/>
          <w:noProof/>
          <w:sz w:val="24"/>
          <w:szCs w:val="24"/>
        </w:rPr>
      </w:pPr>
      <w:r>
        <w:rPr>
          <w:rFonts w:ascii="Times New Roman" w:hAnsi="Times New Roman"/>
          <w:noProof/>
          <w:sz w:val="24"/>
          <w:szCs w:val="24"/>
        </w:rPr>
        <w:t>În decembrie 2020, portofoliul de investiții se compunea, în principal, din titluri emise de emitenți suverani, subsuverani, supranaționali și agenții (46,8 % din valoarea de piață), întreprinderi (20,3 % din valoarea de piață) și obligațiuni garantate (17,1 % din valoarea de piață). Aproximativ 5,2 % din portofoliu era reprezentat de investiții lichide și foarte bine cotate (AA/AAA), denominate în USD. Expunerea la riscul valutar a acestor investiții a fost acoperită.</w:t>
      </w:r>
    </w:p>
    <w:p>
      <w:pPr>
        <w:spacing w:after="240"/>
        <w:jc w:val="both"/>
        <w:rPr>
          <w:rFonts w:ascii="Times New Roman" w:hAnsi="Times New Roman" w:cs="Times New Roman"/>
          <w:noProof/>
          <w:sz w:val="24"/>
          <w:szCs w:val="24"/>
        </w:rPr>
      </w:pPr>
      <w:r>
        <w:rPr>
          <w:rFonts w:ascii="Times New Roman" w:hAnsi="Times New Roman"/>
          <w:noProof/>
          <w:sz w:val="24"/>
          <w:szCs w:val="24"/>
        </w:rPr>
        <w:t>Durata portofoliului</w:t>
      </w:r>
      <w:r>
        <w:rPr>
          <w:rFonts w:ascii="Times New Roman" w:hAnsi="Times New Roman"/>
          <w:noProof/>
          <w:sz w:val="24"/>
          <w:szCs w:val="24"/>
          <w:vertAlign w:val="superscript"/>
        </w:rPr>
        <w:t xml:space="preserve"> </w:t>
      </w:r>
      <w:r>
        <w:rPr>
          <w:rFonts w:ascii="Times New Roman" w:hAnsi="Times New Roman"/>
          <w:noProof/>
          <w:sz w:val="24"/>
          <w:szCs w:val="24"/>
        </w:rPr>
        <w:t>la finele anului 2020 era de 3,19 ani, iar ratingul său mediu de credit este BBB+.</w:t>
      </w:r>
    </w:p>
    <w:p>
      <w:pPr>
        <w:spacing w:after="240"/>
        <w:jc w:val="both"/>
        <w:rPr>
          <w:rFonts w:ascii="Times New Roman" w:hAnsi="Times New Roman" w:cs="Times New Roman"/>
          <w:noProof/>
          <w:sz w:val="24"/>
          <w:szCs w:val="24"/>
        </w:rPr>
      </w:pPr>
      <w:r>
        <w:rPr>
          <w:rFonts w:ascii="Times New Roman" w:hAnsi="Times New Roman"/>
          <w:noProof/>
          <w:sz w:val="24"/>
          <w:szCs w:val="24"/>
        </w:rPr>
        <w:t>Cea mai mare parte a portofoliului este investită în titluri lichide, iar o parte adecvată (25 % din totalul valorii portofoliului) are o scadență de sub 12 luni.</w:t>
      </w:r>
    </w:p>
    <w:p>
      <w:pPr>
        <w:spacing w:after="240"/>
        <w:jc w:val="both"/>
        <w:rPr>
          <w:rFonts w:ascii="Times New Roman" w:hAnsi="Times New Roman" w:cs="Times New Roman"/>
          <w:noProof/>
          <w:sz w:val="24"/>
          <w:szCs w:val="24"/>
        </w:rPr>
      </w:pPr>
      <w:r>
        <w:rPr>
          <w:rFonts w:ascii="Times New Roman" w:hAnsi="Times New Roman"/>
          <w:noProof/>
          <w:sz w:val="24"/>
          <w:szCs w:val="24"/>
        </w:rPr>
        <w:t>Din punctul de vedere al duratei, al riscului de credit și al lichidității, profilul portofoliului a fost calibrat în conformitate cu fluxurile de numerar preconizate, provenite din operațiunile FEIS acoperite de garanția UE (de exemplu, cereri de executare și venituri preconizate).</w:t>
      </w:r>
    </w:p>
    <w:p>
      <w:pPr>
        <w:spacing w:after="240"/>
        <w:jc w:val="both"/>
        <w:rPr>
          <w:rFonts w:ascii="Times New Roman" w:hAnsi="Times New Roman" w:cs="Times New Roman"/>
          <w:noProof/>
          <w:sz w:val="24"/>
          <w:szCs w:val="24"/>
        </w:rPr>
      </w:pPr>
      <w:r>
        <w:rPr>
          <w:rFonts w:ascii="Times New Roman" w:hAnsi="Times New Roman"/>
          <w:noProof/>
          <w:sz w:val="24"/>
          <w:szCs w:val="24"/>
        </w:rPr>
        <w:t>În decembrie 2020, ponderea instrumentelor cu etichetă MSG</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în portofoliu era de 9,5 %.</w:t>
      </w:r>
    </w:p>
    <w:p>
      <w:pPr>
        <w:pStyle w:val="Heading2"/>
        <w:spacing w:before="0" w:after="240"/>
        <w:rPr>
          <w:rFonts w:ascii="Times New Roman" w:hAnsi="Times New Roman" w:cs="Times New Roman"/>
          <w:noProof/>
          <w:color w:val="auto"/>
        </w:rPr>
      </w:pPr>
      <w:bookmarkStart w:id="213" w:name="_Toc70409226"/>
      <w:bookmarkStart w:id="214" w:name="_Toc75440782"/>
      <w:r>
        <w:rPr>
          <w:rFonts w:ascii="Times New Roman" w:hAnsi="Times New Roman"/>
          <w:noProof/>
          <w:color w:val="auto"/>
        </w:rPr>
        <w:t>4.4. Performanța</w:t>
      </w:r>
      <w:bookmarkEnd w:id="213"/>
      <w:bookmarkEnd w:id="214"/>
    </w:p>
    <w:p>
      <w:pPr>
        <w:spacing w:after="240"/>
        <w:jc w:val="both"/>
        <w:rPr>
          <w:rFonts w:ascii="Times New Roman" w:hAnsi="Times New Roman" w:cs="Times New Roman"/>
          <w:noProof/>
          <w:sz w:val="24"/>
          <w:szCs w:val="24"/>
        </w:rPr>
      </w:pPr>
      <w:r>
        <w:rPr>
          <w:rFonts w:ascii="Times New Roman" w:hAnsi="Times New Roman"/>
          <w:noProof/>
          <w:sz w:val="24"/>
          <w:szCs w:val="24"/>
        </w:rPr>
        <w:t>Performanța este calculată pe o bază ponderată în timp, pentru a nu fi afectată de dimensiunea portofoliului, care a crescut în mod considerabil pe parcursul perioadei.</w:t>
      </w:r>
    </w:p>
    <w:p>
      <w:pPr>
        <w:spacing w:after="240"/>
        <w:jc w:val="both"/>
        <w:rPr>
          <w:rFonts w:ascii="Times New Roman" w:hAnsi="Times New Roman" w:cs="Times New Roman"/>
          <w:noProof/>
          <w:sz w:val="24"/>
          <w:szCs w:val="24"/>
        </w:rPr>
      </w:pPr>
      <w:r>
        <w:rPr>
          <w:rFonts w:ascii="Times New Roman" w:hAnsi="Times New Roman"/>
          <w:noProof/>
          <w:sz w:val="24"/>
          <w:szCs w:val="24"/>
        </w:rPr>
        <w:t>De la crearea sa în aprilie 2016, Fondul de garantare a înregistrat o performanță absolută de 2,4 % în decembrie 2020. Acest randament a fost obținut în contextul unor rate negative, în special în ceea ce privește expunerile pe care piețele le consideră ca fiind „fără risc de credit” și lichide în Europa. De exemplu, randamentul obligațiunilor germane la trei ani era de -0,77 % la sfârșitul anului 2020.</w:t>
      </w:r>
    </w:p>
    <w:p>
      <w:pPr>
        <w:pStyle w:val="Heading2"/>
        <w:spacing w:before="0" w:after="240"/>
        <w:rPr>
          <w:rFonts w:ascii="Times New Roman" w:hAnsi="Times New Roman" w:cs="Times New Roman"/>
          <w:noProof/>
          <w:color w:val="auto"/>
        </w:rPr>
      </w:pPr>
      <w:bookmarkStart w:id="215" w:name="_Toc70409228"/>
      <w:bookmarkStart w:id="216" w:name="_Toc75440783"/>
      <w:r>
        <w:rPr>
          <w:rFonts w:ascii="Times New Roman" w:hAnsi="Times New Roman"/>
          <w:noProof/>
          <w:color w:val="auto"/>
        </w:rPr>
        <w:t>4.5. Evaluarea adecvării ratei țintă și a nivelului Fondului de garantare</w:t>
      </w:r>
      <w:bookmarkEnd w:id="215"/>
      <w:bookmarkEnd w:id="216"/>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Rata țintă a Fondului de garantare a fost inițial stabilită la 50 % din totalul obligațiilor aferente garanției UE. Această țintă a fost estimată înainte de demararea activităților FEIS. </w:t>
      </w:r>
    </w:p>
    <w:p>
      <w:pPr>
        <w:spacing w:after="240"/>
        <w:jc w:val="both"/>
        <w:rPr>
          <w:rFonts w:ascii="Times New Roman" w:hAnsi="Times New Roman" w:cs="Times New Roman"/>
          <w:noProof/>
          <w:sz w:val="24"/>
          <w:szCs w:val="24"/>
        </w:rPr>
      </w:pPr>
      <w:r>
        <w:rPr>
          <w:rFonts w:ascii="Times New Roman" w:hAnsi="Times New Roman"/>
          <w:noProof/>
          <w:sz w:val="24"/>
          <w:szCs w:val="24"/>
        </w:rPr>
        <w:t>În 2016, evaluarea internă a Comisiei referitoare la FEIS</w:t>
      </w:r>
      <w:r>
        <w:rPr>
          <w:rFonts w:ascii="Times New Roman" w:hAnsi="Times New Roman" w:cs="Times New Roman"/>
          <w:noProof/>
          <w:sz w:val="24"/>
          <w:szCs w:val="24"/>
          <w:vertAlign w:val="superscript"/>
        </w:rPr>
        <w:footnoteReference w:id="16"/>
      </w:r>
      <w:r>
        <w:rPr>
          <w:rFonts w:ascii="Times New Roman" w:hAnsi="Times New Roman"/>
          <w:noProof/>
          <w:sz w:val="24"/>
          <w:szCs w:val="24"/>
        </w:rPr>
        <w:t xml:space="preserve"> a concluzionat că provizionarea Fondului de garantare ar putea fi ajustată. Evaluarea de risc a diferitelor produse sprijinite de garanția UE a arătat că, în ansamblu, în cazul unor eventuale cereri de executare a garanției, bugetul Uniunii ar fi protejat în mod adecvat, cu o rată țintă ajustată de provizionare a Fondului de garantare de 35 %, ținând cont de recuperările, veniturile și restituirile provenite din operațiunile FEIS. </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Parlamentul European și Consiliul au aprobat propunerea Comisiei, iar rata țintă a fost stabilită la nivelul de 35 % din totalul obligațiilor aferente garanției UE începând cu intrarea în vigoare a Regulamentului FEIS 2.0. </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Evaluarea riscului diferitelor produse sprijinite de garanția UE în februarie 2021 a confirmat că, în cazul unor eventuale cereri de executare a garanției UE, bugetul general al Uniunii ar fi protejat în mod adecvat cu o rată-țintă de 35 %, luând în considerare recuperările, veniturile și restituirile provenite din operațiunile BEI. </w:t>
      </w:r>
    </w:p>
    <w:p>
      <w:pPr>
        <w:pStyle w:val="Heading1"/>
        <w:spacing w:before="0" w:after="240"/>
        <w:rPr>
          <w:rFonts w:ascii="Times New Roman" w:hAnsi="Times New Roman" w:cs="Times New Roman"/>
          <w:noProof/>
          <w:color w:val="auto"/>
        </w:rPr>
      </w:pPr>
      <w:bookmarkStart w:id="217" w:name="_Toc70409229"/>
      <w:bookmarkStart w:id="218" w:name="_Toc75440784"/>
      <w:r>
        <w:rPr>
          <w:rFonts w:ascii="Times New Roman" w:hAnsi="Times New Roman"/>
          <w:noProof/>
          <w:color w:val="auto"/>
        </w:rPr>
        <w:t>5. Concluzii</w:t>
      </w:r>
      <w:bookmarkEnd w:id="217"/>
      <w:bookmarkEnd w:id="218"/>
      <w:r>
        <w:rPr>
          <w:rFonts w:ascii="Times New Roman" w:hAnsi="Times New Roman"/>
          <w:noProof/>
          <w:color w:val="auto"/>
        </w:rPr>
        <w:t xml:space="preserve"> </w:t>
      </w:r>
    </w:p>
    <w:p>
      <w:pPr>
        <w:spacing w:after="240"/>
        <w:jc w:val="both"/>
        <w:rPr>
          <w:rFonts w:ascii="Times New Roman" w:hAnsi="Times New Roman" w:cs="Times New Roman"/>
          <w:noProof/>
          <w:sz w:val="24"/>
          <w:szCs w:val="24"/>
        </w:rPr>
      </w:pPr>
      <w:r>
        <w:rPr>
          <w:rFonts w:ascii="Times New Roman" w:hAnsi="Times New Roman"/>
          <w:noProof/>
          <w:sz w:val="24"/>
          <w:szCs w:val="24"/>
        </w:rPr>
        <w:t>Cea mai recentă evaluare independentă a punerii în aplicare a Regulamentului FEIS pe care s-a fundamentat propunerea Comisiei de regulament de instituire a Programului InvestEU</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xml:space="preserve"> a evidențiat, în concluziile sale, relevanța generală și eficacitatea garanției UE. În special, nivelurile garanției UE și ale contribuției BEI au fost determinate în mod corespunzător, întrucât au permis Grupului BEI să mobilizeze un nivel de investiții conform așteptărilor. Ajustarea ratei țintă pentru Fondul de garantare în cadrul FEIS 2.0 a avut ca rezultat o utilizare mai eficientă a bugetului UE. În plus, impactul asupra altor părți ale bugetului UE a fost limitat, conducând astfel la o eficiență sporită a sprijinului acordat din bugetul UE. De asemenea, abordarea generală privind modelarea ratei țintă a FEIS a părut a fi adecvată și în concordanță cu practica sectorului. </w:t>
      </w:r>
    </w:p>
    <w:p>
      <w:pPr>
        <w:autoSpaceDE w:val="0"/>
        <w:autoSpaceDN w:val="0"/>
        <w:adjustRightInd w:val="0"/>
        <w:spacing w:after="240"/>
        <w:jc w:val="both"/>
        <w:rPr>
          <w:rFonts w:ascii="Times New Roman" w:hAnsi="Times New Roman" w:cs="Times New Roman"/>
          <w:noProof/>
          <w:sz w:val="24"/>
          <w:szCs w:val="24"/>
        </w:rPr>
      </w:pPr>
      <w:r>
        <w:rPr>
          <w:rFonts w:ascii="Times New Roman" w:hAnsi="Times New Roman"/>
          <w:noProof/>
          <w:sz w:val="24"/>
          <w:szCs w:val="24"/>
        </w:rPr>
        <w:t xml:space="preserve">Până la sfârșitul anului 2020, FEIS a mobilizat investiții cumulate în valoare de 545,3 miliarde EUR în toate statele membre, depășind astfel obiectivul de 500 de miliarde EUR, atenuând totodată impactul pandemiei de COVID-19 asupra economiei Europei. </w:t>
      </w:r>
    </w:p>
    <w:p>
      <w:pPr>
        <w:spacing w:after="240"/>
        <w:jc w:val="both"/>
        <w:rPr>
          <w:noProof/>
        </w:rPr>
      </w:pPr>
      <w:r>
        <w:rPr>
          <w:rFonts w:ascii="Times New Roman" w:hAnsi="Times New Roman"/>
          <w:noProof/>
          <w:sz w:val="24"/>
          <w:szCs w:val="24"/>
        </w:rPr>
        <w:t>În 2021, Comisia va lansa o evaluare ex-post a FEIS, care se preconizează că va fi transmisă Parlamentului European și Consiliului până la sfârșitul anului 2022.</w:t>
      </w:r>
    </w:p>
    <w:p>
      <w:pPr>
        <w:rPr>
          <w:noProof/>
        </w:rPr>
      </w:pPr>
    </w:p>
    <w:sectPr>
      <w:headerReference w:type="even" r:id="rId21"/>
      <w:headerReference w:type="default" r:id="rId22"/>
      <w:footerReference w:type="even" r:id="rId23"/>
      <w:footerReference w:type="default" r:id="rId24"/>
      <w:headerReference w:type="first" r:id="rId25"/>
      <w:footerReference w:type="first" r:id="rId26"/>
      <w:pgSz w:w="11906" w:h="16838"/>
      <w:pgMar w:top="1134" w:right="1417" w:bottom="1134" w:left="1417" w:header="709" w:footer="709" w:gutter="0"/>
      <w:pgNumType w:start="1"/>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329325945"/>
      <w:docPartObj>
        <w:docPartGallery w:val="Page Numbers (Bottom of Page)"/>
        <w:docPartUnique/>
      </w:docPartObj>
    </w:sdtPr>
    <w:sdtEndPr>
      <w:rPr>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p>
    <w:pPr>
      <w:pStyle w:val="FooterCoverPage"/>
      <w:rPr>
        <w:b/>
        <w:sz w:val="4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284"/>
        </w:tabs>
        <w:ind w:left="567" w:hanging="567"/>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Cs/>
        </w:rPr>
        <w:t>JO L 169, 1.7.2015, p. 1-38.</w:t>
      </w:r>
    </w:p>
  </w:footnote>
  <w:footnote w:id="3">
    <w:p>
      <w:pPr>
        <w:pStyle w:val="FootnoteText"/>
        <w:ind w:left="567" w:hanging="567"/>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Programul</w:t>
      </w:r>
      <w:r>
        <w:rPr>
          <w:rStyle w:val="FootnoteReference"/>
          <w:rFonts w:ascii="Times New Roman" w:hAnsi="Times New Roman"/>
          <w:vertAlign w:val="baseline"/>
        </w:rPr>
        <w:t xml:space="preserve"> pentru ocuparea forței de muncă și inovare socială</w:t>
      </w:r>
      <w:r>
        <w:rPr>
          <w:rFonts w:ascii="Times New Roman" w:hAnsi="Times New Roman"/>
        </w:rPr>
        <w:t>.</w:t>
      </w:r>
    </w:p>
  </w:footnote>
  <w:footnote w:id="4">
    <w:p>
      <w:pPr>
        <w:pStyle w:val="FootnoteText"/>
        <w:ind w:left="567" w:hanging="567"/>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JO L 345, 27.12.2017, p. 34.</w:t>
      </w:r>
    </w:p>
  </w:footnote>
  <w:footnote w:id="5">
    <w:p>
      <w:pPr>
        <w:pStyle w:val="FootnoteText"/>
        <w:ind w:left="284" w:hanging="284"/>
        <w:jc w:val="both"/>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rPr>
        <w:t xml:space="preserve"> Articolul 3 din Regulamentul FEIS.</w:t>
      </w:r>
    </w:p>
  </w:footnote>
  <w:footnote w:id="6">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Articolul 11 alineatul (3) din Regulamentul FEIS.</w:t>
      </w:r>
    </w:p>
  </w:footnote>
  <w:footnote w:id="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Anexa II la Regulamentul FEIS, punctul 6.</w:t>
      </w:r>
    </w:p>
  </w:footnote>
  <w:footnote w:id="8">
    <w:p>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Articolul 16 din Statutul BEI.</w:t>
      </w:r>
    </w:p>
  </w:footnote>
  <w:footnote w:id="9">
    <w:p>
      <w:pPr>
        <w:pStyle w:val="FootnoteText"/>
        <w:ind w:left="284" w:hanging="284"/>
        <w:jc w:val="both"/>
        <w:rPr>
          <w:rFonts w:ascii="Times New Roman" w:hAnsi="Times New Roman" w:cs="Times New Roman"/>
        </w:rPr>
      </w:pPr>
      <w:r>
        <w:rPr>
          <w:rStyle w:val="FootnoteReference"/>
        </w:rPr>
        <w:footnoteRef/>
      </w:r>
      <w:r>
        <w:t xml:space="preserve"> </w:t>
      </w:r>
      <w:r>
        <w:rPr>
          <w:rFonts w:ascii="Times New Roman" w:hAnsi="Times New Roman"/>
        </w:rPr>
        <w:t>Pentru a ține cont de operațiunile specifice, cum ar fi operațiunile de partajare a riscurilor, pe care BEI le deleagă în totalitate intermediarilor financiari, titlurile garantate cu active etc., în cadrul portofoliului de împrumuturi al IIW a fost creat un compartiment hibrid. La 31 decembrie 2020, alocarea garanției UE pentru acest portofoliu a fost de 2 miliarde EUR</w:t>
      </w:r>
      <w:r>
        <w:rPr>
          <w:rFonts w:ascii="Times New Roman" w:hAnsi="Times New Roman"/>
          <w:i/>
        </w:rPr>
        <w:t>.</w:t>
      </w:r>
    </w:p>
    <w:p>
      <w:pPr>
        <w:pStyle w:val="FootnoteText"/>
      </w:pPr>
    </w:p>
  </w:footnote>
  <w:footnote w:id="10">
    <w:p>
      <w:pPr>
        <w:pStyle w:val="FootnoteText"/>
        <w:rPr>
          <w:rFonts w:ascii="Times New Roman" w:hAnsi="Times New Roman" w:cs="Times New Roman"/>
        </w:rPr>
      </w:pPr>
      <w:r>
        <w:rPr>
          <w:rStyle w:val="FootnoteReference"/>
        </w:rPr>
        <w:footnoteRef/>
      </w:r>
      <w:r>
        <w:t xml:space="preserve">  </w:t>
      </w:r>
      <w:r>
        <w:rPr>
          <w:rFonts w:ascii="Times New Roman" w:hAnsi="Times New Roman"/>
        </w:rPr>
        <w:t>Regulamentul (UE, Euratom) 2018/1046 (</w:t>
      </w:r>
      <w:r>
        <w:rPr>
          <w:rFonts w:ascii="Times New Roman" w:hAnsi="Times New Roman"/>
          <w:shd w:val="clear" w:color="auto" w:fill="FFFFFF"/>
        </w:rPr>
        <w:t>JO L 193, 30.7.2018, p. 1).</w:t>
      </w:r>
    </w:p>
  </w:footnote>
  <w:footnote w:id="11">
    <w:p>
      <w:pPr>
        <w:pStyle w:val="FootnoteText"/>
        <w:tabs>
          <w:tab w:val="left" w:pos="284"/>
        </w:tabs>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nr. 1316/2013.</w:t>
      </w:r>
    </w:p>
  </w:footnote>
  <w:footnote w:id="12">
    <w:p>
      <w:pPr>
        <w:pStyle w:val="FootnoteText"/>
        <w:tabs>
          <w:tab w:val="left" w:pos="284"/>
        </w:tabs>
      </w:pPr>
      <w:r>
        <w:rPr>
          <w:rStyle w:val="FootnoteReference"/>
          <w:rFonts w:ascii="Times New Roman" w:hAnsi="Times New Roman" w:cs="Times New Roman"/>
        </w:rPr>
        <w:footnoteRef/>
      </w:r>
      <w:r>
        <w:rPr>
          <w:rFonts w:ascii="Times New Roman" w:hAnsi="Times New Roman"/>
        </w:rPr>
        <w:t xml:space="preserve">    Regulamentul (CE) nr. 680/2007.</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Cifrele din raportul financiar auditat (anexa III la Acordul FEIS).</w:t>
      </w:r>
    </w:p>
  </w:footnote>
  <w:footnote w:id="1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fel ca mai sus.</w:t>
      </w:r>
    </w:p>
  </w:footnote>
  <w:footnote w:id="15">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Riscuri de mediu, sociale și de guvernanță.</w:t>
      </w:r>
    </w:p>
  </w:footnote>
  <w:footnote w:id="16">
    <w:p>
      <w:pPr>
        <w:pStyle w:val="FootnoteText"/>
        <w:ind w:left="284" w:hanging="284"/>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Documentul de lucru al serviciilor Comisiei SWD(2016) 297.</w:t>
      </w:r>
    </w:p>
  </w:footnote>
  <w:footnote w:id="17">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Documentul de lucru al serviciilor Comisiei SWD(2018) 314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cente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1325F"/>
    <w:multiLevelType w:val="hybridMultilevel"/>
    <w:tmpl w:val="469432E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4A02DE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73359C6"/>
    <w:multiLevelType w:val="hybridMultilevel"/>
    <w:tmpl w:val="859059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15365C"/>
    <w:multiLevelType w:val="hybridMultilevel"/>
    <w:tmpl w:val="407EA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4A121C"/>
    <w:multiLevelType w:val="hybridMultilevel"/>
    <w:tmpl w:val="D674A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EB0178"/>
    <w:multiLevelType w:val="hybridMultilevel"/>
    <w:tmpl w:val="E88A97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094274C"/>
    <w:multiLevelType w:val="hybridMultilevel"/>
    <w:tmpl w:val="A5427E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592F72"/>
    <w:multiLevelType w:val="hybridMultilevel"/>
    <w:tmpl w:val="AE3CD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D670F2"/>
    <w:multiLevelType w:val="hybridMultilevel"/>
    <w:tmpl w:val="5D063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A6017D3"/>
    <w:multiLevelType w:val="hybridMultilevel"/>
    <w:tmpl w:val="6AACE47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C2B48A0"/>
    <w:multiLevelType w:val="hybridMultilevel"/>
    <w:tmpl w:val="B8DC5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E322C06"/>
    <w:multiLevelType w:val="hybridMultilevel"/>
    <w:tmpl w:val="874E4632"/>
    <w:lvl w:ilvl="0" w:tplc="FAA41DB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6E37A47"/>
    <w:multiLevelType w:val="hybridMultilevel"/>
    <w:tmpl w:val="72768C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84F1DDD"/>
    <w:multiLevelType w:val="hybridMultilevel"/>
    <w:tmpl w:val="D47075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0F25E1B"/>
    <w:multiLevelType w:val="hybridMultilevel"/>
    <w:tmpl w:val="D2B2A9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7DF2EC9"/>
    <w:multiLevelType w:val="hybridMultilevel"/>
    <w:tmpl w:val="8E0005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AE92B7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B061C02"/>
    <w:multiLevelType w:val="multilevel"/>
    <w:tmpl w:val="3BAEEE2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B7C4B52"/>
    <w:multiLevelType w:val="hybridMultilevel"/>
    <w:tmpl w:val="8DA0D6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4B52035"/>
    <w:multiLevelType w:val="hybridMultilevel"/>
    <w:tmpl w:val="A7EC85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4E9C711C"/>
    <w:multiLevelType w:val="hybridMultilevel"/>
    <w:tmpl w:val="F8A204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41447B6"/>
    <w:multiLevelType w:val="hybridMultilevel"/>
    <w:tmpl w:val="C0E8FE82"/>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9DA56DA"/>
    <w:multiLevelType w:val="hybridMultilevel"/>
    <w:tmpl w:val="6B565A1A"/>
    <w:lvl w:ilvl="0" w:tplc="B3BCD238">
      <w:start w:val="1"/>
      <w:numFmt w:val="bullet"/>
      <w:lvlText w:val="-"/>
      <w:lvlJc w:val="left"/>
      <w:pPr>
        <w:ind w:left="720" w:hanging="360"/>
      </w:pPr>
      <w:rPr>
        <w:rFonts w:ascii="Times New Roman" w:hAnsi="Times New Roman" w:cs="Times New Roman" w:hint="default"/>
      </w:rPr>
    </w:lvl>
    <w:lvl w:ilvl="1" w:tplc="62CE0D02">
      <w:numFmt w:val="bullet"/>
      <w:lvlText w:val="-"/>
      <w:lvlJc w:val="left"/>
      <w:pPr>
        <w:ind w:left="1440" w:hanging="360"/>
      </w:pPr>
      <w:rPr>
        <w:rFonts w:ascii="Calibri" w:eastAsiaTheme="minorHAnsi"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DB9184E"/>
    <w:multiLevelType w:val="hybridMultilevel"/>
    <w:tmpl w:val="3F32ED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F0D163D"/>
    <w:multiLevelType w:val="hybridMultilevel"/>
    <w:tmpl w:val="C3AAC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1ED51D1"/>
    <w:multiLevelType w:val="multilevel"/>
    <w:tmpl w:val="DA047F9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F2D23FF"/>
    <w:multiLevelType w:val="hybridMultilevel"/>
    <w:tmpl w:val="3586C6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F984DDE"/>
    <w:multiLevelType w:val="hybridMultilevel"/>
    <w:tmpl w:val="262A7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7"/>
  </w:num>
  <w:num w:numId="3">
    <w:abstractNumId w:val="17"/>
  </w:num>
  <w:num w:numId="4">
    <w:abstractNumId w:val="9"/>
  </w:num>
  <w:num w:numId="5">
    <w:abstractNumId w:val="25"/>
  </w:num>
  <w:num w:numId="6">
    <w:abstractNumId w:val="5"/>
  </w:num>
  <w:num w:numId="7">
    <w:abstractNumId w:val="16"/>
  </w:num>
  <w:num w:numId="8">
    <w:abstractNumId w:val="1"/>
  </w:num>
  <w:num w:numId="9">
    <w:abstractNumId w:val="23"/>
  </w:num>
  <w:num w:numId="10">
    <w:abstractNumId w:val="26"/>
  </w:num>
  <w:num w:numId="11">
    <w:abstractNumId w:val="15"/>
  </w:num>
  <w:num w:numId="12">
    <w:abstractNumId w:val="2"/>
  </w:num>
  <w:num w:numId="13">
    <w:abstractNumId w:val="12"/>
  </w:num>
  <w:num w:numId="14">
    <w:abstractNumId w:val="20"/>
  </w:num>
  <w:num w:numId="15">
    <w:abstractNumId w:val="14"/>
  </w:num>
  <w:num w:numId="16">
    <w:abstractNumId w:val="4"/>
  </w:num>
  <w:num w:numId="17">
    <w:abstractNumId w:val="7"/>
  </w:num>
  <w:num w:numId="18">
    <w:abstractNumId w:val="24"/>
  </w:num>
  <w:num w:numId="19">
    <w:abstractNumId w:val="8"/>
  </w:num>
  <w:num w:numId="20">
    <w:abstractNumId w:val="10"/>
  </w:num>
  <w:num w:numId="21">
    <w:abstractNumId w:val="3"/>
  </w:num>
  <w:num w:numId="22">
    <w:abstractNumId w:val="11"/>
  </w:num>
  <w:num w:numId="23">
    <w:abstractNumId w:val="19"/>
  </w:num>
  <w:num w:numId="24">
    <w:abstractNumId w:val="0"/>
  </w:num>
  <w:num w:numId="25">
    <w:abstractNumId w:val="21"/>
  </w:num>
  <w:num w:numId="26">
    <w:abstractNumId w:val="6"/>
  </w:num>
  <w:num w:numId="27">
    <w:abstractNumId w:val="13"/>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da-DK"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i-FI" w:vendorID="64" w:dllVersion="131078" w:nlCheck="1" w:checkStyle="0"/>
  <w:activeWritingStyle w:appName="MSWord" w:lang="fr-BE" w:vendorID="64" w:dllVersion="131078" w:nlCheck="1" w:checkStyle="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F011376-15EF-4E34-B335-50DF690C2C87"/>
    <w:docVar w:name="LW_COVERPAGE_TYPE" w:val="1"/>
    <w:docVar w:name="LW_CROSSREFERENCE" w:val="&lt;UNUSED&gt;"/>
    <w:docVar w:name="LW_DocType" w:val="NORMAL"/>
    <w:docVar w:name="LW_EMISSION" w:val="29.6.2021"/>
    <w:docVar w:name="LW_EMISSION_ISODATE" w:val="2021-06-29"/>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33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 complet c\u259?tre Parlamentul European \u537?i Consiliu privind utilizarea garan\u539?iei UE în cadrul Fondului european pentru investi\u539?ii strategice (FEIS) \u537?i func\u539?ionarea fondului de garantare în cadrul Fondului european pentru investi\u539?ii strategice (FEIS)&lt;/FMT&gt;"/>
    <w:docVar w:name="LW_TYPE.DOC.CP" w:val="RAPORT AL COMISIEI C\u258?TRE PARLAMENTUL EUROPEAN \u536?I CONSILIU"/>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lang w:eastAsia="en-GB"/>
    </w:rPr>
  </w:style>
  <w:style w:type="paragraph" w:styleId="TOCHeading">
    <w:name w:val="TOC Heading"/>
    <w:basedOn w:val="Heading1"/>
    <w:next w:val="Normal"/>
    <w:link w:val="TOCHeadingChar"/>
    <w:uiPriority w:val="39"/>
    <w:semiHidden/>
    <w:unhideWhenUsed/>
    <w:qFormat/>
    <w:pPr>
      <w:outlineLvl w:val="9"/>
    </w:pPr>
    <w:rPr>
      <w:lang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styleId="Hyperlink">
    <w:name w:val="Hyperlink"/>
    <w:basedOn w:val="DefaultParagraphFont"/>
    <w:uiPriority w:val="99"/>
    <w:unhideWhenUsed/>
    <w:rPr>
      <w:color w:val="0000FF" w:themeColor="hyperlink"/>
      <w:u w:val="single"/>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pPr>
      <w:spacing w:after="100"/>
      <w:ind w:left="440"/>
    </w:p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Pa1">
    <w:name w:val="Pa1"/>
    <w:basedOn w:val="Default"/>
    <w:next w:val="Default"/>
    <w:uiPriority w:val="99"/>
    <w:pPr>
      <w:spacing w:line="201" w:lineRule="atLeast"/>
    </w:pPr>
    <w:rPr>
      <w:rFonts w:ascii="Myriad Pro" w:hAnsi="Myriad Pro" w:cstheme="minorBidi"/>
      <w:color w:val="auto"/>
    </w:rPr>
  </w:style>
  <w:style w:type="character" w:customStyle="1" w:styleId="A1">
    <w:name w:val="A1"/>
    <w:uiPriority w:val="99"/>
    <w:rPr>
      <w:rFonts w:cs="Myriad Pro"/>
      <w:b/>
      <w:bCs/>
      <w:color w:val="000000"/>
      <w:sz w:val="44"/>
      <w:szCs w:val="44"/>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cs="Times New Roman"/>
      <w:sz w:val="20"/>
      <w:szCs w:val="20"/>
      <w:lang w:eastAsia="en-GB"/>
    </w:rPr>
  </w:style>
  <w:style w:type="character" w:customStyle="1" w:styleId="PSParagraphTextChar">
    <w:name w:val="PS_Paragraph_Text Char"/>
    <w:basedOn w:val="DefaultParagraphFont"/>
    <w:link w:val="PSParagraphText"/>
    <w:rPr>
      <w:rFonts w:ascii="Times New Roman" w:eastAsia="Times New Roman" w:hAnsi="Times New Roman" w:cs="Times New Roman"/>
      <w:sz w:val="20"/>
      <w:szCs w:val="20"/>
      <w:lang w:eastAsia="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TOCHeadingChar">
    <w:name w:val="TOC Heading Char"/>
    <w:basedOn w:val="Heading1Char"/>
    <w:link w:val="TOCHeading"/>
    <w:uiPriority w:val="39"/>
    <w:semiHidden/>
    <w:rPr>
      <w:rFonts w:asciiTheme="majorHAnsi" w:eastAsiaTheme="majorEastAsia" w:hAnsiTheme="majorHAnsi" w:cstheme="majorBidi"/>
      <w:b/>
      <w:bCs/>
      <w:color w:val="365F91" w:themeColor="accent1" w:themeShade="BF"/>
      <w:sz w:val="28"/>
      <w:szCs w:val="28"/>
      <w:lang w:val="ro-RO" w:eastAsia="ja-JP"/>
    </w:rPr>
  </w:style>
  <w:style w:type="character" w:customStyle="1" w:styleId="HeaderSensitivityRightChar">
    <w:name w:val="Header Sensitivity Right Char"/>
    <w:basedOn w:val="TOCHeadingChar"/>
    <w:link w:val="HeaderSensitivityRight"/>
    <w:rPr>
      <w:rFonts w:ascii="Times New Roman" w:eastAsiaTheme="majorEastAsia" w:hAnsi="Times New Roman" w:cs="Times New Roman"/>
      <w:b w:val="0"/>
      <w:bCs w:val="0"/>
      <w:color w:val="365F91" w:themeColor="accent1" w:themeShade="BF"/>
      <w:sz w:val="28"/>
      <w:szCs w:val="28"/>
      <w:lang w:val="ro-RO"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lang w:eastAsia="en-GB"/>
    </w:rPr>
  </w:style>
  <w:style w:type="paragraph" w:styleId="TOCHeading">
    <w:name w:val="TOC Heading"/>
    <w:basedOn w:val="Heading1"/>
    <w:next w:val="Normal"/>
    <w:link w:val="TOCHeadingChar"/>
    <w:uiPriority w:val="39"/>
    <w:semiHidden/>
    <w:unhideWhenUsed/>
    <w:qFormat/>
    <w:pPr>
      <w:outlineLvl w:val="9"/>
    </w:pPr>
    <w:rPr>
      <w:lang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styleId="Hyperlink">
    <w:name w:val="Hyperlink"/>
    <w:basedOn w:val="DefaultParagraphFont"/>
    <w:uiPriority w:val="99"/>
    <w:unhideWhenUsed/>
    <w:rPr>
      <w:color w:val="0000FF" w:themeColor="hyperlink"/>
      <w:u w:val="single"/>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pPr>
      <w:spacing w:after="100"/>
      <w:ind w:left="440"/>
    </w:p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Pa1">
    <w:name w:val="Pa1"/>
    <w:basedOn w:val="Default"/>
    <w:next w:val="Default"/>
    <w:uiPriority w:val="99"/>
    <w:pPr>
      <w:spacing w:line="201" w:lineRule="atLeast"/>
    </w:pPr>
    <w:rPr>
      <w:rFonts w:ascii="Myriad Pro" w:hAnsi="Myriad Pro" w:cstheme="minorBidi"/>
      <w:color w:val="auto"/>
    </w:rPr>
  </w:style>
  <w:style w:type="character" w:customStyle="1" w:styleId="A1">
    <w:name w:val="A1"/>
    <w:uiPriority w:val="99"/>
    <w:rPr>
      <w:rFonts w:cs="Myriad Pro"/>
      <w:b/>
      <w:bCs/>
      <w:color w:val="000000"/>
      <w:sz w:val="44"/>
      <w:szCs w:val="44"/>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cs="Times New Roman"/>
      <w:sz w:val="20"/>
      <w:szCs w:val="20"/>
      <w:lang w:eastAsia="en-GB"/>
    </w:rPr>
  </w:style>
  <w:style w:type="character" w:customStyle="1" w:styleId="PSParagraphTextChar">
    <w:name w:val="PS_Paragraph_Text Char"/>
    <w:basedOn w:val="DefaultParagraphFont"/>
    <w:link w:val="PSParagraphText"/>
    <w:rPr>
      <w:rFonts w:ascii="Times New Roman" w:eastAsia="Times New Roman" w:hAnsi="Times New Roman" w:cs="Times New Roman"/>
      <w:sz w:val="20"/>
      <w:szCs w:val="20"/>
      <w:lang w:eastAsia="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TOCHeadingChar">
    <w:name w:val="TOC Heading Char"/>
    <w:basedOn w:val="Heading1Char"/>
    <w:link w:val="TOCHeading"/>
    <w:uiPriority w:val="39"/>
    <w:semiHidden/>
    <w:rPr>
      <w:rFonts w:asciiTheme="majorHAnsi" w:eastAsiaTheme="majorEastAsia" w:hAnsiTheme="majorHAnsi" w:cstheme="majorBidi"/>
      <w:b/>
      <w:bCs/>
      <w:color w:val="365F91" w:themeColor="accent1" w:themeShade="BF"/>
      <w:sz w:val="28"/>
      <w:szCs w:val="28"/>
      <w:lang w:val="ro-RO" w:eastAsia="ja-JP"/>
    </w:rPr>
  </w:style>
  <w:style w:type="character" w:customStyle="1" w:styleId="HeaderSensitivityRightChar">
    <w:name w:val="Header Sensitivity Right Char"/>
    <w:basedOn w:val="TOCHeadingChar"/>
    <w:link w:val="HeaderSensitivityRight"/>
    <w:rPr>
      <w:rFonts w:ascii="Times New Roman" w:eastAsiaTheme="majorEastAsia" w:hAnsi="Times New Roman" w:cs="Times New Roman"/>
      <w:b w:val="0"/>
      <w:bCs w:val="0"/>
      <w:color w:val="365F91" w:themeColor="accent1" w:themeShade="BF"/>
      <w:sz w:val="28"/>
      <w:szCs w:val="28"/>
      <w:lang w:val="ro-RO"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3732">
      <w:bodyDiv w:val="1"/>
      <w:marLeft w:val="0"/>
      <w:marRight w:val="0"/>
      <w:marTop w:val="0"/>
      <w:marBottom w:val="0"/>
      <w:divBdr>
        <w:top w:val="none" w:sz="0" w:space="0" w:color="auto"/>
        <w:left w:val="none" w:sz="0" w:space="0" w:color="auto"/>
        <w:bottom w:val="none" w:sz="0" w:space="0" w:color="auto"/>
        <w:right w:val="none" w:sz="0" w:space="0" w:color="auto"/>
      </w:divBdr>
    </w:div>
    <w:div w:id="157237540">
      <w:bodyDiv w:val="1"/>
      <w:marLeft w:val="0"/>
      <w:marRight w:val="0"/>
      <w:marTop w:val="0"/>
      <w:marBottom w:val="0"/>
      <w:divBdr>
        <w:top w:val="none" w:sz="0" w:space="0" w:color="auto"/>
        <w:left w:val="none" w:sz="0" w:space="0" w:color="auto"/>
        <w:bottom w:val="none" w:sz="0" w:space="0" w:color="auto"/>
        <w:right w:val="none" w:sz="0" w:space="0" w:color="auto"/>
      </w:divBdr>
    </w:div>
    <w:div w:id="466049492">
      <w:bodyDiv w:val="1"/>
      <w:marLeft w:val="0"/>
      <w:marRight w:val="0"/>
      <w:marTop w:val="0"/>
      <w:marBottom w:val="0"/>
      <w:divBdr>
        <w:top w:val="none" w:sz="0" w:space="0" w:color="auto"/>
        <w:left w:val="none" w:sz="0" w:space="0" w:color="auto"/>
        <w:bottom w:val="none" w:sz="0" w:space="0" w:color="auto"/>
        <w:right w:val="none" w:sz="0" w:space="0" w:color="auto"/>
      </w:divBdr>
    </w:div>
    <w:div w:id="1167865281">
      <w:bodyDiv w:val="1"/>
      <w:marLeft w:val="0"/>
      <w:marRight w:val="0"/>
      <w:marTop w:val="0"/>
      <w:marBottom w:val="0"/>
      <w:divBdr>
        <w:top w:val="none" w:sz="0" w:space="0" w:color="auto"/>
        <w:left w:val="none" w:sz="0" w:space="0" w:color="auto"/>
        <w:bottom w:val="none" w:sz="0" w:space="0" w:color="auto"/>
        <w:right w:val="none" w:sz="0" w:space="0" w:color="auto"/>
      </w:divBdr>
    </w:div>
    <w:div w:id="1724131155">
      <w:bodyDiv w:val="1"/>
      <w:marLeft w:val="0"/>
      <w:marRight w:val="0"/>
      <w:marTop w:val="0"/>
      <w:marBottom w:val="0"/>
      <w:divBdr>
        <w:top w:val="none" w:sz="0" w:space="0" w:color="auto"/>
        <w:left w:val="none" w:sz="0" w:space="0" w:color="auto"/>
        <w:bottom w:val="none" w:sz="0" w:space="0" w:color="auto"/>
        <w:right w:val="none" w:sz="0" w:space="0" w:color="auto"/>
      </w:divBdr>
    </w:div>
    <w:div w:id="1754544011">
      <w:bodyDiv w:val="1"/>
      <w:marLeft w:val="0"/>
      <w:marRight w:val="0"/>
      <w:marTop w:val="0"/>
      <w:marBottom w:val="0"/>
      <w:divBdr>
        <w:top w:val="none" w:sz="0" w:space="0" w:color="auto"/>
        <w:left w:val="none" w:sz="0" w:space="0" w:color="auto"/>
        <w:bottom w:val="none" w:sz="0" w:space="0" w:color="auto"/>
        <w:right w:val="none" w:sz="0" w:space="0" w:color="auto"/>
      </w:divBdr>
    </w:div>
    <w:div w:id="1861313855">
      <w:bodyDiv w:val="1"/>
      <w:marLeft w:val="0"/>
      <w:marRight w:val="0"/>
      <w:marTop w:val="0"/>
      <w:marBottom w:val="0"/>
      <w:divBdr>
        <w:top w:val="none" w:sz="0" w:space="0" w:color="auto"/>
        <w:left w:val="none" w:sz="0" w:space="0" w:color="auto"/>
        <w:bottom w:val="none" w:sz="0" w:space="0" w:color="auto"/>
        <w:right w:val="none" w:sz="0" w:space="0" w:color="auto"/>
      </w:divBdr>
    </w:div>
    <w:div w:id="194330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chart" Target="charts/chart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olocsi\AppData\Local\CATE\DGT\Dossiers\ECFIN\ECFIN-2021-80138\ECFIN-2021-80138-00-00-EN-SRC-0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5"/>
              <c:layout>
                <c:manualLayout>
                  <c:x val="4.1379712593397087E-2"/>
                  <c:y val="0.1167522801764986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9390-426D-B52E-2AE2110B5025}"/>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'Fig.1 Invest mobilised_signed'!$B$4:$B$12</c:f>
              <c:strCache>
                <c:ptCount val="9"/>
                <c:pt idx="0">
                  <c:v>Cercetare, dezvoltare și inovare</c:v>
                </c:pt>
                <c:pt idx="1">
                  <c:v>Energie</c:v>
                </c:pt>
                <c:pt idx="2">
                  <c:v>Transporturi</c:v>
                </c:pt>
                <c:pt idx="3">
                  <c:v>IMM-uri și întreprinderi cu capitalizare medie</c:v>
                </c:pt>
                <c:pt idx="4">
                  <c:v>Digital</c:v>
                </c:pt>
                <c:pt idx="5">
                  <c:v>Mediu și utilizarea eficientă a resurselor</c:v>
                </c:pt>
                <c:pt idx="6">
                  <c:v>Infrastructură socială</c:v>
                </c:pt>
                <c:pt idx="7">
                  <c:v>Regiuni mai puțin dezvoltate</c:v>
                </c:pt>
                <c:pt idx="8">
                  <c:v>Bioeconomie</c:v>
                </c:pt>
              </c:strCache>
            </c:strRef>
          </c:cat>
          <c:val>
            <c:numRef>
              <c:f>'Fig.1 Invest mobilised_signed'!$D$4:$D$12</c:f>
              <c:numCache>
                <c:formatCode>0.0%;;"-"</c:formatCode>
                <c:ptCount val="9"/>
                <c:pt idx="0">
                  <c:v>0.25585362878530826</c:v>
                </c:pt>
                <c:pt idx="1">
                  <c:v>0.16174545592368919</c:v>
                </c:pt>
                <c:pt idx="2">
                  <c:v>6.4945637260946695E-2</c:v>
                </c:pt>
                <c:pt idx="3">
                  <c:v>0.33356263457446433</c:v>
                </c:pt>
                <c:pt idx="4">
                  <c:v>9.4833455612674894E-2</c:v>
                </c:pt>
                <c:pt idx="5">
                  <c:v>3.3965640087842676E-2</c:v>
                </c:pt>
                <c:pt idx="6">
                  <c:v>4.7214576017822571E-2</c:v>
                </c:pt>
                <c:pt idx="7">
                  <c:v>2.2514228125046138E-3</c:v>
                </c:pt>
                <c:pt idx="8">
                  <c:v>5.6275489247468048E-3</c:v>
                </c:pt>
              </c:numCache>
            </c:numRef>
          </c:val>
          <c:extLst xmlns:c16r2="http://schemas.microsoft.com/office/drawing/2015/06/chart">
            <c:ext xmlns:c16="http://schemas.microsoft.com/office/drawing/2014/chart" uri="{C3380CC4-5D6E-409C-BE32-E72D297353CC}">
              <c16:uniqueId val="{00000001-9390-426D-B52E-2AE2110B5025}"/>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160684224816726"/>
          <c:y val="6.9779161325764519E-2"/>
          <c:w val="0.36726501141380319"/>
          <c:h val="0.9302206536326777"/>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TRANSFERRED_BY xmlns="f113e1a9-2ebf-4b38-b985-dba3f82acaab" xsi:nil="true"/>
    <EC_Collab_DocumentLanguage xmlns="f113e1a9-2ebf-4b38-b985-dba3f82acaab">EN</EC_Collab_DocumentLanguage>
    <EC_ARES_NUMBER xmlns="f113e1a9-2ebf-4b38-b985-dba3f82acaab">
      <Url xsi:nil="true"/>
      <Description xsi:nil="true"/>
    </EC_ARES_NUMBER>
    <Used_x0020_in_x0020_unit_x0020_meeting xmlns="f113e1a9-2ebf-4b38-b985-dba3f82acaab" xsi:nil="true"/>
    <EC_Collab_Status xmlns="f113e1a9-2ebf-4b38-b985-dba3f82acaab">Not Started</EC_Collab_Status>
    <EC_Collab_Reference xmlns="f113e1a9-2ebf-4b38-b985-dba3f82acaab" xsi:nil="true"/>
    <EC_ARES_DATE_TRANSFERRED xmlns="f113e1a9-2ebf-4b38-b985-dba3f82acaab"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67439B78F97C3C4D80E62A38FB03F111" ma:contentTypeVersion="5" ma:contentTypeDescription="Create a new document in this library." ma:contentTypeScope="" ma:versionID="cee8596bcc807da475cf728f61777b8a">
  <xsd:schema xmlns:xsd="http://www.w3.org/2001/XMLSchema" xmlns:xs="http://www.w3.org/2001/XMLSchema" xmlns:p="http://schemas.microsoft.com/office/2006/metadata/properties" xmlns:ns3="f113e1a9-2ebf-4b38-b985-dba3f82acaab" targetNamespace="http://schemas.microsoft.com/office/2006/metadata/properties" ma:root="true" ma:fieldsID="6bca1e8e7eb566d9e337adff3c7e397d" ns3:_="">
    <xsd:import namespace="f113e1a9-2ebf-4b38-b985-dba3f82acaab"/>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Used_x0020_in_x0020_unit_x0020_mee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3e1a9-2ebf-4b38-b985-dba3f82acaa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element name="Used_x0020_in_x0020_unit_x0020_meeting" ma:index="18" nillable="true" ma:displayName="Used in unit meeting" ma:internalName="Used_x0020_in_x0020_unit_x0020_meeting">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38329-3FA0-4754-9F50-1DE5D94F9671}">
  <ds:schemaRefs>
    <ds:schemaRef ds:uri="http://schemas.microsoft.com/office/2006/metadata/properties"/>
    <ds:schemaRef ds:uri="f113e1a9-2ebf-4b38-b985-dba3f82acaa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7B3463EB-EB94-4FD0-B33C-BCB55F289B63}">
  <ds:schemaRefs>
    <ds:schemaRef ds:uri="http://schemas.microsoft.com/sharepoint/v3/contenttype/forms"/>
  </ds:schemaRefs>
</ds:datastoreItem>
</file>

<file path=customXml/itemProps3.xml><?xml version="1.0" encoding="utf-8"?>
<ds:datastoreItem xmlns:ds="http://schemas.openxmlformats.org/officeDocument/2006/customXml" ds:itemID="{964B7AE7-200A-4DCF-A297-49BB67470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13e1a9-2ebf-4b38-b985-dba3f82ac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9DAAF5-DB41-4D2C-8C61-B98EDFCF5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4718</Words>
  <Characters>26002</Characters>
  <Application>Microsoft Office Word</Application>
  <DocSecurity>0</DocSecurity>
  <Lines>500</Lines>
  <Paragraphs>224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35</cp:revision>
  <dcterms:created xsi:type="dcterms:W3CDTF">2021-06-09T12:02:00Z</dcterms:created>
  <dcterms:modified xsi:type="dcterms:W3CDTF">2021-06-27T18:01:00Z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ContentTypeId">
    <vt:lpwstr>0x010100258AA79CEB83498886A3A086811232500067439B78F97C3C4D80E62A38FB03F111</vt:lpwstr>
  </property>
  <property name="OP_sanitized" fmtid="{D5CDD505-2E9C-101B-9397-08002B2CF9AE}" pid="10">
    <vt:lpwstr>True</vt:lpwstr>
  </property>
</Properties>
</file>