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3D9" w:rsidRDefault="00F5719E">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8EEEFA2-C082-4335-9EE0-0BED211EFC4A" style="width:450.55pt;height:333.6pt">
            <v:imagedata r:id="rId8" o:title=""/>
          </v:shape>
        </w:pict>
      </w:r>
      <w:bookmarkEnd w:id="1"/>
    </w:p>
    <w:bookmarkEnd w:id="0"/>
    <w:p w:rsidR="00B243D9" w:rsidRDefault="00B243D9">
      <w:pPr>
        <w:rPr>
          <w:noProof/>
        </w:rPr>
        <w:sectPr w:rsidR="00B243D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2" w:name="_Toc32444145" w:displacedByCustomXml="next"/>
    <w:bookmarkStart w:id="3" w:name="_Toc33800393" w:displacedByCustomXml="next"/>
    <w:sdt>
      <w:sdtPr>
        <w:rPr>
          <w:rFonts w:asciiTheme="minorHAnsi" w:eastAsiaTheme="minorHAnsi" w:hAnsiTheme="minorHAnsi" w:cstheme="minorBidi"/>
          <w:b w:val="0"/>
          <w:caps w:val="0"/>
          <w:noProof/>
          <w:sz w:val="22"/>
          <w:szCs w:val="22"/>
          <w:lang w:eastAsia="en-US"/>
        </w:rPr>
        <w:id w:val="1540171752"/>
        <w:docPartObj>
          <w:docPartGallery w:val="Table of Contents"/>
          <w:docPartUnique/>
        </w:docPartObj>
      </w:sdtPr>
      <w:sdtEndPr>
        <w:rPr>
          <w:rFonts w:ascii="Times New Roman" w:eastAsia="Times New Roman" w:hAnsi="Times New Roman" w:cs="Times New Roman"/>
          <w:bCs/>
          <w:sz w:val="24"/>
          <w:szCs w:val="20"/>
          <w:lang w:eastAsia="en-GB"/>
        </w:rPr>
      </w:sdtEndPr>
      <w:sdtContent>
        <w:p w:rsidR="00B243D9" w:rsidRDefault="00F5719E">
          <w:pPr>
            <w:pStyle w:val="TOCHeading"/>
            <w:rPr>
              <w:noProof/>
            </w:rPr>
          </w:pPr>
          <w:r>
            <w:rPr>
              <w:noProof/>
            </w:rPr>
            <w:t>CUPRINS</w:t>
          </w:r>
        </w:p>
        <w:p w:rsidR="00B243D9" w:rsidRDefault="00F5719E">
          <w:pPr>
            <w:pStyle w:val="TOC1"/>
            <w:rPr>
              <w:rFonts w:asciiTheme="minorHAnsi" w:eastAsiaTheme="minorEastAsia" w:hAnsiTheme="minorHAnsi" w:cstheme="minorBidi"/>
              <w:caps w:val="0"/>
              <w:noProof/>
              <w:sz w:val="22"/>
              <w:szCs w:val="22"/>
              <w:lang w:val="en-US" w:eastAsia="en-US"/>
            </w:rPr>
          </w:pPr>
          <w:r>
            <w:rPr>
              <w:caps w:val="0"/>
              <w:noProof/>
            </w:rPr>
            <w:fldChar w:fldCharType="begin"/>
          </w:r>
          <w:r>
            <w:rPr>
              <w:caps w:val="0"/>
              <w:noProof/>
            </w:rPr>
            <w:instrText xml:space="preserve"> TOC \o "1-3" \h \z \u </w:instrText>
          </w:r>
          <w:r>
            <w:rPr>
              <w:caps w:val="0"/>
              <w:noProof/>
            </w:rPr>
            <w:fldChar w:fldCharType="separate"/>
          </w:r>
          <w:hyperlink w:anchor="_Toc43897129" w:history="1">
            <w:r>
              <w:rPr>
                <w:rStyle w:val="Hyperlink"/>
                <w:noProof/>
              </w:rPr>
              <w:t>1.</w:t>
            </w:r>
            <w:r>
              <w:rPr>
                <w:rFonts w:asciiTheme="minorHAnsi" w:eastAsiaTheme="minorEastAsia" w:hAnsiTheme="minorHAnsi" w:cstheme="minorBidi"/>
                <w:caps w:val="0"/>
                <w:noProof/>
                <w:sz w:val="22"/>
                <w:szCs w:val="22"/>
                <w:lang w:val="en-US" w:eastAsia="en-US"/>
              </w:rPr>
              <w:tab/>
            </w:r>
            <w:r>
              <w:rPr>
                <w:rStyle w:val="Hyperlink"/>
                <w:noProof/>
              </w:rPr>
              <w:t>INTRODUCERE</w:t>
            </w:r>
            <w:r>
              <w:rPr>
                <w:noProof/>
                <w:webHidden/>
              </w:rPr>
              <w:tab/>
            </w:r>
            <w:r>
              <w:rPr>
                <w:noProof/>
                <w:webHidden/>
              </w:rPr>
              <w:fldChar w:fldCharType="begin"/>
            </w:r>
            <w:r>
              <w:rPr>
                <w:noProof/>
                <w:webHidden/>
              </w:rPr>
              <w:instrText xml:space="preserve"> PAGEREF _Toc43897129 \h </w:instrText>
            </w:r>
            <w:r>
              <w:rPr>
                <w:noProof/>
                <w:webHidden/>
              </w:rPr>
            </w:r>
            <w:r>
              <w:rPr>
                <w:noProof/>
                <w:webHidden/>
              </w:rPr>
              <w:fldChar w:fldCharType="separate"/>
            </w:r>
            <w:r>
              <w:rPr>
                <w:noProof/>
                <w:webHidden/>
              </w:rPr>
              <w:t>2</w:t>
            </w:r>
            <w:r>
              <w:rPr>
                <w:noProof/>
                <w:webHidden/>
              </w:rPr>
              <w:fldChar w:fldCharType="end"/>
            </w:r>
          </w:hyperlink>
        </w:p>
        <w:p w:rsidR="00B243D9" w:rsidRDefault="00F5719E" w:rsidP="00F5719E">
          <w:pPr>
            <w:pStyle w:val="TOC1"/>
            <w:ind w:right="1232"/>
            <w:rPr>
              <w:rFonts w:asciiTheme="minorHAnsi" w:eastAsiaTheme="minorEastAsia" w:hAnsiTheme="minorHAnsi" w:cstheme="minorBidi"/>
              <w:caps w:val="0"/>
              <w:noProof/>
              <w:sz w:val="22"/>
              <w:szCs w:val="22"/>
              <w:lang w:val="en-US" w:eastAsia="en-US"/>
            </w:rPr>
          </w:pPr>
          <w:hyperlink w:anchor="_Toc43897130" w:history="1">
            <w:r>
              <w:rPr>
                <w:rStyle w:val="Hyperlink"/>
                <w:noProof/>
              </w:rPr>
              <w:t>2.</w:t>
            </w:r>
            <w:r>
              <w:rPr>
                <w:rFonts w:asciiTheme="minorHAnsi" w:eastAsiaTheme="minorEastAsia" w:hAnsiTheme="minorHAnsi" w:cstheme="minorBidi"/>
                <w:caps w:val="0"/>
                <w:noProof/>
                <w:sz w:val="22"/>
                <w:szCs w:val="22"/>
                <w:lang w:val="en-US" w:eastAsia="en-US"/>
              </w:rPr>
              <w:tab/>
            </w:r>
            <w:r>
              <w:rPr>
                <w:rStyle w:val="Hyperlink"/>
                <w:noProof/>
              </w:rPr>
              <w:t>FACTORII DETERMINANȚI AI SCHIMBĂRILOR DEMOGRAFICE ÎN EUROPA</w:t>
            </w:r>
            <w:r>
              <w:rPr>
                <w:noProof/>
                <w:webHidden/>
              </w:rPr>
              <w:tab/>
            </w:r>
            <w:r>
              <w:rPr>
                <w:noProof/>
                <w:webHidden/>
              </w:rPr>
              <w:fldChar w:fldCharType="begin"/>
            </w:r>
            <w:r>
              <w:rPr>
                <w:noProof/>
                <w:webHidden/>
              </w:rPr>
              <w:instrText xml:space="preserve"> PAGEREF _Toc43897130 \h </w:instrText>
            </w:r>
            <w:r>
              <w:rPr>
                <w:noProof/>
                <w:webHidden/>
              </w:rPr>
            </w:r>
            <w:r>
              <w:rPr>
                <w:noProof/>
                <w:webHidden/>
              </w:rPr>
              <w:fldChar w:fldCharType="separate"/>
            </w:r>
            <w:r>
              <w:rPr>
                <w:noProof/>
                <w:webHidden/>
              </w:rPr>
              <w:t>4</w:t>
            </w:r>
            <w:r>
              <w:rPr>
                <w:noProof/>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1" w:history="1">
            <w:r>
              <w:rPr>
                <w:rStyle w:val="Hyperlink"/>
                <w:lang w:val="fr-BE"/>
              </w:rPr>
              <w:t>2.1. CREȘTEREA SPERANȚEI DE VIAȚĂ</w:t>
            </w:r>
            <w:r>
              <w:rPr>
                <w:webHidden/>
              </w:rPr>
              <w:tab/>
            </w:r>
            <w:r>
              <w:rPr>
                <w:webHidden/>
              </w:rPr>
              <w:fldChar w:fldCharType="begin"/>
            </w:r>
            <w:r>
              <w:rPr>
                <w:webHidden/>
              </w:rPr>
              <w:instrText xml:space="preserve"> PAGEREF _Toc43897131 \h </w:instrText>
            </w:r>
            <w:r>
              <w:rPr>
                <w:webHidden/>
              </w:rPr>
            </w:r>
            <w:r>
              <w:rPr>
                <w:webHidden/>
              </w:rPr>
              <w:fldChar w:fldCharType="separate"/>
            </w:r>
            <w:r>
              <w:rPr>
                <w:webHidden/>
              </w:rPr>
              <w:t>4</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2" w:history="1">
            <w:r>
              <w:rPr>
                <w:rStyle w:val="Hyperlink"/>
              </w:rPr>
              <w:t>2.2. SCĂDEREA NUMĂRULUI DE NAȘTERI</w:t>
            </w:r>
            <w:r>
              <w:rPr>
                <w:webHidden/>
              </w:rPr>
              <w:tab/>
            </w:r>
            <w:r>
              <w:rPr>
                <w:webHidden/>
              </w:rPr>
              <w:fldChar w:fldCharType="begin"/>
            </w:r>
            <w:r>
              <w:rPr>
                <w:webHidden/>
              </w:rPr>
              <w:instrText xml:space="preserve"> PAGEREF _Toc43897132 \h </w:instrText>
            </w:r>
            <w:r>
              <w:rPr>
                <w:webHidden/>
              </w:rPr>
            </w:r>
            <w:r>
              <w:rPr>
                <w:webHidden/>
              </w:rPr>
              <w:fldChar w:fldCharType="separate"/>
            </w:r>
            <w:r>
              <w:rPr>
                <w:webHidden/>
              </w:rPr>
              <w:t>8</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3" w:history="1">
            <w:r>
              <w:rPr>
                <w:rStyle w:val="Hyperlink"/>
                <w:lang w:val="fr-BE"/>
              </w:rPr>
              <w:t>2.3. ÎMBĂTRÂNIREA POPULAȚIEI</w:t>
            </w:r>
            <w:r>
              <w:rPr>
                <w:webHidden/>
              </w:rPr>
              <w:tab/>
            </w:r>
            <w:r>
              <w:rPr>
                <w:webHidden/>
              </w:rPr>
              <w:fldChar w:fldCharType="begin"/>
            </w:r>
            <w:r>
              <w:rPr>
                <w:webHidden/>
              </w:rPr>
              <w:instrText xml:space="preserve"> PAGEREF _Toc43897133 \h </w:instrText>
            </w:r>
            <w:r>
              <w:rPr>
                <w:webHidden/>
              </w:rPr>
            </w:r>
            <w:r>
              <w:rPr>
                <w:webHidden/>
              </w:rPr>
              <w:fldChar w:fldCharType="separate"/>
            </w:r>
            <w:r>
              <w:rPr>
                <w:webHidden/>
              </w:rPr>
              <w:t>10</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4" w:history="1">
            <w:r>
              <w:rPr>
                <w:rStyle w:val="Hyperlink"/>
                <w:lang w:val="fr-BE"/>
              </w:rPr>
              <w:t>2.4. G</w:t>
            </w:r>
            <w:r>
              <w:rPr>
                <w:rStyle w:val="Hyperlink"/>
                <w:lang w:val="fr-BE"/>
              </w:rPr>
              <w:t>OSPODĂRII MAI MICI</w:t>
            </w:r>
            <w:r>
              <w:rPr>
                <w:webHidden/>
              </w:rPr>
              <w:tab/>
            </w:r>
            <w:r>
              <w:rPr>
                <w:webHidden/>
              </w:rPr>
              <w:fldChar w:fldCharType="begin"/>
            </w:r>
            <w:r>
              <w:rPr>
                <w:webHidden/>
              </w:rPr>
              <w:instrText xml:space="preserve"> PAGEREF _Toc43897134 \h </w:instrText>
            </w:r>
            <w:r>
              <w:rPr>
                <w:webHidden/>
              </w:rPr>
            </w:r>
            <w:r>
              <w:rPr>
                <w:webHidden/>
              </w:rPr>
              <w:fldChar w:fldCharType="separate"/>
            </w:r>
            <w:r>
              <w:rPr>
                <w:webHidden/>
              </w:rPr>
              <w:t>11</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5" w:history="1">
            <w:r>
              <w:rPr>
                <w:rStyle w:val="Hyperlink"/>
                <w:lang w:val="fr-BE"/>
              </w:rPr>
              <w:t>2.5. O EUROPĂ MAI MOBILĂ</w:t>
            </w:r>
            <w:r>
              <w:rPr>
                <w:webHidden/>
              </w:rPr>
              <w:tab/>
            </w:r>
            <w:r>
              <w:rPr>
                <w:webHidden/>
              </w:rPr>
              <w:fldChar w:fldCharType="begin"/>
            </w:r>
            <w:r>
              <w:rPr>
                <w:webHidden/>
              </w:rPr>
              <w:instrText xml:space="preserve"> PAGEREF _Toc43897135 \h </w:instrText>
            </w:r>
            <w:r>
              <w:rPr>
                <w:webHidden/>
              </w:rPr>
            </w:r>
            <w:r>
              <w:rPr>
                <w:webHidden/>
              </w:rPr>
              <w:fldChar w:fldCharType="separate"/>
            </w:r>
            <w:r>
              <w:rPr>
                <w:webHidden/>
              </w:rPr>
              <w:t>12</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6" w:history="1">
            <w:r>
              <w:rPr>
                <w:rStyle w:val="Hyperlink"/>
                <w:lang w:val="fr-BE"/>
              </w:rPr>
              <w:t>2.6. O DIMENSIUNE A POPULAȚIEI ÎN SCHIMBARE</w:t>
            </w:r>
            <w:r>
              <w:rPr>
                <w:webHidden/>
              </w:rPr>
              <w:tab/>
            </w:r>
            <w:r>
              <w:rPr>
                <w:webHidden/>
              </w:rPr>
              <w:fldChar w:fldCharType="begin"/>
            </w:r>
            <w:r>
              <w:rPr>
                <w:webHidden/>
              </w:rPr>
              <w:instrText xml:space="preserve"> PAGEREF _Toc43897136 \h </w:instrText>
            </w:r>
            <w:r>
              <w:rPr>
                <w:webHidden/>
              </w:rPr>
            </w:r>
            <w:r>
              <w:rPr>
                <w:webHidden/>
              </w:rPr>
              <w:fldChar w:fldCharType="separate"/>
            </w:r>
            <w:r>
              <w:rPr>
                <w:webHidden/>
              </w:rPr>
              <w:t>13</w:t>
            </w:r>
            <w:r>
              <w:rPr>
                <w:webHidden/>
              </w:rPr>
              <w:fldChar w:fldCharType="end"/>
            </w:r>
          </w:hyperlink>
        </w:p>
        <w:p w:rsidR="00B243D9" w:rsidRDefault="00F5719E" w:rsidP="00F5719E">
          <w:pPr>
            <w:pStyle w:val="TOC1"/>
            <w:ind w:right="1352"/>
            <w:rPr>
              <w:rFonts w:asciiTheme="minorHAnsi" w:eastAsiaTheme="minorEastAsia" w:hAnsiTheme="minorHAnsi" w:cstheme="minorBidi"/>
              <w:caps w:val="0"/>
              <w:noProof/>
              <w:sz w:val="22"/>
              <w:szCs w:val="22"/>
              <w:lang w:val="en-US" w:eastAsia="en-US"/>
            </w:rPr>
          </w:pPr>
          <w:hyperlink w:anchor="_Toc43897137" w:history="1">
            <w:r>
              <w:rPr>
                <w:rStyle w:val="Hyperlink"/>
                <w:noProof/>
                <w:lang w:val="fr-BE"/>
              </w:rPr>
              <w:t>3.</w:t>
            </w:r>
            <w:r>
              <w:rPr>
                <w:rFonts w:asciiTheme="minorHAnsi" w:eastAsiaTheme="minorEastAsia" w:hAnsiTheme="minorHAnsi" w:cstheme="minorBidi"/>
                <w:caps w:val="0"/>
                <w:noProof/>
                <w:sz w:val="22"/>
                <w:szCs w:val="22"/>
                <w:lang w:val="en-US" w:eastAsia="en-US"/>
              </w:rPr>
              <w:tab/>
            </w:r>
            <w:r>
              <w:rPr>
                <w:rStyle w:val="Hyperlink"/>
                <w:noProof/>
                <w:lang w:val="fr-BE"/>
              </w:rPr>
              <w:t xml:space="preserve">IMPACTUL SCHIMBĂRILOR DEMOGRAFICE ASUPRA </w:t>
            </w:r>
            <w:r>
              <w:rPr>
                <w:rStyle w:val="Hyperlink"/>
                <w:noProof/>
                <w:lang w:val="fr-BE"/>
              </w:rPr>
              <w:t>ECONOMIEI NOASTRE SOCIALE DE PIAȚĂ</w:t>
            </w:r>
            <w:r>
              <w:rPr>
                <w:noProof/>
                <w:webHidden/>
              </w:rPr>
              <w:tab/>
            </w:r>
            <w:r>
              <w:rPr>
                <w:noProof/>
                <w:webHidden/>
              </w:rPr>
              <w:fldChar w:fldCharType="begin"/>
            </w:r>
            <w:r>
              <w:rPr>
                <w:noProof/>
                <w:webHidden/>
              </w:rPr>
              <w:instrText xml:space="preserve"> PAGEREF _Toc43897137 \h </w:instrText>
            </w:r>
            <w:r>
              <w:rPr>
                <w:noProof/>
                <w:webHidden/>
              </w:rPr>
            </w:r>
            <w:r>
              <w:rPr>
                <w:noProof/>
                <w:webHidden/>
              </w:rPr>
              <w:fldChar w:fldCharType="separate"/>
            </w:r>
            <w:r>
              <w:rPr>
                <w:noProof/>
                <w:webHidden/>
              </w:rPr>
              <w:t>15</w:t>
            </w:r>
            <w:r>
              <w:rPr>
                <w:noProof/>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38" w:history="1">
            <w:r>
              <w:rPr>
                <w:rStyle w:val="Hyperlink"/>
                <w:lang w:val="fr-BE"/>
              </w:rPr>
              <w:t>3.1. OAMENI, MUNCĂ ȘI COMPETENȚE</w:t>
            </w:r>
            <w:r>
              <w:rPr>
                <w:webHidden/>
              </w:rPr>
              <w:tab/>
            </w:r>
            <w:r>
              <w:rPr>
                <w:webHidden/>
              </w:rPr>
              <w:fldChar w:fldCharType="begin"/>
            </w:r>
            <w:r>
              <w:rPr>
                <w:webHidden/>
              </w:rPr>
              <w:instrText xml:space="preserve"> PAGEREF _Toc43897138 \h </w:instrText>
            </w:r>
            <w:r>
              <w:rPr>
                <w:webHidden/>
              </w:rPr>
            </w:r>
            <w:r>
              <w:rPr>
                <w:webHidden/>
              </w:rPr>
              <w:fldChar w:fldCharType="separate"/>
            </w:r>
            <w:r>
              <w:rPr>
                <w:webHidden/>
              </w:rPr>
              <w:t>16</w:t>
            </w:r>
            <w:r>
              <w:rPr>
                <w:webHidden/>
              </w:rPr>
              <w:fldChar w:fldCharType="end"/>
            </w:r>
          </w:hyperlink>
        </w:p>
        <w:p w:rsidR="00B243D9" w:rsidRDefault="00F5719E" w:rsidP="00F5719E">
          <w:pPr>
            <w:pStyle w:val="TOC2"/>
            <w:ind w:right="1232"/>
            <w:rPr>
              <w:rFonts w:asciiTheme="minorHAnsi" w:eastAsiaTheme="minorEastAsia" w:hAnsiTheme="minorHAnsi" w:cstheme="minorBidi"/>
              <w:sz w:val="22"/>
              <w:szCs w:val="22"/>
              <w:lang w:val="en-US" w:eastAsia="en-US"/>
            </w:rPr>
          </w:pPr>
          <w:hyperlink w:anchor="_Toc43897139" w:history="1">
            <w:r>
              <w:rPr>
                <w:rStyle w:val="Hyperlink"/>
              </w:rPr>
              <w:t>3.1.1 O PIAȚĂ A MUNCII MAI EXTINSĂ ȘI MAI FAVORABILĂ INCLUZIUNII</w:t>
            </w:r>
            <w:r>
              <w:rPr>
                <w:webHidden/>
              </w:rPr>
              <w:tab/>
            </w:r>
            <w:r>
              <w:rPr>
                <w:webHidden/>
              </w:rPr>
              <w:fldChar w:fldCharType="begin"/>
            </w:r>
            <w:r>
              <w:rPr>
                <w:webHidden/>
              </w:rPr>
              <w:instrText xml:space="preserve"> PAGEREF _Toc43897139 \h </w:instrText>
            </w:r>
            <w:r>
              <w:rPr>
                <w:webHidden/>
              </w:rPr>
            </w:r>
            <w:r>
              <w:rPr>
                <w:webHidden/>
              </w:rPr>
              <w:fldChar w:fldCharType="separate"/>
            </w:r>
            <w:r>
              <w:rPr>
                <w:webHidden/>
              </w:rPr>
              <w:t>17</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40" w:history="1">
            <w:r>
              <w:rPr>
                <w:rStyle w:val="Hyperlink"/>
                <w:lang w:val="fr-BE"/>
              </w:rPr>
              <w:t>3.1.2. PRODUCTIVITATE PRIN COMPETENȚE ȘI EDUCAȚIE</w:t>
            </w:r>
            <w:r>
              <w:rPr>
                <w:webHidden/>
              </w:rPr>
              <w:tab/>
            </w:r>
            <w:r>
              <w:rPr>
                <w:webHidden/>
              </w:rPr>
              <w:fldChar w:fldCharType="begin"/>
            </w:r>
            <w:r>
              <w:rPr>
                <w:webHidden/>
              </w:rPr>
              <w:instrText xml:space="preserve"> PAGEREF _Toc43897140 \h </w:instrText>
            </w:r>
            <w:r>
              <w:rPr>
                <w:webHidden/>
              </w:rPr>
            </w:r>
            <w:r>
              <w:rPr>
                <w:webHidden/>
              </w:rPr>
              <w:fldChar w:fldCharType="separate"/>
            </w:r>
            <w:r>
              <w:rPr>
                <w:webHidden/>
              </w:rPr>
              <w:t>19</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41" w:history="1">
            <w:r>
              <w:rPr>
                <w:rStyle w:val="Hyperlink"/>
                <w:lang w:val="fr-BE"/>
              </w:rPr>
              <w:t>3.2. SĂNĂTATEA ȘI ÎNGRIJIREA PE TERMEN LUNG</w:t>
            </w:r>
            <w:r>
              <w:rPr>
                <w:webHidden/>
              </w:rPr>
              <w:tab/>
            </w:r>
            <w:r>
              <w:rPr>
                <w:webHidden/>
              </w:rPr>
              <w:fldChar w:fldCharType="begin"/>
            </w:r>
            <w:r>
              <w:rPr>
                <w:webHidden/>
              </w:rPr>
              <w:instrText xml:space="preserve"> PAGEREF _Toc43897141 \h </w:instrText>
            </w:r>
            <w:r>
              <w:rPr>
                <w:webHidden/>
              </w:rPr>
            </w:r>
            <w:r>
              <w:rPr>
                <w:webHidden/>
              </w:rPr>
              <w:fldChar w:fldCharType="separate"/>
            </w:r>
            <w:r>
              <w:rPr>
                <w:webHidden/>
              </w:rPr>
              <w:t>20</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42" w:history="1">
            <w:r>
              <w:rPr>
                <w:rStyle w:val="Hyperlink"/>
                <w:lang w:val="fr-BE"/>
              </w:rPr>
              <w:t>3.3. IMPACTUL ASUPRA BUGETELOR PUBLICE</w:t>
            </w:r>
            <w:r>
              <w:rPr>
                <w:webHidden/>
              </w:rPr>
              <w:tab/>
            </w:r>
            <w:r>
              <w:rPr>
                <w:webHidden/>
              </w:rPr>
              <w:fldChar w:fldCharType="begin"/>
            </w:r>
            <w:r>
              <w:rPr>
                <w:webHidden/>
              </w:rPr>
              <w:instrText xml:space="preserve"> PAGEREF _Toc43897142 \h </w:instrText>
            </w:r>
            <w:r>
              <w:rPr>
                <w:webHidden/>
              </w:rPr>
            </w:r>
            <w:r>
              <w:rPr>
                <w:webHidden/>
              </w:rPr>
              <w:fldChar w:fldCharType="separate"/>
            </w:r>
            <w:r>
              <w:rPr>
                <w:webHidden/>
              </w:rPr>
              <w:t>23</w:t>
            </w:r>
            <w:r>
              <w:rPr>
                <w:webHidden/>
              </w:rPr>
              <w:fldChar w:fldCharType="end"/>
            </w:r>
          </w:hyperlink>
        </w:p>
        <w:p w:rsidR="00B243D9" w:rsidRDefault="00F5719E">
          <w:pPr>
            <w:pStyle w:val="TOC2"/>
            <w:rPr>
              <w:rFonts w:asciiTheme="minorHAnsi" w:eastAsiaTheme="minorEastAsia" w:hAnsiTheme="minorHAnsi" w:cstheme="minorBidi"/>
              <w:sz w:val="22"/>
              <w:szCs w:val="22"/>
              <w:lang w:val="en-US" w:eastAsia="en-US"/>
            </w:rPr>
          </w:pPr>
          <w:hyperlink w:anchor="_Toc43897143" w:history="1">
            <w:r>
              <w:rPr>
                <w:rStyle w:val="Hyperlink"/>
                <w:lang w:val="fr-BE"/>
              </w:rPr>
              <w:t>3.4. DIMENSIUNEA REGIONALĂ ȘI LOCALĂ</w:t>
            </w:r>
            <w:r>
              <w:rPr>
                <w:webHidden/>
              </w:rPr>
              <w:tab/>
            </w:r>
            <w:r>
              <w:rPr>
                <w:webHidden/>
              </w:rPr>
              <w:fldChar w:fldCharType="begin"/>
            </w:r>
            <w:r>
              <w:rPr>
                <w:webHidden/>
              </w:rPr>
              <w:instrText xml:space="preserve"> PAGEREF _Toc43897143 \h </w:instrText>
            </w:r>
            <w:r>
              <w:rPr>
                <w:webHidden/>
              </w:rPr>
            </w:r>
            <w:r>
              <w:rPr>
                <w:webHidden/>
              </w:rPr>
              <w:fldChar w:fldCharType="separate"/>
            </w:r>
            <w:r>
              <w:rPr>
                <w:webHidden/>
              </w:rPr>
              <w:t>24</w:t>
            </w:r>
            <w:r>
              <w:rPr>
                <w:webHidden/>
              </w:rPr>
              <w:fldChar w:fldCharType="end"/>
            </w:r>
          </w:hyperlink>
        </w:p>
        <w:p w:rsidR="00B243D9" w:rsidRDefault="00F5719E">
          <w:pPr>
            <w:pStyle w:val="TOC3"/>
            <w:ind w:left="567" w:firstLine="0"/>
            <w:rPr>
              <w:rFonts w:asciiTheme="minorHAnsi" w:eastAsiaTheme="minorEastAsia" w:hAnsiTheme="minorHAnsi" w:cstheme="minorBidi"/>
              <w:noProof/>
              <w:sz w:val="22"/>
              <w:szCs w:val="22"/>
              <w:lang w:val="en-US" w:eastAsia="en-US"/>
            </w:rPr>
          </w:pPr>
          <w:hyperlink w:anchor="_Toc43897144" w:history="1">
            <w:r>
              <w:rPr>
                <w:rStyle w:val="Hyperlink"/>
                <w:noProof/>
                <w:lang w:val="fr-BE"/>
              </w:rPr>
              <w:t>3.4.1. CALITATEA VIEȚII, INFRASTRUCTURA ȘI ACCESUL LA SE</w:t>
            </w:r>
            <w:r>
              <w:rPr>
                <w:rStyle w:val="Hyperlink"/>
                <w:noProof/>
                <w:lang w:val="fr-BE"/>
              </w:rPr>
              <w:t>RVICII</w:t>
            </w:r>
            <w:r>
              <w:rPr>
                <w:rStyle w:val="Hyperlink"/>
                <w:noProof/>
                <w:webHidden/>
                <w:lang w:val="fr-BE"/>
              </w:rPr>
              <w:tab/>
            </w:r>
            <w:r>
              <w:rPr>
                <w:noProof/>
                <w:webHidden/>
              </w:rPr>
              <w:tab/>
            </w:r>
            <w:r>
              <w:rPr>
                <w:noProof/>
                <w:webHidden/>
              </w:rPr>
              <w:fldChar w:fldCharType="begin"/>
            </w:r>
            <w:r>
              <w:rPr>
                <w:noProof/>
                <w:webHidden/>
              </w:rPr>
              <w:instrText xml:space="preserve"> PAGEREF _Toc43897144 \h </w:instrText>
            </w:r>
            <w:r>
              <w:rPr>
                <w:noProof/>
                <w:webHidden/>
              </w:rPr>
            </w:r>
            <w:r>
              <w:rPr>
                <w:noProof/>
                <w:webHidden/>
              </w:rPr>
              <w:fldChar w:fldCharType="separate"/>
            </w:r>
            <w:r>
              <w:rPr>
                <w:noProof/>
                <w:webHidden/>
              </w:rPr>
              <w:t>27</w:t>
            </w:r>
            <w:r>
              <w:rPr>
                <w:noProof/>
                <w:webHidden/>
              </w:rPr>
              <w:fldChar w:fldCharType="end"/>
            </w:r>
          </w:hyperlink>
        </w:p>
        <w:p w:rsidR="00B243D9" w:rsidRDefault="00F5719E">
          <w:pPr>
            <w:pStyle w:val="TOC2"/>
            <w:tabs>
              <w:tab w:val="left" w:pos="1077"/>
            </w:tabs>
            <w:ind w:left="0" w:firstLine="0"/>
            <w:rPr>
              <w:rFonts w:asciiTheme="minorHAnsi" w:eastAsiaTheme="minorEastAsia" w:hAnsiTheme="minorHAnsi" w:cstheme="minorBidi"/>
              <w:sz w:val="22"/>
              <w:szCs w:val="22"/>
              <w:lang w:val="en-US" w:eastAsia="en-US"/>
            </w:rPr>
          </w:pPr>
          <w:hyperlink w:anchor="_Toc43897145" w:history="1">
            <w:r>
              <w:rPr>
                <w:rStyle w:val="Hyperlink"/>
                <w:lang w:val="fr-BE"/>
              </w:rPr>
              <w:t>4.</w:t>
            </w:r>
            <w:r>
              <w:rPr>
                <w:rFonts w:asciiTheme="minorHAnsi" w:eastAsiaTheme="minorEastAsia" w:hAnsiTheme="minorHAnsi" w:cstheme="minorBidi"/>
                <w:sz w:val="22"/>
                <w:szCs w:val="22"/>
                <w:lang w:val="en-US" w:eastAsia="en-US"/>
              </w:rPr>
              <w:tab/>
            </w:r>
            <w:r>
              <w:rPr>
                <w:rStyle w:val="Hyperlink"/>
                <w:lang w:val="fr-BE"/>
              </w:rPr>
              <w:t>DUBLA TRANZIȚIE ȘI SCHIMBĂRILE DEMOGRAFICE</w:t>
            </w:r>
            <w:r>
              <w:rPr>
                <w:webHidden/>
              </w:rPr>
              <w:tab/>
            </w:r>
            <w:r>
              <w:rPr>
                <w:webHidden/>
              </w:rPr>
              <w:fldChar w:fldCharType="begin"/>
            </w:r>
            <w:r>
              <w:rPr>
                <w:webHidden/>
              </w:rPr>
              <w:instrText xml:space="preserve"> PAGEREF _Toc43897145 \h </w:instrText>
            </w:r>
            <w:r>
              <w:rPr>
                <w:webHidden/>
              </w:rPr>
            </w:r>
            <w:r>
              <w:rPr>
                <w:webHidden/>
              </w:rPr>
              <w:fldChar w:fldCharType="separate"/>
            </w:r>
            <w:r>
              <w:rPr>
                <w:webHidden/>
              </w:rPr>
              <w:t>31</w:t>
            </w:r>
            <w:r>
              <w:rPr>
                <w:webHidden/>
              </w:rPr>
              <w:fldChar w:fldCharType="end"/>
            </w:r>
          </w:hyperlink>
        </w:p>
        <w:p w:rsidR="00B243D9" w:rsidRDefault="00F5719E">
          <w:pPr>
            <w:pStyle w:val="TOC2"/>
            <w:tabs>
              <w:tab w:val="left" w:pos="1077"/>
            </w:tabs>
            <w:ind w:left="0" w:firstLine="0"/>
            <w:rPr>
              <w:rFonts w:asciiTheme="minorHAnsi" w:eastAsiaTheme="minorEastAsia" w:hAnsiTheme="minorHAnsi" w:cstheme="minorBidi"/>
              <w:sz w:val="22"/>
              <w:szCs w:val="22"/>
              <w:lang w:val="en-US" w:eastAsia="en-US"/>
            </w:rPr>
          </w:pPr>
          <w:hyperlink w:anchor="_Toc43897146" w:history="1">
            <w:r>
              <w:rPr>
                <w:rStyle w:val="Hyperlink"/>
                <w:lang w:val="fr-BE"/>
              </w:rPr>
              <w:t xml:space="preserve">5. </w:t>
            </w:r>
            <w:r>
              <w:rPr>
                <w:rFonts w:asciiTheme="minorHAnsi" w:eastAsiaTheme="minorEastAsia" w:hAnsiTheme="minorHAnsi" w:cstheme="minorBidi"/>
                <w:sz w:val="22"/>
                <w:szCs w:val="22"/>
                <w:lang w:val="en-US" w:eastAsia="en-US"/>
              </w:rPr>
              <w:tab/>
            </w:r>
            <w:r>
              <w:rPr>
                <w:rStyle w:val="Hyperlink"/>
                <w:lang w:val="fr-BE"/>
              </w:rPr>
              <w:t>GEOPOLITICA DEMOGRAFIEI: EUROPA ÎN LUME</w:t>
            </w:r>
            <w:r>
              <w:rPr>
                <w:webHidden/>
              </w:rPr>
              <w:tab/>
            </w:r>
            <w:r>
              <w:rPr>
                <w:webHidden/>
              </w:rPr>
              <w:fldChar w:fldCharType="begin"/>
            </w:r>
            <w:r>
              <w:rPr>
                <w:webHidden/>
              </w:rPr>
              <w:instrText xml:space="preserve"> PAGEREF _Toc43897146 \h </w:instrText>
            </w:r>
            <w:r>
              <w:rPr>
                <w:webHidden/>
              </w:rPr>
            </w:r>
            <w:r>
              <w:rPr>
                <w:webHidden/>
              </w:rPr>
              <w:fldChar w:fldCharType="separate"/>
            </w:r>
            <w:r>
              <w:rPr>
                <w:webHidden/>
              </w:rPr>
              <w:t>32</w:t>
            </w:r>
            <w:r>
              <w:rPr>
                <w:webHidden/>
              </w:rPr>
              <w:fldChar w:fldCharType="end"/>
            </w:r>
          </w:hyperlink>
        </w:p>
        <w:p w:rsidR="00B243D9" w:rsidRDefault="00F5719E">
          <w:pPr>
            <w:pStyle w:val="TOC2"/>
            <w:ind w:left="0" w:firstLine="0"/>
            <w:rPr>
              <w:rFonts w:asciiTheme="minorHAnsi" w:eastAsiaTheme="minorEastAsia" w:hAnsiTheme="minorHAnsi" w:cstheme="minorBidi"/>
              <w:sz w:val="22"/>
              <w:szCs w:val="22"/>
              <w:lang w:val="en-US" w:eastAsia="en-US"/>
            </w:rPr>
          </w:pPr>
          <w:hyperlink w:anchor="_Toc43897147" w:history="1">
            <w:r>
              <w:rPr>
                <w:rStyle w:val="Hyperlink"/>
                <w:lang w:val="fr-BE"/>
              </w:rPr>
              <w:t>CONCLUZII ȘI PERSPECTIVE</w:t>
            </w:r>
            <w:r>
              <w:rPr>
                <w:webHidden/>
              </w:rPr>
              <w:tab/>
            </w:r>
            <w:r>
              <w:rPr>
                <w:webHidden/>
              </w:rPr>
              <w:fldChar w:fldCharType="begin"/>
            </w:r>
            <w:r>
              <w:rPr>
                <w:webHidden/>
              </w:rPr>
              <w:instrText xml:space="preserve"> PAGEREF _Toc43897147 \h </w:instrText>
            </w:r>
            <w:r>
              <w:rPr>
                <w:webHidden/>
              </w:rPr>
            </w:r>
            <w:r>
              <w:rPr>
                <w:webHidden/>
              </w:rPr>
              <w:fldChar w:fldCharType="separate"/>
            </w:r>
            <w:r>
              <w:rPr>
                <w:webHidden/>
              </w:rPr>
              <w:t>35</w:t>
            </w:r>
            <w:r>
              <w:rPr>
                <w:webHidden/>
              </w:rPr>
              <w:fldChar w:fldCharType="end"/>
            </w:r>
          </w:hyperlink>
        </w:p>
        <w:p w:rsidR="00B243D9" w:rsidRDefault="00F5719E">
          <w:pPr>
            <w:pStyle w:val="TOC2"/>
          </w:pPr>
          <w:r>
            <w:rPr>
              <w:caps/>
            </w:rPr>
            <w:fldChar w:fldCharType="end"/>
          </w:r>
        </w:p>
      </w:sdtContent>
    </w:sdt>
    <w:p w:rsidR="00B243D9" w:rsidRDefault="00F5719E">
      <w:pPr>
        <w:pStyle w:val="Heading1"/>
        <w:rPr>
          <w:noProof/>
          <w:color w:val="000000" w:themeColor="text1"/>
          <w:szCs w:val="24"/>
          <w:lang w:val="ro-RO"/>
        </w:rPr>
      </w:pPr>
      <w:r>
        <w:rPr>
          <w:noProof/>
          <w:color w:val="0070C0"/>
          <w:sz w:val="28"/>
          <w:szCs w:val="28"/>
        </w:rPr>
        <w:br w:type="page"/>
      </w:r>
      <w:bookmarkStart w:id="4" w:name="_Toc42531856"/>
      <w:bookmarkStart w:id="5" w:name="_Toc43897129"/>
      <w:r>
        <w:rPr>
          <w:noProof/>
          <w:color w:val="000000" w:themeColor="text1"/>
          <w:szCs w:val="24"/>
          <w:lang w:val="ro-RO"/>
        </w:rPr>
        <w:lastRenderedPageBreak/>
        <w:t>INTRODUCERE</w:t>
      </w:r>
      <w:bookmarkEnd w:id="4"/>
      <w:bookmarkEnd w:id="5"/>
    </w:p>
    <w:p w:rsidR="00B243D9" w:rsidRDefault="00F5719E">
      <w:pPr>
        <w:jc w:val="both"/>
        <w:rPr>
          <w:rFonts w:ascii="Times New Roman" w:hAnsi="Times New Roman" w:cs="Times New Roman"/>
          <w:noProof/>
          <w:sz w:val="24"/>
          <w:szCs w:val="24"/>
          <w:lang w:val="ro-RO"/>
        </w:rPr>
      </w:pPr>
      <w:r>
        <w:rPr>
          <w:rFonts w:ascii="Times New Roman" w:hAnsi="Times New Roman"/>
          <w:noProof/>
          <w:sz w:val="24"/>
          <w:lang w:val="ro-RO"/>
        </w:rPr>
        <w:t>Izbucnirea pandemiei de COVID-19 a schimbat Europa și lumea extrem de repede.</w:t>
      </w:r>
      <w:r>
        <w:rPr>
          <w:rFonts w:ascii="Times New Roman" w:hAnsi="Times New Roman"/>
          <w:noProof/>
          <w:sz w:val="24"/>
          <w:szCs w:val="24"/>
          <w:lang w:val="ro-RO"/>
        </w:rPr>
        <w:t xml:space="preserve"> Aceasta ne-a pus la încercare sistemele de sănătate și de protecție socială, precum și reziliența economică și socială. Pandemia va avea un impact de durată asupra modului în care trăim și lucrăm împreună – chiar și după ce virusul va dispărea. </w:t>
      </w:r>
      <w:r>
        <w:rPr>
          <w:rFonts w:ascii="Times New Roman" w:hAnsi="Times New Roman"/>
          <w:noProof/>
          <w:sz w:val="24"/>
          <w:lang w:val="ro-RO"/>
        </w:rPr>
        <w:t xml:space="preserve">Aceasta a </w:t>
      </w:r>
      <w:r>
        <w:rPr>
          <w:rFonts w:ascii="Times New Roman" w:hAnsi="Times New Roman"/>
          <w:noProof/>
          <w:sz w:val="24"/>
          <w:lang w:val="ro-RO"/>
        </w:rPr>
        <w:t>lovit într-un moment în care Europa trecea deja printr-o perioadă de transformare profundă datorată schimbărilor climatice, societale și demografice.</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Schimbările demografice sunt despre oameni și viața acestora</w:t>
      </w:r>
      <w:r>
        <w:rPr>
          <w:rFonts w:ascii="Times New Roman" w:hAnsi="Times New Roman"/>
          <w:noProof/>
          <w:sz w:val="24"/>
          <w:szCs w:val="24"/>
          <w:lang w:val="ro-RO"/>
        </w:rPr>
        <w:t>. Este vorba despre ceea ce facem, despre modu</w:t>
      </w:r>
      <w:r>
        <w:rPr>
          <w:rFonts w:ascii="Times New Roman" w:hAnsi="Times New Roman"/>
          <w:noProof/>
          <w:sz w:val="24"/>
          <w:szCs w:val="24"/>
          <w:lang w:val="ro-RO"/>
        </w:rPr>
        <w:t>l nostru de lucru și despre locul pe care îl numim acasă. Este vorba despre comunitățile noastre și despre modul în care trăim împreună. Este vorba despre o mulțime de oameni și medii care ne îmbogățesc și modelează societățile, ne fac mai puternici și dau</w:t>
      </w:r>
      <w:r>
        <w:rPr>
          <w:rFonts w:ascii="Times New Roman" w:hAnsi="Times New Roman"/>
          <w:noProof/>
          <w:sz w:val="24"/>
          <w:szCs w:val="24"/>
          <w:lang w:val="ro-RO"/>
        </w:rPr>
        <w:t xml:space="preserve"> viață motto-ului UE, </w:t>
      </w:r>
      <w:r>
        <w:rPr>
          <w:rFonts w:ascii="Times New Roman" w:hAnsi="Times New Roman"/>
          <w:i/>
          <w:iCs/>
          <w:noProof/>
          <w:sz w:val="24"/>
          <w:szCs w:val="24"/>
          <w:lang w:val="ro-RO"/>
        </w:rPr>
        <w:t>Uniți în diversitate</w:t>
      </w:r>
      <w:r>
        <w:rPr>
          <w:rFonts w:ascii="Times New Roman" w:hAnsi="Times New Roman"/>
          <w:noProof/>
          <w:sz w:val="24"/>
          <w:szCs w:val="24"/>
          <w:lang w:val="ro-RO"/>
        </w:rPr>
        <w:t>. Avem nevoie de asta mai mult ca oricând. Pe măsură ce ieșim încet și cu precauție din perioadele de limitare a deplasării persoanelor impuse în întreaga Europă, ni se reamintește cât de important este să înțelege</w:t>
      </w:r>
      <w:r>
        <w:rPr>
          <w:rFonts w:ascii="Times New Roman" w:hAnsi="Times New Roman"/>
          <w:noProof/>
          <w:sz w:val="24"/>
          <w:szCs w:val="24"/>
          <w:lang w:val="ro-RO"/>
        </w:rPr>
        <w:t>m impactul pe care schimbările demografice îl au asupra societății noastre și să luăm măsuri în acest sens. Aceste măsuri vor trebui integrate în planul de redresare a Europei și în capitolul cu lecții învățate – fie că este vorba de dimensiunea socială și</w:t>
      </w:r>
      <w:r>
        <w:rPr>
          <w:rFonts w:ascii="Times New Roman" w:hAnsi="Times New Roman"/>
          <w:noProof/>
          <w:sz w:val="24"/>
          <w:szCs w:val="24"/>
          <w:lang w:val="ro-RO"/>
        </w:rPr>
        <w:t xml:space="preserve"> economică, de domeniul sănătății și al îngrijirii pe termen lung sau de multe alte aspecte.</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În ultimele săptămâni și luni, legătura dintre structurile demografice și potențialul de impact și de redresare a fost expusă într-un mod accentuat și adesea durer</w:t>
      </w:r>
      <w:r>
        <w:rPr>
          <w:rFonts w:ascii="Times New Roman" w:hAnsi="Times New Roman"/>
          <w:noProof/>
          <w:sz w:val="24"/>
          <w:szCs w:val="24"/>
          <w:lang w:val="ro-RO"/>
        </w:rPr>
        <w:t>os. Am văzut cum generația celor mai în vârstă a suferit cel mai mult, persoanele în vârstă fiind cele mai vulnerabile în această criză. Acestea sunt nu doar expuse unui risc mai mare de complicații în cazul în care contractează boala, ci sunt și printre c</w:t>
      </w:r>
      <w:r>
        <w:rPr>
          <w:rFonts w:ascii="Times New Roman" w:hAnsi="Times New Roman"/>
          <w:noProof/>
          <w:sz w:val="24"/>
          <w:szCs w:val="24"/>
          <w:lang w:val="ro-RO"/>
        </w:rPr>
        <w:t xml:space="preserve">ele mai izolate și claustrate de distanțarea socială și de măsurile de limitare a mișcării persoanelor luate pentru salvarea de vieți în întreaga Europă. </w:t>
      </w:r>
      <w:r>
        <w:rPr>
          <w:rFonts w:ascii="Times New Roman" w:hAnsi="Times New Roman"/>
          <w:b/>
          <w:noProof/>
          <w:sz w:val="24"/>
          <w:lang w:val="ro-RO"/>
        </w:rPr>
        <w:t>Solidaritatea între generații este unul dintre elementele principale ale redresării Europei.</w:t>
      </w:r>
      <w:r>
        <w:rPr>
          <w:rStyle w:val="FootnoteReference"/>
          <w:rFonts w:ascii="Times New Roman" w:hAnsi="Times New Roman" w:cs="Times New Roman"/>
          <w:noProof/>
          <w:sz w:val="24"/>
          <w:szCs w:val="24"/>
          <w:lang w:val="ro-RO"/>
        </w:rPr>
        <w:footnoteReference w:id="2"/>
      </w:r>
      <w:r>
        <w:rPr>
          <w:rFonts w:ascii="Times New Roman" w:hAnsi="Times New Roman"/>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Gestion</w:t>
      </w:r>
      <w:r>
        <w:rPr>
          <w:rFonts w:ascii="Times New Roman" w:hAnsi="Times New Roman"/>
          <w:noProof/>
          <w:sz w:val="24"/>
          <w:szCs w:val="24"/>
          <w:lang w:val="ro-RO"/>
        </w:rPr>
        <w:t>area impactului schimbărilor demografice pe termen lung are multiple fațete: modul în care ne gestionăm sănătatea publică, bugetele publice sau viața publică, dar și modul în care abordăm aspecte precum singurătatea, îngrijirea în cadrul comunității și acc</w:t>
      </w:r>
      <w:r>
        <w:rPr>
          <w:rFonts w:ascii="Times New Roman" w:hAnsi="Times New Roman"/>
          <w:noProof/>
          <w:sz w:val="24"/>
          <w:szCs w:val="24"/>
          <w:lang w:val="ro-RO"/>
        </w:rPr>
        <w:t>esul la servicii vitale. Abordarea acestor aspecte va fi importantă pentru o redresare reușită și va determina viteza și măsura în care vom putea să ne reconstruim viața de zi cu zi, rețelele sociale și economiile. Pe termen lung, aceasta este ocazia ca Eu</w:t>
      </w:r>
      <w:r>
        <w:rPr>
          <w:rFonts w:ascii="Times New Roman" w:hAnsi="Times New Roman"/>
          <w:noProof/>
          <w:sz w:val="24"/>
          <w:szCs w:val="24"/>
          <w:lang w:val="ro-RO"/>
        </w:rPr>
        <w:t xml:space="preserve">ropa să construiască o societate </w:t>
      </w:r>
      <w:r>
        <w:rPr>
          <w:rFonts w:ascii="Times New Roman" w:hAnsi="Times New Roman"/>
          <w:b/>
          <w:noProof/>
          <w:sz w:val="24"/>
          <w:szCs w:val="24"/>
          <w:lang w:val="ro-RO"/>
        </w:rPr>
        <w:t>mai echitabilă și mai rezilientă</w:t>
      </w:r>
      <w:r>
        <w:rPr>
          <w:rFonts w:ascii="Times New Roman" w:hAnsi="Times New Roman"/>
          <w:noProof/>
          <w:sz w:val="24"/>
          <w:szCs w:val="24"/>
          <w:lang w:val="ro-RO"/>
        </w:rPr>
        <w:t>.</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Nu putem subestima niciodată daunele provocate de criză sau necesitatea de a face față tuturor tipurilor de pierderi. </w:t>
      </w:r>
      <w:r>
        <w:rPr>
          <w:rFonts w:ascii="Times New Roman" w:hAnsi="Times New Roman"/>
          <w:noProof/>
          <w:sz w:val="24"/>
          <w:lang w:val="ro-RO"/>
        </w:rPr>
        <w:t xml:space="preserve">În acest context, pare contradictoriu să spunem că </w:t>
      </w:r>
      <w:r>
        <w:rPr>
          <w:rFonts w:ascii="Times New Roman" w:hAnsi="Times New Roman"/>
          <w:b/>
          <w:noProof/>
          <w:sz w:val="24"/>
          <w:szCs w:val="24"/>
          <w:lang w:val="ro-RO"/>
        </w:rPr>
        <w:t>europenii duc în gen</w:t>
      </w:r>
      <w:r>
        <w:rPr>
          <w:rFonts w:ascii="Times New Roman" w:hAnsi="Times New Roman"/>
          <w:b/>
          <w:noProof/>
          <w:sz w:val="24"/>
          <w:szCs w:val="24"/>
          <w:lang w:val="ro-RO"/>
        </w:rPr>
        <w:t>eral o viață mai lungă, mai sănătoasă și mai sigură</w:t>
      </w:r>
      <w:r>
        <w:rPr>
          <w:rFonts w:ascii="Times New Roman" w:hAnsi="Times New Roman"/>
          <w:noProof/>
          <w:sz w:val="24"/>
          <w:lang w:val="ro-RO"/>
        </w:rPr>
        <w:t>.</w:t>
      </w:r>
      <w:r>
        <w:rPr>
          <w:rFonts w:ascii="Times New Roman" w:hAnsi="Times New Roman"/>
          <w:noProof/>
          <w:sz w:val="24"/>
          <w:szCs w:val="24"/>
          <w:lang w:val="ro-RO"/>
        </w:rPr>
        <w:t xml:space="preserve"> Cu toate acestea, pe termen mai lung aceasta este în continuare realitatea și ar trebui să fim mândri de progresele importante înregistrate în ultimele decenii pentru a realiza acest lucru. Sistemele de </w:t>
      </w:r>
      <w:r>
        <w:rPr>
          <w:rFonts w:ascii="Times New Roman" w:hAnsi="Times New Roman"/>
          <w:noProof/>
          <w:sz w:val="24"/>
          <w:szCs w:val="24"/>
          <w:lang w:val="ro-RO"/>
        </w:rPr>
        <w:t>sănătate și de protecție socială din Europa sunt cele mai avansate la nivel global. Asociate cu abilitățile și sacrificiul atât de multor lucrători din prima linie, acestea au contribuit la salvarea a nenumărate vieți de la începerea crizei. Cu toate acest</w:t>
      </w:r>
      <w:r>
        <w:rPr>
          <w:rFonts w:ascii="Times New Roman" w:hAnsi="Times New Roman"/>
          <w:noProof/>
          <w:sz w:val="24"/>
          <w:szCs w:val="24"/>
          <w:lang w:val="ro-RO"/>
        </w:rPr>
        <w:t xml:space="preserve">ea, presiunea la care au fost supuse, în special în zonele cu o populație mai în vârstă, a evidențiat necesitatea de a le sprijini în continuare.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Datorită acestui progres, calitatea vieții noastre rămâne unică, iar societățile noastre sunt unele dintre ce</w:t>
      </w:r>
      <w:r>
        <w:rPr>
          <w:rFonts w:ascii="Times New Roman" w:hAnsi="Times New Roman"/>
          <w:noProof/>
          <w:sz w:val="24"/>
          <w:szCs w:val="24"/>
          <w:lang w:val="ro-RO"/>
        </w:rPr>
        <w:t>le mai egalitare din lume, chiar dacă există în continuare inegalități. Populația europeană este tot mai în vârstă și, în general, alegem să locuim în gospodării mai mici. Ne mutăm din ce în ce mai frecvent, muncim mai mulți ani, învățăm mai mult și ne sch</w:t>
      </w:r>
      <w:r>
        <w:rPr>
          <w:rFonts w:ascii="Times New Roman" w:hAnsi="Times New Roman"/>
          <w:noProof/>
          <w:sz w:val="24"/>
          <w:szCs w:val="24"/>
          <w:lang w:val="ro-RO"/>
        </w:rPr>
        <w:t>imbăm locul de muncă mai des. Toate aceste tendințe au un impact semnificativ asupra societății noastre – iar unele dintre ele se poate să fi fost factori determinanți pentru modul în care virusul s-a răspândit și s-a propagat în unele țări, indiferent dac</w:t>
      </w:r>
      <w:r>
        <w:rPr>
          <w:rFonts w:ascii="Times New Roman" w:hAnsi="Times New Roman"/>
          <w:noProof/>
          <w:sz w:val="24"/>
          <w:szCs w:val="24"/>
          <w:lang w:val="ro-RO"/>
        </w:rPr>
        <w:t xml:space="preserve">ă este vorba despre îmbătrânirea populației, componența gospodăriei sau densitatea populației.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Adesea, aceste aspecte pot fi abordate cel mai bine la nivel local și regional. Aceasta reflectă faptul că schimbările demografice variază adesea în mod semnifi</w:t>
      </w:r>
      <w:r>
        <w:rPr>
          <w:rFonts w:ascii="Times New Roman" w:hAnsi="Times New Roman"/>
          <w:noProof/>
          <w:sz w:val="24"/>
          <w:szCs w:val="24"/>
          <w:lang w:val="ro-RO"/>
        </w:rPr>
        <w:t>cativ între diferitele regiuni ale aceleiași țări.</w:t>
      </w:r>
      <w:r>
        <w:rPr>
          <w:rFonts w:ascii="Times New Roman" w:hAnsi="Times New Roman"/>
          <w:b/>
          <w:noProof/>
          <w:sz w:val="24"/>
          <w:szCs w:val="24"/>
          <w:lang w:val="ro-RO"/>
        </w:rPr>
        <w:t xml:space="preserve"> </w:t>
      </w:r>
      <w:r>
        <w:rPr>
          <w:rFonts w:ascii="Times New Roman" w:hAnsi="Times New Roman"/>
          <w:noProof/>
          <w:sz w:val="24"/>
          <w:szCs w:val="24"/>
          <w:lang w:val="ro-RO"/>
        </w:rPr>
        <w:t xml:space="preserve">Unele regiuni se confruntă cu o dublă provocare, a veniturilor mici și a scăderii rapide a populației. Cu 31 de milioane de locuitori în astfel de regiuni, majoritatea rurale, miza este mare. </w:t>
      </w:r>
      <w:r>
        <w:rPr>
          <w:rFonts w:ascii="Times New Roman" w:hAnsi="Times New Roman"/>
          <w:b/>
          <w:noProof/>
          <w:sz w:val="24"/>
          <w:szCs w:val="24"/>
          <w:lang w:val="ro-RO"/>
        </w:rPr>
        <w:t>Europa va dep</w:t>
      </w:r>
      <w:r>
        <w:rPr>
          <w:rFonts w:ascii="Times New Roman" w:hAnsi="Times New Roman"/>
          <w:b/>
          <w:noProof/>
          <w:sz w:val="24"/>
          <w:szCs w:val="24"/>
          <w:lang w:val="ro-RO"/>
        </w:rPr>
        <w:t xml:space="preserve">une eforturi pentru îmbunătățirea nivelului de trai și reducerea disparităților. </w:t>
      </w:r>
      <w:r>
        <w:rPr>
          <w:rFonts w:ascii="Times New Roman" w:hAnsi="Times New Roman"/>
          <w:noProof/>
          <w:sz w:val="24"/>
          <w:szCs w:val="24"/>
          <w:lang w:val="ro-RO"/>
        </w:rPr>
        <w:t>Este vorba despre a se asigura că nevoile cetățenilor sunt satisfăcute și că există perspective și posibile locuri de muncă acolo unde trăiesc. Este vorba despre accesul la as</w:t>
      </w:r>
      <w:r>
        <w:rPr>
          <w:rFonts w:ascii="Times New Roman" w:hAnsi="Times New Roman"/>
          <w:noProof/>
          <w:sz w:val="24"/>
          <w:szCs w:val="24"/>
          <w:lang w:val="ro-RO"/>
        </w:rPr>
        <w:t>istență medicală, la serviciile de îngrijire a copiilor și la educație, precum și la alte servicii locale vitale, cum ar fi oficiile poștale, bibliotecile sau transportul.</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Deși schimbările demografice nu sunt ceva nou, diferența pe care o aduc în viața noa</w:t>
      </w:r>
      <w:r>
        <w:rPr>
          <w:rFonts w:ascii="Times New Roman" w:hAnsi="Times New Roman"/>
          <w:noProof/>
          <w:sz w:val="24"/>
          <w:szCs w:val="24"/>
          <w:lang w:val="ro-RO"/>
        </w:rPr>
        <w:t>stră este resimțită mai acut. Abordarea acestei schimbări va fi cu atât mai importantă cu cât Europa pornește pe calea redresării. Menținerea atenției pe dubla tranziție verde și digitală va contribui la furnizarea multora dintre soluțiile inovatoare și du</w:t>
      </w:r>
      <w:r>
        <w:rPr>
          <w:rFonts w:ascii="Times New Roman" w:hAnsi="Times New Roman"/>
          <w:noProof/>
          <w:sz w:val="24"/>
          <w:szCs w:val="24"/>
          <w:lang w:val="ro-RO"/>
        </w:rPr>
        <w:t>rabile de care avem nevoie pentru a aborda impactul schimbărilor demografice.</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Schimbările demografice afectează, de asemenea, locul Europei în lume. </w:t>
      </w:r>
      <w:r>
        <w:rPr>
          <w:rFonts w:ascii="Times New Roman" w:hAnsi="Times New Roman"/>
          <w:noProof/>
          <w:sz w:val="24"/>
          <w:szCs w:val="24"/>
          <w:lang w:val="ro-RO"/>
        </w:rPr>
        <w:t>Având în vedere că ponderea populației Europei în lume continuă să scadă, devine tot mai necesar ca UE să s</w:t>
      </w:r>
      <w:r>
        <w:rPr>
          <w:rFonts w:ascii="Times New Roman" w:hAnsi="Times New Roman"/>
          <w:noProof/>
          <w:sz w:val="24"/>
          <w:szCs w:val="24"/>
          <w:lang w:val="ro-RO"/>
        </w:rPr>
        <w:t xml:space="preserve">e exprime și să acționeze la unison, mobilizând toate atuurile sale colective și întreaga sa diversitate. Aceasta ar trebui, de asemenea, să fie privită din perspectiva schimbărilor demografice majore din vecinătatea noastră și din întreaga lume, care vor </w:t>
      </w:r>
      <w:r>
        <w:rPr>
          <w:rFonts w:ascii="Times New Roman" w:hAnsi="Times New Roman"/>
          <w:noProof/>
          <w:sz w:val="24"/>
          <w:szCs w:val="24"/>
          <w:lang w:val="ro-RO"/>
        </w:rPr>
        <w:t>avea un impact direct asupra Europei.</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Prezentul raport prezintă factorii care determină schimbările demografice și impactul pe care îl au acestea în întreaga Europă</w:t>
      </w:r>
      <w:r>
        <w:rPr>
          <w:rStyle w:val="FootnoteReference"/>
          <w:rFonts w:ascii="Times New Roman" w:hAnsi="Times New Roman" w:cs="Times New Roman"/>
          <w:b/>
          <w:noProof/>
          <w:sz w:val="24"/>
          <w:szCs w:val="24"/>
          <w:lang w:val="ro-RO"/>
        </w:rPr>
        <w:footnoteReference w:id="3"/>
      </w:r>
      <w:r>
        <w:rPr>
          <w:rFonts w:ascii="Times New Roman" w:hAnsi="Times New Roman"/>
          <w:b/>
          <w:noProof/>
          <w:sz w:val="24"/>
          <w:szCs w:val="24"/>
          <w:lang w:val="ro-RO"/>
        </w:rPr>
        <w:t xml:space="preserve">. </w:t>
      </w:r>
      <w:r>
        <w:rPr>
          <w:rFonts w:ascii="Times New Roman" w:hAnsi="Times New Roman"/>
          <w:noProof/>
          <w:sz w:val="24"/>
          <w:szCs w:val="24"/>
          <w:lang w:val="ro-RO"/>
        </w:rPr>
        <w:t>Acesta va contribui la identificarea modului în care persoanele, regiunile și comunitățil</w:t>
      </w:r>
      <w:r>
        <w:rPr>
          <w:rFonts w:ascii="Times New Roman" w:hAnsi="Times New Roman"/>
          <w:noProof/>
          <w:sz w:val="24"/>
          <w:szCs w:val="24"/>
          <w:lang w:val="ro-RO"/>
        </w:rPr>
        <w:t>e cele mai afectate pot fi sprijinite cel mai bine să se adapteze la realitățile în schimbare – în perioada de criză, în cea de redresare și în perioada următoare. Obiectivul activității Comisiei în acest domeniu este de a ne îmbunătăți cunoștințele și cap</w:t>
      </w:r>
      <w:r>
        <w:rPr>
          <w:rFonts w:ascii="Times New Roman" w:hAnsi="Times New Roman"/>
          <w:noProof/>
          <w:sz w:val="24"/>
          <w:szCs w:val="24"/>
          <w:lang w:val="ro-RO"/>
        </w:rPr>
        <w:t>acitatea de previziune, pentru a-i putea sprijini pe cei care au nevoie de acestea – atât în prezent, cât și în viitor. Nu este vorba despre a inversa sau a încetini vreuna dintre tendințe; este vorba despre a ne dota cu instrumentele adecvate pentru a ofe</w:t>
      </w:r>
      <w:r>
        <w:rPr>
          <w:rFonts w:ascii="Times New Roman" w:hAnsi="Times New Roman"/>
          <w:noProof/>
          <w:sz w:val="24"/>
          <w:szCs w:val="24"/>
          <w:lang w:val="ro-RO"/>
        </w:rPr>
        <w:t>ri soluții noi și a sprijini oamenii să facă față schimbării.</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Aceasta înseamnă, în cele din urmă, </w:t>
      </w:r>
      <w:r>
        <w:rPr>
          <w:rFonts w:ascii="Times New Roman" w:hAnsi="Times New Roman"/>
          <w:b/>
          <w:noProof/>
          <w:sz w:val="24"/>
          <w:szCs w:val="24"/>
          <w:lang w:val="ro-RO"/>
        </w:rPr>
        <w:t>să ne asigurăm că nicio regiune și nicio persoană nu este lăsată în urmă</w:t>
      </w:r>
      <w:r>
        <w:rPr>
          <w:rFonts w:ascii="Times New Roman" w:hAnsi="Times New Roman"/>
          <w:noProof/>
          <w:sz w:val="24"/>
          <w:szCs w:val="24"/>
          <w:lang w:val="ro-RO"/>
        </w:rPr>
        <w:t>, sentiment care poate conduce, în cele din urmă, la pierderea încrederii în democrați</w:t>
      </w:r>
      <w:r>
        <w:rPr>
          <w:rFonts w:ascii="Times New Roman" w:hAnsi="Times New Roman"/>
          <w:noProof/>
          <w:sz w:val="24"/>
          <w:szCs w:val="24"/>
          <w:lang w:val="ro-RO"/>
        </w:rPr>
        <w:t>a noastră. Acesta este motivul pentru care actuala Comisie are pentru prima dată un vicepreședinte pentru democrație și demografie și de aceea acest subiect va figura și pe agenda Conferinței privind viitorul Europei, prin care cetățenii vor juca un rol im</w:t>
      </w:r>
      <w:r>
        <w:rPr>
          <w:rFonts w:ascii="Times New Roman" w:hAnsi="Times New Roman"/>
          <w:noProof/>
          <w:sz w:val="24"/>
          <w:szCs w:val="24"/>
          <w:lang w:val="ro-RO"/>
        </w:rPr>
        <w:t>portant în construirea unei Uniuni mai reziliente, mai sustenabile și mai echitabile. Deși multe dintre competențele din aceste domenii le revin statelor membre, Comisia este pregătită să deschidă calea prin identificarea problemelor și prin sprijinirea ac</w:t>
      </w:r>
      <w:r>
        <w:rPr>
          <w:rFonts w:ascii="Times New Roman" w:hAnsi="Times New Roman"/>
          <w:noProof/>
          <w:sz w:val="24"/>
          <w:szCs w:val="24"/>
          <w:lang w:val="ro-RO"/>
        </w:rPr>
        <w:t>ț</w:t>
      </w:r>
      <w:r>
        <w:rPr>
          <w:rFonts w:ascii="Times New Roman" w:hAnsi="Times New Roman"/>
          <w:noProof/>
          <w:sz w:val="24"/>
          <w:szCs w:val="24"/>
          <w:lang w:val="ro-RO"/>
        </w:rPr>
        <w:t>iunilor întreprinse la nivel național, regional și local.</w:t>
      </w:r>
    </w:p>
    <w:p w:rsidR="00B243D9" w:rsidRDefault="00F5719E">
      <w:pPr>
        <w:pStyle w:val="Heading1"/>
        <w:rPr>
          <w:noProof/>
          <w:color w:val="0070C0"/>
          <w:szCs w:val="24"/>
          <w:lang w:val="ro-RO"/>
        </w:rPr>
      </w:pPr>
      <w:bookmarkStart w:id="6" w:name="_Toc32414435"/>
      <w:bookmarkStart w:id="7" w:name="_Toc32444146"/>
      <w:bookmarkStart w:id="8" w:name="_Toc33800394"/>
      <w:bookmarkStart w:id="9" w:name="_Toc42531857"/>
      <w:bookmarkStart w:id="10" w:name="_Toc43897130"/>
      <w:r>
        <w:rPr>
          <w:noProof/>
          <w:color w:val="000000" w:themeColor="text1"/>
          <w:szCs w:val="24"/>
          <w:lang w:val="ro-RO"/>
        </w:rPr>
        <w:t>FACTORII DETERMINANȚI AI SCHIMBĂRILOR DEMOGRAFICE ÎN EUROPA</w:t>
      </w:r>
      <w:bookmarkEnd w:id="6"/>
      <w:bookmarkEnd w:id="7"/>
      <w:bookmarkEnd w:id="8"/>
      <w:r>
        <w:rPr>
          <w:rStyle w:val="FootnoteReference"/>
          <w:noProof/>
          <w:color w:val="000000" w:themeColor="text1"/>
          <w:szCs w:val="24"/>
          <w:lang w:val="ro-RO"/>
        </w:rPr>
        <w:footnoteReference w:id="4"/>
      </w:r>
      <w:bookmarkEnd w:id="9"/>
      <w:bookmarkEnd w:id="10"/>
    </w:p>
    <w:p w:rsidR="00B243D9" w:rsidRDefault="00F5719E">
      <w:pPr>
        <w:keepLines/>
        <w:shd w:val="clear" w:color="auto" w:fill="FFFFFF"/>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calitate de europeni, trăim mai mult ca niciodată, iar populația îmbătrânește cu fiecare an care trece. Sunt tot mai mulți cei care </w:t>
      </w:r>
      <w:r>
        <w:rPr>
          <w:rFonts w:ascii="Times New Roman" w:hAnsi="Times New Roman"/>
          <w:noProof/>
          <w:sz w:val="24"/>
          <w:szCs w:val="24"/>
          <w:lang w:val="ro-RO"/>
        </w:rPr>
        <w:t>aleg să locuiască, să lucreze sau să studieze în altă țară din UE, iar migrația către sau dinspre Europa continuă să fluctueze. Din ce în ce mai mulți europeni trăiesc, de asemenea, în gospodării mai mici și au mai puțini copii decât înainte. Acești factor</w:t>
      </w:r>
      <w:r>
        <w:rPr>
          <w:rFonts w:ascii="Times New Roman" w:hAnsi="Times New Roman"/>
          <w:noProof/>
          <w:sz w:val="24"/>
          <w:szCs w:val="24"/>
          <w:lang w:val="ro-RO"/>
        </w:rPr>
        <w:t>i determinanți ai schimbărilor demografice variază de la o țară la alta, adesea în mod semnificativ între diferite regiuni din aceeași țară</w:t>
      </w:r>
      <w:r>
        <w:rPr>
          <w:rStyle w:val="FootnoteReference"/>
          <w:rFonts w:ascii="Times New Roman" w:hAnsi="Times New Roman" w:cs="Times New Roman"/>
          <w:noProof/>
          <w:sz w:val="24"/>
          <w:szCs w:val="24"/>
          <w:lang w:val="ro-RO"/>
        </w:rPr>
        <w:footnoteReference w:id="5"/>
      </w:r>
      <w:r>
        <w:rPr>
          <w:rFonts w:ascii="Times New Roman" w:hAnsi="Times New Roman"/>
          <w:noProof/>
          <w:sz w:val="24"/>
          <w:szCs w:val="24"/>
          <w:lang w:val="ro-RO"/>
        </w:rPr>
        <w:t xml:space="preserve">. </w:t>
      </w:r>
    </w:p>
    <w:p w:rsidR="00B243D9" w:rsidRDefault="00F5719E">
      <w:pPr>
        <w:pStyle w:val="Heading2"/>
        <w:keepNext/>
        <w:rPr>
          <w:noProof/>
          <w:lang w:val="ro-RO"/>
        </w:rPr>
      </w:pPr>
      <w:bookmarkStart w:id="11" w:name="_Toc32444147"/>
      <w:bookmarkStart w:id="12" w:name="_Toc33800395"/>
      <w:bookmarkStart w:id="13" w:name="_Toc42531858"/>
      <w:bookmarkStart w:id="14" w:name="_Toc43897131"/>
      <w:r>
        <w:rPr>
          <w:noProof/>
          <w:lang w:val="ro-RO"/>
        </w:rPr>
        <w:t>2.1. CREȘTEREA SPERANȚEI DE VIAȚĂ</w:t>
      </w:r>
      <w:bookmarkEnd w:id="11"/>
      <w:bookmarkEnd w:id="12"/>
      <w:bookmarkEnd w:id="13"/>
      <w:bookmarkEnd w:id="14"/>
      <w:r>
        <w:rPr>
          <w:noProof/>
          <w:lang w:val="ro-RO"/>
        </w:rPr>
        <w:t xml:space="preserve"> </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b/>
          <w:noProof/>
          <w:sz w:val="24"/>
          <w:szCs w:val="24"/>
          <w:lang w:val="ro-RO"/>
        </w:rPr>
        <w:t>Europenii se bucură de o viață mai îndelungată, trăind, în medie, o perioadă m</w:t>
      </w:r>
      <w:r>
        <w:rPr>
          <w:rFonts w:ascii="Times New Roman" w:hAnsi="Times New Roman"/>
          <w:b/>
          <w:noProof/>
          <w:sz w:val="24"/>
          <w:szCs w:val="24"/>
          <w:lang w:val="ro-RO"/>
        </w:rPr>
        <w:t>ai lungă de timp în condiții bune de sănătate</w:t>
      </w:r>
      <w:r>
        <w:rPr>
          <w:rFonts w:ascii="Times New Roman" w:hAnsi="Times New Roman"/>
          <w:noProof/>
          <w:sz w:val="24"/>
          <w:szCs w:val="24"/>
          <w:lang w:val="ro-RO"/>
        </w:rPr>
        <w:t>. Speranța de viață la naștere a crescut cu aproximativ 10 ani atât pentru bărbați, cât și pentru femei în ultimele cinci decenii</w:t>
      </w:r>
      <w:r>
        <w:rPr>
          <w:rStyle w:val="FootnoteReference"/>
          <w:rFonts w:ascii="Times New Roman" w:hAnsi="Times New Roman" w:cs="Times New Roman"/>
          <w:noProof/>
          <w:sz w:val="24"/>
          <w:szCs w:val="24"/>
          <w:lang w:val="ro-RO"/>
        </w:rPr>
        <w:footnoteReference w:id="6"/>
      </w:r>
      <w:r>
        <w:rPr>
          <w:rFonts w:ascii="Times New Roman" w:hAnsi="Times New Roman"/>
          <w:noProof/>
          <w:sz w:val="24"/>
          <w:szCs w:val="24"/>
          <w:lang w:val="ro-RO"/>
        </w:rPr>
        <w:t>. Pandemia a expus vulnerabilitățile unei populații în curs de îmbătrânire, dar n</w:t>
      </w:r>
      <w:r>
        <w:rPr>
          <w:rFonts w:ascii="Times New Roman" w:hAnsi="Times New Roman"/>
          <w:noProof/>
          <w:sz w:val="24"/>
          <w:szCs w:val="24"/>
          <w:lang w:val="ro-RO"/>
        </w:rPr>
        <w:t xml:space="preserve">u se consideră că ar fi schimbat această tendință generală pozitivă în ceea ce privește speranța de viață. </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noProof/>
          <w:sz w:val="24"/>
          <w:szCs w:val="24"/>
          <w:lang w:val="ro-RO"/>
        </w:rPr>
        <w:t>Conform proiecțiilor, în 2070, speranța de viață la naștere</w:t>
      </w:r>
      <w:r>
        <w:rPr>
          <w:rStyle w:val="FootnoteReference"/>
          <w:rFonts w:ascii="Times New Roman" w:hAnsi="Times New Roman" w:cs="Times New Roman"/>
          <w:noProof/>
          <w:sz w:val="24"/>
          <w:szCs w:val="24"/>
          <w:lang w:val="ro-RO"/>
        </w:rPr>
        <w:footnoteReference w:id="7"/>
      </w:r>
      <w:r>
        <w:rPr>
          <w:rFonts w:ascii="Times New Roman" w:hAnsi="Times New Roman"/>
          <w:noProof/>
          <w:sz w:val="24"/>
          <w:szCs w:val="24"/>
          <w:lang w:val="ro-RO"/>
        </w:rPr>
        <w:t xml:space="preserve"> va ajunge la 86,1 ani pentru bărbați, față de 78,2 în 2018. Pentru femei, se estimează </w:t>
      </w:r>
      <w:r>
        <w:rPr>
          <w:rFonts w:ascii="Times New Roman" w:hAnsi="Times New Roman"/>
          <w:noProof/>
          <w:sz w:val="24"/>
          <w:szCs w:val="24"/>
          <w:lang w:val="ro-RO"/>
        </w:rPr>
        <w:t>că aceasta va crește de la 83,7 la 90,3 ani. Țara de reședință are o influență majoră asupra speranței de viață. La nivel național, speranța de viață la naștere variază de la 83,5 în Spania la 75 în Bulgaria.</w:t>
      </w:r>
    </w:p>
    <w:p w:rsidR="00B243D9" w:rsidRDefault="00F5719E">
      <w:pPr>
        <w:shd w:val="clear" w:color="auto" w:fill="FFFFFF"/>
        <w:jc w:val="both"/>
        <w:rPr>
          <w:rFonts w:ascii="Times New Roman" w:hAnsi="Times New Roman" w:cs="Times New Roman"/>
          <w:b/>
          <w:noProof/>
          <w:sz w:val="24"/>
          <w:szCs w:val="24"/>
          <w:lang w:val="ro-RO"/>
        </w:rPr>
      </w:pPr>
      <w:r>
        <w:rPr>
          <w:rFonts w:ascii="Times New Roman" w:hAnsi="Times New Roman"/>
          <w:noProof/>
          <w:sz w:val="24"/>
          <w:szCs w:val="24"/>
          <w:lang w:val="ro-RO"/>
        </w:rPr>
        <w:t>Există diferențe între femeile și bărbații care</w:t>
      </w:r>
      <w:r>
        <w:rPr>
          <w:rFonts w:ascii="Times New Roman" w:hAnsi="Times New Roman"/>
          <w:noProof/>
          <w:sz w:val="24"/>
          <w:szCs w:val="24"/>
          <w:lang w:val="ro-RO"/>
        </w:rPr>
        <w:t xml:space="preserve"> trăiesc în diferite zone ale UE. În timp ce speranța de viață a femeilor la naștere pentru UE-27 este mai mare cu 5,5 ani decât cea a bărbaților, situația nu este aceeași peste tot. În Letonia și Lituania, diferența este de peste nouă ani, în timp ce în D</w:t>
      </w:r>
      <w:r>
        <w:rPr>
          <w:rFonts w:ascii="Times New Roman" w:hAnsi="Times New Roman"/>
          <w:noProof/>
          <w:sz w:val="24"/>
          <w:szCs w:val="24"/>
          <w:lang w:val="ro-RO"/>
        </w:rPr>
        <w:t>anemarca, Irlanda, Cipru, Țările de Jos și Suedia, aceasta este mai mică de patru ani.</w:t>
      </w:r>
    </w:p>
    <w:p w:rsidR="00B243D9" w:rsidRDefault="00F5719E">
      <w:pPr>
        <w:keepNext/>
        <w:keepLines/>
        <w:shd w:val="clear" w:color="auto" w:fill="FFFFFF"/>
        <w:spacing w:after="0"/>
        <w:contextualSpacing/>
        <w:jc w:val="center"/>
        <w:rPr>
          <w:rFonts w:ascii="Times New Roman" w:hAnsi="Times New Roman" w:cs="Times New Roman"/>
          <w:i/>
          <w:noProof/>
          <w:sz w:val="24"/>
          <w:szCs w:val="24"/>
          <w:lang w:val="ro-RO"/>
        </w:rPr>
      </w:pPr>
      <w:r>
        <w:rPr>
          <w:rFonts w:ascii="Times New Roman" w:hAnsi="Times New Roman"/>
          <w:b/>
          <w:noProof/>
          <w:sz w:val="24"/>
          <w:szCs w:val="24"/>
          <w:lang w:val="ro-RO"/>
        </w:rPr>
        <w:t>Decalajul dintre speranța de viață la naștere între femei și bărbați, 2018</w:t>
      </w:r>
    </w:p>
    <w:p w:rsidR="00B243D9" w:rsidRDefault="00F5719E">
      <w:pPr>
        <w:shd w:val="clear" w:color="auto" w:fill="FFFFFF" w:themeFill="background1"/>
        <w:spacing w:after="0"/>
        <w:jc w:val="center"/>
        <w:rPr>
          <w:rFonts w:ascii="Times New Roman" w:hAnsi="Times New Roman" w:cs="Times New Roman"/>
          <w:b/>
          <w:noProof/>
          <w:sz w:val="24"/>
          <w:szCs w:val="24"/>
          <w:lang w:val="ro-RO"/>
        </w:rPr>
      </w:pPr>
      <w:r>
        <w:rPr>
          <w:noProof/>
          <w:lang w:val="fr-BE" w:eastAsia="fr-BE"/>
        </w:rPr>
        <w:drawing>
          <wp:inline distT="0" distB="0" distL="0" distR="0">
            <wp:extent cx="4874019" cy="2738284"/>
            <wp:effectExtent l="0" t="0" r="317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2274" cy="2748540"/>
                    </a:xfrm>
                    <a:prstGeom prst="rect">
                      <a:avLst/>
                    </a:prstGeom>
                    <a:noFill/>
                    <a:ln>
                      <a:noFill/>
                    </a:ln>
                  </pic:spPr>
                </pic:pic>
              </a:graphicData>
            </a:graphic>
          </wp:inline>
        </w:drawing>
      </w:r>
    </w:p>
    <w:p w:rsidR="00B243D9" w:rsidRDefault="00F5719E">
      <w:pPr>
        <w:shd w:val="clear" w:color="auto" w:fill="FFFFFF"/>
        <w:spacing w:after="0"/>
        <w:contextualSpacing/>
        <w:rPr>
          <w:rFonts w:ascii="Times New Roman" w:hAnsi="Times New Roman" w:cs="Times New Roman"/>
          <w:noProof/>
          <w:sz w:val="24"/>
          <w:szCs w:val="24"/>
          <w:lang w:val="ro-RO"/>
        </w:rPr>
      </w:pPr>
      <w:r>
        <w:rPr>
          <w:rFonts w:ascii="Times New Roman" w:hAnsi="Times New Roman"/>
          <w:i/>
          <w:noProof/>
          <w:sz w:val="24"/>
          <w:szCs w:val="24"/>
          <w:lang w:val="ro-RO"/>
        </w:rPr>
        <w:t>Sursă: Eurostat</w:t>
      </w:r>
    </w:p>
    <w:p w:rsidR="00B243D9" w:rsidRDefault="00B243D9">
      <w:pPr>
        <w:shd w:val="clear" w:color="auto" w:fill="FFFFFF"/>
        <w:spacing w:after="0"/>
        <w:contextualSpacing/>
        <w:rPr>
          <w:rFonts w:ascii="Times New Roman" w:hAnsi="Times New Roman" w:cs="Times New Roman"/>
          <w:b/>
          <w:noProof/>
          <w:sz w:val="24"/>
          <w:szCs w:val="24"/>
          <w:lang w:val="ro-RO"/>
        </w:rPr>
      </w:pPr>
    </w:p>
    <w:p w:rsidR="00B243D9" w:rsidRDefault="00F5719E">
      <w:pPr>
        <w:shd w:val="clear" w:color="auto" w:fill="FFFFFF"/>
        <w:spacing w:after="0"/>
        <w:contextualSpacing/>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Ne trăim o mare parte din viață în condiții bune de sănătate. </w:t>
      </w:r>
      <w:r>
        <w:rPr>
          <w:rFonts w:ascii="Times New Roman" w:hAnsi="Times New Roman"/>
          <w:noProof/>
          <w:sz w:val="24"/>
          <w:szCs w:val="24"/>
          <w:lang w:val="ro-RO"/>
        </w:rPr>
        <w:t xml:space="preserve">Numărul de </w:t>
      </w:r>
      <w:r>
        <w:rPr>
          <w:rFonts w:ascii="Times New Roman" w:hAnsi="Times New Roman"/>
          <w:i/>
          <w:noProof/>
          <w:sz w:val="24"/>
          <w:szCs w:val="24"/>
          <w:lang w:val="ro-RO"/>
        </w:rPr>
        <w:t>ani de viață sănătoasă</w:t>
      </w:r>
      <w:r>
        <w:rPr>
          <w:rStyle w:val="FootnoteReference"/>
          <w:rFonts w:ascii="Times New Roman" w:hAnsi="Times New Roman" w:cs="Times New Roman"/>
          <w:noProof/>
          <w:sz w:val="24"/>
          <w:szCs w:val="24"/>
          <w:lang w:val="ro-RO"/>
        </w:rPr>
        <w:footnoteReference w:id="8"/>
      </w:r>
      <w:r>
        <w:rPr>
          <w:rFonts w:ascii="Times New Roman" w:hAnsi="Times New Roman"/>
          <w:noProof/>
          <w:sz w:val="24"/>
          <w:szCs w:val="24"/>
          <w:lang w:val="ro-RO"/>
        </w:rPr>
        <w:t xml:space="preserve"> raportați variază în funcție de sex și de țară. Pentru UE în ansamblu, numărul de ani de viață sănătoasă la naștere era, în 2018, de 64,2 ani pentru femei și 63,7 ani pentru bărbați</w:t>
      </w:r>
      <w:r>
        <w:rPr>
          <w:rStyle w:val="FootnoteReference"/>
          <w:rFonts w:ascii="Times New Roman" w:hAnsi="Times New Roman" w:cs="Times New Roman"/>
          <w:noProof/>
          <w:sz w:val="24"/>
          <w:szCs w:val="24"/>
          <w:lang w:val="ro-RO"/>
        </w:rPr>
        <w:footnoteReference w:id="9"/>
      </w:r>
      <w:r>
        <w:rPr>
          <w:rFonts w:ascii="Times New Roman" w:hAnsi="Times New Roman"/>
          <w:noProof/>
          <w:sz w:val="24"/>
          <w:szCs w:val="24"/>
          <w:lang w:val="ro-RO"/>
        </w:rPr>
        <w:t>. De asemenea, acesta variază semnificativ în func</w:t>
      </w:r>
      <w:r>
        <w:rPr>
          <w:rFonts w:ascii="Times New Roman" w:hAnsi="Times New Roman"/>
          <w:noProof/>
          <w:sz w:val="24"/>
          <w:szCs w:val="24"/>
          <w:lang w:val="ro-RO"/>
        </w:rPr>
        <w:t>ț</w:t>
      </w:r>
      <w:r>
        <w:rPr>
          <w:rFonts w:ascii="Times New Roman" w:hAnsi="Times New Roman"/>
          <w:noProof/>
          <w:sz w:val="24"/>
          <w:szCs w:val="24"/>
          <w:lang w:val="ro-RO"/>
        </w:rPr>
        <w:t>ie de locul în care trăim. De exemplu, un bărbat care locuiește în Suedia are, în medie, peste 73 de ani de viață sănătoasă, în comparație cu 51 de ani pentru un bărbat din Letonia. Aproape jumătate dintre persoanele în vârstă au o dizabilitate</w:t>
      </w:r>
      <w:r>
        <w:rPr>
          <w:rStyle w:val="FootnoteReference"/>
          <w:rFonts w:ascii="Times New Roman" w:hAnsi="Times New Roman" w:cs="Times New Roman"/>
          <w:noProof/>
          <w:sz w:val="24"/>
          <w:szCs w:val="24"/>
          <w:lang w:val="ro-RO"/>
        </w:rPr>
        <w:footnoteReference w:id="10"/>
      </w:r>
      <w:r>
        <w:rPr>
          <w:rFonts w:ascii="Times New Roman" w:hAnsi="Times New Roman"/>
          <w:noProof/>
          <w:sz w:val="24"/>
          <w:szCs w:val="24"/>
          <w:lang w:val="ro-RO"/>
        </w:rPr>
        <w:t xml:space="preserve"> – iar ace</w:t>
      </w:r>
      <w:r>
        <w:rPr>
          <w:rFonts w:ascii="Times New Roman" w:hAnsi="Times New Roman"/>
          <w:noProof/>
          <w:sz w:val="24"/>
          <w:szCs w:val="24"/>
          <w:lang w:val="ro-RO"/>
        </w:rPr>
        <w:t>astă cifră crește pe măsură ce oamenii ajung în grupe de vârstă mai înaintate. Acestea sunt mai predispuse să se confrunte cu probleme de mobilitate redusă, iar calitatea vieții lor depinde de cât de incluzive și accesibile sunt societatea și mediul în car</w:t>
      </w:r>
      <w:r>
        <w:rPr>
          <w:rFonts w:ascii="Times New Roman" w:hAnsi="Times New Roman"/>
          <w:noProof/>
          <w:sz w:val="24"/>
          <w:szCs w:val="24"/>
          <w:lang w:val="ro-RO"/>
        </w:rPr>
        <w:t>e trăiesc.</w:t>
      </w:r>
    </w:p>
    <w:p w:rsidR="00B243D9" w:rsidRDefault="00B243D9">
      <w:pPr>
        <w:shd w:val="clear" w:color="auto" w:fill="FFFFFF"/>
        <w:spacing w:after="0"/>
        <w:contextualSpacing/>
        <w:rPr>
          <w:rFonts w:ascii="Times New Roman" w:hAnsi="Times New Roman" w:cs="Times New Roman"/>
          <w:b/>
          <w:noProof/>
          <w:sz w:val="24"/>
          <w:szCs w:val="24"/>
          <w:lang w:val="ro-RO"/>
        </w:rPr>
      </w:pPr>
    </w:p>
    <w:p w:rsidR="00B243D9" w:rsidRDefault="00F5719E">
      <w:pPr>
        <w:keepNext/>
        <w:shd w:val="clear" w:color="auto" w:fill="FFFFFF"/>
        <w:spacing w:after="0"/>
        <w:contextualSpacing/>
        <w:jc w:val="center"/>
        <w:rPr>
          <w:rFonts w:ascii="Times New Roman" w:hAnsi="Times New Roman" w:cs="Times New Roman"/>
          <w:b/>
          <w:noProof/>
          <w:sz w:val="24"/>
          <w:szCs w:val="24"/>
          <w:lang w:val="ro-RO"/>
        </w:rPr>
      </w:pPr>
      <w:r>
        <w:rPr>
          <w:rFonts w:ascii="Times New Roman" w:hAnsi="Times New Roman"/>
          <w:b/>
          <w:noProof/>
          <w:sz w:val="24"/>
          <w:szCs w:val="24"/>
          <w:lang w:val="ro-RO"/>
        </w:rPr>
        <w:t>Ani de viață sănătoasă la naștere, 2018</w:t>
      </w:r>
    </w:p>
    <w:p w:rsidR="00B243D9" w:rsidRDefault="00F5719E">
      <w:pPr>
        <w:shd w:val="clear" w:color="auto" w:fill="FFFFFF"/>
        <w:jc w:val="center"/>
        <w:rPr>
          <w:rFonts w:ascii="Times New Roman" w:hAnsi="Times New Roman" w:cs="Times New Roman"/>
          <w:noProof/>
          <w:sz w:val="24"/>
          <w:szCs w:val="24"/>
          <w:lang w:val="ro-RO"/>
        </w:rPr>
      </w:pPr>
      <w:r>
        <w:rPr>
          <w:noProof/>
          <w:lang w:val="fr-BE" w:eastAsia="fr-BE"/>
        </w:rPr>
        <w:drawing>
          <wp:inline distT="0" distB="0" distL="0" distR="0">
            <wp:extent cx="5882934" cy="352486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8576" cy="3528246"/>
                    </a:xfrm>
                    <a:prstGeom prst="rect">
                      <a:avLst/>
                    </a:prstGeom>
                    <a:noFill/>
                    <a:ln>
                      <a:noFill/>
                    </a:ln>
                  </pic:spPr>
                </pic:pic>
              </a:graphicData>
            </a:graphic>
          </wp:inline>
        </w:drawing>
      </w:r>
    </w:p>
    <w:p w:rsidR="00B243D9" w:rsidRDefault="00F5719E">
      <w:pPr>
        <w:shd w:val="clear" w:color="auto" w:fill="FFFFFF"/>
        <w:rPr>
          <w:rFonts w:ascii="Times New Roman" w:hAnsi="Times New Roman" w:cs="Times New Roman"/>
          <w:noProof/>
          <w:sz w:val="24"/>
          <w:szCs w:val="24"/>
          <w:lang w:val="ro-RO"/>
        </w:rPr>
      </w:pPr>
      <w:r>
        <w:rPr>
          <w:rFonts w:ascii="Times New Roman" w:hAnsi="Times New Roman"/>
          <w:i/>
          <w:noProof/>
          <w:sz w:val="24"/>
          <w:szCs w:val="24"/>
          <w:lang w:val="ro-RO"/>
        </w:rPr>
        <w:t>Sursă: Eurostat</w:t>
      </w:r>
    </w:p>
    <w:p w:rsidR="00B243D9" w:rsidRDefault="00F5719E">
      <w:pPr>
        <w:keepNext/>
        <w:keepLines/>
        <w:shd w:val="clear" w:color="auto" w:fill="FFFFFF"/>
        <w:spacing w:after="0"/>
        <w:ind w:left="2160" w:firstLine="720"/>
        <w:rPr>
          <w:rFonts w:ascii="Times New Roman" w:hAnsi="Times New Roman" w:cs="Times New Roman"/>
          <w:noProof/>
          <w:sz w:val="24"/>
          <w:szCs w:val="24"/>
          <w:lang w:val="ro-RO"/>
        </w:rPr>
      </w:pPr>
      <w:r>
        <w:rPr>
          <w:rFonts w:ascii="Times New Roman" w:hAnsi="Times New Roman"/>
          <w:b/>
          <w:noProof/>
          <w:sz w:val="24"/>
          <w:szCs w:val="24"/>
          <w:lang w:val="ro-RO"/>
        </w:rPr>
        <w:t>Speranța de viață la naștere, pe regiuni</w:t>
      </w:r>
      <w:r>
        <w:rPr>
          <w:rFonts w:ascii="Times New Roman" w:hAnsi="Times New Roman" w:cs="Times New Roman"/>
          <w:b/>
          <w:noProof/>
          <w:sz w:val="24"/>
          <w:szCs w:val="24"/>
          <w:vertAlign w:val="superscript"/>
          <w:lang w:val="ro-RO"/>
        </w:rPr>
        <w:footnoteReference w:id="11"/>
      </w:r>
      <w:r>
        <w:rPr>
          <w:rFonts w:ascii="Times New Roman" w:hAnsi="Times New Roman"/>
          <w:b/>
          <w:noProof/>
          <w:sz w:val="24"/>
          <w:szCs w:val="24"/>
          <w:lang w:val="ro-RO"/>
        </w:rPr>
        <w:t>, 2018</w:t>
      </w:r>
    </w:p>
    <w:p w:rsidR="00B243D9" w:rsidRDefault="00F5719E">
      <w:pPr>
        <w:spacing w:after="0"/>
        <w:jc w:val="center"/>
        <w:rPr>
          <w:rFonts w:ascii="Times New Roman" w:hAnsi="Times New Roman" w:cs="Times New Roman"/>
          <w:b/>
          <w:noProof/>
          <w:color w:val="0070C0"/>
          <w:sz w:val="24"/>
          <w:szCs w:val="24"/>
          <w:lang w:val="ro-RO"/>
        </w:rPr>
      </w:pPr>
      <w:bookmarkStart w:id="15" w:name="_Toc32414436"/>
      <w:bookmarkStart w:id="16" w:name="_Toc32444148"/>
      <w:r>
        <w:rPr>
          <w:noProof/>
          <w:lang w:val="fr-BE" w:eastAsia="fr-BE"/>
        </w:rPr>
        <w:drawing>
          <wp:inline distT="0" distB="0" distL="0" distR="0">
            <wp:extent cx="5410200" cy="5886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10717" cy="5887013"/>
                    </a:xfrm>
                    <a:prstGeom prst="rect">
                      <a:avLst/>
                    </a:prstGeom>
                  </pic:spPr>
                </pic:pic>
              </a:graphicData>
            </a:graphic>
          </wp:inline>
        </w:drawing>
      </w:r>
    </w:p>
    <w:p w:rsidR="00B243D9" w:rsidRDefault="00F5719E">
      <w:pPr>
        <w:rPr>
          <w:rFonts w:ascii="Times New Roman" w:hAnsi="Times New Roman" w:cs="Times New Roman"/>
          <w:b/>
          <w:noProof/>
          <w:sz w:val="24"/>
          <w:szCs w:val="24"/>
          <w:lang w:val="ro-RO"/>
        </w:rPr>
      </w:pPr>
      <w:bookmarkStart w:id="17" w:name="_Toc33800396"/>
      <w:r>
        <w:rPr>
          <w:noProof/>
          <w:lang w:val="ro-RO"/>
        </w:rPr>
        <w:br w:type="page"/>
      </w:r>
    </w:p>
    <w:p w:rsidR="00B243D9" w:rsidRDefault="00F5719E">
      <w:pPr>
        <w:pStyle w:val="Heading2"/>
        <w:keepNext/>
        <w:rPr>
          <w:noProof/>
          <w:lang w:val="ro-RO"/>
        </w:rPr>
      </w:pPr>
      <w:bookmarkStart w:id="18" w:name="_Toc42531859"/>
      <w:bookmarkStart w:id="19" w:name="_Toc43897132"/>
      <w:r>
        <w:rPr>
          <w:noProof/>
          <w:lang w:val="ro-RO"/>
        </w:rPr>
        <w:t>2.2. SCĂDEREA NUMĂRULUI DE NAȘTERI</w:t>
      </w:r>
      <w:bookmarkEnd w:id="15"/>
      <w:bookmarkEnd w:id="16"/>
      <w:bookmarkEnd w:id="17"/>
      <w:bookmarkEnd w:id="18"/>
      <w:bookmarkEnd w:id="19"/>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Începând cu anii 1960 și până la mijlocul anilor 1990, numărul mediu de nașteri pentru fiecare </w:t>
      </w:r>
      <w:r>
        <w:rPr>
          <w:rFonts w:ascii="Times New Roman" w:hAnsi="Times New Roman"/>
          <w:noProof/>
          <w:sz w:val="24"/>
          <w:szCs w:val="24"/>
          <w:lang w:val="ro-RO"/>
        </w:rPr>
        <w:t>femeie din Europa a scăzut</w:t>
      </w:r>
      <w:r>
        <w:rPr>
          <w:rStyle w:val="FootnoteReference"/>
          <w:rFonts w:ascii="Times New Roman" w:hAnsi="Times New Roman" w:cs="Times New Roman"/>
          <w:noProof/>
          <w:sz w:val="24"/>
          <w:szCs w:val="24"/>
          <w:lang w:val="ro-RO"/>
        </w:rPr>
        <w:footnoteReference w:id="12"/>
      </w:r>
      <w:r>
        <w:rPr>
          <w:rFonts w:ascii="Times New Roman" w:hAnsi="Times New Roman"/>
          <w:noProof/>
          <w:sz w:val="24"/>
          <w:szCs w:val="24"/>
          <w:lang w:val="ro-RO"/>
        </w:rPr>
        <w:t xml:space="preserve">. Ulterior, acesta a crescut într-o anumită măsură în anii 2000 și, în mare, s-a stabilizat în deceniul care a urmat. </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2018, rata fertilității era de 1,55 copii pe femeie. Aceasta este sub valoarea de 2,1 considerată a fi </w:t>
      </w:r>
      <w:r>
        <w:rPr>
          <w:rFonts w:ascii="Times New Roman" w:hAnsi="Times New Roman"/>
          <w:noProof/>
          <w:sz w:val="24"/>
          <w:szCs w:val="24"/>
          <w:lang w:val="ro-RO"/>
        </w:rPr>
        <w:t>nivelul necesar pentru a menține constantă dimensiunea populației în absența migrației. Aproape nicio regiune din Europa nu atinge această rată</w:t>
      </w:r>
      <w:r>
        <w:rPr>
          <w:rStyle w:val="FootnoteReference"/>
          <w:rFonts w:ascii="Times New Roman" w:hAnsi="Times New Roman" w:cs="Times New Roman"/>
          <w:noProof/>
          <w:sz w:val="24"/>
          <w:szCs w:val="24"/>
          <w:lang w:val="ro-RO"/>
        </w:rPr>
        <w:footnoteReference w:id="13"/>
      </w:r>
      <w:r>
        <w:rPr>
          <w:rFonts w:ascii="Times New Roman" w:hAnsi="Times New Roman"/>
          <w:noProof/>
          <w:sz w:val="24"/>
          <w:szCs w:val="24"/>
          <w:lang w:val="ro-RO"/>
        </w:rPr>
        <w:t>, unele regiuni înregistrând o rată mai mică de 1,25. Acesta este cazul, de exemplu, în nord-vestul Peninsulei I</w:t>
      </w:r>
      <w:r>
        <w:rPr>
          <w:rFonts w:ascii="Times New Roman" w:hAnsi="Times New Roman"/>
          <w:noProof/>
          <w:sz w:val="24"/>
          <w:szCs w:val="24"/>
          <w:lang w:val="ro-RO"/>
        </w:rPr>
        <w:t xml:space="preserve">berice, în sud-estul Italiei și Sardinia, precum și în unele regiuni din Grecia. </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noProof/>
          <w:sz w:val="24"/>
          <w:szCs w:val="24"/>
          <w:lang w:val="ro-RO"/>
        </w:rPr>
        <w:t>De asemenea, femeile, în medie, devin mame la o vârstă mai înaintată. Între 2001 și 2018, vârsta medie a femeilor la naștere în UE a crescut de la 29,0 la 30,8 ani.</w:t>
      </w:r>
    </w:p>
    <w:p w:rsidR="00B243D9" w:rsidRDefault="00F5719E">
      <w:pPr>
        <w:keepNext/>
        <w:shd w:val="clear" w:color="auto" w:fill="FFFFFF"/>
        <w:spacing w:after="0" w:line="240" w:lineRule="auto"/>
        <w:ind w:left="1440" w:firstLine="720"/>
        <w:contextualSpacing/>
        <w:rPr>
          <w:rFonts w:ascii="Times New Roman" w:eastAsia="Calibri" w:hAnsi="Times New Roman" w:cs="Times New Roman"/>
          <w:b/>
          <w:noProof/>
          <w:sz w:val="24"/>
          <w:szCs w:val="24"/>
          <w:lang w:val="ro-RO"/>
        </w:rPr>
      </w:pPr>
      <w:r>
        <w:rPr>
          <w:rFonts w:ascii="Times New Roman" w:hAnsi="Times New Roman"/>
          <w:b/>
          <w:noProof/>
          <w:sz w:val="24"/>
          <w:szCs w:val="24"/>
          <w:lang w:val="ro-RO"/>
        </w:rPr>
        <w:t>Indicator</w:t>
      </w:r>
      <w:r>
        <w:rPr>
          <w:rFonts w:ascii="Times New Roman" w:hAnsi="Times New Roman"/>
          <w:b/>
          <w:noProof/>
          <w:sz w:val="24"/>
          <w:szCs w:val="24"/>
          <w:lang w:val="ro-RO"/>
        </w:rPr>
        <w:t>i de fertilitate, UE-27, 2001-2018</w:t>
      </w:r>
    </w:p>
    <w:p w:rsidR="00B243D9" w:rsidRDefault="00F5719E">
      <w:pPr>
        <w:shd w:val="clear" w:color="auto" w:fill="FFFFFF"/>
        <w:spacing w:after="0" w:line="240" w:lineRule="auto"/>
        <w:contextualSpacing/>
        <w:jc w:val="center"/>
        <w:rPr>
          <w:rFonts w:ascii="Times New Roman" w:eastAsia="Calibri" w:hAnsi="Times New Roman" w:cs="Times New Roman"/>
          <w:noProof/>
          <w:sz w:val="24"/>
          <w:szCs w:val="24"/>
          <w:lang w:val="ro-RO"/>
        </w:rPr>
      </w:pPr>
      <w:r>
        <w:rPr>
          <w:noProof/>
          <w:lang w:val="fr-BE" w:eastAsia="fr-BE"/>
        </w:rPr>
        <w:drawing>
          <wp:inline distT="0" distB="0" distL="0" distR="0">
            <wp:extent cx="5797218" cy="35691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4413" cy="3573540"/>
                    </a:xfrm>
                    <a:prstGeom prst="rect">
                      <a:avLst/>
                    </a:prstGeom>
                    <a:noFill/>
                    <a:ln>
                      <a:noFill/>
                    </a:ln>
                  </pic:spPr>
                </pic:pic>
              </a:graphicData>
            </a:graphic>
          </wp:inline>
        </w:drawing>
      </w:r>
    </w:p>
    <w:p w:rsidR="00B243D9" w:rsidRDefault="00F5719E">
      <w:pPr>
        <w:shd w:val="clear" w:color="auto" w:fill="FFFFFF"/>
        <w:spacing w:after="0" w:line="240" w:lineRule="auto"/>
        <w:contextualSpacing/>
        <w:rPr>
          <w:rFonts w:ascii="Times New Roman" w:eastAsia="Calibri" w:hAnsi="Times New Roman" w:cs="Times New Roman"/>
          <w:i/>
          <w:noProof/>
          <w:sz w:val="24"/>
          <w:szCs w:val="24"/>
          <w:lang w:val="ro-RO"/>
        </w:rPr>
      </w:pPr>
      <w:r>
        <w:rPr>
          <w:rFonts w:ascii="Times New Roman" w:hAnsi="Times New Roman"/>
          <w:i/>
          <w:noProof/>
          <w:sz w:val="24"/>
          <w:szCs w:val="24"/>
          <w:lang w:val="ro-RO"/>
        </w:rPr>
        <w:t>Sursă: Eurostat</w:t>
      </w:r>
    </w:p>
    <w:p w:rsidR="00B243D9" w:rsidRDefault="00F5719E">
      <w:pPr>
        <w:keepNext/>
        <w:keepLines/>
        <w:spacing w:after="0" w:line="240" w:lineRule="auto"/>
        <w:jc w:val="center"/>
        <w:rPr>
          <w:rFonts w:ascii="Times New Roman" w:hAnsi="Times New Roman" w:cs="Times New Roman"/>
          <w:b/>
          <w:noProof/>
          <w:sz w:val="24"/>
          <w:szCs w:val="24"/>
          <w:lang w:val="ro-RO"/>
        </w:rPr>
      </w:pPr>
      <w:r>
        <w:rPr>
          <w:rFonts w:ascii="Times New Roman" w:hAnsi="Times New Roman"/>
          <w:b/>
          <w:noProof/>
          <w:sz w:val="24"/>
          <w:szCs w:val="24"/>
          <w:lang w:val="ro-RO"/>
        </w:rPr>
        <w:t>Rata totală a fertilității pe regiuni</w:t>
      </w:r>
      <w:r>
        <w:rPr>
          <w:rStyle w:val="FootnoteReference"/>
          <w:rFonts w:ascii="Times New Roman" w:hAnsi="Times New Roman" w:cs="Times New Roman"/>
          <w:b/>
          <w:noProof/>
          <w:sz w:val="24"/>
          <w:szCs w:val="24"/>
          <w:lang w:val="ro-RO"/>
        </w:rPr>
        <w:footnoteReference w:id="14"/>
      </w:r>
      <w:r>
        <w:rPr>
          <w:rFonts w:ascii="Times New Roman" w:hAnsi="Times New Roman"/>
          <w:b/>
          <w:noProof/>
          <w:sz w:val="24"/>
          <w:szCs w:val="24"/>
          <w:lang w:val="ro-RO"/>
        </w:rPr>
        <w:t>, 2018</w:t>
      </w:r>
    </w:p>
    <w:p w:rsidR="00B243D9" w:rsidRDefault="00F5719E">
      <w:pPr>
        <w:keepNext/>
        <w:keepLines/>
        <w:spacing w:after="0" w:line="240" w:lineRule="auto"/>
        <w:jc w:val="center"/>
        <w:rPr>
          <w:rFonts w:ascii="Times New Roman" w:hAnsi="Times New Roman" w:cs="Times New Roman"/>
          <w:i/>
          <w:noProof/>
          <w:sz w:val="24"/>
          <w:szCs w:val="24"/>
          <w:lang w:val="ro-RO"/>
        </w:rPr>
      </w:pPr>
      <w:r>
        <w:rPr>
          <w:noProof/>
          <w:lang w:val="fr-BE" w:eastAsia="fr-BE"/>
        </w:rPr>
        <w:drawing>
          <wp:inline distT="0" distB="0" distL="0" distR="0">
            <wp:extent cx="5667375" cy="647954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67779" cy="6480002"/>
                    </a:xfrm>
                    <a:prstGeom prst="rect">
                      <a:avLst/>
                    </a:prstGeom>
                  </pic:spPr>
                </pic:pic>
              </a:graphicData>
            </a:graphic>
          </wp:inline>
        </w:drawing>
      </w:r>
    </w:p>
    <w:p w:rsidR="00B243D9" w:rsidRDefault="00F5719E">
      <w:pPr>
        <w:pStyle w:val="Heading2"/>
        <w:keepNext/>
        <w:pageBreakBefore/>
        <w:rPr>
          <w:noProof/>
          <w:lang w:val="ro-RO"/>
        </w:rPr>
      </w:pPr>
      <w:bookmarkStart w:id="20" w:name="_Toc32414437"/>
      <w:bookmarkStart w:id="21" w:name="_Toc32444149"/>
      <w:bookmarkStart w:id="22" w:name="_Toc33800397"/>
      <w:bookmarkStart w:id="23" w:name="_Toc42531860"/>
      <w:bookmarkStart w:id="24" w:name="_Toc43897133"/>
      <w:r>
        <w:rPr>
          <w:noProof/>
          <w:lang w:val="ro-RO"/>
        </w:rPr>
        <w:t>2.3. ÎMBĂTRÂNIREA POPULAȚIEI</w:t>
      </w:r>
      <w:bookmarkEnd w:id="20"/>
      <w:bookmarkEnd w:id="21"/>
      <w:bookmarkEnd w:id="22"/>
      <w:bookmarkEnd w:id="23"/>
      <w:bookmarkEnd w:id="24"/>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Populația Europei este în curs de îmbătrânire</w:t>
      </w:r>
      <w:r>
        <w:rPr>
          <w:rFonts w:ascii="Times New Roman" w:hAnsi="Times New Roman"/>
          <w:noProof/>
          <w:sz w:val="24"/>
          <w:szCs w:val="24"/>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Vârsta mediană</w:t>
      </w:r>
      <w:r>
        <w:rPr>
          <w:rStyle w:val="FootnoteReference"/>
          <w:rFonts w:ascii="Times New Roman" w:hAnsi="Times New Roman" w:cs="Times New Roman"/>
          <w:noProof/>
          <w:sz w:val="24"/>
          <w:szCs w:val="24"/>
          <w:lang w:val="ro-RO"/>
        </w:rPr>
        <w:footnoteReference w:id="15"/>
      </w:r>
      <w:r>
        <w:rPr>
          <w:rFonts w:ascii="Times New Roman" w:hAnsi="Times New Roman"/>
          <w:noProof/>
          <w:sz w:val="24"/>
          <w:szCs w:val="24"/>
          <w:lang w:val="ro-RO"/>
        </w:rPr>
        <w:t xml:space="preserve"> a populației din UE-27 este în creștere de mai mulți ani și se preconizează că va crește într-un ritm similar timp de încă două decenii. Vârsta mediană poate atinge 49 de ani în 2070 – mai mult cu circa cinci ani decât în prezent.</w:t>
      </w:r>
    </w:p>
    <w:p w:rsidR="00B243D9" w:rsidRDefault="00F5719E">
      <w:pPr>
        <w:keepNext/>
        <w:spacing w:after="0"/>
        <w:contextualSpacing/>
        <w:jc w:val="center"/>
        <w:rPr>
          <w:rStyle w:val="Strong"/>
          <w:rFonts w:ascii="Times New Roman" w:hAnsi="Times New Roman" w:cs="Times New Roman"/>
          <w:noProof/>
          <w:sz w:val="24"/>
          <w:szCs w:val="24"/>
          <w:lang w:val="ro-RO"/>
        </w:rPr>
      </w:pPr>
      <w:r>
        <w:rPr>
          <w:rStyle w:val="Strong"/>
          <w:rFonts w:ascii="Times New Roman" w:hAnsi="Times New Roman"/>
          <w:noProof/>
          <w:sz w:val="24"/>
          <w:szCs w:val="24"/>
          <w:lang w:val="ro-RO"/>
        </w:rPr>
        <w:t>Vârsta mediană a populaț</w:t>
      </w:r>
      <w:r>
        <w:rPr>
          <w:rStyle w:val="Strong"/>
          <w:rFonts w:ascii="Times New Roman" w:hAnsi="Times New Roman"/>
          <w:noProof/>
          <w:sz w:val="24"/>
          <w:szCs w:val="24"/>
          <w:lang w:val="ro-RO"/>
        </w:rPr>
        <w:t>iei UE-27, 2001-2070</w:t>
      </w:r>
    </w:p>
    <w:p w:rsidR="00B243D9" w:rsidRDefault="00F5719E">
      <w:pPr>
        <w:spacing w:after="0"/>
        <w:contextualSpacing/>
        <w:jc w:val="center"/>
        <w:rPr>
          <w:rFonts w:ascii="Times New Roman" w:hAnsi="Times New Roman" w:cs="Times New Roman"/>
          <w:b/>
          <w:noProof/>
          <w:sz w:val="24"/>
          <w:szCs w:val="24"/>
          <w:lang w:val="ro-RO"/>
        </w:rPr>
      </w:pPr>
      <w:r>
        <w:rPr>
          <w:noProof/>
          <w:lang w:val="fr-BE" w:eastAsia="fr-BE"/>
        </w:rPr>
        <w:drawing>
          <wp:inline distT="0" distB="0" distL="0" distR="0">
            <wp:extent cx="6192520" cy="309129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2520" cy="3091297"/>
                    </a:xfrm>
                    <a:prstGeom prst="rect">
                      <a:avLst/>
                    </a:prstGeom>
                    <a:noFill/>
                    <a:ln>
                      <a:noFill/>
                    </a:ln>
                  </pic:spPr>
                </pic:pic>
              </a:graphicData>
            </a:graphic>
          </wp:inline>
        </w:drawing>
      </w:r>
    </w:p>
    <w:p w:rsidR="00B243D9" w:rsidRDefault="00F5719E">
      <w:pPr>
        <w:rPr>
          <w:rFonts w:ascii="Times New Roman" w:hAnsi="Times New Roman" w:cs="Times New Roman"/>
          <w:i/>
          <w:noProof/>
          <w:sz w:val="24"/>
          <w:szCs w:val="24"/>
          <w:lang w:val="ro-RO"/>
        </w:rPr>
      </w:pPr>
      <w:r>
        <w:rPr>
          <w:rFonts w:ascii="Times New Roman" w:hAnsi="Times New Roman"/>
          <w:i/>
          <w:noProof/>
          <w:sz w:val="24"/>
          <w:szCs w:val="24"/>
          <w:lang w:val="ro-RO"/>
        </w:rPr>
        <w:t xml:space="preserve">Sursă: Eurostat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Pe măsură ce crește vârsta mediană, cresc și numărul și ponderea persoanelor din grupele de vârstă mai avansate</w:t>
      </w:r>
      <w:r>
        <w:rPr>
          <w:rFonts w:ascii="Times New Roman" w:hAnsi="Times New Roman"/>
          <w:noProof/>
          <w:sz w:val="24"/>
          <w:szCs w:val="24"/>
          <w:lang w:val="ro-RO"/>
        </w:rPr>
        <w:t>. Până în 2070, se estimează că 30 % din populația Europei va fi în vârstă de cel puțin 65 de ani, față d</w:t>
      </w:r>
      <w:r>
        <w:rPr>
          <w:rFonts w:ascii="Times New Roman" w:hAnsi="Times New Roman"/>
          <w:noProof/>
          <w:sz w:val="24"/>
          <w:szCs w:val="24"/>
          <w:lang w:val="ro-RO"/>
        </w:rPr>
        <w:t>e aproximativ 20 % în prezent. Conform proiecțiilor, din 2019 până în 2070, proporția persoanelor cu vârsta de cel puțin 80 de ani va crește de peste două ori, ajungând la 13 %</w:t>
      </w:r>
      <w:r>
        <w:rPr>
          <w:rStyle w:val="FootnoteReference"/>
          <w:rFonts w:ascii="Times New Roman" w:hAnsi="Times New Roman" w:cs="Times New Roman"/>
          <w:noProof/>
          <w:sz w:val="24"/>
          <w:szCs w:val="24"/>
          <w:lang w:val="ro-RO"/>
        </w:rPr>
        <w:footnoteReference w:id="16"/>
      </w:r>
      <w:r>
        <w:rPr>
          <w:rFonts w:ascii="Times New Roman" w:hAnsi="Times New Roman"/>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În același timp, se estimează că populația în vârstă de muncă (20-64 de ani)</w:t>
      </w:r>
      <w:r>
        <w:rPr>
          <w:rStyle w:val="FootnoteReference"/>
          <w:rFonts w:ascii="Times New Roman" w:hAnsi="Times New Roman" w:cs="Times New Roman"/>
          <w:b/>
          <w:noProof/>
          <w:sz w:val="24"/>
          <w:szCs w:val="24"/>
          <w:lang w:val="ro-RO"/>
        </w:rPr>
        <w:footnoteReference w:id="17"/>
      </w:r>
      <w:r>
        <w:rPr>
          <w:rFonts w:ascii="Times New Roman" w:hAnsi="Times New Roman"/>
          <w:b/>
          <w:noProof/>
          <w:sz w:val="24"/>
          <w:szCs w:val="24"/>
          <w:lang w:val="ro-RO"/>
        </w:rPr>
        <w:t xml:space="preserve"> va scădea</w:t>
      </w:r>
      <w:r>
        <w:rPr>
          <w:rFonts w:ascii="Times New Roman" w:hAnsi="Times New Roman"/>
          <w:noProof/>
          <w:sz w:val="24"/>
          <w:szCs w:val="24"/>
          <w:lang w:val="ro-RO"/>
        </w:rPr>
        <w:t xml:space="preserve">. În 2019, aceasta reprezenta 59 % din întreaga populație. Până în 2070, se estimează că aceasta va scădea la 51 %. În același interval, se estimează că numărul copiilor și tinerilor (0-19 ani) va scădea cu 12,6 milioane. </w:t>
      </w:r>
    </w:p>
    <w:p w:rsidR="00B243D9" w:rsidRDefault="00B243D9">
      <w:pPr>
        <w:spacing w:after="0"/>
        <w:rPr>
          <w:rStyle w:val="Strong"/>
          <w:rFonts w:ascii="Times New Roman" w:hAnsi="Times New Roman" w:cs="Times New Roman"/>
          <w:noProof/>
          <w:sz w:val="24"/>
          <w:szCs w:val="24"/>
          <w:lang w:val="ro-RO"/>
        </w:rPr>
      </w:pPr>
      <w:bookmarkStart w:id="25" w:name="_Toc32414438"/>
    </w:p>
    <w:p w:rsidR="00B243D9" w:rsidRDefault="00F5719E">
      <w:pPr>
        <w:rPr>
          <w:rStyle w:val="Strong"/>
          <w:rFonts w:ascii="Times New Roman" w:hAnsi="Times New Roman" w:cs="Times New Roman"/>
          <w:noProof/>
          <w:sz w:val="24"/>
          <w:szCs w:val="24"/>
          <w:lang w:val="ro-RO"/>
        </w:rPr>
      </w:pPr>
      <w:r>
        <w:rPr>
          <w:noProof/>
          <w:lang w:val="ro-RO"/>
        </w:rPr>
        <w:br w:type="page"/>
      </w:r>
    </w:p>
    <w:p w:rsidR="00B243D9" w:rsidRDefault="00F5719E">
      <w:pPr>
        <w:keepNext/>
        <w:spacing w:after="0"/>
        <w:jc w:val="center"/>
        <w:rPr>
          <w:rFonts w:ascii="Times New Roman" w:hAnsi="Times New Roman"/>
          <w:noProof/>
          <w:sz w:val="24"/>
          <w:lang w:val="ro-RO"/>
        </w:rPr>
      </w:pPr>
      <w:r>
        <w:rPr>
          <w:rStyle w:val="Strong"/>
          <w:rFonts w:ascii="Times New Roman" w:hAnsi="Times New Roman"/>
          <w:noProof/>
          <w:sz w:val="24"/>
          <w:szCs w:val="24"/>
          <w:lang w:val="ro-RO"/>
        </w:rPr>
        <w:t xml:space="preserve">Populația pe grupe </w:t>
      </w:r>
      <w:r>
        <w:rPr>
          <w:rStyle w:val="Strong"/>
          <w:rFonts w:ascii="Times New Roman" w:hAnsi="Times New Roman"/>
          <w:noProof/>
          <w:sz w:val="24"/>
          <w:szCs w:val="24"/>
          <w:lang w:val="ro-RO"/>
        </w:rPr>
        <w:t>de vârstă, UE-27, 2001-2070</w:t>
      </w:r>
      <w:r>
        <w:rPr>
          <w:noProof/>
          <w:lang w:val="fr-BE" w:eastAsia="fr-BE"/>
        </w:rPr>
        <w:drawing>
          <wp:inline distT="0" distB="0" distL="0" distR="0">
            <wp:extent cx="6192520" cy="32236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2520" cy="3223646"/>
                    </a:xfrm>
                    <a:prstGeom prst="rect">
                      <a:avLst/>
                    </a:prstGeom>
                    <a:noFill/>
                    <a:ln>
                      <a:noFill/>
                    </a:ln>
                  </pic:spPr>
                </pic:pic>
              </a:graphicData>
            </a:graphic>
          </wp:inline>
        </w:drawing>
      </w:r>
    </w:p>
    <w:p w:rsidR="00B243D9" w:rsidRDefault="00F5719E">
      <w:pPr>
        <w:spacing w:after="0"/>
        <w:rPr>
          <w:rFonts w:ascii="Times New Roman" w:hAnsi="Times New Roman" w:cs="Times New Roman"/>
          <w:i/>
          <w:noProof/>
          <w:sz w:val="24"/>
          <w:szCs w:val="24"/>
          <w:lang w:val="ro-RO"/>
        </w:rPr>
      </w:pPr>
      <w:r>
        <w:rPr>
          <w:rFonts w:ascii="Times New Roman" w:hAnsi="Times New Roman"/>
          <w:i/>
          <w:noProof/>
          <w:sz w:val="24"/>
          <w:szCs w:val="24"/>
          <w:lang w:val="ro-RO"/>
        </w:rPr>
        <w:t xml:space="preserve">Sursă: Eurostat </w:t>
      </w:r>
    </w:p>
    <w:p w:rsidR="00B243D9" w:rsidRDefault="00B243D9">
      <w:pPr>
        <w:pStyle w:val="Heading2"/>
        <w:rPr>
          <w:noProof/>
          <w:lang w:val="ro-RO"/>
        </w:rPr>
      </w:pPr>
      <w:bookmarkStart w:id="26" w:name="_Toc32444150"/>
    </w:p>
    <w:p w:rsidR="00B243D9" w:rsidRDefault="00F5719E">
      <w:pPr>
        <w:pStyle w:val="Heading2"/>
        <w:keepNext/>
        <w:rPr>
          <w:noProof/>
          <w:lang w:val="ro-RO"/>
        </w:rPr>
      </w:pPr>
      <w:bookmarkStart w:id="27" w:name="_Toc33800398"/>
      <w:bookmarkStart w:id="28" w:name="_Toc42531861"/>
      <w:bookmarkStart w:id="29" w:name="_Toc43897134"/>
      <w:r>
        <w:rPr>
          <w:noProof/>
          <w:lang w:val="ro-RO"/>
        </w:rPr>
        <w:t>2.4. GOSPODĂRII MAI MICI</w:t>
      </w:r>
      <w:bookmarkEnd w:id="25"/>
      <w:bookmarkEnd w:id="26"/>
      <w:bookmarkEnd w:id="27"/>
      <w:bookmarkEnd w:id="28"/>
      <w:bookmarkEnd w:id="29"/>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b/>
          <w:noProof/>
          <w:sz w:val="24"/>
          <w:szCs w:val="24"/>
          <w:lang w:val="ro-RO"/>
        </w:rPr>
        <w:t>Pe măsură ce numărul de gospodării din Europa crește, dimensiunea medie a acestora scade</w:t>
      </w:r>
      <w:r>
        <w:rPr>
          <w:rFonts w:ascii="Times New Roman" w:hAnsi="Times New Roman"/>
          <w:noProof/>
          <w:sz w:val="24"/>
          <w:szCs w:val="24"/>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În 2019, în Europa existau 195 de milioane de gospodării, ceea ce reprezintă o creștere de 13 </w:t>
      </w:r>
      <w:r>
        <w:rPr>
          <w:rFonts w:ascii="Times New Roman" w:hAnsi="Times New Roman"/>
          <w:noProof/>
          <w:sz w:val="24"/>
          <w:szCs w:val="24"/>
          <w:lang w:val="ro-RO"/>
        </w:rPr>
        <w:t>milioane față de 2010. Aceste gospodării, în medie, scad ca dimensiune. În 2010, gospodăria medie era alcătuită din 2,4 persoane. În ultimul deceniu, aceasta a înregistrat o scădere lentă, ajungând, în 2019, la 2,3.</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b/>
          <w:noProof/>
          <w:sz w:val="24"/>
          <w:szCs w:val="24"/>
          <w:lang w:val="ro-RO"/>
        </w:rPr>
        <w:t>Aproximativ o treime din toate gospodări</w:t>
      </w:r>
      <w:r>
        <w:rPr>
          <w:rFonts w:ascii="Times New Roman" w:hAnsi="Times New Roman"/>
          <w:b/>
          <w:noProof/>
          <w:sz w:val="24"/>
          <w:szCs w:val="24"/>
          <w:lang w:val="ro-RO"/>
        </w:rPr>
        <w:t>ile sunt alcătuite dintr-o singură persoană</w:t>
      </w:r>
      <w:r>
        <w:rPr>
          <w:rFonts w:ascii="Times New Roman" w:hAnsi="Times New Roman"/>
          <w:noProof/>
          <w:sz w:val="24"/>
          <w:szCs w:val="24"/>
          <w:lang w:val="ro-RO"/>
        </w:rPr>
        <w:t xml:space="preserve"> – o creștere de 19 % față de 2010. Tendința generală se îndreaptă către gospodăriile formate din cupluri fără copii, persoane care trăiesc singure și părinți singuri. În majoritatea gospodăriilor nu există copii,</w:t>
      </w:r>
      <w:r>
        <w:rPr>
          <w:rFonts w:ascii="Times New Roman" w:hAnsi="Times New Roman"/>
          <w:noProof/>
          <w:sz w:val="24"/>
          <w:szCs w:val="24"/>
          <w:lang w:val="ro-RO"/>
        </w:rPr>
        <w:t xml:space="preserve"> în timp ce gospodăriile monoparentale au crescut cu 13 % față de 2010. Astfel de tipare pot juca, de asemenea, un rol în contextul pandemiei, în care este posibil ca anumite structuri ale gospodăriilor să fi afectat răspândirea virusului.</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noProof/>
          <w:sz w:val="24"/>
          <w:szCs w:val="24"/>
          <w:lang w:val="ro-RO"/>
        </w:rPr>
        <w:t>Pe măsură ce Eur</w:t>
      </w:r>
      <w:r>
        <w:rPr>
          <w:rFonts w:ascii="Times New Roman" w:hAnsi="Times New Roman"/>
          <w:noProof/>
          <w:sz w:val="24"/>
          <w:szCs w:val="24"/>
          <w:lang w:val="ro-RO"/>
        </w:rPr>
        <w:t>opa îmbătrânește,</w:t>
      </w:r>
      <w:r>
        <w:rPr>
          <w:rFonts w:ascii="Times New Roman" w:hAnsi="Times New Roman"/>
          <w:b/>
          <w:noProof/>
          <w:sz w:val="24"/>
          <w:szCs w:val="24"/>
          <w:lang w:val="ro-RO"/>
        </w:rPr>
        <w:t xml:space="preserve"> un număr din ce în ce mai mare de persoane care au cel puțin 65 de ani vor trăi singure</w:t>
      </w:r>
      <w:r>
        <w:rPr>
          <w:rStyle w:val="FootnoteReference"/>
          <w:rFonts w:ascii="Times New Roman" w:hAnsi="Times New Roman" w:cs="Times New Roman"/>
          <w:noProof/>
          <w:sz w:val="24"/>
          <w:szCs w:val="24"/>
          <w:lang w:val="ro-RO"/>
        </w:rPr>
        <w:footnoteReference w:id="18"/>
      </w:r>
      <w:r>
        <w:rPr>
          <w:rFonts w:ascii="Times New Roman" w:hAnsi="Times New Roman"/>
          <w:noProof/>
          <w:sz w:val="24"/>
          <w:szCs w:val="24"/>
          <w:lang w:val="ro-RO"/>
        </w:rPr>
        <w:t xml:space="preserve">. Acest lucru este valabil în special pentru femei. În 2019, procentul femeilor în vârstă care locuiesc singure era de 40 %, mai mult decât dublul </w:t>
      </w:r>
      <w:r>
        <w:rPr>
          <w:rFonts w:ascii="Times New Roman" w:hAnsi="Times New Roman"/>
          <w:noProof/>
          <w:sz w:val="24"/>
          <w:szCs w:val="24"/>
          <w:lang w:val="ro-RO"/>
        </w:rPr>
        <w:t>celui pentru bărbați.</w:t>
      </w:r>
    </w:p>
    <w:p w:rsidR="00B243D9" w:rsidRDefault="00F5719E">
      <w:pPr>
        <w:keepNext/>
        <w:keepLines/>
        <w:spacing w:after="0"/>
        <w:contextualSpacing/>
        <w:jc w:val="center"/>
        <w:rPr>
          <w:rFonts w:ascii="Times New Roman" w:hAnsi="Times New Roman" w:cs="Times New Roman"/>
          <w:i/>
          <w:noProof/>
          <w:sz w:val="24"/>
          <w:szCs w:val="24"/>
          <w:lang w:val="ro-RO"/>
        </w:rPr>
      </w:pPr>
      <w:r>
        <w:rPr>
          <w:rFonts w:ascii="Times New Roman" w:hAnsi="Times New Roman"/>
          <w:b/>
          <w:noProof/>
          <w:sz w:val="24"/>
          <w:szCs w:val="24"/>
          <w:lang w:val="ro-RO"/>
        </w:rPr>
        <w:t xml:space="preserve">Gospodării în funcție de prezența copiilor, UE-27, 2010-2019 </w:t>
      </w:r>
      <w:r>
        <w:rPr>
          <w:rFonts w:ascii="Times New Roman" w:hAnsi="Times New Roman"/>
          <w:i/>
          <w:noProof/>
          <w:sz w:val="24"/>
          <w:szCs w:val="24"/>
          <w:lang w:val="ro-RO"/>
        </w:rPr>
        <w:t>(în milioane)</w:t>
      </w:r>
    </w:p>
    <w:p w:rsidR="00B243D9" w:rsidRDefault="00F5719E">
      <w:pPr>
        <w:spacing w:after="0"/>
        <w:contextualSpacing/>
        <w:rPr>
          <w:rFonts w:ascii="Times New Roman" w:hAnsi="Times New Roman" w:cs="Times New Roman"/>
          <w:noProof/>
          <w:sz w:val="24"/>
          <w:szCs w:val="24"/>
          <w:lang w:val="ro-RO"/>
        </w:rPr>
      </w:pPr>
      <w:r>
        <w:rPr>
          <w:noProof/>
          <w:lang w:val="fr-BE" w:eastAsia="fr-BE"/>
        </w:rPr>
        <w:drawing>
          <wp:inline distT="0" distB="0" distL="0" distR="0">
            <wp:extent cx="5313279" cy="337246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7655" cy="3381590"/>
                    </a:xfrm>
                    <a:prstGeom prst="rect">
                      <a:avLst/>
                    </a:prstGeom>
                    <a:noFill/>
                    <a:ln>
                      <a:noFill/>
                    </a:ln>
                  </pic:spPr>
                </pic:pic>
              </a:graphicData>
            </a:graphic>
          </wp:inline>
        </w:drawing>
      </w:r>
    </w:p>
    <w:p w:rsidR="00B243D9" w:rsidRDefault="00F5719E">
      <w:pPr>
        <w:spacing w:after="0"/>
        <w:contextualSpacing/>
        <w:rPr>
          <w:rFonts w:ascii="Times New Roman" w:hAnsi="Times New Roman"/>
          <w:i/>
          <w:noProof/>
          <w:sz w:val="24"/>
          <w:lang w:val="ro-RO"/>
        </w:rPr>
      </w:pPr>
      <w:r>
        <w:rPr>
          <w:rFonts w:ascii="Times New Roman" w:hAnsi="Times New Roman"/>
          <w:i/>
          <w:noProof/>
          <w:sz w:val="24"/>
          <w:lang w:val="ro-RO"/>
        </w:rPr>
        <w:t>Sursă: Eurostat</w:t>
      </w:r>
    </w:p>
    <w:p w:rsidR="00B243D9" w:rsidRDefault="00B243D9">
      <w:pPr>
        <w:pStyle w:val="Text2"/>
        <w:rPr>
          <w:noProof/>
          <w:lang w:val="ro-RO"/>
        </w:rPr>
      </w:pPr>
    </w:p>
    <w:p w:rsidR="00B243D9" w:rsidRDefault="00F5719E">
      <w:pPr>
        <w:pStyle w:val="Heading2"/>
        <w:keepNext/>
        <w:rPr>
          <w:noProof/>
          <w:lang w:val="ro-RO"/>
        </w:rPr>
      </w:pPr>
      <w:bookmarkStart w:id="30" w:name="_Toc32414439"/>
      <w:bookmarkStart w:id="31" w:name="_Toc32444151"/>
      <w:bookmarkStart w:id="32" w:name="_Toc33800399"/>
      <w:bookmarkStart w:id="33" w:name="_Toc42531862"/>
      <w:bookmarkStart w:id="34" w:name="_Toc43897135"/>
      <w:r>
        <w:rPr>
          <w:noProof/>
          <w:lang w:val="ro-RO"/>
        </w:rPr>
        <w:t xml:space="preserve">2.5. </w:t>
      </w:r>
      <w:bookmarkEnd w:id="30"/>
      <w:bookmarkEnd w:id="31"/>
      <w:bookmarkEnd w:id="32"/>
      <w:r>
        <w:rPr>
          <w:noProof/>
          <w:lang w:val="ro-RO"/>
        </w:rPr>
        <w:t>O EUROPĂ MAI MOBILĂ</w:t>
      </w:r>
      <w:bookmarkEnd w:id="33"/>
      <w:bookmarkEnd w:id="34"/>
    </w:p>
    <w:p w:rsidR="00B243D9" w:rsidRDefault="00F5719E">
      <w:pPr>
        <w:pStyle w:val="xmsonormal"/>
        <w:spacing w:line="276" w:lineRule="auto"/>
        <w:jc w:val="both"/>
        <w:rPr>
          <w:rFonts w:ascii="Times New Roman" w:hAnsi="Times New Roman" w:cs="Times New Roman"/>
          <w:noProof/>
          <w:sz w:val="24"/>
          <w:szCs w:val="24"/>
          <w:lang w:val="ro-RO"/>
        </w:rPr>
      </w:pPr>
      <w:r>
        <w:rPr>
          <w:rFonts w:ascii="Times New Roman" w:hAnsi="Times New Roman"/>
          <w:b/>
          <w:noProof/>
          <w:sz w:val="24"/>
          <w:szCs w:val="24"/>
          <w:lang w:val="ro-RO"/>
        </w:rPr>
        <w:t>Circulația persoanelor, atât în interiorul frontierelor Europei, cât și dincolo de acestea, este un vector esențial</w:t>
      </w:r>
      <w:r>
        <w:rPr>
          <w:rFonts w:ascii="Times New Roman" w:hAnsi="Times New Roman"/>
          <w:b/>
          <w:noProof/>
          <w:sz w:val="24"/>
          <w:szCs w:val="24"/>
          <w:lang w:val="ro-RO"/>
        </w:rPr>
        <w:t xml:space="preserve"> al schimbărilor demografice</w:t>
      </w:r>
      <w:r>
        <w:rPr>
          <w:rFonts w:ascii="Times New Roman" w:hAnsi="Times New Roman"/>
          <w:noProof/>
          <w:sz w:val="24"/>
          <w:szCs w:val="24"/>
          <w:lang w:val="ro-RO"/>
        </w:rPr>
        <w:t xml:space="preserve">. </w:t>
      </w:r>
    </w:p>
    <w:p w:rsidR="00B243D9" w:rsidRDefault="00F5719E">
      <w:pPr>
        <w:pStyle w:val="xmsonormal"/>
        <w:pBdr>
          <w:top w:val="single" w:sz="4" w:space="1" w:color="auto"/>
          <w:left w:val="single" w:sz="4" w:space="4" w:color="auto"/>
          <w:bottom w:val="single" w:sz="4" w:space="1" w:color="auto"/>
          <w:right w:val="single" w:sz="4" w:space="4" w:color="auto"/>
        </w:pBdr>
        <w:shd w:val="clear" w:color="auto" w:fill="F2F2F2"/>
        <w:spacing w:line="276" w:lineRule="auto"/>
        <w:jc w:val="both"/>
        <w:rPr>
          <w:rFonts w:ascii="Times New Roman" w:hAnsi="Times New Roman" w:cs="Times New Roman"/>
          <w:noProof/>
          <w:sz w:val="24"/>
          <w:szCs w:val="24"/>
          <w:lang w:val="ro-RO"/>
        </w:rPr>
      </w:pPr>
      <w:r>
        <w:rPr>
          <w:rFonts w:ascii="Times New Roman" w:hAnsi="Times New Roman"/>
          <w:b/>
          <w:noProof/>
          <w:sz w:val="24"/>
          <w:szCs w:val="24"/>
          <w:lang w:val="ro-RO"/>
        </w:rPr>
        <w:t>Unele persoane trec frontiera externă a UE</w:t>
      </w:r>
      <w:r>
        <w:rPr>
          <w:rFonts w:ascii="Times New Roman" w:hAnsi="Times New Roman"/>
          <w:noProof/>
          <w:sz w:val="24"/>
          <w:szCs w:val="24"/>
          <w:lang w:val="ro-RO"/>
        </w:rPr>
        <w:t>, mutându-se în interiorul sau în afara Europei. În 2018, 2,4 milioane de oameni au imigrat în UE-27, iar 1,1 milioane de oameni au emigrat într-o țară din afara UE-27</w:t>
      </w:r>
      <w:r>
        <w:rPr>
          <w:rStyle w:val="FootnoteReference"/>
          <w:rFonts w:ascii="Times New Roman" w:hAnsi="Times New Roman" w:cs="Times New Roman"/>
          <w:noProof/>
          <w:sz w:val="24"/>
          <w:szCs w:val="24"/>
          <w:lang w:val="ro-RO"/>
        </w:rPr>
        <w:footnoteReference w:id="19"/>
      </w:r>
      <w:r>
        <w:rPr>
          <w:rFonts w:ascii="Times New Roman" w:hAnsi="Times New Roman"/>
          <w:noProof/>
          <w:sz w:val="24"/>
          <w:szCs w:val="24"/>
          <w:lang w:val="ro-RO"/>
        </w:rPr>
        <w:t>. Datorită libe</w:t>
      </w:r>
      <w:r>
        <w:rPr>
          <w:rFonts w:ascii="Times New Roman" w:hAnsi="Times New Roman"/>
          <w:noProof/>
          <w:sz w:val="24"/>
          <w:szCs w:val="24"/>
          <w:lang w:val="ro-RO"/>
        </w:rPr>
        <w:t>rei circulații a persoanelor în Europa,</w:t>
      </w:r>
      <w:r>
        <w:rPr>
          <w:rFonts w:ascii="Times New Roman" w:hAnsi="Times New Roman"/>
          <w:b/>
          <w:noProof/>
          <w:sz w:val="24"/>
          <w:szCs w:val="24"/>
          <w:lang w:val="ro-RO"/>
        </w:rPr>
        <w:t xml:space="preserve"> multe persoane aleg să se mute în interiorul UE.</w:t>
      </w:r>
      <w:r>
        <w:rPr>
          <w:rFonts w:ascii="Times New Roman" w:hAnsi="Times New Roman"/>
          <w:noProof/>
          <w:sz w:val="24"/>
          <w:szCs w:val="24"/>
          <w:lang w:val="ro-RO"/>
        </w:rPr>
        <w:t xml:space="preserve"> Aceste deplasări nu au niciun efect asupra dimensiunii sau structurii de vârstă a UE în ansamblu, dar au un efect semnificativ la nivel național, regional și local. În</w:t>
      </w:r>
      <w:r>
        <w:rPr>
          <w:rFonts w:ascii="Times New Roman" w:hAnsi="Times New Roman"/>
          <w:noProof/>
          <w:sz w:val="24"/>
          <w:szCs w:val="24"/>
          <w:lang w:val="ro-RO"/>
        </w:rPr>
        <w:t xml:space="preserve"> 2018, 1,4 milioane de persoane s-au mutat într-un alt stat membru. Acest grup include, de asemenea, resortisanții țărilor terțe care locuiesc în Europa.</w:t>
      </w:r>
    </w:p>
    <w:p w:rsidR="00B243D9" w:rsidRDefault="00F5719E">
      <w:pPr>
        <w:pStyle w:val="xmsonormal"/>
        <w:spacing w:line="276" w:lineRule="auto"/>
        <w:jc w:val="both"/>
        <w:rPr>
          <w:rFonts w:ascii="Times New Roman" w:hAnsi="Times New Roman" w:cs="Times New Roman"/>
          <w:noProof/>
          <w:sz w:val="24"/>
          <w:szCs w:val="24"/>
          <w:lang w:val="ro-RO"/>
        </w:rPr>
      </w:pPr>
      <w:r>
        <w:rPr>
          <w:rFonts w:ascii="Times New Roman" w:hAnsi="Times New Roman"/>
          <w:noProof/>
          <w:sz w:val="24"/>
          <w:szCs w:val="24"/>
          <w:lang w:val="ro-RO"/>
        </w:rPr>
        <w:t>La 1 ianuarie 2019, populația din UE-27 cuprindea 21,8 milioane de resortisanți ai țărilor terțe, care</w:t>
      </w:r>
      <w:r>
        <w:rPr>
          <w:rFonts w:ascii="Times New Roman" w:hAnsi="Times New Roman"/>
          <w:noProof/>
          <w:sz w:val="24"/>
          <w:szCs w:val="24"/>
          <w:lang w:val="ro-RO"/>
        </w:rPr>
        <w:t xml:space="preserve"> reprezentau 4,9 % din populație. 13,3 milioane de cetățeni ai UE locuiau în altă țară din UE decât cea natală.</w:t>
      </w:r>
    </w:p>
    <w:p w:rsidR="00B243D9" w:rsidRDefault="00F5719E">
      <w:pPr>
        <w:pStyle w:val="xmsonormal"/>
        <w:spacing w:line="276" w:lineRule="auto"/>
        <w:jc w:val="both"/>
        <w:rPr>
          <w:rFonts w:ascii="Times New Roman" w:hAnsi="Times New Roman"/>
          <w:noProof/>
          <w:sz w:val="24"/>
          <w:lang w:val="ro-RO"/>
        </w:rPr>
      </w:pPr>
      <w:r>
        <w:rPr>
          <w:rFonts w:ascii="Times New Roman" w:hAnsi="Times New Roman"/>
          <w:b/>
          <w:noProof/>
          <w:sz w:val="24"/>
          <w:szCs w:val="24"/>
          <w:lang w:val="ro-RO"/>
        </w:rPr>
        <w:t>Dimensiunea anuală a acestor fluxuri se poate schimba, dar tendințele pe termen lung sunt relativ stabile.</w:t>
      </w:r>
      <w:r>
        <w:rPr>
          <w:rFonts w:ascii="Times New Roman" w:hAnsi="Times New Roman"/>
          <w:noProof/>
          <w:sz w:val="24"/>
          <w:szCs w:val="24"/>
          <w:lang w:val="ro-RO"/>
        </w:rPr>
        <w:t xml:space="preserve"> În ultimii 35 de ani, Europa a fost u</w:t>
      </w:r>
      <w:r>
        <w:rPr>
          <w:rFonts w:ascii="Times New Roman" w:hAnsi="Times New Roman"/>
          <w:noProof/>
          <w:sz w:val="24"/>
          <w:szCs w:val="24"/>
          <w:lang w:val="ro-RO"/>
        </w:rPr>
        <w:t>n continent al imigrației nete. De la mijlocul anilor 1980, în fiecare an în UE s-au mutat mai multe persoane decât au plecat, ceea ce a condus la o migrație netă pozitivă.</w:t>
      </w:r>
    </w:p>
    <w:p w:rsidR="00B243D9" w:rsidRDefault="00F5719E">
      <w:pPr>
        <w:pStyle w:val="xmsonormal"/>
        <w:spacing w:line="276" w:lineRule="auto"/>
        <w:jc w:val="both"/>
        <w:rPr>
          <w:rFonts w:ascii="Times New Roman" w:hAnsi="Times New Roman" w:cs="Times New Roman"/>
          <w:noProof/>
          <w:sz w:val="24"/>
          <w:szCs w:val="24"/>
          <w:lang w:val="ro-RO"/>
        </w:rPr>
      </w:pPr>
      <w:r>
        <w:rPr>
          <w:rFonts w:ascii="Times New Roman" w:hAnsi="Times New Roman"/>
          <w:noProof/>
          <w:sz w:val="24"/>
          <w:szCs w:val="24"/>
          <w:lang w:val="ro-RO"/>
        </w:rPr>
        <w:t>Rămâne de văzut cum vor afecta măsurile de urgență care limitează mobilitatea perso</w:t>
      </w:r>
      <w:r>
        <w:rPr>
          <w:rFonts w:ascii="Times New Roman" w:hAnsi="Times New Roman"/>
          <w:noProof/>
          <w:sz w:val="24"/>
          <w:szCs w:val="24"/>
          <w:lang w:val="ro-RO"/>
        </w:rPr>
        <w:t>anelor modelele și preferințele de mobilitate pe termen lung. Aceasta include întrebarea dacă cei care și-au pierdut locurile de muncă și mijloacele de subzistență într-un anumit loc pot căuta noi oportunități în altă parte.</w:t>
      </w:r>
    </w:p>
    <w:p w:rsidR="00B243D9" w:rsidRDefault="00B243D9">
      <w:pPr>
        <w:pStyle w:val="xmsonormal"/>
        <w:spacing w:line="276" w:lineRule="auto"/>
        <w:jc w:val="both"/>
        <w:rPr>
          <w:rFonts w:ascii="Times New Roman" w:hAnsi="Times New Roman" w:cs="Times New Roman"/>
          <w:noProof/>
          <w:sz w:val="24"/>
          <w:szCs w:val="24"/>
          <w:lang w:val="ro-RO"/>
        </w:rPr>
      </w:pPr>
    </w:p>
    <w:p w:rsidR="00B243D9" w:rsidRDefault="00F5719E">
      <w:pPr>
        <w:keepNext/>
        <w:shd w:val="clear" w:color="auto" w:fill="FFFFFF"/>
        <w:spacing w:after="0"/>
        <w:jc w:val="center"/>
        <w:rPr>
          <w:rFonts w:ascii="Times New Roman" w:hAnsi="Times New Roman" w:cs="Times New Roman"/>
          <w:i/>
          <w:noProof/>
          <w:sz w:val="24"/>
          <w:szCs w:val="24"/>
          <w:lang w:val="ro-RO"/>
        </w:rPr>
      </w:pPr>
      <w:r>
        <w:rPr>
          <w:rFonts w:ascii="Times New Roman" w:hAnsi="Times New Roman"/>
          <w:b/>
          <w:noProof/>
          <w:sz w:val="24"/>
          <w:szCs w:val="24"/>
          <w:lang w:val="ro-RO"/>
        </w:rPr>
        <w:t xml:space="preserve">Migrație netă, UE-27, </w:t>
      </w:r>
      <w:r>
        <w:rPr>
          <w:rFonts w:ascii="Times New Roman" w:hAnsi="Times New Roman"/>
          <w:b/>
          <w:noProof/>
          <w:sz w:val="24"/>
          <w:szCs w:val="24"/>
          <w:lang w:val="ro-RO"/>
        </w:rPr>
        <w:t>1961-2018</w:t>
      </w:r>
      <w:r>
        <w:rPr>
          <w:noProof/>
          <w:lang w:val="fr-BE" w:eastAsia="fr-BE"/>
        </w:rPr>
        <w:drawing>
          <wp:inline distT="0" distB="0" distL="0" distR="0">
            <wp:extent cx="6192520" cy="4484412"/>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2520" cy="4484412"/>
                    </a:xfrm>
                    <a:prstGeom prst="rect">
                      <a:avLst/>
                    </a:prstGeom>
                    <a:noFill/>
                    <a:ln>
                      <a:noFill/>
                    </a:ln>
                  </pic:spPr>
                </pic:pic>
              </a:graphicData>
            </a:graphic>
          </wp:inline>
        </w:drawing>
      </w:r>
    </w:p>
    <w:p w:rsidR="00B243D9" w:rsidRDefault="00F5719E">
      <w:pPr>
        <w:shd w:val="clear" w:color="auto" w:fill="FFFFFF"/>
        <w:spacing w:after="0"/>
        <w:rPr>
          <w:rFonts w:ascii="Times New Roman" w:hAnsi="Times New Roman" w:cs="Times New Roman"/>
          <w:i/>
          <w:noProof/>
          <w:sz w:val="24"/>
          <w:szCs w:val="24"/>
          <w:lang w:val="ro-RO"/>
        </w:rPr>
      </w:pPr>
      <w:r>
        <w:rPr>
          <w:rFonts w:ascii="Times New Roman" w:hAnsi="Times New Roman"/>
          <w:i/>
          <w:noProof/>
          <w:sz w:val="24"/>
          <w:szCs w:val="24"/>
          <w:lang w:val="ro-RO"/>
        </w:rPr>
        <w:t>Sursă: Eurostat  </w:t>
      </w:r>
    </w:p>
    <w:p w:rsidR="00B243D9" w:rsidRDefault="00B243D9">
      <w:pPr>
        <w:shd w:val="clear" w:color="auto" w:fill="FFFFFF"/>
        <w:spacing w:after="0"/>
        <w:rPr>
          <w:rFonts w:ascii="Times New Roman" w:hAnsi="Times New Roman" w:cs="Times New Roman"/>
          <w:i/>
          <w:noProof/>
          <w:sz w:val="24"/>
          <w:szCs w:val="24"/>
          <w:lang w:val="ro-RO"/>
        </w:rPr>
      </w:pPr>
    </w:p>
    <w:p w:rsidR="00B243D9" w:rsidRDefault="00F5719E">
      <w:pPr>
        <w:pStyle w:val="Heading2"/>
        <w:keepNext/>
        <w:rPr>
          <w:noProof/>
          <w:lang w:val="ro-RO"/>
        </w:rPr>
      </w:pPr>
      <w:bookmarkStart w:id="35" w:name="_Toc32414440"/>
      <w:bookmarkStart w:id="36" w:name="_Toc32444152"/>
      <w:bookmarkStart w:id="37" w:name="_Toc33800400"/>
      <w:bookmarkStart w:id="38" w:name="_Toc42531863"/>
      <w:bookmarkStart w:id="39" w:name="_Toc43897136"/>
      <w:r>
        <w:rPr>
          <w:noProof/>
          <w:lang w:val="ro-RO"/>
        </w:rPr>
        <w:t xml:space="preserve">2.6. </w:t>
      </w:r>
      <w:bookmarkEnd w:id="35"/>
      <w:bookmarkEnd w:id="36"/>
      <w:r>
        <w:rPr>
          <w:noProof/>
          <w:lang w:val="ro-RO"/>
        </w:rPr>
        <w:t>O DIMENSIUNE A POPULAȚIEI ÎN SCHIMBARE</w:t>
      </w:r>
      <w:bookmarkEnd w:id="37"/>
      <w:bookmarkEnd w:id="38"/>
      <w:bookmarkEnd w:id="39"/>
      <w:r>
        <w:rPr>
          <w:noProof/>
          <w:lang w:val="ro-RO"/>
        </w:rPr>
        <w:t xml:space="preserve"> </w:t>
      </w:r>
    </w:p>
    <w:p w:rsidR="00B243D9" w:rsidRDefault="00F5719E">
      <w:pPr>
        <w:shd w:val="clear" w:color="auto" w:fill="FFFFFF"/>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Populația Europei a crescut constant de-a lungul timpului. </w:t>
      </w:r>
      <w:r>
        <w:rPr>
          <w:rFonts w:ascii="Times New Roman" w:hAnsi="Times New Roman"/>
          <w:noProof/>
          <w:sz w:val="24"/>
          <w:szCs w:val="24"/>
          <w:lang w:val="ro-RO"/>
        </w:rPr>
        <w:t xml:space="preserve">În UE-27, numărul total al populației a crescut cu un sfert din 1960, până la puțin sub 447 de milioane în 2019. Cu toate </w:t>
      </w:r>
      <w:r>
        <w:rPr>
          <w:rFonts w:ascii="Times New Roman" w:hAnsi="Times New Roman"/>
          <w:noProof/>
          <w:sz w:val="24"/>
          <w:szCs w:val="24"/>
          <w:lang w:val="ro-RO"/>
        </w:rPr>
        <w:t>acestea, există diferențe între țări. În timp ce Belgia, Irlanda, Cipru, Luxemburg, Malta și Suedia au înregistrat o creștere relativ constantă, Bulgaria, Croația, Letonia, Lituania și România au înregistrat o scădere a populației lor după 1990</w:t>
      </w:r>
      <w:r>
        <w:rPr>
          <w:rStyle w:val="FootnoteReference"/>
          <w:rFonts w:ascii="Times New Roman" w:hAnsi="Times New Roman" w:cs="Times New Roman"/>
          <w:noProof/>
          <w:sz w:val="24"/>
          <w:szCs w:val="24"/>
          <w:lang w:val="ro-RO"/>
        </w:rPr>
        <w:footnoteReference w:id="20"/>
      </w:r>
      <w:r>
        <w:rPr>
          <w:rFonts w:ascii="Times New Roman" w:hAnsi="Times New Roman"/>
          <w:noProof/>
          <w:sz w:val="24"/>
          <w:szCs w:val="24"/>
          <w:lang w:val="ro-RO"/>
        </w:rPr>
        <w:t>.</w:t>
      </w:r>
    </w:p>
    <w:p w:rsidR="00B243D9" w:rsidRDefault="00F5719E">
      <w:pPr>
        <w:jc w:val="both"/>
        <w:rPr>
          <w:rFonts w:ascii="Times New Roman" w:hAnsi="Times New Roman" w:cs="Times New Roman"/>
          <w:b/>
          <w:noProof/>
          <w:sz w:val="24"/>
          <w:szCs w:val="24"/>
          <w:lang w:val="ro-RO"/>
        </w:rPr>
      </w:pPr>
      <w:r>
        <w:rPr>
          <w:rFonts w:ascii="Times New Roman" w:hAnsi="Times New Roman"/>
          <w:b/>
          <w:noProof/>
          <w:sz w:val="24"/>
          <w:lang w:val="ro-RO"/>
        </w:rPr>
        <w:t>Se precon</w:t>
      </w:r>
      <w:r>
        <w:rPr>
          <w:rFonts w:ascii="Times New Roman" w:hAnsi="Times New Roman"/>
          <w:b/>
          <w:noProof/>
          <w:sz w:val="24"/>
          <w:lang w:val="ro-RO"/>
        </w:rPr>
        <w:t xml:space="preserve">izează că tendința generală de creștere a populației va continua, dar nu pentru mult timp. </w:t>
      </w:r>
      <w:r>
        <w:rPr>
          <w:rFonts w:ascii="Times New Roman" w:hAnsi="Times New Roman"/>
          <w:noProof/>
          <w:sz w:val="24"/>
          <w:szCs w:val="24"/>
          <w:lang w:val="ro-RO"/>
        </w:rPr>
        <w:t>Din 2012, numărul deceselor în UE-27 a depășit numărul nașterilor. Aceasta înseamnă că, fără o migrație netă pozitivă, populația Europei ar fi început deja să scadă.</w:t>
      </w:r>
      <w:r>
        <w:rPr>
          <w:rFonts w:ascii="Times New Roman" w:hAnsi="Times New Roman"/>
          <w:b/>
          <w:noProof/>
          <w:sz w:val="24"/>
          <w:szCs w:val="24"/>
          <w:lang w:val="ro-RO"/>
        </w:rPr>
        <w:t xml:space="preserve"> </w:t>
      </w:r>
    </w:p>
    <w:p w:rsidR="00B243D9" w:rsidRDefault="00F5719E">
      <w:pPr>
        <w:jc w:val="both"/>
        <w:rPr>
          <w:rFonts w:ascii="Times New Roman" w:hAnsi="Times New Roman" w:cs="Times New Roman"/>
          <w:b/>
          <w:noProof/>
          <w:sz w:val="24"/>
          <w:szCs w:val="24"/>
          <w:lang w:val="ro-RO"/>
        </w:rPr>
      </w:pPr>
      <w:r>
        <w:rPr>
          <w:rFonts w:ascii="Times New Roman" w:hAnsi="Times New Roman"/>
          <w:noProof/>
          <w:sz w:val="24"/>
          <w:szCs w:val="24"/>
          <w:lang w:val="ro-RO"/>
        </w:rPr>
        <w:t>Proiecțiile</w:t>
      </w:r>
      <w:r>
        <w:rPr>
          <w:rStyle w:val="FootnoteReference"/>
          <w:rFonts w:ascii="Times New Roman" w:hAnsi="Times New Roman" w:cs="Times New Roman"/>
          <w:noProof/>
          <w:sz w:val="24"/>
          <w:szCs w:val="24"/>
          <w:lang w:val="ro-RO"/>
        </w:rPr>
        <w:footnoteReference w:id="21"/>
      </w:r>
      <w:r>
        <w:rPr>
          <w:rFonts w:ascii="Times New Roman" w:hAnsi="Times New Roman"/>
          <w:noProof/>
          <w:sz w:val="24"/>
          <w:szCs w:val="24"/>
          <w:lang w:val="ro-RO"/>
        </w:rPr>
        <w:t xml:space="preserve"> arată că dimensiunea populației totale a Europei va rămâne relativ stabilă în următoarele două decenii, iar ulterior va începe să scadă. </w:t>
      </w:r>
      <w:r>
        <w:rPr>
          <w:rFonts w:ascii="Times New Roman" w:hAnsi="Times New Roman"/>
          <w:b/>
          <w:noProof/>
          <w:sz w:val="24"/>
          <w:szCs w:val="24"/>
          <w:lang w:val="ro-RO"/>
        </w:rPr>
        <w:t>Se preconizează că acesta va atinge un platou de aproximativ 449 de milioane de persoane înainte de 2025</w:t>
      </w:r>
      <w:r>
        <w:rPr>
          <w:rFonts w:ascii="Times New Roman" w:hAnsi="Times New Roman"/>
          <w:b/>
          <w:noProof/>
          <w:sz w:val="24"/>
          <w:szCs w:val="24"/>
          <w:lang w:val="ro-RO"/>
        </w:rPr>
        <w:t xml:space="preserve">, iar apoi va scădea progresiv după 2030, </w:t>
      </w:r>
      <w:r>
        <w:rPr>
          <w:rFonts w:ascii="Times New Roman" w:hAnsi="Times New Roman"/>
          <w:noProof/>
          <w:sz w:val="24"/>
          <w:szCs w:val="24"/>
          <w:lang w:val="ro-RO"/>
        </w:rPr>
        <w:t>ajungând la 424 de milioane până în 2070 – o reducere de 5 % în 50 de ani.</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Conform proiecțiilor, unele state membre vor avea o populație în declin pe întreaga perioadă până în 2070, și anume Bulgaria, Grecia, Croaț</w:t>
      </w:r>
      <w:r>
        <w:rPr>
          <w:rFonts w:ascii="Times New Roman" w:hAnsi="Times New Roman"/>
          <w:noProof/>
          <w:sz w:val="24"/>
          <w:szCs w:val="24"/>
          <w:lang w:val="ro-RO"/>
        </w:rPr>
        <w:t>ia, Italia, Letonia, Lituania, Ungaria, Polonia și România. Altele se preconizează că vor înregistra o creștere a populației până în 2070: Danemarca, Irlanda, Cipru, Luxemburg, Malta și Suedia. Altele se așteaptă să înregistreze o creștere inițială, urmată</w:t>
      </w:r>
      <w:r>
        <w:rPr>
          <w:rFonts w:ascii="Times New Roman" w:hAnsi="Times New Roman"/>
          <w:noProof/>
          <w:sz w:val="24"/>
          <w:szCs w:val="24"/>
          <w:lang w:val="ro-RO"/>
        </w:rPr>
        <w:t xml:space="preserve"> de o scădere, acestea fiind Belgia, Cehia, Estonia, Spania, Franța, Germania, Țările de Jos, Austria, Portugalia, Slovenia, Slovacia și Finlanda.</w:t>
      </w:r>
      <w:bookmarkStart w:id="40" w:name="_Toc32414441"/>
    </w:p>
    <w:p w:rsidR="00B243D9" w:rsidRDefault="00F5719E">
      <w:pPr>
        <w:keepNext/>
        <w:spacing w:after="0" w:line="240" w:lineRule="auto"/>
        <w:contextualSpacing/>
        <w:jc w:val="center"/>
        <w:rPr>
          <w:rFonts w:ascii="Times New Roman" w:eastAsia="Calibri" w:hAnsi="Times New Roman" w:cs="Times New Roman"/>
          <w:b/>
          <w:bCs/>
          <w:noProof/>
          <w:sz w:val="24"/>
          <w:szCs w:val="24"/>
          <w:lang w:val="ro-RO"/>
        </w:rPr>
      </w:pPr>
      <w:r>
        <w:rPr>
          <w:rFonts w:ascii="Times New Roman" w:hAnsi="Times New Roman"/>
          <w:b/>
          <w:bCs/>
          <w:noProof/>
          <w:sz w:val="24"/>
          <w:szCs w:val="24"/>
          <w:lang w:val="ro-RO"/>
        </w:rPr>
        <w:t>Populația totală și variația populației anuale, UE-27, 1960-2070</w:t>
      </w:r>
    </w:p>
    <w:p w:rsidR="00B243D9" w:rsidRDefault="00F5719E">
      <w:pPr>
        <w:spacing w:after="0" w:line="240" w:lineRule="auto"/>
        <w:contextualSpacing/>
        <w:rPr>
          <w:rFonts w:ascii="Times New Roman" w:eastAsia="Calibri" w:hAnsi="Times New Roman" w:cs="Times New Roman"/>
          <w:i/>
          <w:noProof/>
          <w:sz w:val="24"/>
          <w:szCs w:val="24"/>
          <w:lang w:val="ro-RO"/>
        </w:rPr>
      </w:pPr>
      <w:r>
        <w:rPr>
          <w:noProof/>
          <w:lang w:val="fr-BE" w:eastAsia="fr-BE"/>
        </w:rPr>
        <w:drawing>
          <wp:inline distT="0" distB="0" distL="0" distR="0">
            <wp:extent cx="6192520" cy="3294062"/>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2520" cy="3294062"/>
                    </a:xfrm>
                    <a:prstGeom prst="rect">
                      <a:avLst/>
                    </a:prstGeom>
                    <a:noFill/>
                    <a:ln>
                      <a:noFill/>
                    </a:ln>
                  </pic:spPr>
                </pic:pic>
              </a:graphicData>
            </a:graphic>
          </wp:inline>
        </w:drawing>
      </w:r>
    </w:p>
    <w:p w:rsidR="00B243D9" w:rsidRDefault="00F5719E">
      <w:pPr>
        <w:spacing w:after="0" w:line="240" w:lineRule="auto"/>
        <w:contextualSpacing/>
        <w:rPr>
          <w:rFonts w:ascii="Times New Roman" w:eastAsia="Calibri" w:hAnsi="Times New Roman" w:cs="Times New Roman"/>
          <w:b/>
          <w:i/>
          <w:noProof/>
          <w:sz w:val="24"/>
          <w:szCs w:val="24"/>
          <w:u w:val="single"/>
          <w:lang w:val="ro-RO"/>
        </w:rPr>
      </w:pPr>
      <w:r>
        <w:rPr>
          <w:rFonts w:ascii="Times New Roman" w:hAnsi="Times New Roman"/>
          <w:i/>
          <w:noProof/>
          <w:sz w:val="24"/>
          <w:szCs w:val="24"/>
          <w:lang w:val="ro-RO"/>
        </w:rPr>
        <w:t xml:space="preserve">Sursă: Eurostat  </w:t>
      </w:r>
    </w:p>
    <w:p w:rsidR="00B243D9" w:rsidRDefault="00F5719E">
      <w:pPr>
        <w:shd w:val="clear" w:color="auto" w:fill="FFFFFF"/>
        <w:rPr>
          <w:rFonts w:ascii="Times New Roman" w:hAnsi="Times New Roman" w:cs="Times New Roman"/>
          <w:noProof/>
          <w:sz w:val="24"/>
          <w:szCs w:val="24"/>
          <w:lang w:val="ro-RO"/>
        </w:rPr>
      </w:pPr>
      <w:r>
        <w:rPr>
          <w:noProof/>
          <w:lang w:val="ro-RO"/>
        </w:rPr>
        <w:br w:type="page"/>
      </w:r>
    </w:p>
    <w:p w:rsidR="00B243D9" w:rsidRDefault="00F5719E">
      <w:pPr>
        <w:pStyle w:val="Heading1"/>
        <w:rPr>
          <w:noProof/>
          <w:lang w:val="ro-RO"/>
        </w:rPr>
      </w:pPr>
      <w:bookmarkStart w:id="41" w:name="_Toc33643876"/>
      <w:bookmarkStart w:id="42" w:name="_Toc33643877"/>
      <w:bookmarkStart w:id="43" w:name="_Toc33643878"/>
      <w:bookmarkStart w:id="44" w:name="_Toc33800401"/>
      <w:bookmarkStart w:id="45" w:name="_Toc42531864"/>
      <w:bookmarkStart w:id="46" w:name="_Toc43897137"/>
      <w:bookmarkEnd w:id="40"/>
      <w:bookmarkEnd w:id="41"/>
      <w:bookmarkEnd w:id="42"/>
      <w:bookmarkEnd w:id="43"/>
      <w:r>
        <w:rPr>
          <w:noProof/>
          <w:lang w:val="ro-RO"/>
        </w:rPr>
        <w:t xml:space="preserve">IMPACTUL SCHIMBĂRILOR DEMOGRAFICE </w:t>
      </w:r>
      <w:bookmarkEnd w:id="44"/>
      <w:r>
        <w:rPr>
          <w:noProof/>
          <w:lang w:val="ro-RO"/>
        </w:rPr>
        <w:t>ASUPRA ECONOMIEI NOASTRE SOCIALE DE PIAȚĂ</w:t>
      </w:r>
      <w:bookmarkEnd w:id="45"/>
      <w:bookmarkEnd w:id="46"/>
    </w:p>
    <w:p w:rsidR="00B243D9" w:rsidRDefault="00F5719E">
      <w:pPr>
        <w:spacing w:after="120"/>
        <w:jc w:val="both"/>
        <w:rPr>
          <w:rFonts w:ascii="Times New Roman" w:hAnsi="Times New Roman" w:cs="Times New Roman"/>
          <w:noProof/>
          <w:color w:val="000000"/>
          <w:sz w:val="24"/>
          <w:szCs w:val="24"/>
          <w:shd w:val="clear" w:color="auto" w:fill="FFFFFF"/>
          <w:lang w:val="ro-RO"/>
        </w:rPr>
      </w:pPr>
      <w:r>
        <w:rPr>
          <w:rFonts w:ascii="Times New Roman" w:hAnsi="Times New Roman"/>
          <w:noProof/>
          <w:sz w:val="24"/>
          <w:szCs w:val="24"/>
          <w:shd w:val="clear" w:color="auto" w:fill="FFFFFF"/>
          <w:lang w:val="ro-RO"/>
        </w:rPr>
        <w:t>Impactul schimbărilor demografice din Europa poate fi resimțit în întreaga noastră economie și societate.</w:t>
      </w:r>
      <w:r>
        <w:rPr>
          <w:rFonts w:ascii="Times New Roman" w:hAnsi="Times New Roman"/>
          <w:noProof/>
          <w:color w:val="000000"/>
          <w:sz w:val="24"/>
          <w:szCs w:val="24"/>
          <w:shd w:val="clear" w:color="auto" w:fill="FFFFFF"/>
          <w:lang w:val="ro-RO"/>
        </w:rPr>
        <w:t xml:space="preserve"> Acest lucru a devenit evident în ultimele luni, în care o mare parte a eco</w:t>
      </w:r>
      <w:r>
        <w:rPr>
          <w:rFonts w:ascii="Times New Roman" w:hAnsi="Times New Roman"/>
          <w:noProof/>
          <w:color w:val="000000"/>
          <w:sz w:val="24"/>
          <w:szCs w:val="24"/>
          <w:shd w:val="clear" w:color="auto" w:fill="FFFFFF"/>
          <w:lang w:val="ro-RO"/>
        </w:rPr>
        <w:t xml:space="preserve">nomiei a înregistrat o perioadă de stagnare, iar măsurile de distanțare socială necesare ne-au afectat viața de zi cu zi. </w:t>
      </w:r>
      <w:r>
        <w:rPr>
          <w:rFonts w:ascii="Times New Roman" w:hAnsi="Times New Roman"/>
          <w:noProof/>
          <w:sz w:val="24"/>
          <w:shd w:val="clear" w:color="auto" w:fill="FFFFFF"/>
          <w:lang w:val="ro-RO"/>
        </w:rPr>
        <w:t>Aceasta are implicații pentru viitorul sistemelor noastre de protecție socială și de sănătate, pentru buget, pentru locuințe și pentru</w:t>
      </w:r>
      <w:r>
        <w:rPr>
          <w:rFonts w:ascii="Times New Roman" w:hAnsi="Times New Roman"/>
          <w:noProof/>
          <w:sz w:val="24"/>
          <w:shd w:val="clear" w:color="auto" w:fill="FFFFFF"/>
          <w:lang w:val="ro-RO"/>
        </w:rPr>
        <w:t xml:space="preserve"> nevoile în materie de infrastructură.</w:t>
      </w:r>
      <w:r>
        <w:rPr>
          <w:rFonts w:ascii="Times New Roman" w:hAnsi="Times New Roman"/>
          <w:noProof/>
          <w:color w:val="000000"/>
          <w:sz w:val="24"/>
          <w:shd w:val="clear" w:color="auto" w:fill="FFFFFF"/>
          <w:lang w:val="ro-RO"/>
        </w:rPr>
        <w:t xml:space="preserve"> </w:t>
      </w:r>
      <w:r>
        <w:rPr>
          <w:rFonts w:ascii="Times New Roman" w:hAnsi="Times New Roman"/>
          <w:noProof/>
          <w:color w:val="000000"/>
          <w:sz w:val="24"/>
          <w:szCs w:val="24"/>
          <w:shd w:val="clear" w:color="auto" w:fill="FFFFFF"/>
          <w:lang w:val="ro-RO"/>
        </w:rPr>
        <w:t>Orașele și zonele noastre urbane este posibil să devină mai aglomerate, iar zonele rurale vor trebui să facă față unor provocări specifice. Carierele noastre vor continua să se schimbe și va trebui să găsim soluții pe</w:t>
      </w:r>
      <w:r>
        <w:rPr>
          <w:rFonts w:ascii="Times New Roman" w:hAnsi="Times New Roman"/>
          <w:noProof/>
          <w:color w:val="000000"/>
          <w:sz w:val="24"/>
          <w:szCs w:val="24"/>
          <w:shd w:val="clear" w:color="auto" w:fill="FFFFFF"/>
          <w:lang w:val="ro-RO"/>
        </w:rPr>
        <w:t xml:space="preserve">ntru a ne asigura că Europa rămâne competitivă în pofida scăderii populației în vârstă de muncă. </w:t>
      </w:r>
    </w:p>
    <w:p w:rsidR="00B243D9" w:rsidRDefault="00F5719E">
      <w:pPr>
        <w:spacing w:after="120"/>
        <w:jc w:val="both"/>
        <w:rPr>
          <w:rFonts w:ascii="Times New Roman" w:hAnsi="Times New Roman" w:cs="Times New Roman"/>
          <w:noProof/>
          <w:color w:val="000000"/>
          <w:sz w:val="24"/>
          <w:szCs w:val="24"/>
          <w:shd w:val="clear" w:color="auto" w:fill="FFFFFF"/>
          <w:lang w:val="ro-RO"/>
        </w:rPr>
      </w:pPr>
      <w:r>
        <w:rPr>
          <w:rFonts w:ascii="Times New Roman" w:hAnsi="Times New Roman"/>
          <w:noProof/>
          <w:color w:val="000000"/>
          <w:sz w:val="24"/>
          <w:szCs w:val="24"/>
          <w:shd w:val="clear" w:color="auto" w:fill="FFFFFF"/>
          <w:lang w:val="ro-RO"/>
        </w:rPr>
        <w:t>Structura economică și demografică a unei țări va fi un factor determinant al vitezei și capacității de redresare. Vor exista și alte puncte în care schimbări</w:t>
      </w:r>
      <w:r>
        <w:rPr>
          <w:rFonts w:ascii="Times New Roman" w:hAnsi="Times New Roman"/>
          <w:noProof/>
          <w:color w:val="000000"/>
          <w:sz w:val="24"/>
          <w:szCs w:val="24"/>
          <w:shd w:val="clear" w:color="auto" w:fill="FFFFFF"/>
          <w:lang w:val="ro-RO"/>
        </w:rPr>
        <w:t>le demografice pe termen lung și nevoile de redresare sunt corelate. Sunt incluse aici toate aspectele, de la necesitatea de a lua măsuri pentru ca sistemele noastre de asistență medicală și de îngrijire pe termen lung să fie mai reziliente până la asigura</w:t>
      </w:r>
      <w:r>
        <w:rPr>
          <w:rFonts w:ascii="Times New Roman" w:hAnsi="Times New Roman"/>
          <w:noProof/>
          <w:color w:val="000000"/>
          <w:sz w:val="24"/>
          <w:szCs w:val="24"/>
          <w:shd w:val="clear" w:color="auto" w:fill="FFFFFF"/>
          <w:lang w:val="ro-RO"/>
        </w:rPr>
        <w:t>rea faptului că zonele urbane și cele rurale pot face față densității populației sau lipsei serviciilor.</w:t>
      </w:r>
    </w:p>
    <w:p w:rsidR="00B243D9" w:rsidRDefault="00F5719E">
      <w:pPr>
        <w:rPr>
          <w:rFonts w:ascii="Times New Roman" w:hAnsi="Times New Roman" w:cs="Times New Roman"/>
          <w:b/>
          <w:noProof/>
          <w:sz w:val="24"/>
          <w:szCs w:val="24"/>
          <w:lang w:val="ro-RO"/>
        </w:rPr>
      </w:pPr>
      <w:r>
        <w:rPr>
          <w:rFonts w:ascii="Times New Roman" w:hAnsi="Times New Roman"/>
          <w:noProof/>
          <w:sz w:val="24"/>
          <w:szCs w:val="24"/>
          <w:lang w:val="ro-RO"/>
        </w:rPr>
        <w:t>Facilitatea Comisiei pentru recuperare și reziliență va furniza sprijin financiar la scară largă pentru ca economiile statelor membre să devină mai rez</w:t>
      </w:r>
      <w:r>
        <w:rPr>
          <w:rFonts w:ascii="Times New Roman" w:hAnsi="Times New Roman"/>
          <w:noProof/>
          <w:sz w:val="24"/>
          <w:szCs w:val="24"/>
          <w:lang w:val="ro-RO"/>
        </w:rPr>
        <w:t xml:space="preserve">iliente și mai bine pregătite pentru viitor, în special pentru schimbările demografice. Prioritățile de investiții vor fi în concordanță cu provocările identificate în recomandările specifice pentru fiecare țară în cadrul semestrului european.   </w:t>
      </w:r>
      <w:bookmarkStart w:id="47" w:name="_Toc33800402"/>
      <w:r>
        <w:rPr>
          <w:noProof/>
          <w:lang w:val="ro-RO"/>
        </w:rPr>
        <w:br w:type="page"/>
      </w:r>
    </w:p>
    <w:p w:rsidR="00B243D9" w:rsidRDefault="00F5719E">
      <w:pPr>
        <w:pStyle w:val="Heading2"/>
        <w:rPr>
          <w:noProof/>
          <w:lang w:val="ro-RO"/>
        </w:rPr>
      </w:pPr>
      <w:bookmarkStart w:id="48" w:name="_Toc42531865"/>
      <w:bookmarkStart w:id="49" w:name="_Toc43897138"/>
      <w:r>
        <w:rPr>
          <w:noProof/>
          <w:lang w:val="ro-RO"/>
        </w:rPr>
        <w:t xml:space="preserve">3.1. </w:t>
      </w:r>
      <w:bookmarkEnd w:id="47"/>
      <w:r>
        <w:rPr>
          <w:noProof/>
          <w:lang w:val="ro-RO"/>
        </w:rPr>
        <w:t>OAM</w:t>
      </w:r>
      <w:r>
        <w:rPr>
          <w:noProof/>
          <w:lang w:val="ro-RO"/>
        </w:rPr>
        <w:t>ENI, MUNCĂ ȘI COMPETENȚE</w:t>
      </w:r>
      <w:bookmarkEnd w:id="48"/>
      <w:bookmarkEnd w:id="49"/>
    </w:p>
    <w:p w:rsidR="00B243D9" w:rsidRDefault="00F5719E">
      <w:pPr>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Impactul îmbătrânirii populației asupra pieței forței de muncă devine din ce în ce mai pronunțat. </w:t>
      </w:r>
      <w:r>
        <w:rPr>
          <w:rFonts w:ascii="Times New Roman" w:hAnsi="Times New Roman"/>
          <w:noProof/>
          <w:sz w:val="24"/>
          <w:szCs w:val="24"/>
          <w:lang w:val="ro-RO"/>
        </w:rPr>
        <w:t>Populația în vârstă de muncă din UE-27 a scăzut timp de un deceniu și se estimează că va scădea cu 18 % până în 2070. Situația diferă</w:t>
      </w:r>
      <w:r>
        <w:rPr>
          <w:rFonts w:ascii="Times New Roman" w:hAnsi="Times New Roman"/>
          <w:noProof/>
          <w:sz w:val="24"/>
          <w:szCs w:val="24"/>
          <w:lang w:val="ro-RO"/>
        </w:rPr>
        <w:t xml:space="preserve"> în mod semnificativ de la un stat membru la altul și de la o regiune la alta.</w:t>
      </w:r>
    </w:p>
    <w:p w:rsidR="00B243D9" w:rsidRDefault="00F5719E">
      <w:pPr>
        <w:spacing w:after="0"/>
        <w:jc w:val="center"/>
        <w:rPr>
          <w:rFonts w:ascii="Times New Roman" w:hAnsi="Times New Roman"/>
          <w:b/>
          <w:noProof/>
          <w:sz w:val="24"/>
          <w:szCs w:val="24"/>
          <w:lang w:val="ro-RO"/>
        </w:rPr>
      </w:pPr>
      <w:r>
        <w:rPr>
          <w:rFonts w:ascii="Times New Roman" w:hAnsi="Times New Roman"/>
          <w:b/>
          <w:noProof/>
          <w:sz w:val="24"/>
          <w:szCs w:val="24"/>
          <w:lang w:val="ro-RO"/>
        </w:rPr>
        <w:t>Evoluția populației în vârstă de 20-64 de ani, pe regiuni</w:t>
      </w:r>
      <w:r>
        <w:rPr>
          <w:rFonts w:ascii="Times New Roman" w:hAnsi="Times New Roman" w:cs="Times New Roman"/>
          <w:b/>
          <w:bCs/>
          <w:noProof/>
          <w:sz w:val="24"/>
          <w:szCs w:val="24"/>
          <w:vertAlign w:val="superscript"/>
          <w:lang w:val="ro-RO"/>
        </w:rPr>
        <w:footnoteReference w:id="22"/>
      </w:r>
      <w:r>
        <w:rPr>
          <w:rFonts w:ascii="Times New Roman" w:hAnsi="Times New Roman"/>
          <w:b/>
          <w:noProof/>
          <w:sz w:val="24"/>
          <w:szCs w:val="24"/>
          <w:lang w:val="ro-RO"/>
        </w:rPr>
        <w:t>, 2020-2030</w:t>
      </w:r>
    </w:p>
    <w:p w:rsidR="00B243D9" w:rsidRDefault="00B243D9">
      <w:pPr>
        <w:spacing w:after="0"/>
        <w:jc w:val="center"/>
        <w:rPr>
          <w:rFonts w:ascii="Times New Roman" w:hAnsi="Times New Roman" w:cs="Times New Roman"/>
          <w:b/>
          <w:noProof/>
          <w:sz w:val="24"/>
          <w:szCs w:val="24"/>
          <w:lang w:val="ro-RO"/>
        </w:rPr>
      </w:pPr>
    </w:p>
    <w:p w:rsidR="00B243D9" w:rsidRDefault="00F5719E">
      <w:pPr>
        <w:jc w:val="center"/>
        <w:rPr>
          <w:rFonts w:ascii="Times New Roman" w:hAnsi="Times New Roman" w:cs="Times New Roman"/>
          <w:noProof/>
          <w:sz w:val="24"/>
          <w:szCs w:val="24"/>
          <w:lang w:val="ro-RO"/>
        </w:rPr>
      </w:pPr>
      <w:r>
        <w:rPr>
          <w:noProof/>
          <w:lang w:val="fr-BE" w:eastAsia="fr-BE"/>
        </w:rPr>
        <w:drawing>
          <wp:inline distT="0" distB="0" distL="0" distR="0">
            <wp:extent cx="5800725" cy="6108700"/>
            <wp:effectExtent l="0" t="0" r="952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01203" cy="6109203"/>
                    </a:xfrm>
                    <a:prstGeom prst="rect">
                      <a:avLst/>
                    </a:prstGeom>
                  </pic:spPr>
                </pic:pic>
              </a:graphicData>
            </a:graphic>
          </wp:inline>
        </w:drawing>
      </w:r>
    </w:p>
    <w:p w:rsidR="00B243D9" w:rsidRDefault="00F5719E">
      <w:pPr>
        <w:spacing w:after="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Conform proiecțiilor economice din 2018, </w:t>
      </w:r>
      <w:r>
        <w:rPr>
          <w:rFonts w:ascii="Times New Roman" w:hAnsi="Times New Roman"/>
          <w:b/>
          <w:noProof/>
          <w:sz w:val="24"/>
          <w:szCs w:val="24"/>
          <w:lang w:val="ro-RO"/>
        </w:rPr>
        <w:t xml:space="preserve">numărul de persoane angajate ar putea atinge un nivel maxim în </w:t>
      </w:r>
      <w:r>
        <w:rPr>
          <w:rFonts w:ascii="Times New Roman" w:hAnsi="Times New Roman"/>
          <w:b/>
          <w:noProof/>
          <w:sz w:val="24"/>
          <w:szCs w:val="24"/>
          <w:lang w:val="ro-RO"/>
        </w:rPr>
        <w:t>jurul anului 2020</w:t>
      </w:r>
      <w:r>
        <w:rPr>
          <w:rFonts w:ascii="Times New Roman" w:hAnsi="Times New Roman"/>
          <w:noProof/>
          <w:sz w:val="24"/>
          <w:szCs w:val="24"/>
          <w:lang w:val="ro-RO"/>
        </w:rPr>
        <w:t>, urmat de o scădere constantă pe parcursul următoarelor decenii</w:t>
      </w:r>
      <w:r>
        <w:rPr>
          <w:rStyle w:val="FootnoteReference"/>
          <w:rFonts w:ascii="Times New Roman" w:hAnsi="Times New Roman" w:cs="Times New Roman"/>
          <w:noProof/>
          <w:sz w:val="24"/>
          <w:szCs w:val="24"/>
          <w:lang w:val="ro-RO"/>
        </w:rPr>
        <w:footnoteReference w:id="23"/>
      </w:r>
      <w:r>
        <w:rPr>
          <w:rFonts w:ascii="Times New Roman" w:hAnsi="Times New Roman"/>
          <w:noProof/>
          <w:sz w:val="24"/>
          <w:szCs w:val="24"/>
          <w:lang w:val="ro-RO"/>
        </w:rPr>
        <w:t>. Deși este prea devreme pentru a stabili dacă actuala criză va modifica proiecțiile pe termen lung, primele previziuni efectuate de la izbucnirea epidemiei</w:t>
      </w:r>
      <w:r>
        <w:rPr>
          <w:rStyle w:val="FootnoteReference"/>
          <w:rFonts w:ascii="Times New Roman" w:hAnsi="Times New Roman" w:cs="Times New Roman"/>
          <w:noProof/>
          <w:sz w:val="24"/>
          <w:szCs w:val="24"/>
          <w:lang w:val="ro-RO"/>
        </w:rPr>
        <w:footnoteReference w:id="24"/>
      </w:r>
      <w:r>
        <w:rPr>
          <w:rFonts w:ascii="Times New Roman" w:hAnsi="Times New Roman"/>
          <w:noProof/>
          <w:sz w:val="24"/>
          <w:szCs w:val="24"/>
          <w:lang w:val="ro-RO"/>
        </w:rPr>
        <w:t xml:space="preserve"> estimează contra</w:t>
      </w:r>
      <w:r>
        <w:rPr>
          <w:rFonts w:ascii="Times New Roman" w:hAnsi="Times New Roman"/>
          <w:noProof/>
          <w:sz w:val="24"/>
          <w:szCs w:val="24"/>
          <w:lang w:val="ro-RO"/>
        </w:rPr>
        <w:t>cții semnificative ale ocupării forței de muncă. În funcție de modul de răspândire a virusului, aceasta ar putea avea ca rezultat și o scădere importantă a numărului de persoane active. Combaterea șomajului, în special în rândul tinerilor, și atragerea mai</w:t>
      </w:r>
      <w:r>
        <w:rPr>
          <w:rFonts w:ascii="Times New Roman" w:hAnsi="Times New Roman"/>
          <w:noProof/>
          <w:sz w:val="24"/>
          <w:szCs w:val="24"/>
          <w:lang w:val="ro-RO"/>
        </w:rPr>
        <w:t xml:space="preserve"> multor persoane pe piețele muncii vor deveni, prin urmare, o provocare și mai presantă. </w:t>
      </w:r>
    </w:p>
    <w:p w:rsidR="00B243D9" w:rsidRDefault="00B243D9">
      <w:pPr>
        <w:spacing w:after="0"/>
        <w:jc w:val="both"/>
        <w:rPr>
          <w:rFonts w:ascii="Times New Roman" w:hAnsi="Times New Roman" w:cs="Times New Roman"/>
          <w:noProof/>
          <w:sz w:val="24"/>
          <w:szCs w:val="24"/>
          <w:lang w:val="ro-RO"/>
        </w:rPr>
      </w:pPr>
    </w:p>
    <w:p w:rsidR="00B243D9" w:rsidRDefault="00F5719E">
      <w:pPr>
        <w:spacing w:after="0"/>
        <w:jc w:val="both"/>
        <w:rPr>
          <w:rFonts w:ascii="Times New Roman" w:hAnsi="Times New Roman" w:cs="Times New Roman"/>
          <w:noProof/>
          <w:sz w:val="24"/>
          <w:szCs w:val="24"/>
          <w:lang w:val="ro-RO"/>
        </w:rPr>
      </w:pPr>
      <w:r>
        <w:rPr>
          <w:rFonts w:ascii="Times New Roman" w:hAnsi="Times New Roman"/>
          <w:noProof/>
          <w:sz w:val="24"/>
          <w:szCs w:val="24"/>
          <w:lang w:val="ro-RO"/>
        </w:rPr>
        <w:t>Este clar, de asemenea, că impactul unei populații mai reduse în vârstă de muncă se va resimți mai puternic și mai rapid, cu excepția cazului în care și până când ma</w:t>
      </w:r>
      <w:r>
        <w:rPr>
          <w:rFonts w:ascii="Times New Roman" w:hAnsi="Times New Roman"/>
          <w:noProof/>
          <w:sz w:val="24"/>
          <w:szCs w:val="24"/>
          <w:lang w:val="ro-RO"/>
        </w:rPr>
        <w:t xml:space="preserve">i multe persoane în prezent subreprezentate se vor alătura sau vor participa mai mult pe piața muncii. </w:t>
      </w:r>
    </w:p>
    <w:p w:rsidR="00B243D9" w:rsidRDefault="00B243D9">
      <w:pPr>
        <w:spacing w:after="0"/>
        <w:jc w:val="both"/>
        <w:rPr>
          <w:rFonts w:ascii="Times New Roman" w:hAnsi="Times New Roman" w:cs="Times New Roman"/>
          <w:noProof/>
          <w:sz w:val="24"/>
          <w:szCs w:val="24"/>
          <w:lang w:val="ro-RO"/>
        </w:rPr>
      </w:pPr>
    </w:p>
    <w:p w:rsidR="00B243D9" w:rsidRDefault="00F5719E">
      <w:pPr>
        <w:keepNext/>
        <w:spacing w:after="0"/>
        <w:jc w:val="center"/>
        <w:rPr>
          <w:rFonts w:ascii="Times New Roman" w:hAnsi="Times New Roman" w:cs="Times New Roman"/>
          <w:b/>
          <w:noProof/>
          <w:sz w:val="24"/>
          <w:szCs w:val="24"/>
          <w:lang w:val="ro-RO"/>
        </w:rPr>
      </w:pPr>
      <w:r>
        <w:rPr>
          <w:rFonts w:ascii="Times New Roman" w:hAnsi="Times New Roman"/>
          <w:b/>
          <w:noProof/>
          <w:sz w:val="24"/>
          <w:szCs w:val="24"/>
          <w:lang w:val="ro-RO"/>
        </w:rPr>
        <w:t>Populația în vârstă de muncă (20-64 de ani), UE-27, 2001-2070</w:t>
      </w:r>
    </w:p>
    <w:p w:rsidR="00B243D9" w:rsidRDefault="00F5719E">
      <w:pPr>
        <w:spacing w:after="0"/>
        <w:jc w:val="center"/>
        <w:rPr>
          <w:rFonts w:ascii="Times New Roman" w:hAnsi="Times New Roman" w:cs="Times New Roman"/>
          <w:noProof/>
          <w:sz w:val="24"/>
          <w:szCs w:val="24"/>
          <w:lang w:val="ro-RO"/>
        </w:rPr>
      </w:pPr>
      <w:r>
        <w:rPr>
          <w:noProof/>
          <w:lang w:val="fr-BE" w:eastAsia="fr-BE"/>
        </w:rPr>
        <w:drawing>
          <wp:inline distT="0" distB="0" distL="0" distR="0">
            <wp:extent cx="6192520" cy="3138367"/>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92520" cy="3138367"/>
                    </a:xfrm>
                    <a:prstGeom prst="rect">
                      <a:avLst/>
                    </a:prstGeom>
                    <a:noFill/>
                    <a:ln>
                      <a:noFill/>
                    </a:ln>
                  </pic:spPr>
                </pic:pic>
              </a:graphicData>
            </a:graphic>
          </wp:inline>
        </w:drawing>
      </w:r>
    </w:p>
    <w:p w:rsidR="00B243D9" w:rsidRDefault="00F5719E">
      <w:pPr>
        <w:spacing w:after="0"/>
        <w:contextualSpacing/>
        <w:rPr>
          <w:rFonts w:ascii="Times New Roman" w:hAnsi="Times New Roman" w:cs="Times New Roman"/>
          <w:i/>
          <w:noProof/>
          <w:sz w:val="24"/>
          <w:szCs w:val="24"/>
          <w:lang w:val="ro-RO"/>
        </w:rPr>
      </w:pPr>
      <w:r>
        <w:rPr>
          <w:rFonts w:ascii="Times New Roman" w:hAnsi="Times New Roman"/>
          <w:i/>
          <w:noProof/>
          <w:sz w:val="24"/>
          <w:lang w:val="ro-RO"/>
        </w:rPr>
        <w:t>Sursă: Eurostat</w:t>
      </w:r>
    </w:p>
    <w:p w:rsidR="00B243D9" w:rsidRDefault="00B243D9">
      <w:pPr>
        <w:spacing w:after="0"/>
        <w:jc w:val="both"/>
        <w:rPr>
          <w:rFonts w:ascii="Times New Roman" w:hAnsi="Times New Roman" w:cs="Times New Roman"/>
          <w:noProof/>
          <w:sz w:val="24"/>
          <w:szCs w:val="24"/>
          <w:lang w:val="ro-RO"/>
        </w:rPr>
      </w:pPr>
    </w:p>
    <w:p w:rsidR="00B243D9" w:rsidRDefault="00F5719E">
      <w:pPr>
        <w:pStyle w:val="Heading2"/>
        <w:keepNext/>
        <w:rPr>
          <w:noProof/>
          <w:lang w:val="ro-RO"/>
        </w:rPr>
      </w:pPr>
      <w:bookmarkStart w:id="50" w:name="_Toc33800403"/>
      <w:bookmarkStart w:id="51" w:name="_Toc32414443"/>
      <w:bookmarkStart w:id="52" w:name="_Toc32444154"/>
      <w:bookmarkStart w:id="53" w:name="_Toc42531866"/>
      <w:bookmarkStart w:id="54" w:name="_Toc43897139"/>
      <w:r>
        <w:rPr>
          <w:noProof/>
          <w:lang w:val="ro-RO"/>
        </w:rPr>
        <w:t>3.1.1 O PIAȚĂ A MUNCII MAI EXTINSĂ ȘI MAI FAVORABILĂ INCLUZIUNII</w:t>
      </w:r>
      <w:bookmarkEnd w:id="50"/>
      <w:bookmarkEnd w:id="51"/>
      <w:bookmarkEnd w:id="52"/>
      <w:bookmarkEnd w:id="53"/>
      <w:bookmarkEnd w:id="54"/>
    </w:p>
    <w:p w:rsidR="00B243D9" w:rsidRDefault="00F5719E">
      <w:pPr>
        <w:spacing w:after="0"/>
        <w:jc w:val="both"/>
        <w:rPr>
          <w:rFonts w:ascii="Times New Roman" w:hAnsi="Times New Roman" w:cs="Times New Roman"/>
          <w:bCs/>
          <w:noProof/>
          <w:sz w:val="24"/>
          <w:szCs w:val="24"/>
          <w:lang w:val="ro-RO"/>
        </w:rPr>
      </w:pPr>
      <w:r>
        <w:rPr>
          <w:rFonts w:ascii="Times New Roman" w:hAnsi="Times New Roman"/>
          <w:bCs/>
          <w:noProof/>
          <w:sz w:val="24"/>
          <w:szCs w:val="24"/>
          <w:lang w:val="ro-RO"/>
        </w:rPr>
        <w:t>Scăderea populației în vârstă de muncă subliniază necesitatea ca Europa și piața europeană a muncii să își valorifice toate punctele forte, talentele și diversitatea.</w:t>
      </w:r>
    </w:p>
    <w:p w:rsidR="00B243D9" w:rsidRDefault="00B243D9">
      <w:pPr>
        <w:spacing w:after="0"/>
        <w:jc w:val="both"/>
        <w:rPr>
          <w:rFonts w:ascii="Times New Roman" w:hAnsi="Times New Roman" w:cs="Times New Roman"/>
          <w:b/>
          <w:noProof/>
          <w:sz w:val="24"/>
          <w:szCs w:val="24"/>
          <w:lang w:val="ro-RO"/>
        </w:rPr>
      </w:pPr>
    </w:p>
    <w:p w:rsidR="00B243D9" w:rsidRDefault="00F5719E">
      <w:pPr>
        <w:spacing w:after="160"/>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Creșterea ratei de ocupare a forței de muncă în rândul femeilor va fi extrem de </w:t>
      </w:r>
      <w:r>
        <w:rPr>
          <w:rFonts w:ascii="Times New Roman" w:hAnsi="Times New Roman"/>
          <w:b/>
          <w:noProof/>
          <w:sz w:val="24"/>
          <w:szCs w:val="24"/>
          <w:lang w:val="ro-RO"/>
        </w:rPr>
        <w:t>importantă</w:t>
      </w:r>
      <w:r>
        <w:rPr>
          <w:rFonts w:ascii="Times New Roman" w:hAnsi="Times New Roman"/>
          <w:noProof/>
          <w:sz w:val="24"/>
          <w:szCs w:val="24"/>
          <w:lang w:val="ro-RO"/>
        </w:rPr>
        <w:t>. Decalajul în ceea ce privește ocuparea forței de muncă între femei și bărbați era de 12 % în 2019. Acesta este și mai pronunțat dacă se ia în considerare diferența semnificativă în utilizarea muncii cu fracțiune de normă între bărbați și femei.</w:t>
      </w:r>
      <w:r>
        <w:rPr>
          <w:rFonts w:ascii="Times New Roman" w:hAnsi="Times New Roman"/>
          <w:noProof/>
          <w:sz w:val="24"/>
          <w:szCs w:val="24"/>
          <w:lang w:val="ro-RO"/>
        </w:rPr>
        <w:t xml:space="preserve"> În 2019, circa trei din 10 femei încadrate în muncă lucrau cu fracțiune de normă, de aproape patru ori mai mult decât bărbații. Astfel de situații este posibil să fi fost resimțite și mai acut în timpul pandemiei, când a fost necesar ca îngrijirea persoan</w:t>
      </w:r>
      <w:r>
        <w:rPr>
          <w:rFonts w:ascii="Times New Roman" w:hAnsi="Times New Roman"/>
          <w:noProof/>
          <w:sz w:val="24"/>
          <w:szCs w:val="24"/>
          <w:lang w:val="ro-RO"/>
        </w:rPr>
        <w:t>elor în vârstă, a persoanelor cu handicap sau a copiilor să fie organizată privat și le-a revenit în mare parte femeilor. Lipsa unor servicii formale adecvate de îngrijire pe termen lung, a unor oportunități de muncă flexibilă și a unor stimulente pentru c</w:t>
      </w:r>
      <w:r>
        <w:rPr>
          <w:rFonts w:ascii="Times New Roman" w:hAnsi="Times New Roman"/>
          <w:noProof/>
          <w:sz w:val="24"/>
          <w:szCs w:val="24"/>
          <w:lang w:val="ro-RO"/>
        </w:rPr>
        <w:t>ea de a doua persoană care contribuie la venitul familiei în unele state membre joacă toate un rol în accentuarea acestei probleme.</w:t>
      </w:r>
    </w:p>
    <w:p w:rsidR="00B243D9" w:rsidRDefault="00F5719E">
      <w:pPr>
        <w:spacing w:after="0"/>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centrul acestei situații se află provocarea pe care o reprezintă </w:t>
      </w:r>
      <w:r>
        <w:rPr>
          <w:rFonts w:ascii="Times New Roman" w:hAnsi="Times New Roman"/>
          <w:b/>
          <w:noProof/>
          <w:sz w:val="24"/>
          <w:szCs w:val="24"/>
          <w:lang w:val="ro-RO"/>
        </w:rPr>
        <w:t>reconcilierea vieții profesionale cu cea de familie</w:t>
      </w:r>
      <w:r>
        <w:rPr>
          <w:rFonts w:ascii="Times New Roman" w:hAnsi="Times New Roman"/>
          <w:noProof/>
          <w:sz w:val="24"/>
          <w:szCs w:val="24"/>
          <w:lang w:val="ro-RO"/>
        </w:rPr>
        <w:t xml:space="preserve">. În </w:t>
      </w:r>
      <w:r>
        <w:rPr>
          <w:rFonts w:ascii="Times New Roman" w:hAnsi="Times New Roman"/>
          <w:noProof/>
          <w:sz w:val="24"/>
          <w:szCs w:val="24"/>
          <w:lang w:val="ro-RO"/>
        </w:rPr>
        <w:t>2019, rata de ocupare a femeilor cu copii sub 6 ani era cu aproape 14 puncte procentuale mai mică decât cea a femeilor fără copii. De asemenea, femeile primesc în continuare o remunerație mai mică pentru munca lor decât bărbații, diferența de remunerare în</w:t>
      </w:r>
      <w:r>
        <w:rPr>
          <w:rFonts w:ascii="Times New Roman" w:hAnsi="Times New Roman"/>
          <w:noProof/>
          <w:sz w:val="24"/>
          <w:szCs w:val="24"/>
          <w:lang w:val="ro-RO"/>
        </w:rPr>
        <w:t>tre femei și bărbați fiind în prezent de 14,8 %. Comisia abordează aceste chestiuni ca parte a activității sale în domeniul egalității și prin noua</w:t>
      </w:r>
      <w:r>
        <w:rPr>
          <w:rFonts w:ascii="Times New Roman" w:hAnsi="Times New Roman"/>
          <w:b/>
          <w:noProof/>
          <w:sz w:val="24"/>
          <w:szCs w:val="24"/>
          <w:lang w:val="ro-RO"/>
        </w:rPr>
        <w:t xml:space="preserve"> Strategie UE pentru egalitatea de gen 2020-2025</w:t>
      </w:r>
      <w:r>
        <w:rPr>
          <w:rStyle w:val="FootnoteReference"/>
          <w:rFonts w:ascii="Times New Roman" w:hAnsi="Times New Roman" w:cs="Times New Roman"/>
          <w:noProof/>
          <w:sz w:val="24"/>
          <w:szCs w:val="24"/>
          <w:lang w:val="ro-RO"/>
        </w:rPr>
        <w:footnoteReference w:id="25"/>
      </w:r>
      <w:r>
        <w:rPr>
          <w:rFonts w:ascii="Times New Roman" w:hAnsi="Times New Roman"/>
          <w:noProof/>
          <w:sz w:val="24"/>
          <w:szCs w:val="24"/>
          <w:lang w:val="ro-RO"/>
        </w:rPr>
        <w:t>.</w:t>
      </w:r>
    </w:p>
    <w:p w:rsidR="00B243D9" w:rsidRDefault="00B243D9">
      <w:pPr>
        <w:spacing w:after="0"/>
        <w:rPr>
          <w:rFonts w:ascii="Times New Roman" w:hAnsi="Times New Roman" w:cs="Times New Roman"/>
          <w:noProof/>
          <w:sz w:val="24"/>
          <w:szCs w:val="24"/>
          <w:lang w:val="ro-RO"/>
        </w:rPr>
      </w:pPr>
    </w:p>
    <w:p w:rsidR="00B243D9" w:rsidRDefault="00F5719E">
      <w:pPr>
        <w:spacing w:after="0"/>
        <w:jc w:val="both"/>
        <w:rPr>
          <w:rFonts w:ascii="Times New Roman" w:hAnsi="Times New Roman" w:cs="Times New Roman"/>
          <w:noProof/>
          <w:sz w:val="24"/>
          <w:szCs w:val="24"/>
          <w:lang w:val="ro-RO"/>
        </w:rPr>
      </w:pPr>
      <w:r>
        <w:rPr>
          <w:rFonts w:ascii="Times New Roman" w:hAnsi="Times New Roman"/>
          <w:b/>
          <w:noProof/>
          <w:sz w:val="24"/>
          <w:szCs w:val="24"/>
          <w:lang w:val="ro-RO"/>
        </w:rPr>
        <w:t>Ar fi util, de asemenea, să se realizeze progrese suplime</w:t>
      </w:r>
      <w:r>
        <w:rPr>
          <w:rFonts w:ascii="Times New Roman" w:hAnsi="Times New Roman"/>
          <w:b/>
          <w:noProof/>
          <w:sz w:val="24"/>
          <w:szCs w:val="24"/>
          <w:lang w:val="ro-RO"/>
        </w:rPr>
        <w:t>ntare în ceea ce privește încadrarea în muncă a lucrătorilor în vârstă</w:t>
      </w:r>
      <w:r>
        <w:rPr>
          <w:rFonts w:ascii="Times New Roman" w:hAnsi="Times New Roman"/>
          <w:noProof/>
          <w:sz w:val="24"/>
          <w:szCs w:val="24"/>
          <w:lang w:val="ro-RO"/>
        </w:rPr>
        <w:t xml:space="preserve">. În 2019, rata de ocupare a lucrătorilor în vârstă (55-64 de ani) era de 59,1 % în UE-27, față de 44,1 % în 2009. Înregistrarea de progrese suplimentare ar necesita politici care să le </w:t>
      </w:r>
      <w:r>
        <w:rPr>
          <w:rFonts w:ascii="Times New Roman" w:hAnsi="Times New Roman"/>
          <w:noProof/>
          <w:sz w:val="24"/>
          <w:szCs w:val="24"/>
          <w:lang w:val="ro-RO"/>
        </w:rPr>
        <w:t xml:space="preserve">permită oamenilor să lucreze mai mult, să rămână mai activi și să își mențină competențele la zi, precum și recunoașterea noilor competențe și calificări. Pe termen mediu, odată cu îmbătrânirea populației, mai mulți oameni vor trebui, probabil, să lucreze </w:t>
      </w:r>
      <w:r>
        <w:rPr>
          <w:rFonts w:ascii="Times New Roman" w:hAnsi="Times New Roman"/>
          <w:noProof/>
          <w:sz w:val="24"/>
          <w:szCs w:val="24"/>
          <w:lang w:val="ro-RO"/>
        </w:rPr>
        <w:t xml:space="preserve">mai mult timp. Viitoarea </w:t>
      </w:r>
      <w:r>
        <w:rPr>
          <w:rFonts w:ascii="Times New Roman" w:hAnsi="Times New Roman"/>
          <w:b/>
          <w:noProof/>
          <w:sz w:val="24"/>
          <w:szCs w:val="24"/>
          <w:lang w:val="ro-RO"/>
        </w:rPr>
        <w:t xml:space="preserve">Carte verde privind îmbătrânirea </w:t>
      </w:r>
      <w:r>
        <w:rPr>
          <w:rFonts w:ascii="Times New Roman" w:hAnsi="Times New Roman"/>
          <w:noProof/>
          <w:sz w:val="24"/>
          <w:szCs w:val="24"/>
          <w:lang w:val="ro-RO"/>
        </w:rPr>
        <w:t xml:space="preserve">se va axa pe această chestiune mai în profunzime, ținând seama pe deplin de vulnerabilitățile evidențiate în timpul pandemiei. </w:t>
      </w:r>
    </w:p>
    <w:p w:rsidR="00B243D9" w:rsidRDefault="00B243D9">
      <w:pPr>
        <w:spacing w:after="0"/>
        <w:jc w:val="both"/>
        <w:rPr>
          <w:rFonts w:ascii="Times New Roman" w:hAnsi="Times New Roman" w:cs="Times New Roman"/>
          <w:noProof/>
          <w:sz w:val="24"/>
          <w:szCs w:val="24"/>
          <w:lang w:val="ro-RO"/>
        </w:rPr>
      </w:pPr>
    </w:p>
    <w:p w:rsidR="00B243D9" w:rsidRDefault="00F5719E">
      <w:pPr>
        <w:spacing w:after="0"/>
        <w:jc w:val="both"/>
        <w:rPr>
          <w:rFonts w:ascii="Times New Roman" w:hAnsi="Times New Roman" w:cs="Times New Roman"/>
          <w:noProof/>
          <w:sz w:val="24"/>
          <w:szCs w:val="24"/>
          <w:lang w:val="ro-RO"/>
        </w:rPr>
      </w:pPr>
      <w:r>
        <w:rPr>
          <w:rFonts w:ascii="Times New Roman" w:hAnsi="Times New Roman"/>
          <w:b/>
          <w:noProof/>
          <w:sz w:val="24"/>
          <w:szCs w:val="24"/>
          <w:lang w:val="ro-RO"/>
        </w:rPr>
        <w:t>Investițiile în calificările persoanelor cu un nivel scăzut de educaț</w:t>
      </w:r>
      <w:r>
        <w:rPr>
          <w:rFonts w:ascii="Times New Roman" w:hAnsi="Times New Roman"/>
          <w:b/>
          <w:noProof/>
          <w:sz w:val="24"/>
          <w:szCs w:val="24"/>
          <w:lang w:val="ro-RO"/>
        </w:rPr>
        <w:t xml:space="preserve">ie </w:t>
      </w:r>
      <w:r>
        <w:rPr>
          <w:rFonts w:ascii="Times New Roman" w:hAnsi="Times New Roman"/>
          <w:noProof/>
          <w:sz w:val="24"/>
          <w:szCs w:val="24"/>
          <w:lang w:val="ro-RO"/>
        </w:rPr>
        <w:t>vor fi în continuare esențiale. Peste 10 % din tinerii între 18 și 24 de ani părăsesc educația sau formarea având calificări reduse sau fără nicio calificare, cifra depășind 20 % în regiunile ultraperiferice. Dintre aceste „abandonuri școlare timpurii”,</w:t>
      </w:r>
      <w:r>
        <w:rPr>
          <w:rFonts w:ascii="Times New Roman" w:hAnsi="Times New Roman"/>
          <w:noProof/>
          <w:sz w:val="24"/>
          <w:szCs w:val="24"/>
          <w:lang w:val="ro-RO"/>
        </w:rPr>
        <w:t xml:space="preserve"> numai 45 % au un loc de muncă. Activitatea de punere în practică a Spațiului european al educației până în 2025, reînnoirea Spațiului european de cercetare și sprijinirea ocupării forței de muncă în rândul tinerilor vor constitui instrumente importante pe</w:t>
      </w:r>
      <w:r>
        <w:rPr>
          <w:rFonts w:ascii="Times New Roman" w:hAnsi="Times New Roman"/>
          <w:noProof/>
          <w:sz w:val="24"/>
          <w:szCs w:val="24"/>
          <w:lang w:val="ro-RO"/>
        </w:rPr>
        <w:t xml:space="preserve">ntru echilibrarea balanței. </w:t>
      </w:r>
    </w:p>
    <w:p w:rsidR="00B243D9" w:rsidRDefault="00B243D9">
      <w:pPr>
        <w:spacing w:after="0"/>
        <w:rPr>
          <w:rFonts w:ascii="Times New Roman" w:hAnsi="Times New Roman" w:cs="Times New Roman"/>
          <w:noProof/>
          <w:sz w:val="24"/>
          <w:szCs w:val="24"/>
          <w:lang w:val="ro-RO"/>
        </w:rPr>
      </w:pPr>
    </w:p>
    <w:p w:rsidR="00B243D9" w:rsidRDefault="00F5719E">
      <w:pPr>
        <w:spacing w:after="0"/>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Introducerea în câmpul muncii a unui număr mai mare de persoane provenind din medii diferite </w:t>
      </w:r>
      <w:r>
        <w:rPr>
          <w:rFonts w:ascii="Times New Roman" w:hAnsi="Times New Roman"/>
          <w:noProof/>
          <w:sz w:val="24"/>
          <w:szCs w:val="24"/>
          <w:lang w:val="ro-RO"/>
        </w:rPr>
        <w:t xml:space="preserve">ar contribui la creșterea în continuare a ratei de ocupare a forței de muncă. Rata de ocupare a persoanelor născute în afara UE este </w:t>
      </w:r>
      <w:r>
        <w:rPr>
          <w:rFonts w:ascii="Times New Roman" w:hAnsi="Times New Roman"/>
          <w:noProof/>
          <w:sz w:val="24"/>
          <w:szCs w:val="24"/>
          <w:lang w:val="ro-RO"/>
        </w:rPr>
        <w:t xml:space="preserve">cu 9,6 puncte procentuale mai mică decât cea a persoanelor născute în UE și este deosebit de scăzută în rândul femeilor. Situația resortisanților țărilor terțe oferă o imagine similară. </w:t>
      </w:r>
    </w:p>
    <w:p w:rsidR="00B243D9" w:rsidRDefault="00B243D9">
      <w:pPr>
        <w:spacing w:after="0"/>
        <w:jc w:val="both"/>
        <w:rPr>
          <w:rFonts w:ascii="Times New Roman" w:hAnsi="Times New Roman" w:cs="Times New Roman"/>
          <w:noProof/>
          <w:sz w:val="24"/>
          <w:szCs w:val="24"/>
          <w:lang w:val="ro-RO"/>
        </w:rPr>
      </w:pPr>
    </w:p>
    <w:p w:rsidR="00B243D9" w:rsidRDefault="00F5719E">
      <w:pPr>
        <w:spacing w:after="0"/>
        <w:jc w:val="both"/>
        <w:rPr>
          <w:rFonts w:ascii="Times New Roman" w:hAnsi="Times New Roman" w:cs="Times New Roman"/>
          <w:noProof/>
          <w:sz w:val="24"/>
          <w:szCs w:val="24"/>
          <w:lang w:val="ro-RO"/>
        </w:rPr>
      </w:pPr>
      <w:r>
        <w:rPr>
          <w:rFonts w:ascii="Times New Roman" w:hAnsi="Times New Roman"/>
          <w:b/>
          <w:noProof/>
          <w:sz w:val="24"/>
          <w:szCs w:val="24"/>
          <w:lang w:val="ro-RO"/>
        </w:rPr>
        <w:t>Deschiderea pieței forței de muncă pentru persoanele cu handicap</w:t>
      </w:r>
      <w:r>
        <w:rPr>
          <w:rFonts w:ascii="Times New Roman" w:hAnsi="Times New Roman"/>
          <w:noProof/>
          <w:sz w:val="24"/>
          <w:szCs w:val="24"/>
          <w:lang w:val="ro-RO"/>
        </w:rPr>
        <w:t xml:space="preserve"> ar </w:t>
      </w:r>
      <w:r>
        <w:rPr>
          <w:rFonts w:ascii="Times New Roman" w:hAnsi="Times New Roman"/>
          <w:noProof/>
          <w:sz w:val="24"/>
          <w:szCs w:val="24"/>
          <w:lang w:val="ro-RO"/>
        </w:rPr>
        <w:t>contribui la construirea unei societăți mai echitabile și ar aborda impactul schimbărilor demografice. Cu toate acestea, rata de ocupare a persoanelor cu handicap în UE este scăzută din cauza numeroaselor obstacole cu care se confruntă acestea, inclusiv di</w:t>
      </w:r>
      <w:r>
        <w:rPr>
          <w:rFonts w:ascii="Times New Roman" w:hAnsi="Times New Roman"/>
          <w:noProof/>
          <w:sz w:val="24"/>
          <w:szCs w:val="24"/>
          <w:lang w:val="ro-RO"/>
        </w:rPr>
        <w:t>scriminarea și lipsa de accesibilitate la locul de muncă, cazarea și o educație de înaltă calitate. Astfel de obstacole pot fi înrădăcinate în percepțiile negative și reticența inechitabilă în a angaja persoane cu handicap.</w:t>
      </w:r>
    </w:p>
    <w:p w:rsidR="00B243D9" w:rsidRDefault="00B243D9">
      <w:pPr>
        <w:spacing w:after="0"/>
        <w:jc w:val="both"/>
        <w:rPr>
          <w:rFonts w:ascii="Times New Roman" w:hAnsi="Times New Roman" w:cs="Times New Roman"/>
          <w:b/>
          <w:noProof/>
          <w:sz w:val="24"/>
          <w:szCs w:val="24"/>
          <w:lang w:val="ro-RO"/>
        </w:rPr>
      </w:pPr>
    </w:p>
    <w:p w:rsidR="00B243D9" w:rsidRDefault="00F5719E">
      <w:pPr>
        <w:spacing w:after="0"/>
        <w:jc w:val="both"/>
        <w:rPr>
          <w:rFonts w:ascii="Times New Roman" w:hAnsi="Times New Roman" w:cs="Times New Roman"/>
          <w:noProof/>
          <w:sz w:val="24"/>
          <w:szCs w:val="24"/>
          <w:lang w:val="ro-RO"/>
        </w:rPr>
      </w:pPr>
      <w:r>
        <w:rPr>
          <w:rFonts w:ascii="Times New Roman" w:hAnsi="Times New Roman"/>
          <w:b/>
          <w:noProof/>
          <w:sz w:val="24"/>
          <w:szCs w:val="24"/>
          <w:lang w:val="ro-RO"/>
        </w:rPr>
        <w:t>Dezvoltarea unei piețe a muncii</w:t>
      </w:r>
      <w:r>
        <w:rPr>
          <w:rFonts w:ascii="Times New Roman" w:hAnsi="Times New Roman"/>
          <w:b/>
          <w:noProof/>
          <w:sz w:val="24"/>
          <w:szCs w:val="24"/>
          <w:lang w:val="ro-RO"/>
        </w:rPr>
        <w:t xml:space="preserve"> mai ample și mai incluzive</w:t>
      </w:r>
      <w:r>
        <w:rPr>
          <w:rFonts w:ascii="Times New Roman" w:hAnsi="Times New Roman"/>
          <w:noProof/>
          <w:sz w:val="24"/>
          <w:szCs w:val="24"/>
          <w:lang w:val="ro-RO"/>
        </w:rPr>
        <w:t xml:space="preserve"> înseamnă combaterea tuturor formelor de discriminare, pe bază de sex, rasă, origine etnică, religie sau convingeri, handicap, vârstă sau orientare sexuală. Actorii și întreprinderile din economia socială pot juca un rol importan</w:t>
      </w:r>
      <w:r>
        <w:rPr>
          <w:rFonts w:ascii="Times New Roman" w:hAnsi="Times New Roman"/>
          <w:noProof/>
          <w:sz w:val="24"/>
          <w:szCs w:val="24"/>
          <w:lang w:val="ro-RO"/>
        </w:rPr>
        <w:t xml:space="preserve">t în promovarea unei piețe a muncii mai incluzive, în beneficiul lucrătorilor și al comunităților locale.   </w:t>
      </w:r>
    </w:p>
    <w:p w:rsidR="00B243D9" w:rsidRDefault="00B243D9">
      <w:pPr>
        <w:spacing w:after="0"/>
        <w:jc w:val="both"/>
        <w:rPr>
          <w:rFonts w:ascii="Times New Roman" w:hAnsi="Times New Roman" w:cs="Times New Roman"/>
          <w:noProof/>
          <w:sz w:val="24"/>
          <w:szCs w:val="24"/>
          <w:lang w:val="ro-RO"/>
        </w:rPr>
      </w:pPr>
    </w:p>
    <w:p w:rsidR="00B243D9" w:rsidRDefault="00B243D9">
      <w:pPr>
        <w:spacing w:after="0"/>
        <w:jc w:val="both"/>
        <w:rPr>
          <w:rFonts w:ascii="Times New Roman" w:hAnsi="Times New Roman" w:cs="Times New Roman"/>
          <w:noProof/>
          <w:sz w:val="24"/>
          <w:szCs w:val="24"/>
          <w:lang w:val="ro-RO"/>
        </w:rPr>
      </w:pPr>
    </w:p>
    <w:p w:rsidR="00B243D9" w:rsidRDefault="00F5719E">
      <w:pPr>
        <w:pStyle w:val="Heading2"/>
        <w:keepNext/>
        <w:rPr>
          <w:noProof/>
          <w:lang w:val="ro-RO"/>
        </w:rPr>
      </w:pPr>
      <w:bookmarkStart w:id="55" w:name="_Toc42531867"/>
      <w:bookmarkStart w:id="56" w:name="_Toc43897140"/>
      <w:r>
        <w:rPr>
          <w:noProof/>
          <w:lang w:val="ro-RO"/>
        </w:rPr>
        <w:t xml:space="preserve">3.1.2. </w:t>
      </w:r>
      <w:bookmarkStart w:id="57" w:name="_Toc33800404"/>
      <w:r>
        <w:rPr>
          <w:noProof/>
          <w:lang w:val="ro-RO"/>
        </w:rPr>
        <w:t>PRODUCTIVITATE PRIN COMPETENȚE</w:t>
      </w:r>
      <w:bookmarkEnd w:id="57"/>
      <w:r>
        <w:rPr>
          <w:noProof/>
          <w:lang w:val="ro-RO"/>
        </w:rPr>
        <w:t xml:space="preserve"> ȘI EDUCAȚIE</w:t>
      </w:r>
      <w:bookmarkEnd w:id="55"/>
      <w:bookmarkEnd w:id="56"/>
    </w:p>
    <w:p w:rsidR="00B243D9" w:rsidRDefault="00F5719E">
      <w:pPr>
        <w:keepLines/>
        <w:jc w:val="both"/>
        <w:rPr>
          <w:rFonts w:ascii="Times New Roman" w:hAnsi="Times New Roman" w:cs="Times New Roman"/>
          <w:b/>
          <w:iCs/>
          <w:noProof/>
          <w:sz w:val="24"/>
          <w:szCs w:val="24"/>
          <w:lang w:val="ro-RO"/>
        </w:rPr>
      </w:pPr>
      <w:r>
        <w:rPr>
          <w:rFonts w:ascii="Times New Roman" w:hAnsi="Times New Roman"/>
          <w:b/>
          <w:iCs/>
          <w:noProof/>
          <w:sz w:val="24"/>
          <w:szCs w:val="24"/>
          <w:lang w:val="ro-RO"/>
        </w:rPr>
        <w:t>Pe măsură ce numărul persoanelor încadrate în muncă începe să scadă, reziliența economică și cr</w:t>
      </w:r>
      <w:r>
        <w:rPr>
          <w:rFonts w:ascii="Times New Roman" w:hAnsi="Times New Roman"/>
          <w:b/>
          <w:iCs/>
          <w:noProof/>
          <w:sz w:val="24"/>
          <w:szCs w:val="24"/>
          <w:lang w:val="ro-RO"/>
        </w:rPr>
        <w:t>eșterea productivității vor deveni cu atât mai importante</w:t>
      </w:r>
      <w:r>
        <w:rPr>
          <w:rFonts w:ascii="Times New Roman" w:hAnsi="Times New Roman"/>
          <w:iCs/>
          <w:noProof/>
          <w:sz w:val="24"/>
          <w:szCs w:val="24"/>
          <w:lang w:val="ro-RO"/>
        </w:rPr>
        <w:t>. Acestea vor fi importante, de asemenea, pentru o revenire durabilă din criză. Înainte de apariția epidemiei de coronavirus, proiecțiile Comisiei arătau că stabilizarea creșterii PIB-ului la 1,3 % p</w:t>
      </w:r>
      <w:r>
        <w:rPr>
          <w:rFonts w:ascii="Times New Roman" w:hAnsi="Times New Roman"/>
          <w:iCs/>
          <w:noProof/>
          <w:sz w:val="24"/>
          <w:szCs w:val="24"/>
          <w:lang w:val="ro-RO"/>
        </w:rPr>
        <w:t>e an până în 2070 ar necesita o creștere a productivității muncii cu 1,5 % pe an în medie</w:t>
      </w:r>
      <w:r>
        <w:rPr>
          <w:rStyle w:val="FootnoteReference"/>
          <w:rFonts w:ascii="Times New Roman" w:hAnsi="Times New Roman" w:cs="Times New Roman"/>
          <w:iCs/>
          <w:noProof/>
          <w:sz w:val="24"/>
          <w:szCs w:val="24"/>
          <w:lang w:val="ro-RO"/>
        </w:rPr>
        <w:footnoteReference w:id="26"/>
      </w:r>
      <w:r>
        <w:rPr>
          <w:rFonts w:ascii="Times New Roman" w:hAnsi="Times New Roman"/>
          <w:iCs/>
          <w:noProof/>
          <w:sz w:val="24"/>
          <w:szCs w:val="24"/>
          <w:lang w:val="ro-RO"/>
        </w:rPr>
        <w:t>. Cu toate acestea, creșterea productivității a cunoscut un declin și era estimată la mai puțin de 1 % înainte de debutul crizei.</w:t>
      </w:r>
    </w:p>
    <w:p w:rsidR="00B243D9" w:rsidRDefault="00F5719E">
      <w:pPr>
        <w:jc w:val="both"/>
        <w:rPr>
          <w:rFonts w:ascii="Times New Roman" w:hAnsi="Times New Roman" w:cs="Times New Roman"/>
          <w:iCs/>
          <w:noProof/>
          <w:sz w:val="24"/>
          <w:szCs w:val="24"/>
          <w:lang w:val="ro-RO"/>
        </w:rPr>
      </w:pPr>
      <w:r>
        <w:rPr>
          <w:rFonts w:ascii="Times New Roman" w:hAnsi="Times New Roman"/>
          <w:b/>
          <w:iCs/>
          <w:noProof/>
          <w:sz w:val="24"/>
          <w:szCs w:val="24"/>
          <w:lang w:val="ro-RO"/>
        </w:rPr>
        <w:t xml:space="preserve">Tranziția către o economie digitală și neutră din punct de vedere climatic poate contribui la creșterea productivității. </w:t>
      </w:r>
      <w:r>
        <w:rPr>
          <w:rFonts w:ascii="Times New Roman" w:hAnsi="Times New Roman"/>
          <w:iCs/>
          <w:noProof/>
          <w:sz w:val="24"/>
          <w:szCs w:val="24"/>
          <w:lang w:val="ro-RO"/>
        </w:rPr>
        <w:t>Dubla tranziție va necesita inovare și difuzare tehnologică, cu o economie mai circulară și digitală care să creeze noi modele de aface</w:t>
      </w:r>
      <w:r>
        <w:rPr>
          <w:rFonts w:ascii="Times New Roman" w:hAnsi="Times New Roman"/>
          <w:iCs/>
          <w:noProof/>
          <w:sz w:val="24"/>
          <w:szCs w:val="24"/>
          <w:lang w:val="ro-RO"/>
        </w:rPr>
        <w:t>ri și noi modalități de lucru. Pandemia și consecințele acesteia asupra vieților și a economiilor noastre au evidențiat importanța digitalizării în toate domeniile economiei și societății UE. Va fi nevoie, de asemenea, de concurență și de condiții de concu</w:t>
      </w:r>
      <w:r>
        <w:rPr>
          <w:rFonts w:ascii="Times New Roman" w:hAnsi="Times New Roman"/>
          <w:iCs/>
          <w:noProof/>
          <w:sz w:val="24"/>
          <w:szCs w:val="24"/>
          <w:lang w:val="ro-RO"/>
        </w:rPr>
        <w:t xml:space="preserve">rență echitabile, astfel cum se prevede în </w:t>
      </w:r>
      <w:r>
        <w:rPr>
          <w:rFonts w:ascii="Times New Roman" w:hAnsi="Times New Roman"/>
          <w:b/>
          <w:iCs/>
          <w:noProof/>
          <w:sz w:val="24"/>
          <w:szCs w:val="24"/>
          <w:lang w:val="ro-RO"/>
        </w:rPr>
        <w:t>Noua strategie industrială pentru Europa</w:t>
      </w:r>
      <w:r>
        <w:rPr>
          <w:rFonts w:ascii="Times New Roman" w:hAnsi="Times New Roman" w:cs="Times New Roman"/>
          <w:iCs/>
          <w:noProof/>
          <w:sz w:val="24"/>
          <w:szCs w:val="24"/>
          <w:vertAlign w:val="superscript"/>
          <w:lang w:val="ro-RO"/>
        </w:rPr>
        <w:footnoteReference w:id="27"/>
      </w:r>
      <w:r>
        <w:rPr>
          <w:rFonts w:ascii="Times New Roman" w:hAnsi="Times New Roman"/>
          <w:b/>
          <w:iCs/>
          <w:noProof/>
          <w:sz w:val="24"/>
          <w:szCs w:val="24"/>
          <w:lang w:val="ro-RO"/>
        </w:rPr>
        <w:t>,</w:t>
      </w:r>
      <w:r>
        <w:rPr>
          <w:rFonts w:ascii="Times New Roman" w:hAnsi="Times New Roman"/>
          <w:iCs/>
          <w:noProof/>
          <w:sz w:val="24"/>
          <w:szCs w:val="24"/>
          <w:lang w:val="ro-RO"/>
        </w:rPr>
        <w:t xml:space="preserve"> adoptată recent. </w:t>
      </w:r>
    </w:p>
    <w:p w:rsidR="00B243D9" w:rsidRDefault="00F5719E">
      <w:pPr>
        <w:jc w:val="both"/>
        <w:rPr>
          <w:rFonts w:ascii="Times New Roman" w:hAnsi="Times New Roman"/>
          <w:noProof/>
          <w:sz w:val="24"/>
          <w:lang w:val="ro-RO"/>
        </w:rPr>
      </w:pPr>
      <w:r>
        <w:rPr>
          <w:rFonts w:ascii="Times New Roman" w:hAnsi="Times New Roman"/>
          <w:iCs/>
          <w:noProof/>
          <w:sz w:val="24"/>
          <w:szCs w:val="24"/>
          <w:lang w:val="ro-RO"/>
        </w:rPr>
        <w:t>Automatizarea și tehnologiile noi, mai ecologice, pot contribui la creșterea productivității muncii în viitor, iar o tranziție echitabilă pentru toți va</w:t>
      </w:r>
      <w:r>
        <w:rPr>
          <w:rFonts w:ascii="Times New Roman" w:hAnsi="Times New Roman"/>
          <w:iCs/>
          <w:noProof/>
          <w:sz w:val="24"/>
          <w:szCs w:val="24"/>
          <w:lang w:val="ro-RO"/>
        </w:rPr>
        <w:t xml:space="preserve"> fi esențială pentru cei care vor trebui să dobândească noi competențe sau să își schimbe locul de muncă.</w:t>
      </w:r>
      <w:r>
        <w:rPr>
          <w:rFonts w:ascii="Times New Roman" w:hAnsi="Times New Roman"/>
          <w:b/>
          <w:iCs/>
          <w:noProof/>
          <w:sz w:val="24"/>
          <w:szCs w:val="24"/>
          <w:lang w:val="ro-RO"/>
        </w:rPr>
        <w:t xml:space="preserve"> </w:t>
      </w:r>
      <w:r>
        <w:rPr>
          <w:rFonts w:ascii="Times New Roman" w:hAnsi="Times New Roman"/>
          <w:iCs/>
          <w:noProof/>
          <w:sz w:val="24"/>
          <w:szCs w:val="24"/>
          <w:lang w:val="ro-RO"/>
        </w:rPr>
        <w:t>În acest spirit, Comisia a propus consolidarea Fondului pentru o tranziție echitabilă, cu scopul de a atenua impactul socioeconomic al tranziției susț</w:t>
      </w:r>
      <w:r>
        <w:rPr>
          <w:rFonts w:ascii="Times New Roman" w:hAnsi="Times New Roman"/>
          <w:iCs/>
          <w:noProof/>
          <w:sz w:val="24"/>
          <w:szCs w:val="24"/>
          <w:lang w:val="ro-RO"/>
        </w:rPr>
        <w:t xml:space="preserve">inând recalificarea, sprijinind IMM-urile să creeze noi oportunități economice și investind în tranziția către o energie curată. </w:t>
      </w:r>
    </w:p>
    <w:p w:rsidR="00B243D9" w:rsidRDefault="00F5719E">
      <w:pPr>
        <w:jc w:val="both"/>
        <w:rPr>
          <w:rFonts w:ascii="Times New Roman" w:hAnsi="Times New Roman" w:cs="Times New Roman"/>
          <w:iCs/>
          <w:noProof/>
          <w:sz w:val="24"/>
          <w:szCs w:val="24"/>
          <w:lang w:val="ro-RO"/>
        </w:rPr>
      </w:pPr>
      <w:r>
        <w:rPr>
          <w:rFonts w:ascii="Times New Roman" w:hAnsi="Times New Roman"/>
          <w:b/>
          <w:iCs/>
          <w:noProof/>
          <w:sz w:val="24"/>
          <w:szCs w:val="24"/>
          <w:lang w:val="ro-RO"/>
        </w:rPr>
        <w:t>Europa are nevoie de o forță de muncă înalt calificată, bine pregătită și adaptabilă</w:t>
      </w:r>
      <w:r>
        <w:rPr>
          <w:rStyle w:val="FootnoteReference"/>
          <w:rFonts w:ascii="Times New Roman" w:hAnsi="Times New Roman" w:cs="Times New Roman"/>
          <w:b/>
          <w:iCs/>
          <w:noProof/>
          <w:sz w:val="24"/>
          <w:szCs w:val="24"/>
          <w:lang w:val="ro-RO"/>
        </w:rPr>
        <w:footnoteReference w:id="28"/>
      </w:r>
      <w:r>
        <w:rPr>
          <w:rFonts w:ascii="Times New Roman" w:hAnsi="Times New Roman"/>
          <w:b/>
          <w:iCs/>
          <w:noProof/>
          <w:sz w:val="24"/>
          <w:szCs w:val="24"/>
          <w:lang w:val="ro-RO"/>
        </w:rPr>
        <w:t xml:space="preserve">. </w:t>
      </w:r>
      <w:r>
        <w:rPr>
          <w:rFonts w:ascii="Times New Roman" w:hAnsi="Times New Roman"/>
          <w:iCs/>
          <w:noProof/>
          <w:sz w:val="24"/>
          <w:szCs w:val="24"/>
          <w:lang w:val="ro-RO"/>
        </w:rPr>
        <w:t>Transformarea învățării de-a lungul vie</w:t>
      </w:r>
      <w:r>
        <w:rPr>
          <w:rFonts w:ascii="Times New Roman" w:hAnsi="Times New Roman"/>
          <w:iCs/>
          <w:noProof/>
          <w:sz w:val="24"/>
          <w:szCs w:val="24"/>
          <w:lang w:val="ro-RO"/>
        </w:rPr>
        <w:t>ț</w:t>
      </w:r>
      <w:r>
        <w:rPr>
          <w:rFonts w:ascii="Times New Roman" w:hAnsi="Times New Roman"/>
          <w:iCs/>
          <w:noProof/>
          <w:sz w:val="24"/>
          <w:szCs w:val="24"/>
          <w:lang w:val="ro-RO"/>
        </w:rPr>
        <w:t>ii într-o realitate pentru toți va deveni cu atât mai importantă. În următorii ani, milioane de europeni vor trebui să își perfecționeze calificările profesionale sau să se recalifice. O mai bună atragere de competențe și de talente din străinătate va con</w:t>
      </w:r>
      <w:r>
        <w:rPr>
          <w:rFonts w:ascii="Times New Roman" w:hAnsi="Times New Roman"/>
          <w:iCs/>
          <w:noProof/>
          <w:sz w:val="24"/>
          <w:szCs w:val="24"/>
          <w:lang w:val="ro-RO"/>
        </w:rPr>
        <w:t xml:space="preserve">tribui, de asemenea, la abordarea nevoilor de pe piața forței de muncă. </w:t>
      </w:r>
    </w:p>
    <w:p w:rsidR="00B243D9" w:rsidRDefault="00F5719E">
      <w:pPr>
        <w:jc w:val="both"/>
        <w:rPr>
          <w:rFonts w:ascii="Times New Roman" w:hAnsi="Times New Roman" w:cs="Times New Roman"/>
          <w:b/>
          <w:iCs/>
          <w:noProof/>
          <w:sz w:val="24"/>
          <w:szCs w:val="24"/>
          <w:lang w:val="ro-RO"/>
        </w:rPr>
      </w:pPr>
      <w:r>
        <w:rPr>
          <w:rFonts w:ascii="Times New Roman" w:hAnsi="Times New Roman"/>
          <w:iCs/>
          <w:noProof/>
          <w:sz w:val="24"/>
          <w:szCs w:val="24"/>
          <w:lang w:val="ro-RO"/>
        </w:rPr>
        <w:t>Pe măsură ce dubla tranziție se accelerează, Europa va trebui să se asigure că ține pasul în ceea ce privește competențele, inclusiv competențele ecologice și digitale. Înainte de cri</w:t>
      </w:r>
      <w:r>
        <w:rPr>
          <w:rFonts w:ascii="Times New Roman" w:hAnsi="Times New Roman"/>
          <w:iCs/>
          <w:noProof/>
          <w:sz w:val="24"/>
          <w:szCs w:val="24"/>
          <w:lang w:val="ro-RO"/>
        </w:rPr>
        <w:t>ză, în Europa existau în jur de 1 milion de locuri de muncă vacante pentru experți digitali, iar 70 % din întreprinderi au raportat că își amână investițiile deoarece nu reușesc să găsească persoane cu competențele adecvate. Aceasta se datorează faptului c</w:t>
      </w:r>
      <w:r>
        <w:rPr>
          <w:rFonts w:ascii="Times New Roman" w:hAnsi="Times New Roman"/>
          <w:iCs/>
          <w:noProof/>
          <w:sz w:val="24"/>
          <w:szCs w:val="24"/>
          <w:lang w:val="ro-RO"/>
        </w:rPr>
        <w:t>ă 29 % din populația UE avea competențe digitale de nivel scăzut în 2019, în timp ce 15 % nu aveau deloc competențe digitale. Criza a evidențiat în continuare, de asemenea, importanța competențelor digitale pentru copii, studenți, profesori, formatori și p</w:t>
      </w:r>
      <w:r>
        <w:rPr>
          <w:rFonts w:ascii="Times New Roman" w:hAnsi="Times New Roman"/>
          <w:iCs/>
          <w:noProof/>
          <w:sz w:val="24"/>
          <w:szCs w:val="24"/>
          <w:lang w:val="ro-RO"/>
        </w:rPr>
        <w:t xml:space="preserve">entru ca noi toți să putem comunica și lucra. Aceasta a arătat că mulți dintre noi încă nu avem acces la instrumentele necesare. Comisia va prezenta un </w:t>
      </w:r>
      <w:r>
        <w:rPr>
          <w:rFonts w:ascii="Times New Roman" w:hAnsi="Times New Roman"/>
          <w:b/>
          <w:iCs/>
          <w:noProof/>
          <w:sz w:val="24"/>
          <w:szCs w:val="24"/>
          <w:lang w:val="ro-RO"/>
        </w:rPr>
        <w:t xml:space="preserve">Plan de acțiune pentru educația </w:t>
      </w:r>
      <w:r>
        <w:rPr>
          <w:rFonts w:ascii="Times New Roman" w:hAnsi="Times New Roman"/>
          <w:iCs/>
          <w:noProof/>
          <w:sz w:val="24"/>
          <w:szCs w:val="24"/>
          <w:lang w:val="ro-RO"/>
        </w:rPr>
        <w:t>care să prevadă acțiuni concrete pentru abordarea acestor provocări.</w:t>
      </w:r>
    </w:p>
    <w:p w:rsidR="00B243D9" w:rsidRDefault="00F5719E">
      <w:pPr>
        <w:jc w:val="both"/>
        <w:rPr>
          <w:rFonts w:ascii="Times New Roman" w:hAnsi="Times New Roman" w:cs="Times New Roman"/>
          <w:iCs/>
          <w:noProof/>
          <w:sz w:val="24"/>
          <w:szCs w:val="24"/>
          <w:lang w:val="ro-RO"/>
        </w:rPr>
      </w:pPr>
      <w:r>
        <w:rPr>
          <w:rFonts w:ascii="Times New Roman" w:hAnsi="Times New Roman"/>
          <w:b/>
          <w:iCs/>
          <w:noProof/>
          <w:sz w:val="24"/>
          <w:szCs w:val="24"/>
          <w:lang w:val="ro-RO"/>
        </w:rPr>
        <w:t>Sol</w:t>
      </w:r>
      <w:r>
        <w:rPr>
          <w:rFonts w:ascii="Times New Roman" w:hAnsi="Times New Roman"/>
          <w:b/>
          <w:iCs/>
          <w:noProof/>
          <w:sz w:val="24"/>
          <w:szCs w:val="24"/>
          <w:lang w:val="ro-RO"/>
        </w:rPr>
        <w:t xml:space="preserve">uția o reprezintă investițiile în oameni și în competențele lor și îmbunătățirea accesului la formare și educație. </w:t>
      </w:r>
      <w:r>
        <w:rPr>
          <w:rFonts w:ascii="Times New Roman" w:hAnsi="Times New Roman"/>
          <w:iCs/>
          <w:noProof/>
          <w:sz w:val="24"/>
          <w:szCs w:val="24"/>
          <w:lang w:val="ro-RO"/>
        </w:rPr>
        <w:t>Aceasta va necesita acțiuni colective ale industriei, ale statelor membre, ale partenerilor sociali și ale altor părți interesate pentru a co</w:t>
      </w:r>
      <w:r>
        <w:rPr>
          <w:rFonts w:ascii="Times New Roman" w:hAnsi="Times New Roman"/>
          <w:iCs/>
          <w:noProof/>
          <w:sz w:val="24"/>
          <w:szCs w:val="24"/>
          <w:lang w:val="ro-RO"/>
        </w:rPr>
        <w:t xml:space="preserve">ntribui la perfecționare și recalificare și la deblocarea investițiilor publice și private în forța de muncă. Actualizarea </w:t>
      </w:r>
      <w:r>
        <w:rPr>
          <w:rFonts w:ascii="Times New Roman" w:hAnsi="Times New Roman"/>
          <w:b/>
          <w:iCs/>
          <w:noProof/>
          <w:sz w:val="24"/>
          <w:szCs w:val="24"/>
          <w:lang w:val="ro-RO"/>
        </w:rPr>
        <w:t>Agendei pentru competențe</w:t>
      </w:r>
      <w:r>
        <w:rPr>
          <w:rFonts w:ascii="Times New Roman" w:hAnsi="Times New Roman"/>
          <w:iCs/>
          <w:noProof/>
          <w:sz w:val="24"/>
          <w:szCs w:val="24"/>
          <w:lang w:val="ro-RO"/>
        </w:rPr>
        <w:t xml:space="preserve"> și recomandarea privind educația și formarea profesională vor constitui, de asemenea, pași importanți pentr</w:t>
      </w:r>
      <w:r>
        <w:rPr>
          <w:rFonts w:ascii="Times New Roman" w:hAnsi="Times New Roman"/>
          <w:iCs/>
          <w:noProof/>
          <w:sz w:val="24"/>
          <w:szCs w:val="24"/>
          <w:lang w:val="ro-RO"/>
        </w:rPr>
        <w:t xml:space="preserve">u a realiza acest lucru. </w:t>
      </w:r>
    </w:p>
    <w:p w:rsidR="00B243D9" w:rsidRDefault="00F5719E">
      <w:pPr>
        <w:pStyle w:val="Heading2"/>
        <w:keepNext/>
        <w:rPr>
          <w:noProof/>
          <w:lang w:val="ro-RO"/>
        </w:rPr>
      </w:pPr>
      <w:bookmarkStart w:id="58" w:name="_Toc32414444"/>
      <w:bookmarkStart w:id="59" w:name="_Toc32444155"/>
      <w:bookmarkStart w:id="60" w:name="_Toc33800405"/>
      <w:bookmarkStart w:id="61" w:name="_Toc42531868"/>
      <w:bookmarkStart w:id="62" w:name="_Toc43897141"/>
      <w:r>
        <w:rPr>
          <w:noProof/>
          <w:lang w:val="ro-RO"/>
        </w:rPr>
        <w:t xml:space="preserve">3.2. </w:t>
      </w:r>
      <w:bookmarkEnd w:id="58"/>
      <w:bookmarkEnd w:id="59"/>
      <w:r>
        <w:rPr>
          <w:noProof/>
          <w:lang w:val="ro-RO"/>
        </w:rPr>
        <w:t>SĂNĂTATEA ȘI ÎNGRIJIREA PE TERMEN LUNG</w:t>
      </w:r>
      <w:bookmarkEnd w:id="60"/>
      <w:bookmarkEnd w:id="61"/>
      <w:bookmarkEnd w:id="62"/>
    </w:p>
    <w:p w:rsidR="00B243D9" w:rsidRDefault="00F5719E">
      <w:pPr>
        <w:keepLines/>
        <w:spacing w:after="160"/>
        <w:jc w:val="both"/>
        <w:rPr>
          <w:rFonts w:ascii="Times New Roman" w:hAnsi="Times New Roman" w:cs="Times New Roman"/>
          <w:noProof/>
          <w:sz w:val="24"/>
          <w:szCs w:val="24"/>
          <w:lang w:val="ro-RO"/>
        </w:rPr>
      </w:pPr>
      <w:r>
        <w:rPr>
          <w:rFonts w:ascii="Times New Roman" w:hAnsi="Times New Roman"/>
          <w:noProof/>
          <w:sz w:val="24"/>
          <w:lang w:val="ro-RO"/>
        </w:rPr>
        <w:t>Sistemele de asistență medicală și îngrijire pe termen lung din Europa au fost în prim-plan pe durata pandemiei de COVID-19</w:t>
      </w:r>
      <w:r>
        <w:rPr>
          <w:rStyle w:val="FootnoteReference"/>
          <w:rFonts w:ascii="Times New Roman" w:hAnsi="Times New Roman" w:cs="Times New Roman"/>
          <w:noProof/>
          <w:sz w:val="24"/>
          <w:szCs w:val="24"/>
          <w:lang w:val="ro-RO"/>
        </w:rPr>
        <w:footnoteReference w:id="29"/>
      </w:r>
      <w:r>
        <w:rPr>
          <w:rFonts w:ascii="Times New Roman" w:hAnsi="Times New Roman"/>
          <w:noProof/>
          <w:sz w:val="24"/>
          <w:lang w:val="ro-RO"/>
        </w:rPr>
        <w:t>.</w:t>
      </w:r>
      <w:r>
        <w:rPr>
          <w:rFonts w:ascii="Times New Roman" w:hAnsi="Times New Roman"/>
          <w:noProof/>
          <w:sz w:val="24"/>
          <w:szCs w:val="24"/>
          <w:lang w:val="ro-RO"/>
        </w:rPr>
        <w:t xml:space="preserve"> </w:t>
      </w:r>
      <w:r>
        <w:rPr>
          <w:rFonts w:ascii="Times New Roman" w:hAnsi="Times New Roman"/>
          <w:noProof/>
          <w:sz w:val="24"/>
          <w:lang w:val="ro-RO"/>
        </w:rPr>
        <w:t xml:space="preserve">Acestea au fost supuse unor tensiuni considerabile în lupta </w:t>
      </w:r>
      <w:r>
        <w:rPr>
          <w:rFonts w:ascii="Times New Roman" w:hAnsi="Times New Roman"/>
          <w:noProof/>
          <w:sz w:val="24"/>
          <w:lang w:val="ro-RO"/>
        </w:rPr>
        <w:t>împotriva virusului și se confruntau deja cu presiuni în creștere, nu în ultimul rând ca urmare a îmbătrânirii populației noastre.</w:t>
      </w:r>
      <w:r>
        <w:rPr>
          <w:rFonts w:ascii="Times New Roman" w:hAnsi="Times New Roman"/>
          <w:b/>
          <w:noProof/>
          <w:sz w:val="24"/>
          <w:szCs w:val="24"/>
          <w:lang w:val="ro-RO"/>
        </w:rPr>
        <w:t xml:space="preserve"> </w:t>
      </w:r>
      <w:r>
        <w:rPr>
          <w:rFonts w:ascii="Times New Roman" w:hAnsi="Times New Roman"/>
          <w:noProof/>
          <w:sz w:val="24"/>
          <w:szCs w:val="24"/>
          <w:lang w:val="ro-RO"/>
        </w:rPr>
        <w:t>Această situație afectează în special regiunile în care se preconizează că va exista o creștere semnificativă a numărului per</w:t>
      </w:r>
      <w:r>
        <w:rPr>
          <w:rFonts w:ascii="Times New Roman" w:hAnsi="Times New Roman"/>
          <w:noProof/>
          <w:sz w:val="24"/>
          <w:szCs w:val="24"/>
          <w:lang w:val="ro-RO"/>
        </w:rPr>
        <w:t>soanelor de peste 65 de ani până în 2030.</w:t>
      </w:r>
    </w:p>
    <w:p w:rsidR="00B243D9" w:rsidRDefault="00F5719E">
      <w:pPr>
        <w:keepNext/>
        <w:spacing w:after="0"/>
        <w:jc w:val="center"/>
        <w:rPr>
          <w:rFonts w:ascii="Times New Roman" w:hAnsi="Times New Roman" w:cs="Times New Roman"/>
          <w:b/>
          <w:noProof/>
          <w:sz w:val="24"/>
          <w:szCs w:val="24"/>
          <w:lang w:val="ro-RO"/>
        </w:rPr>
      </w:pPr>
      <w:r>
        <w:rPr>
          <w:rFonts w:ascii="Times New Roman" w:hAnsi="Times New Roman"/>
          <w:b/>
          <w:noProof/>
          <w:sz w:val="24"/>
          <w:szCs w:val="24"/>
          <w:lang w:val="ro-RO"/>
        </w:rPr>
        <w:t>Evoluția ponderii populației în vârstă de cel puțin 65 de ani, pe regiuni</w:t>
      </w:r>
      <w:r>
        <w:rPr>
          <w:rStyle w:val="FootnoteReference"/>
          <w:rFonts w:ascii="Times New Roman" w:hAnsi="Times New Roman" w:cs="Times New Roman"/>
          <w:b/>
          <w:noProof/>
          <w:sz w:val="24"/>
          <w:lang w:val="ro-RO"/>
        </w:rPr>
        <w:footnoteReference w:id="30"/>
      </w:r>
      <w:r>
        <w:rPr>
          <w:rFonts w:ascii="Times New Roman" w:hAnsi="Times New Roman"/>
          <w:b/>
          <w:noProof/>
          <w:sz w:val="24"/>
          <w:szCs w:val="24"/>
          <w:lang w:val="ro-RO"/>
        </w:rPr>
        <w:t>, 2020-2030</w:t>
      </w:r>
    </w:p>
    <w:p w:rsidR="00B243D9" w:rsidRDefault="00F5719E">
      <w:pPr>
        <w:spacing w:after="0"/>
        <w:jc w:val="center"/>
        <w:rPr>
          <w:rFonts w:ascii="Times New Roman" w:hAnsi="Times New Roman" w:cs="Times New Roman"/>
          <w:noProof/>
          <w:sz w:val="24"/>
          <w:szCs w:val="24"/>
          <w:lang w:val="ro-RO"/>
        </w:rPr>
      </w:pPr>
      <w:r>
        <w:rPr>
          <w:noProof/>
          <w:lang w:val="fr-BE" w:eastAsia="fr-BE"/>
        </w:rPr>
        <w:drawing>
          <wp:inline distT="0" distB="0" distL="0" distR="0">
            <wp:extent cx="6162675" cy="611582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63972" cy="6117115"/>
                    </a:xfrm>
                    <a:prstGeom prst="rect">
                      <a:avLst/>
                    </a:prstGeom>
                  </pic:spPr>
                </pic:pic>
              </a:graphicData>
            </a:graphic>
          </wp:inline>
        </w:drawing>
      </w:r>
    </w:p>
    <w:p w:rsidR="00B243D9" w:rsidRDefault="00F5719E">
      <w:pPr>
        <w:spacing w:after="160"/>
        <w:jc w:val="both"/>
        <w:rPr>
          <w:rFonts w:ascii="Times New Roman" w:hAnsi="Times New Roman" w:cs="Times New Roman"/>
          <w:noProof/>
          <w:sz w:val="24"/>
          <w:szCs w:val="24"/>
          <w:lang w:val="ro-RO"/>
        </w:rPr>
      </w:pPr>
      <w:r>
        <w:rPr>
          <w:rFonts w:ascii="Times New Roman" w:hAnsi="Times New Roman"/>
          <w:noProof/>
          <w:sz w:val="24"/>
          <w:szCs w:val="24"/>
          <w:lang w:val="ro-RO"/>
        </w:rPr>
        <w:t>Epidemia de coronavirus a expus vulnerabilitatea persoanelor mai în vârstă la pandemii și la alte boli, în special deoarece es</w:t>
      </w:r>
      <w:r>
        <w:rPr>
          <w:rFonts w:ascii="Times New Roman" w:hAnsi="Times New Roman"/>
          <w:noProof/>
          <w:sz w:val="24"/>
          <w:szCs w:val="24"/>
          <w:lang w:val="ro-RO"/>
        </w:rPr>
        <w:t xml:space="preserve">te mai probabil ca acestea să aibă afecțiuni de sănătate subiacente. Aceasta a evidențiat, de asemenea, necesitatea unor sisteme solide de sănătate publică și nevoia de capacități mai mari ale unităților de terapie intensivă. </w:t>
      </w:r>
    </w:p>
    <w:p w:rsidR="00B243D9" w:rsidRDefault="00F5719E">
      <w:pPr>
        <w:spacing w:after="160"/>
        <w:jc w:val="both"/>
        <w:rPr>
          <w:rFonts w:ascii="Times New Roman" w:hAnsi="Times New Roman" w:cs="Times New Roman"/>
          <w:noProof/>
          <w:sz w:val="24"/>
          <w:szCs w:val="24"/>
          <w:lang w:val="ro-RO"/>
        </w:rPr>
      </w:pPr>
      <w:r>
        <w:rPr>
          <w:rFonts w:ascii="Times New Roman" w:hAnsi="Times New Roman"/>
          <w:noProof/>
          <w:sz w:val="24"/>
          <w:szCs w:val="24"/>
          <w:lang w:val="ro-RO"/>
        </w:rPr>
        <w:t>Sistemele de sănătate mai rez</w:t>
      </w:r>
      <w:r>
        <w:rPr>
          <w:rFonts w:ascii="Times New Roman" w:hAnsi="Times New Roman"/>
          <w:noProof/>
          <w:sz w:val="24"/>
          <w:szCs w:val="24"/>
          <w:lang w:val="ro-RO"/>
        </w:rPr>
        <w:t>iliente necesită investiții adecvate și sprijin financiar care să corespundă rolului lor în prima linie. Din acest motiv, Comisia a propus recent un program de sine stătător –EU4Health – pentru a sprijini statele membre și UE să își consolideze capacitatea</w:t>
      </w:r>
      <w:r>
        <w:rPr>
          <w:rFonts w:ascii="Times New Roman" w:hAnsi="Times New Roman"/>
          <w:noProof/>
          <w:sz w:val="24"/>
          <w:szCs w:val="24"/>
          <w:lang w:val="ro-RO"/>
        </w:rPr>
        <w:t xml:space="preserve"> și gradul de pregătire</w:t>
      </w:r>
      <w:r>
        <w:rPr>
          <w:rStyle w:val="FootnoteReference"/>
          <w:rFonts w:ascii="Times New Roman" w:hAnsi="Times New Roman" w:cs="Times New Roman"/>
          <w:noProof/>
          <w:sz w:val="24"/>
          <w:szCs w:val="24"/>
          <w:lang w:val="ro-RO"/>
        </w:rPr>
        <w:footnoteReference w:id="31"/>
      </w:r>
      <w:r>
        <w:rPr>
          <w:rFonts w:ascii="Times New Roman" w:hAnsi="Times New Roman"/>
          <w:noProof/>
          <w:sz w:val="24"/>
          <w:szCs w:val="24"/>
          <w:lang w:val="ro-RO"/>
        </w:rPr>
        <w:t>. Programul va contribui la conturarea unei viziuni pe termen lung privind asigurarea unor sisteme de sănătate publică performante și reziliente, în special prin investiții în prevenirea și supravegherea bolilor și prin îmbunătățire</w:t>
      </w:r>
      <w:r>
        <w:rPr>
          <w:rFonts w:ascii="Times New Roman" w:hAnsi="Times New Roman"/>
          <w:noProof/>
          <w:sz w:val="24"/>
          <w:szCs w:val="24"/>
          <w:lang w:val="ro-RO"/>
        </w:rPr>
        <w:t>a accesului la asistență medicală, diagnostic și tratament pentru toți. Acesta poate fi, de asemenea, punctul de plecare al unei dezbateri cu privire la ceea ce putem realiza în continuare împreună pentru a face față crizelor, dar și în general în sectorul</w:t>
      </w:r>
      <w:r>
        <w:rPr>
          <w:rFonts w:ascii="Times New Roman" w:hAnsi="Times New Roman"/>
          <w:noProof/>
          <w:sz w:val="24"/>
          <w:szCs w:val="24"/>
          <w:lang w:val="ro-RO"/>
        </w:rPr>
        <w:t xml:space="preserve"> sănătății.</w:t>
      </w:r>
    </w:p>
    <w:p w:rsidR="00B243D9" w:rsidRDefault="00F5719E">
      <w:pPr>
        <w:spacing w:after="160"/>
        <w:jc w:val="both"/>
        <w:rPr>
          <w:rFonts w:ascii="Times New Roman" w:hAnsi="Times New Roman" w:cs="Times New Roman"/>
          <w:i/>
          <w:noProof/>
          <w:sz w:val="24"/>
          <w:szCs w:val="24"/>
          <w:lang w:val="ro-RO"/>
        </w:rPr>
      </w:pPr>
      <w:r>
        <w:rPr>
          <w:rFonts w:ascii="Times New Roman" w:hAnsi="Times New Roman"/>
          <w:b/>
          <w:noProof/>
          <w:sz w:val="24"/>
          <w:szCs w:val="24"/>
          <w:lang w:val="ro-RO"/>
        </w:rPr>
        <w:t>Povara din ce în ce mai mare pe care o reprezintă bolile cronice va constitui, de asemenea, o provocare pentru sistemele de sănătate din Europa.</w:t>
      </w:r>
      <w:r>
        <w:rPr>
          <w:rFonts w:ascii="Times New Roman" w:hAnsi="Times New Roman"/>
          <w:noProof/>
          <w:sz w:val="24"/>
          <w:szCs w:val="24"/>
          <w:lang w:val="ro-RO"/>
        </w:rPr>
        <w:t xml:space="preserve"> Aceste boli reprezintă deja aproximativ 70</w:t>
      </w:r>
      <w:r>
        <w:rPr>
          <w:rFonts w:ascii="Times New Roman" w:hAnsi="Times New Roman" w:cs="Times New Roman"/>
          <w:noProof/>
          <w:sz w:val="24"/>
          <w:szCs w:val="24"/>
          <w:lang w:val="ro-RO"/>
        </w:rPr>
        <w:t>­</w:t>
      </w:r>
      <w:r>
        <w:rPr>
          <w:rFonts w:ascii="Times New Roman" w:hAnsi="Times New Roman"/>
          <w:noProof/>
          <w:sz w:val="24"/>
          <w:szCs w:val="24"/>
          <w:lang w:val="ro-RO"/>
        </w:rPr>
        <w:t>80 % din costurile asistenței medicale</w:t>
      </w:r>
      <w:r>
        <w:rPr>
          <w:rStyle w:val="FootnoteReference"/>
          <w:rFonts w:ascii="Times New Roman" w:hAnsi="Times New Roman" w:cs="Times New Roman"/>
          <w:noProof/>
          <w:sz w:val="24"/>
          <w:szCs w:val="24"/>
          <w:lang w:val="ro-RO"/>
        </w:rPr>
        <w:footnoteReference w:id="32"/>
      </w:r>
      <w:r>
        <w:rPr>
          <w:noProof/>
          <w:lang w:val="ro-RO"/>
        </w:rPr>
        <w:t>.</w:t>
      </w:r>
      <w:r>
        <w:rPr>
          <w:rFonts w:ascii="Times New Roman" w:hAnsi="Times New Roman"/>
          <w:i/>
          <w:noProof/>
          <w:sz w:val="24"/>
          <w:szCs w:val="24"/>
          <w:lang w:val="ro-RO"/>
        </w:rPr>
        <w:t xml:space="preserve"> </w:t>
      </w:r>
      <w:r>
        <w:rPr>
          <w:rFonts w:ascii="Times New Roman" w:hAnsi="Times New Roman"/>
          <w:noProof/>
          <w:sz w:val="24"/>
          <w:szCs w:val="24"/>
          <w:lang w:val="ro-RO"/>
        </w:rPr>
        <w:t xml:space="preserve">Se estimează </w:t>
      </w:r>
      <w:r>
        <w:rPr>
          <w:rFonts w:ascii="Times New Roman" w:hAnsi="Times New Roman"/>
          <w:noProof/>
          <w:sz w:val="24"/>
          <w:szCs w:val="24"/>
          <w:lang w:val="ro-RO"/>
        </w:rPr>
        <w:t>că, în prezent, aproximativ 50 de milioane de cetățeni europeni sunt afectați de două sau mai multe boli cronice</w:t>
      </w:r>
      <w:r>
        <w:rPr>
          <w:rFonts w:ascii="Times New Roman" w:hAnsi="Times New Roman" w:cs="Times New Roman"/>
          <w:noProof/>
          <w:sz w:val="24"/>
          <w:szCs w:val="24"/>
          <w:vertAlign w:val="superscript"/>
          <w:lang w:val="ro-RO"/>
        </w:rPr>
        <w:footnoteReference w:id="33"/>
      </w:r>
      <w:r>
        <w:rPr>
          <w:rFonts w:ascii="Times New Roman" w:hAnsi="Times New Roman"/>
          <w:noProof/>
          <w:sz w:val="24"/>
          <w:szCs w:val="24"/>
          <w:lang w:val="ro-RO"/>
        </w:rPr>
        <w:t xml:space="preserve">, iar majoritatea acestor persoane au peste 65 de ani. Ca parte a eforturilor de a intensifica prevenirea, </w:t>
      </w:r>
      <w:r>
        <w:rPr>
          <w:rFonts w:ascii="Times New Roman" w:hAnsi="Times New Roman"/>
          <w:b/>
          <w:noProof/>
          <w:sz w:val="24"/>
          <w:szCs w:val="24"/>
          <w:lang w:val="ro-RO"/>
        </w:rPr>
        <w:t>Strategia „de la fermă la consumator</w:t>
      </w:r>
      <w:r>
        <w:rPr>
          <w:rFonts w:ascii="Times New Roman" w:hAnsi="Times New Roman"/>
          <w:noProof/>
          <w:sz w:val="24"/>
          <w:szCs w:val="24"/>
          <w:lang w:val="ro-RO"/>
        </w:rPr>
        <w:t>”</w:t>
      </w:r>
      <w:r>
        <w:rPr>
          <w:rStyle w:val="FootnoteReference"/>
          <w:rFonts w:ascii="Times New Roman" w:hAnsi="Times New Roman" w:cs="Times New Roman"/>
          <w:b/>
          <w:noProof/>
          <w:sz w:val="24"/>
          <w:szCs w:val="24"/>
          <w:lang w:val="ro-RO"/>
        </w:rPr>
        <w:footnoteReference w:id="34"/>
      </w:r>
      <w:r>
        <w:rPr>
          <w:rFonts w:ascii="Times New Roman" w:hAnsi="Times New Roman"/>
          <w:noProof/>
          <w:sz w:val="24"/>
          <w:szCs w:val="24"/>
          <w:lang w:val="ro-RO"/>
        </w:rPr>
        <w:t xml:space="preserve"> urmărește să pună la dispoziția cetățenilor europeni mai multe informații și să îi sprijine în a face alegeri alimentare mai bune. Având în vedere riscurile mai mari legate de bolile cronice, activitatea privind </w:t>
      </w:r>
      <w:r>
        <w:rPr>
          <w:rFonts w:ascii="Times New Roman" w:hAnsi="Times New Roman"/>
          <w:b/>
          <w:noProof/>
          <w:sz w:val="24"/>
          <w:szCs w:val="24"/>
          <w:lang w:val="ro-RO"/>
        </w:rPr>
        <w:t>Planul european de combatere a cancerului</w:t>
      </w:r>
      <w:r>
        <w:rPr>
          <w:rFonts w:ascii="Times New Roman" w:hAnsi="Times New Roman"/>
          <w:noProof/>
          <w:sz w:val="24"/>
          <w:szCs w:val="24"/>
          <w:lang w:val="ro-RO"/>
        </w:rPr>
        <w:t xml:space="preserve"> va fi esențială pentru sănătatea noastră și a sistemelor noastre de sănătate. Sportul și activitatea fizică pot juca, de asemenea, un rol important în prevenție și promovarea sănătății.</w:t>
      </w:r>
    </w:p>
    <w:p w:rsidR="00B243D9" w:rsidRDefault="00F5719E">
      <w:pPr>
        <w:spacing w:after="160"/>
        <w:jc w:val="both"/>
        <w:rPr>
          <w:rFonts w:ascii="Times New Roman" w:hAnsi="Times New Roman" w:cs="Times New Roman"/>
          <w:noProof/>
          <w:sz w:val="24"/>
          <w:szCs w:val="24"/>
          <w:lang w:val="ro-RO"/>
        </w:rPr>
      </w:pPr>
      <w:r>
        <w:rPr>
          <w:rFonts w:ascii="Times New Roman" w:hAnsi="Times New Roman"/>
          <w:noProof/>
          <w:sz w:val="24"/>
          <w:szCs w:val="24"/>
          <w:lang w:val="ro-RO"/>
        </w:rPr>
        <w:t>Se așteaptă ca cererea de personal profesionist să crească în concord</w:t>
      </w:r>
      <w:r>
        <w:rPr>
          <w:rFonts w:ascii="Times New Roman" w:hAnsi="Times New Roman"/>
          <w:noProof/>
          <w:sz w:val="24"/>
          <w:szCs w:val="24"/>
          <w:lang w:val="ro-RO"/>
        </w:rPr>
        <w:t>anță cu cererea de asistență medicală și îngrijire pe termen lung. Există deja indicii ale lipsei de forță de muncă</w:t>
      </w:r>
      <w:r>
        <w:rPr>
          <w:rFonts w:ascii="Times New Roman" w:hAnsi="Times New Roman" w:cs="Times New Roman"/>
          <w:iCs/>
          <w:noProof/>
          <w:sz w:val="24"/>
          <w:szCs w:val="24"/>
          <w:vertAlign w:val="superscript"/>
          <w:lang w:val="ro-RO"/>
        </w:rPr>
        <w:footnoteReference w:id="35"/>
      </w:r>
      <w:r>
        <w:rPr>
          <w:rFonts w:ascii="Times New Roman" w:hAnsi="Times New Roman"/>
          <w:noProof/>
          <w:sz w:val="24"/>
          <w:szCs w:val="24"/>
          <w:lang w:val="ro-RO"/>
        </w:rPr>
        <w:t xml:space="preserve"> în sectorul sănătății</w:t>
      </w:r>
      <w:r>
        <w:rPr>
          <w:rFonts w:ascii="Times New Roman" w:hAnsi="Times New Roman" w:cs="Times New Roman"/>
          <w:noProof/>
          <w:sz w:val="24"/>
          <w:szCs w:val="24"/>
          <w:vertAlign w:val="superscript"/>
          <w:lang w:val="ro-RO"/>
        </w:rPr>
        <w:footnoteReference w:id="36"/>
      </w:r>
      <w:r>
        <w:rPr>
          <w:rFonts w:ascii="Times New Roman" w:hAnsi="Times New Roman"/>
          <w:noProof/>
          <w:sz w:val="24"/>
          <w:szCs w:val="24"/>
          <w:lang w:val="ro-RO"/>
        </w:rPr>
        <w:t xml:space="preserve"> și al îngrijirii pe termen lung. Activitatea desfășurată în prezent de OCDE cu privire la personalul angajat în sect</w:t>
      </w:r>
      <w:r>
        <w:rPr>
          <w:rFonts w:ascii="Times New Roman" w:hAnsi="Times New Roman"/>
          <w:noProof/>
          <w:sz w:val="24"/>
          <w:szCs w:val="24"/>
          <w:lang w:val="ro-RO"/>
        </w:rPr>
        <w:t>orul îngrijirii pe termen lung</w:t>
      </w:r>
      <w:r>
        <w:rPr>
          <w:rStyle w:val="FootnoteReference"/>
          <w:rFonts w:ascii="Times New Roman" w:hAnsi="Times New Roman" w:cs="Times New Roman"/>
          <w:noProof/>
          <w:sz w:val="24"/>
          <w:szCs w:val="24"/>
          <w:lang w:val="ro-RO"/>
        </w:rPr>
        <w:footnoteReference w:id="37"/>
      </w:r>
      <w:r>
        <w:rPr>
          <w:rFonts w:ascii="Times New Roman" w:hAnsi="Times New Roman"/>
          <w:noProof/>
          <w:sz w:val="24"/>
          <w:szCs w:val="24"/>
          <w:lang w:val="ro-RO"/>
        </w:rPr>
        <w:t xml:space="preserve"> indică importanța îmbunătățirii condițiilor de muncă în acest sector și a creșterii atractivității muncii de îngrijire. În pofida numărului în creștere de medici și asistenți medicali din ultimii zece ani în aproape toate ță</w:t>
      </w:r>
      <w:r>
        <w:rPr>
          <w:rFonts w:ascii="Times New Roman" w:hAnsi="Times New Roman"/>
          <w:noProof/>
          <w:sz w:val="24"/>
          <w:szCs w:val="24"/>
          <w:lang w:val="ro-RO"/>
        </w:rPr>
        <w:t xml:space="preserve">rile UE, deficitul de practicieni generaliști persistă, în special în zonele rurale și în cele îndepărtate, precum și în regiunile ultraperiferice. </w:t>
      </w:r>
    </w:p>
    <w:p w:rsidR="00B243D9" w:rsidRDefault="00F5719E">
      <w:pPr>
        <w:spacing w:after="160"/>
        <w:jc w:val="both"/>
        <w:rPr>
          <w:rFonts w:ascii="Times New Roman" w:hAnsi="Times New Roman" w:cs="Times New Roman"/>
          <w:noProof/>
          <w:sz w:val="24"/>
          <w:szCs w:val="24"/>
          <w:lang w:val="ro-RO"/>
        </w:rPr>
      </w:pPr>
      <w:r>
        <w:rPr>
          <w:rFonts w:ascii="Times New Roman" w:hAnsi="Times New Roman"/>
          <w:noProof/>
          <w:sz w:val="24"/>
          <w:szCs w:val="24"/>
          <w:lang w:val="ro-RO"/>
        </w:rPr>
        <w:t>Principala provocare constă în</w:t>
      </w:r>
      <w:r>
        <w:rPr>
          <w:rFonts w:ascii="Times New Roman" w:hAnsi="Times New Roman"/>
          <w:b/>
          <w:noProof/>
          <w:sz w:val="24"/>
          <w:szCs w:val="24"/>
          <w:lang w:val="ro-RO"/>
        </w:rPr>
        <w:t xml:space="preserve"> satisfacerea unei cereri tot mai mari de servicii de sănătate și de îngrijir</w:t>
      </w:r>
      <w:r>
        <w:rPr>
          <w:rFonts w:ascii="Times New Roman" w:hAnsi="Times New Roman"/>
          <w:b/>
          <w:noProof/>
          <w:sz w:val="24"/>
          <w:szCs w:val="24"/>
          <w:lang w:val="ro-RO"/>
        </w:rPr>
        <w:t>e pe termen lung suficiente, accesibile, de bună calitate și la prețuri rezonabile, astfel cum prevede Pilonul european al drepturilor sociale</w:t>
      </w:r>
      <w:r>
        <w:rPr>
          <w:rFonts w:ascii="Times New Roman" w:hAnsi="Times New Roman"/>
          <w:noProof/>
          <w:sz w:val="24"/>
          <w:szCs w:val="24"/>
          <w:lang w:val="ro-RO"/>
        </w:rPr>
        <w:t>. Asigurarea unui nivel ridicat de protecție a sănătății cetățenilor</w:t>
      </w:r>
      <w:r>
        <w:rPr>
          <w:rStyle w:val="FootnoteReference"/>
          <w:rFonts w:ascii="Times New Roman" w:hAnsi="Times New Roman" w:cs="Times New Roman"/>
          <w:noProof/>
          <w:sz w:val="24"/>
          <w:szCs w:val="24"/>
          <w:lang w:val="ro-RO"/>
        </w:rPr>
        <w:footnoteReference w:id="38"/>
      </w:r>
      <w:r>
        <w:rPr>
          <w:rFonts w:ascii="Times New Roman" w:hAnsi="Times New Roman"/>
          <w:noProof/>
          <w:sz w:val="24"/>
          <w:szCs w:val="24"/>
          <w:lang w:val="ro-RO"/>
        </w:rPr>
        <w:t xml:space="preserve"> necesită o infrastructură adecvată, cum ar f</w:t>
      </w:r>
      <w:r>
        <w:rPr>
          <w:rFonts w:ascii="Times New Roman" w:hAnsi="Times New Roman"/>
          <w:noProof/>
          <w:sz w:val="24"/>
          <w:szCs w:val="24"/>
          <w:lang w:val="ro-RO"/>
        </w:rPr>
        <w:t>i spitale, unități de îngrijire pe termen lung și locuințe adaptate și echipate pentru persoanele în vârstă. Spre deosebire de asistența medicală, protecția socială în ceea ce privește îngrijirea pe termen lung nu există în toate statele membre. Îngrijirea</w:t>
      </w:r>
      <w:r>
        <w:rPr>
          <w:rFonts w:ascii="Times New Roman" w:hAnsi="Times New Roman"/>
          <w:noProof/>
          <w:sz w:val="24"/>
          <w:szCs w:val="24"/>
          <w:lang w:val="ro-RO"/>
        </w:rPr>
        <w:t xml:space="preserve"> formală pe termen lung este costisitoare și adesea este suportată de persoana care are nevoie de aceasta sau de familia sa. Având în vedere că populația Europei îmbătrânește și gospodăriile scad ca dimensiune, este probabil ca aceasta să reprezinte o prov</w:t>
      </w:r>
      <w:r>
        <w:rPr>
          <w:rFonts w:ascii="Times New Roman" w:hAnsi="Times New Roman"/>
          <w:noProof/>
          <w:sz w:val="24"/>
          <w:szCs w:val="24"/>
          <w:lang w:val="ro-RO"/>
        </w:rPr>
        <w:t>ocare continuă pentru multe persoane.</w:t>
      </w:r>
    </w:p>
    <w:p w:rsidR="00B243D9" w:rsidRDefault="00F5719E">
      <w:pPr>
        <w:spacing w:after="160"/>
        <w:jc w:val="both"/>
        <w:rPr>
          <w:rFonts w:ascii="Times New Roman" w:hAnsi="Times New Roman" w:cs="Times New Roman"/>
          <w:noProof/>
          <w:sz w:val="24"/>
          <w:szCs w:val="24"/>
          <w:lang w:val="ro-RO"/>
        </w:rPr>
      </w:pPr>
      <w:r>
        <w:rPr>
          <w:rFonts w:ascii="Times New Roman" w:hAnsi="Times New Roman"/>
          <w:b/>
          <w:noProof/>
          <w:sz w:val="24"/>
          <w:szCs w:val="24"/>
          <w:lang w:val="ro-RO"/>
        </w:rPr>
        <w:t>Emergenta „</w:t>
      </w:r>
      <w:r>
        <w:rPr>
          <w:rFonts w:ascii="Times New Roman" w:hAnsi="Times New Roman"/>
          <w:b/>
          <w:i/>
          <w:noProof/>
          <w:sz w:val="24"/>
          <w:szCs w:val="24"/>
          <w:lang w:val="ro-RO"/>
        </w:rPr>
        <w:t>economie a vârstei a treia</w:t>
      </w:r>
      <w:r>
        <w:rPr>
          <w:rFonts w:ascii="Times New Roman" w:hAnsi="Times New Roman"/>
          <w:b/>
          <w:noProof/>
          <w:sz w:val="24"/>
          <w:szCs w:val="24"/>
          <w:lang w:val="ro-RO"/>
        </w:rPr>
        <w:t xml:space="preserve">” poate oferi oportunități pentru sectoarele sănătății și îngrijirii pe termen lung. </w:t>
      </w:r>
      <w:r>
        <w:rPr>
          <w:rFonts w:ascii="Times New Roman" w:hAnsi="Times New Roman"/>
          <w:noProof/>
          <w:sz w:val="24"/>
          <w:szCs w:val="24"/>
          <w:lang w:val="ro-RO"/>
        </w:rPr>
        <w:t xml:space="preserve">Aceasta poate fi un motor al inovării pentru a contribui la furnizarea de servicii de îngrijire </w:t>
      </w:r>
      <w:r>
        <w:rPr>
          <w:rFonts w:ascii="Times New Roman" w:hAnsi="Times New Roman"/>
          <w:noProof/>
          <w:sz w:val="24"/>
          <w:szCs w:val="24"/>
          <w:lang w:val="ro-RO"/>
        </w:rPr>
        <w:t xml:space="preserve">de înaltă calitate într-un mod mai eficient. Digitalizarea le poate oferi persoanelor în vârstă posibilitatea de a-și monitoriza în mod independent starea de sănătate. Impactul tehnologiilor digitale în domeniul asistenței medicale și îngrijirii pe termen </w:t>
      </w:r>
      <w:r>
        <w:rPr>
          <w:rFonts w:ascii="Times New Roman" w:hAnsi="Times New Roman"/>
          <w:noProof/>
          <w:sz w:val="24"/>
          <w:szCs w:val="24"/>
          <w:lang w:val="ro-RO"/>
        </w:rPr>
        <w:t>lung poate aduce un triplu avantaj: îmbunătățirea calității vieții, creșterea eficienței asistenței medicale și a îngrijirii pe termen lung, creșterea pieței și dezvoltarea industriei</w:t>
      </w:r>
      <w:r>
        <w:rPr>
          <w:rFonts w:ascii="Times New Roman" w:hAnsi="Times New Roman" w:cs="Times New Roman"/>
          <w:noProof/>
          <w:sz w:val="24"/>
          <w:szCs w:val="24"/>
          <w:vertAlign w:val="superscript"/>
          <w:lang w:val="ro-RO"/>
        </w:rPr>
        <w:footnoteReference w:id="39"/>
      </w:r>
      <w:r>
        <w:rPr>
          <w:rFonts w:ascii="Times New Roman" w:hAnsi="Times New Roman"/>
          <w:noProof/>
          <w:sz w:val="24"/>
          <w:szCs w:val="24"/>
          <w:lang w:val="ro-RO"/>
        </w:rPr>
        <w:t xml:space="preserve">. Cercetarea și inovarea vor fi esențiale în această privință. </w:t>
      </w:r>
    </w:p>
    <w:p w:rsidR="00B243D9" w:rsidRDefault="00F5719E">
      <w:pPr>
        <w:pStyle w:val="Heading2"/>
        <w:keepNext/>
        <w:rPr>
          <w:noProof/>
          <w:lang w:val="ro-RO"/>
        </w:rPr>
      </w:pPr>
      <w:bookmarkStart w:id="63" w:name="_Toc32414445"/>
      <w:bookmarkStart w:id="64" w:name="_Toc32444156"/>
      <w:bookmarkStart w:id="65" w:name="_Toc33800406"/>
      <w:bookmarkStart w:id="66" w:name="_Toc42531869"/>
      <w:bookmarkStart w:id="67" w:name="_Toc43897142"/>
      <w:r>
        <w:rPr>
          <w:noProof/>
          <w:lang w:val="ro-RO"/>
        </w:rPr>
        <w:t xml:space="preserve">3.3. </w:t>
      </w:r>
      <w:bookmarkEnd w:id="63"/>
      <w:bookmarkEnd w:id="64"/>
      <w:bookmarkEnd w:id="65"/>
      <w:r>
        <w:rPr>
          <w:noProof/>
          <w:lang w:val="ro-RO"/>
        </w:rPr>
        <w:t>IMP</w:t>
      </w:r>
      <w:r>
        <w:rPr>
          <w:noProof/>
          <w:lang w:val="ro-RO"/>
        </w:rPr>
        <w:t>ACTUL ASUPRA BUGETELOR PUBLICE</w:t>
      </w:r>
      <w:bookmarkEnd w:id="66"/>
      <w:bookmarkEnd w:id="67"/>
    </w:p>
    <w:p w:rsidR="00B243D9" w:rsidRDefault="00F5719E">
      <w:pPr>
        <w:keepLines/>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O populație mai îmbătrânită și o forță de muncă mai redusă în Europa vor pune, probabil, și mai multă presiune asupra bugetelor publice </w:t>
      </w:r>
      <w:r>
        <w:rPr>
          <w:rFonts w:ascii="Times New Roman" w:hAnsi="Times New Roman"/>
          <w:noProof/>
          <w:sz w:val="24"/>
          <w:szCs w:val="24"/>
          <w:lang w:val="ro-RO"/>
        </w:rPr>
        <w:t xml:space="preserve">– într-o perioadă în care eforturile de redresare necesită o finanțare semnificativă. </w:t>
      </w:r>
      <w:r>
        <w:rPr>
          <w:rFonts w:ascii="Times New Roman" w:hAnsi="Times New Roman"/>
          <w:noProof/>
          <w:sz w:val="24"/>
          <w:szCs w:val="24"/>
          <w:lang w:val="ro-RO"/>
        </w:rPr>
        <w:t>Înainte de criză, se estima că, în UE, costul total al îmbătrânirii</w:t>
      </w:r>
      <w:r>
        <w:rPr>
          <w:rFonts w:ascii="Times New Roman" w:hAnsi="Times New Roman" w:cs="Times New Roman"/>
          <w:noProof/>
          <w:sz w:val="24"/>
          <w:szCs w:val="24"/>
          <w:vertAlign w:val="superscript"/>
          <w:lang w:val="ro-RO"/>
        </w:rPr>
        <w:footnoteReference w:id="40"/>
      </w:r>
      <w:r>
        <w:rPr>
          <w:rFonts w:ascii="Times New Roman" w:hAnsi="Times New Roman"/>
          <w:noProof/>
          <w:sz w:val="24"/>
          <w:szCs w:val="24"/>
          <w:lang w:val="ro-RO"/>
        </w:rPr>
        <w:t xml:space="preserve"> va fi de 26,6 % din PIB până în 2070.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Europa se va confrunta cu o provocare majoră în ceea ce privește finanțarea cheltuielilor legate de îmbătrânirea populației, într-un mod care să fie</w:t>
      </w:r>
      <w:r>
        <w:rPr>
          <w:rFonts w:ascii="Times New Roman" w:hAnsi="Times New Roman"/>
          <w:noProof/>
          <w:sz w:val="24"/>
          <w:szCs w:val="24"/>
          <w:lang w:val="ro-RO"/>
        </w:rPr>
        <w:t xml:space="preserve">, de asemenea, </w:t>
      </w:r>
      <w:r>
        <w:rPr>
          <w:rFonts w:ascii="Times New Roman" w:hAnsi="Times New Roman"/>
          <w:b/>
          <w:noProof/>
          <w:sz w:val="24"/>
          <w:szCs w:val="24"/>
          <w:lang w:val="ro-RO"/>
        </w:rPr>
        <w:t>echitabil de la o generație la alta</w:t>
      </w:r>
      <w:r>
        <w:rPr>
          <w:rFonts w:ascii="Times New Roman" w:hAnsi="Times New Roman"/>
          <w:noProof/>
          <w:sz w:val="24"/>
          <w:szCs w:val="24"/>
          <w:lang w:val="ro-RO"/>
        </w:rPr>
        <w:t>. Aceasta se datorează faptului că raportul dintre plătitorii de impozite și contribuții la asigurările sociale și cei care primesc pensii și alte avantaje este în scădere rapidă. În 2019, numărul persoanel</w:t>
      </w:r>
      <w:r>
        <w:rPr>
          <w:rFonts w:ascii="Times New Roman" w:hAnsi="Times New Roman"/>
          <w:noProof/>
          <w:sz w:val="24"/>
          <w:szCs w:val="24"/>
          <w:lang w:val="ro-RO"/>
        </w:rPr>
        <w:t xml:space="preserve">or de vârstă activă pentru fiecare persoană de peste 65 de ani era, în medie, de 2,9 persoane. În 2070, se estimează că acest raport va scădea la 1,7. </w:t>
      </w:r>
    </w:p>
    <w:p w:rsidR="00B243D9" w:rsidRDefault="00F5719E">
      <w:pPr>
        <w:jc w:val="both"/>
        <w:rPr>
          <w:rFonts w:ascii="Times New Roman" w:hAnsi="Times New Roman" w:cs="Times New Roman"/>
          <w:i/>
          <w:noProof/>
          <w:sz w:val="24"/>
          <w:szCs w:val="24"/>
          <w:lang w:val="ro-RO"/>
        </w:rPr>
      </w:pPr>
      <w:r>
        <w:rPr>
          <w:rFonts w:ascii="Times New Roman" w:hAnsi="Times New Roman"/>
          <w:noProof/>
          <w:sz w:val="24"/>
          <w:szCs w:val="24"/>
          <w:lang w:val="ro-RO"/>
        </w:rPr>
        <w:t>Deși majoritatea cheltuielilor legate de îmbătrânirea populației vor fi alocate asistenței medicale și î</w:t>
      </w:r>
      <w:r>
        <w:rPr>
          <w:rFonts w:ascii="Times New Roman" w:hAnsi="Times New Roman"/>
          <w:noProof/>
          <w:sz w:val="24"/>
          <w:szCs w:val="24"/>
          <w:lang w:val="ro-RO"/>
        </w:rPr>
        <w:t>ngrijirii pe termen lung, se preconizează că și cheltuielile cu pensiile publice vor crește în raport cu PIB-ul până în 2040. Datorită impactului</w:t>
      </w:r>
      <w:r>
        <w:rPr>
          <w:rFonts w:ascii="Times New Roman" w:hAnsi="Times New Roman"/>
          <w:b/>
          <w:noProof/>
          <w:sz w:val="24"/>
          <w:szCs w:val="24"/>
          <w:lang w:val="ro-RO"/>
        </w:rPr>
        <w:t xml:space="preserve"> reformelor substanțiale ale sistemelor de pensii din majoritatea statelor membre</w:t>
      </w:r>
      <w:r>
        <w:rPr>
          <w:rFonts w:ascii="Times New Roman" w:hAnsi="Times New Roman"/>
          <w:noProof/>
          <w:sz w:val="24"/>
          <w:szCs w:val="24"/>
          <w:lang w:val="ro-RO"/>
        </w:rPr>
        <w:t>, se preconizează că acestea v</w:t>
      </w:r>
      <w:r>
        <w:rPr>
          <w:rFonts w:ascii="Times New Roman" w:hAnsi="Times New Roman"/>
          <w:noProof/>
          <w:sz w:val="24"/>
          <w:szCs w:val="24"/>
          <w:lang w:val="ro-RO"/>
        </w:rPr>
        <w:t xml:space="preserve">or crește mai lent decât PIB-ul, revenind la aproximativ aceeași cotă din PIB în 2016, deși într-o serie de state membre reformele recente în domeniul pensiilor vor conduce la creșterea cheltuielilor proiectate cu pensiile. În conceperea de soluții pentru </w:t>
      </w:r>
      <w:r>
        <w:rPr>
          <w:rFonts w:ascii="Times New Roman" w:hAnsi="Times New Roman"/>
          <w:noProof/>
          <w:sz w:val="24"/>
          <w:szCs w:val="24"/>
          <w:lang w:val="ro-RO"/>
        </w:rPr>
        <w:t xml:space="preserve">aceste probleme, </w:t>
      </w:r>
      <w:r>
        <w:rPr>
          <w:rFonts w:ascii="Times New Roman" w:hAnsi="Times New Roman"/>
          <w:b/>
          <w:noProof/>
          <w:sz w:val="24"/>
          <w:szCs w:val="24"/>
          <w:lang w:val="ro-RO"/>
        </w:rPr>
        <w:t>factorii de decizie politică sunt nevoiți să se confrunte cu un grad ridicat de incertitudine</w:t>
      </w:r>
      <w:r>
        <w:rPr>
          <w:rFonts w:ascii="Times New Roman" w:hAnsi="Times New Roman"/>
          <w:noProof/>
          <w:sz w:val="24"/>
          <w:szCs w:val="24"/>
          <w:lang w:val="ro-RO"/>
        </w:rPr>
        <w:t>. Modul în care vor evolua cheltuielile publice depinde nu numai de tendințele demografice, ci și de alți factori, cum ar fi progresele tehnologic</w:t>
      </w:r>
      <w:r>
        <w:rPr>
          <w:rFonts w:ascii="Times New Roman" w:hAnsi="Times New Roman"/>
          <w:noProof/>
          <w:sz w:val="24"/>
          <w:szCs w:val="24"/>
          <w:lang w:val="ro-RO"/>
        </w:rPr>
        <w:t>e în diagnosticare, tratamente, produse farmaceutice și dispozitive medicale sau creșterea cererii pentru asistență medicală și de îngrijire pe termen lung</w:t>
      </w:r>
      <w:r>
        <w:rPr>
          <w:rStyle w:val="FootnoteReference"/>
          <w:rFonts w:ascii="Times New Roman" w:hAnsi="Times New Roman" w:cs="Times New Roman"/>
          <w:noProof/>
          <w:sz w:val="24"/>
          <w:szCs w:val="24"/>
          <w:lang w:val="ro-RO"/>
        </w:rPr>
        <w:footnoteReference w:id="41"/>
      </w:r>
      <w:r>
        <w:rPr>
          <w:rFonts w:ascii="Times New Roman" w:hAnsi="Times New Roman"/>
          <w:noProof/>
          <w:sz w:val="24"/>
          <w:szCs w:val="24"/>
          <w:lang w:val="ro-RO"/>
        </w:rPr>
        <w:t>. Toate acestea implică o serie de costuri suplimentare pe termen mediu și lung. În lipsa unor schim</w:t>
      </w:r>
      <w:r>
        <w:rPr>
          <w:rFonts w:ascii="Times New Roman" w:hAnsi="Times New Roman"/>
          <w:noProof/>
          <w:sz w:val="24"/>
          <w:szCs w:val="24"/>
          <w:lang w:val="ro-RO"/>
        </w:rPr>
        <w:t xml:space="preserve">bări de politică, se va exercita o presiune din ce în ce mai mare asupra cheltuielilor private, întrucât persoanele aflate în îngrijire pe termen lung ar putea fi nevoite să acopere o cotă mai mare din costurile totale.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Majoritatea proiecțiilor existente </w:t>
      </w:r>
      <w:r>
        <w:rPr>
          <w:rFonts w:ascii="Times New Roman" w:hAnsi="Times New Roman"/>
          <w:noProof/>
          <w:sz w:val="24"/>
          <w:szCs w:val="24"/>
          <w:lang w:val="ro-RO"/>
        </w:rPr>
        <w:t>lucrează în principal cu vârsta de 65 de ani ca limită superioară a persoanelor din grupa de populație în vârstă de muncă. Cu toate acestea, în viitor mai mulți oameni vor ieși la pensie mai târziu. Adoptarea unei limite superioare mai ridicate modifică se</w:t>
      </w:r>
      <w:r>
        <w:rPr>
          <w:rFonts w:ascii="Times New Roman" w:hAnsi="Times New Roman"/>
          <w:noProof/>
          <w:sz w:val="24"/>
          <w:szCs w:val="24"/>
          <w:lang w:val="ro-RO"/>
        </w:rPr>
        <w:t>mnificativ proiecțiile. În orice caz, toate dovezile arată importanța unor condiții de lucru bune, a unor sisteme solide de sănătate publică, a învățării de-a lungul vieții și a continuării investițiilor în competențe și educație.</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Sărăcia în rândul persoan</w:t>
      </w:r>
      <w:r>
        <w:rPr>
          <w:rFonts w:ascii="Times New Roman" w:hAnsi="Times New Roman"/>
          <w:b/>
          <w:noProof/>
          <w:sz w:val="24"/>
          <w:szCs w:val="24"/>
          <w:lang w:val="ro-RO"/>
        </w:rPr>
        <w:t>elor în vârstă va deveni, probabil, o preocupare din ce în ce mai mare pe măsură ce schimbările demografice vor continua</w:t>
      </w:r>
      <w:r>
        <w:rPr>
          <w:rFonts w:ascii="Times New Roman" w:hAnsi="Times New Roman"/>
          <w:noProof/>
          <w:sz w:val="24"/>
          <w:szCs w:val="24"/>
          <w:lang w:val="ro-RO"/>
        </w:rPr>
        <w:t>. În prezent, majoritatea pensionarilor au pensii care le permit să își mențină nivelul de trai și îi protejează împotriva sărăciei la b</w:t>
      </w:r>
      <w:r>
        <w:rPr>
          <w:rFonts w:ascii="Times New Roman" w:hAnsi="Times New Roman"/>
          <w:noProof/>
          <w:sz w:val="24"/>
          <w:szCs w:val="24"/>
          <w:lang w:val="ro-RO"/>
        </w:rPr>
        <w:t>ătrânețe</w:t>
      </w:r>
      <w:r>
        <w:rPr>
          <w:rStyle w:val="FootnoteReference"/>
          <w:rFonts w:ascii="Times New Roman" w:hAnsi="Times New Roman" w:cs="Times New Roman"/>
          <w:noProof/>
          <w:sz w:val="24"/>
          <w:szCs w:val="24"/>
          <w:lang w:val="ro-RO"/>
        </w:rPr>
        <w:footnoteReference w:id="42"/>
      </w:r>
      <w:r>
        <w:rPr>
          <w:rFonts w:ascii="Times New Roman" w:hAnsi="Times New Roman"/>
          <w:noProof/>
          <w:sz w:val="24"/>
          <w:szCs w:val="24"/>
          <w:lang w:val="ro-RO"/>
        </w:rPr>
        <w:t>. Aceasta nu înseamnă că sărăcia în rândul persoanelor vârstnice a fost eradicată în categoria persoanelor cu vârsta de peste 64 de ani. În 2018, în UE-27, 15,5 % din persoanele cu vârsta de cel puțin 65 de ani erau expuse riscului de sărăcie</w:t>
      </w:r>
      <w:r>
        <w:rPr>
          <w:rStyle w:val="FootnoteReference"/>
          <w:rFonts w:ascii="Times New Roman" w:hAnsi="Times New Roman" w:cs="Times New Roman"/>
          <w:noProof/>
          <w:sz w:val="24"/>
          <w:szCs w:val="24"/>
          <w:lang w:val="ro-RO"/>
        </w:rPr>
        <w:footnoteReference w:id="43"/>
      </w:r>
      <w:r>
        <w:rPr>
          <w:rFonts w:ascii="Times New Roman" w:hAnsi="Times New Roman"/>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Femeile sunt mai susceptibile să fie afectate de sărăcia în rândul persoanelor în vârstă.</w:t>
      </w:r>
      <w:r>
        <w:rPr>
          <w:rFonts w:ascii="Times New Roman" w:hAnsi="Times New Roman"/>
          <w:b/>
          <w:noProof/>
          <w:sz w:val="24"/>
          <w:lang w:val="ro-RO"/>
        </w:rPr>
        <w:t xml:space="preserve"> </w:t>
      </w:r>
      <w:r>
        <w:rPr>
          <w:rFonts w:ascii="Times New Roman" w:hAnsi="Times New Roman"/>
          <w:noProof/>
          <w:sz w:val="24"/>
          <w:szCs w:val="24"/>
          <w:lang w:val="ro-RO"/>
        </w:rPr>
        <w:t>Aceasta se datorează faptului că femeile tind să aibă rate mai scăzute de ocupare a forței de muncă, mai multe întreruperi ale carierei, salarii mai mici și desfășoar</w:t>
      </w:r>
      <w:r>
        <w:rPr>
          <w:rFonts w:ascii="Times New Roman" w:hAnsi="Times New Roman"/>
          <w:noProof/>
          <w:sz w:val="24"/>
          <w:szCs w:val="24"/>
          <w:lang w:val="ro-RO"/>
        </w:rPr>
        <w:t>ă mai frecvent activități cu fracțiune de normă</w:t>
      </w:r>
      <w:r>
        <w:rPr>
          <w:rStyle w:val="FootnoteReference"/>
          <w:rFonts w:ascii="Times New Roman" w:hAnsi="Times New Roman" w:cs="Times New Roman"/>
          <w:noProof/>
          <w:sz w:val="24"/>
          <w:szCs w:val="24"/>
          <w:lang w:val="ro-RO"/>
        </w:rPr>
        <w:footnoteReference w:id="44"/>
      </w:r>
      <w:r>
        <w:rPr>
          <w:rFonts w:ascii="Times New Roman" w:hAnsi="Times New Roman"/>
          <w:noProof/>
          <w:sz w:val="24"/>
          <w:szCs w:val="24"/>
          <w:lang w:val="ro-RO"/>
        </w:rPr>
        <w:t xml:space="preserve"> și muncă temporară</w:t>
      </w:r>
      <w:r>
        <w:rPr>
          <w:rStyle w:val="FootnoteReference"/>
          <w:rFonts w:ascii="Times New Roman" w:hAnsi="Times New Roman" w:cs="Times New Roman"/>
          <w:noProof/>
          <w:sz w:val="24"/>
          <w:szCs w:val="24"/>
          <w:lang w:val="ro-RO"/>
        </w:rPr>
        <w:footnoteReference w:id="45"/>
      </w:r>
      <w:r>
        <w:rPr>
          <w:rFonts w:ascii="Times New Roman" w:hAnsi="Times New Roman"/>
          <w:noProof/>
          <w:sz w:val="24"/>
          <w:szCs w:val="24"/>
          <w:lang w:val="ro-RO"/>
        </w:rPr>
        <w:t xml:space="preserve">. Femeile primesc pensii lunare cu aproximativ o treime mai mici decât cele ale bărbaților, iar speranța lor de viață este mai mare.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Persoanele cu handicap, un grup cu risc mai mare de să</w:t>
      </w:r>
      <w:r>
        <w:rPr>
          <w:rFonts w:ascii="Times New Roman" w:hAnsi="Times New Roman"/>
          <w:b/>
          <w:noProof/>
          <w:sz w:val="24"/>
          <w:szCs w:val="24"/>
          <w:lang w:val="ro-RO"/>
        </w:rPr>
        <w:t xml:space="preserve">răcie, se pot confrunta cu riscuri suplimentare. </w:t>
      </w:r>
      <w:r>
        <w:rPr>
          <w:rFonts w:ascii="Times New Roman" w:hAnsi="Times New Roman"/>
          <w:noProof/>
          <w:sz w:val="24"/>
          <w:szCs w:val="24"/>
          <w:lang w:val="ro-RO"/>
        </w:rPr>
        <w:t>Persoanele cu handicap în vârstă de muncă sunt adesea eligibile pentru prestații specifice și sprijin. Atunci când ajung însă la vârsta de pensionare, este posibil să nu mai fie eligibile, ceea ce poate cons</w:t>
      </w:r>
      <w:r>
        <w:rPr>
          <w:rFonts w:ascii="Times New Roman" w:hAnsi="Times New Roman"/>
          <w:noProof/>
          <w:sz w:val="24"/>
          <w:szCs w:val="24"/>
          <w:lang w:val="ro-RO"/>
        </w:rPr>
        <w:t xml:space="preserve">titui o cauză suplimentară pentru sărăcie sau excluziune socială.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În același timp, o populație mai în vârstă oferă, de asemenea, noi oportunități pentru economiile noastre. </w:t>
      </w:r>
      <w:r>
        <w:rPr>
          <w:rFonts w:ascii="Times New Roman" w:hAnsi="Times New Roman"/>
          <w:noProof/>
          <w:sz w:val="24"/>
          <w:szCs w:val="24"/>
          <w:lang w:val="ro-RO"/>
        </w:rPr>
        <w:t>Consumatorii mai în vârstă reprezintă o mare parte din economie, iar consumul real</w:t>
      </w:r>
      <w:r>
        <w:rPr>
          <w:rFonts w:ascii="Times New Roman" w:hAnsi="Times New Roman"/>
          <w:noProof/>
          <w:sz w:val="24"/>
          <w:szCs w:val="24"/>
          <w:lang w:val="ro-RO"/>
        </w:rPr>
        <w:t>izat de persoanele cu vârsta de peste 50 de ani în întreaga UE a fost de 3,7 mii de miliarde EUR în 2015. Conform proiecțiilor, acesta va crește cu aproximativ 5 % pe an, ajungând la 5,7 mii de miliarde EUR până în 2025. Foaia verde a Comisiei privind îmbă</w:t>
      </w:r>
      <w:r>
        <w:rPr>
          <w:rFonts w:ascii="Times New Roman" w:hAnsi="Times New Roman"/>
          <w:noProof/>
          <w:sz w:val="24"/>
          <w:szCs w:val="24"/>
          <w:lang w:val="ro-RO"/>
        </w:rPr>
        <w:t>trânirea va aborda, de asemenea, modul în care putem valorifica cel mai bine aceste oportunități.</w:t>
      </w:r>
      <w:r>
        <w:rPr>
          <w:rFonts w:ascii="Times New Roman" w:hAnsi="Times New Roman"/>
          <w:b/>
          <w:noProof/>
          <w:sz w:val="24"/>
          <w:szCs w:val="24"/>
          <w:lang w:val="ro-RO"/>
        </w:rPr>
        <w:t xml:space="preserve"> </w:t>
      </w:r>
    </w:p>
    <w:p w:rsidR="00B243D9" w:rsidRDefault="00F5719E">
      <w:pPr>
        <w:pStyle w:val="Heading2"/>
        <w:keepNext/>
        <w:rPr>
          <w:b w:val="0"/>
          <w:noProof/>
          <w:lang w:val="ro-RO"/>
        </w:rPr>
      </w:pPr>
      <w:bookmarkStart w:id="68" w:name="_Toc32414446"/>
      <w:bookmarkStart w:id="69" w:name="_Toc32444157"/>
      <w:bookmarkStart w:id="70" w:name="_Toc33800407"/>
      <w:bookmarkStart w:id="71" w:name="_Toc35516330"/>
      <w:bookmarkStart w:id="72" w:name="_Toc36563276"/>
      <w:bookmarkStart w:id="73" w:name="_Toc42531870"/>
      <w:bookmarkStart w:id="74" w:name="_Toc43897143"/>
      <w:r>
        <w:rPr>
          <w:rStyle w:val="Heading2Char"/>
          <w:b/>
          <w:noProof/>
          <w:lang w:val="ro-RO"/>
        </w:rPr>
        <w:t xml:space="preserve">3.4. </w:t>
      </w:r>
      <w:bookmarkEnd w:id="68"/>
      <w:bookmarkEnd w:id="69"/>
      <w:bookmarkEnd w:id="70"/>
      <w:bookmarkEnd w:id="71"/>
      <w:r>
        <w:rPr>
          <w:rStyle w:val="Heading2Char"/>
          <w:b/>
          <w:noProof/>
          <w:lang w:val="ro-RO"/>
        </w:rPr>
        <w:t>DIMENSIUNEA REGIONALĂ ȘI LOCALĂ</w:t>
      </w:r>
      <w:r>
        <w:rPr>
          <w:b w:val="0"/>
          <w:noProof/>
          <w:vertAlign w:val="superscript"/>
          <w:lang w:val="ro-RO"/>
        </w:rPr>
        <w:footnoteReference w:id="46"/>
      </w:r>
      <w:bookmarkEnd w:id="72"/>
      <w:bookmarkEnd w:id="73"/>
      <w:bookmarkEnd w:id="74"/>
    </w:p>
    <w:p w:rsidR="00B243D9" w:rsidRDefault="00F5719E">
      <w:pPr>
        <w:keepLines/>
        <w:jc w:val="both"/>
        <w:rPr>
          <w:rFonts w:ascii="Times New Roman" w:hAnsi="Times New Roman" w:cs="Times New Roman"/>
          <w:noProof/>
          <w:sz w:val="24"/>
          <w:szCs w:val="24"/>
          <w:lang w:val="ro-RO"/>
        </w:rPr>
      </w:pPr>
      <w:r>
        <w:rPr>
          <w:rFonts w:ascii="Times New Roman" w:hAnsi="Times New Roman"/>
          <w:b/>
          <w:noProof/>
          <w:sz w:val="24"/>
          <w:szCs w:val="24"/>
          <w:lang w:val="ro-RO"/>
        </w:rPr>
        <w:t>Regiunile sunt afectate în mod diferit de schimbările demografice</w:t>
      </w:r>
      <w:r>
        <w:rPr>
          <w:rFonts w:ascii="Times New Roman" w:hAnsi="Times New Roman"/>
          <w:noProof/>
          <w:sz w:val="24"/>
          <w:szCs w:val="24"/>
          <w:lang w:val="ro-RO"/>
        </w:rPr>
        <w:t xml:space="preserve">. Unele prezintă o populație relativ în vârstă, cu o </w:t>
      </w:r>
      <w:r>
        <w:rPr>
          <w:rFonts w:ascii="Times New Roman" w:hAnsi="Times New Roman"/>
          <w:noProof/>
          <w:sz w:val="24"/>
          <w:szCs w:val="24"/>
          <w:lang w:val="ro-RO"/>
        </w:rPr>
        <w:t>vârstă mediană de peste 50 de ani, în timp ce în altele aceasta este mai mică de 42,5 ani, cum ar fi în (în anumite părți din) Luxemburg, Cipru, Irlanda, sudul Spaniei, Polonia, nordul României, Slovacia și sudul Suediei.</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La nivel regional, mișcările de po</w:t>
      </w:r>
      <w:r>
        <w:rPr>
          <w:rFonts w:ascii="Times New Roman" w:hAnsi="Times New Roman"/>
          <w:noProof/>
          <w:sz w:val="24"/>
          <w:szCs w:val="24"/>
          <w:lang w:val="ro-RO"/>
        </w:rPr>
        <w:t xml:space="preserve">pulație au, de asemenea, un impact major asupra profilului demografic al unei regiuni. Acest lucru se resimte în mod acut în locurile în care se deplasează predominant tinerii. </w:t>
      </w:r>
      <w:r>
        <w:rPr>
          <w:rFonts w:ascii="Times New Roman" w:hAnsi="Times New Roman"/>
          <w:bCs/>
          <w:noProof/>
          <w:sz w:val="24"/>
          <w:szCs w:val="24"/>
          <w:lang w:val="ro-RO"/>
        </w:rPr>
        <w:t xml:space="preserve">Aceste deplasări afectează, de asemenea, populația totală a unei regiuni. </w:t>
      </w:r>
      <w:r>
        <w:rPr>
          <w:rFonts w:ascii="Times New Roman" w:hAnsi="Times New Roman"/>
          <w:noProof/>
          <w:sz w:val="24"/>
          <w:szCs w:val="24"/>
          <w:lang w:val="ro-RO"/>
        </w:rPr>
        <w:t xml:space="preserve">65 % </w:t>
      </w:r>
      <w:r>
        <w:rPr>
          <w:rFonts w:ascii="Times New Roman" w:hAnsi="Times New Roman"/>
          <w:noProof/>
          <w:sz w:val="24"/>
          <w:szCs w:val="24"/>
          <w:lang w:val="ro-RO"/>
        </w:rPr>
        <w:t>din populația UE trăiește într-o regiune care a înregistrat o creștere a populației între 2011 și 2019. Pentru unele regiuni, declinul demografic este o tendință prelungită, de multe ori de-a lungul mai multor decenii și este de așteptat ca mai multe regiu</w:t>
      </w:r>
      <w:r>
        <w:rPr>
          <w:rFonts w:ascii="Times New Roman" w:hAnsi="Times New Roman"/>
          <w:noProof/>
          <w:sz w:val="24"/>
          <w:szCs w:val="24"/>
          <w:lang w:val="ro-RO"/>
        </w:rPr>
        <w:t xml:space="preserve">ni să se confrunte cu o scădere a populației în următorul deceniu și ulterior.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Pentru a evita ca această situație să fie exacerbată în continuare ca urmare a pandemiei, Comisia a propus alocarea de resurse suplimentare în cadrul politicii de coeziune pent</w:t>
      </w:r>
      <w:r>
        <w:rPr>
          <w:rFonts w:ascii="Times New Roman" w:hAnsi="Times New Roman"/>
          <w:noProof/>
          <w:sz w:val="24"/>
          <w:szCs w:val="24"/>
          <w:lang w:val="ro-RO"/>
        </w:rPr>
        <w:t>ru măsuri de intervenție și redresare în urma crizei printr-o nouă inițiativă denumită REACT-EU</w:t>
      </w:r>
      <w:r>
        <w:rPr>
          <w:rStyle w:val="FootnoteReference"/>
          <w:rFonts w:ascii="Times New Roman" w:hAnsi="Times New Roman" w:cs="Times New Roman"/>
          <w:noProof/>
          <w:sz w:val="24"/>
          <w:szCs w:val="24"/>
          <w:lang w:val="ro-RO"/>
        </w:rPr>
        <w:footnoteReference w:id="47"/>
      </w:r>
      <w:r>
        <w:rPr>
          <w:rFonts w:ascii="Times New Roman" w:hAnsi="Times New Roman"/>
          <w:noProof/>
          <w:sz w:val="24"/>
          <w:szCs w:val="24"/>
          <w:lang w:val="ro-RO"/>
        </w:rPr>
        <w:t>. Instrumentul de redresare propus, Next Generation EU, prevede sprijin suplimentar pentru a asigura finanțarea măsurilor esențiale de intervenție în urma crize</w:t>
      </w:r>
      <w:r>
        <w:rPr>
          <w:rFonts w:ascii="Times New Roman" w:hAnsi="Times New Roman"/>
          <w:noProof/>
          <w:sz w:val="24"/>
          <w:szCs w:val="24"/>
          <w:lang w:val="ro-RO"/>
        </w:rPr>
        <w:t>i și pentru sprijinirea lucrătorilor și a IMM-urilor, a sistemelor de sănătate și a tranziției verzi și digitale la nivelul regiunilor. În plus, programul UE pentru dezvoltare rurală va juca un rol esențial în sprijinirea redresării.</w:t>
      </w:r>
    </w:p>
    <w:p w:rsidR="00B243D9" w:rsidRDefault="00F5719E">
      <w:pPr>
        <w:keepNext/>
        <w:jc w:val="center"/>
        <w:rPr>
          <w:rFonts w:ascii="Times New Roman" w:hAnsi="Times New Roman" w:cs="Times New Roman"/>
          <w:b/>
          <w:noProof/>
          <w:sz w:val="24"/>
          <w:szCs w:val="24"/>
          <w:lang w:val="ro-RO"/>
        </w:rPr>
      </w:pPr>
      <w:r>
        <w:rPr>
          <w:rFonts w:ascii="Times New Roman" w:hAnsi="Times New Roman"/>
          <w:b/>
          <w:noProof/>
          <w:sz w:val="24"/>
          <w:szCs w:val="24"/>
          <w:lang w:val="ro-RO"/>
        </w:rPr>
        <w:t>Variația totală a popu</w:t>
      </w:r>
      <w:r>
        <w:rPr>
          <w:rFonts w:ascii="Times New Roman" w:hAnsi="Times New Roman"/>
          <w:b/>
          <w:noProof/>
          <w:sz w:val="24"/>
          <w:szCs w:val="24"/>
          <w:lang w:val="ro-RO"/>
        </w:rPr>
        <w:t>lației pe regiuni</w:t>
      </w:r>
      <w:r>
        <w:rPr>
          <w:rFonts w:ascii="Times New Roman" w:hAnsi="Times New Roman" w:cs="Times New Roman"/>
          <w:b/>
          <w:noProof/>
          <w:sz w:val="24"/>
          <w:szCs w:val="24"/>
          <w:vertAlign w:val="superscript"/>
          <w:lang w:val="ro-RO"/>
        </w:rPr>
        <w:footnoteReference w:id="48"/>
      </w:r>
      <w:r>
        <w:rPr>
          <w:rFonts w:ascii="Times New Roman" w:hAnsi="Times New Roman"/>
          <w:b/>
          <w:noProof/>
          <w:sz w:val="24"/>
          <w:szCs w:val="24"/>
          <w:lang w:val="ro-RO"/>
        </w:rPr>
        <w:t>, 2011-2019</w:t>
      </w:r>
    </w:p>
    <w:p w:rsidR="00B243D9" w:rsidRDefault="00F5719E">
      <w:pPr>
        <w:jc w:val="center"/>
        <w:rPr>
          <w:rFonts w:ascii="Times New Roman" w:hAnsi="Times New Roman" w:cs="Times New Roman"/>
          <w:noProof/>
          <w:sz w:val="24"/>
          <w:szCs w:val="24"/>
          <w:lang w:val="ro-RO"/>
        </w:rPr>
      </w:pPr>
      <w:r>
        <w:rPr>
          <w:noProof/>
          <w:lang w:val="fr-BE" w:eastAsia="fr-BE"/>
        </w:rPr>
        <w:drawing>
          <wp:inline distT="0" distB="0" distL="0" distR="0">
            <wp:extent cx="4876800" cy="57950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79535" cy="5798260"/>
                    </a:xfrm>
                    <a:prstGeom prst="rect">
                      <a:avLst/>
                    </a:prstGeom>
                  </pic:spPr>
                </pic:pic>
              </a:graphicData>
            </a:graphic>
          </wp:inline>
        </w:drawing>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Schimbările demografice joacă un rol diferit în regiunile urbane și în cele rurale. </w:t>
      </w:r>
      <w:r>
        <w:rPr>
          <w:rFonts w:ascii="Times New Roman" w:hAnsi="Times New Roman"/>
          <w:noProof/>
          <w:sz w:val="24"/>
          <w:szCs w:val="24"/>
          <w:lang w:val="ro-RO"/>
        </w:rPr>
        <w:t xml:space="preserve">Regiunile din UE fac parte din diferite categorii, în funcție de natura lor mai pronunțat urbană sau rurală sau între acestea. Fiecare </w:t>
      </w:r>
      <w:r>
        <w:rPr>
          <w:rFonts w:ascii="Times New Roman" w:hAnsi="Times New Roman"/>
          <w:noProof/>
          <w:sz w:val="24"/>
          <w:szCs w:val="24"/>
          <w:lang w:val="ro-RO"/>
        </w:rPr>
        <w:t>dintre cele trei categorii are propriile sale caracteristici. Dimensiunea populației și densitatea așezărilor scade de la regiunile urbane la cele intermediare și la cele rurale. În timpul pandemiei, densitatea populației și categoria în care intră o anumi</w:t>
      </w:r>
      <w:r>
        <w:rPr>
          <w:rFonts w:ascii="Times New Roman" w:hAnsi="Times New Roman"/>
          <w:noProof/>
          <w:sz w:val="24"/>
          <w:szCs w:val="24"/>
          <w:lang w:val="ro-RO"/>
        </w:rPr>
        <w:t>tă regiune par a fi reprezentat un factor de răspândire a virusului. Se estimează că virusul a ajuns mai devreme în regiunile urbane și s-a răspândit mai rapid în comparație cu regiunile intermediare și rurale</w:t>
      </w:r>
      <w:r>
        <w:rPr>
          <w:rStyle w:val="FootnoteReference"/>
          <w:rFonts w:ascii="Times New Roman" w:hAnsi="Times New Roman" w:cs="Times New Roman"/>
          <w:noProof/>
          <w:sz w:val="24"/>
          <w:szCs w:val="24"/>
          <w:lang w:val="ro-RO"/>
        </w:rPr>
        <w:footnoteReference w:id="49"/>
      </w:r>
      <w:r>
        <w:rPr>
          <w:rFonts w:ascii="Times New Roman" w:hAnsi="Times New Roman"/>
          <w:noProof/>
          <w:sz w:val="24"/>
          <w:szCs w:val="24"/>
          <w:lang w:val="ro-RO"/>
        </w:rPr>
        <w:t xml:space="preserve">. </w:t>
      </w:r>
    </w:p>
    <w:p w:rsidR="00B243D9" w:rsidRDefault="00B243D9">
      <w:pPr>
        <w:jc w:val="both"/>
        <w:rPr>
          <w:rFonts w:ascii="Times New Roman" w:hAnsi="Times New Roman" w:cs="Times New Roman"/>
          <w:noProof/>
          <w:sz w:val="24"/>
          <w:szCs w:val="24"/>
          <w:lang w:val="ro-RO"/>
        </w:rPr>
      </w:pPr>
    </w:p>
    <w:p w:rsidR="00B243D9" w:rsidRDefault="00F5719E">
      <w:pPr>
        <w:keepNext/>
        <w:jc w:val="center"/>
        <w:rPr>
          <w:rFonts w:ascii="Times New Roman" w:hAnsi="Times New Roman" w:cs="Times New Roman"/>
          <w:b/>
          <w:noProof/>
          <w:sz w:val="24"/>
          <w:szCs w:val="24"/>
          <w:lang w:val="ro-RO"/>
        </w:rPr>
      </w:pPr>
      <w:r>
        <w:rPr>
          <w:rFonts w:ascii="Times New Roman" w:hAnsi="Times New Roman"/>
          <w:b/>
          <w:noProof/>
          <w:sz w:val="24"/>
          <w:szCs w:val="24"/>
          <w:lang w:val="ro-RO"/>
        </w:rPr>
        <w:t>Populația UE-27 în funcție de tipologia re</w:t>
      </w:r>
      <w:r>
        <w:rPr>
          <w:rFonts w:ascii="Times New Roman" w:hAnsi="Times New Roman"/>
          <w:b/>
          <w:noProof/>
          <w:sz w:val="24"/>
          <w:szCs w:val="24"/>
          <w:lang w:val="ro-RO"/>
        </w:rPr>
        <w:t>gională urbană-rurală, 2019</w:t>
      </w:r>
    </w:p>
    <w:p w:rsidR="00B243D9" w:rsidRDefault="00F5719E">
      <w:pPr>
        <w:jc w:val="center"/>
        <w:rPr>
          <w:rFonts w:ascii="Times New Roman" w:hAnsi="Times New Roman" w:cs="Times New Roman"/>
          <w:noProof/>
          <w:sz w:val="24"/>
          <w:szCs w:val="24"/>
          <w:lang w:val="ro-RO"/>
        </w:rPr>
      </w:pPr>
      <w:r>
        <w:rPr>
          <w:noProof/>
          <w:lang w:val="fr-BE" w:eastAsia="fr-BE"/>
        </w:rPr>
        <w:drawing>
          <wp:inline distT="0" distB="0" distL="0" distR="0">
            <wp:extent cx="2924810" cy="2733675"/>
            <wp:effectExtent l="0" t="0" r="889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4810" cy="2733675"/>
                    </a:xfrm>
                    <a:prstGeom prst="rect">
                      <a:avLst/>
                    </a:prstGeom>
                    <a:noFill/>
                    <a:ln>
                      <a:noFill/>
                    </a:ln>
                  </pic:spPr>
                </pic:pic>
              </a:graphicData>
            </a:graphic>
          </wp:inline>
        </w:drawing>
      </w:r>
    </w:p>
    <w:p w:rsidR="00B243D9" w:rsidRDefault="00F5719E">
      <w:pPr>
        <w:jc w:val="both"/>
        <w:rPr>
          <w:rFonts w:ascii="Times New Roman" w:hAnsi="Times New Roman" w:cs="Times New Roman"/>
          <w:i/>
          <w:noProof/>
          <w:sz w:val="24"/>
          <w:szCs w:val="24"/>
          <w:lang w:val="ro-RO"/>
        </w:rPr>
      </w:pPr>
      <w:r>
        <w:rPr>
          <w:rFonts w:ascii="Times New Roman" w:hAnsi="Times New Roman"/>
          <w:i/>
          <w:noProof/>
          <w:sz w:val="24"/>
          <w:szCs w:val="24"/>
          <w:lang w:val="ro-RO"/>
        </w:rPr>
        <w:t>Sursă: Eurostat</w:t>
      </w:r>
    </w:p>
    <w:p w:rsidR="00B243D9" w:rsidRDefault="00B243D9">
      <w:pPr>
        <w:jc w:val="both"/>
        <w:rPr>
          <w:rFonts w:ascii="Times New Roman" w:hAnsi="Times New Roman" w:cs="Times New Roman"/>
          <w:noProof/>
          <w:sz w:val="24"/>
          <w:szCs w:val="24"/>
          <w:lang w:val="ro-RO"/>
        </w:rPr>
      </w:pP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În regiunile rurale, populația a scăzut cu 0,8 milioane între 2014 și 2019.</w:t>
      </w:r>
      <w:r>
        <w:rPr>
          <w:rFonts w:ascii="Times New Roman" w:hAnsi="Times New Roman"/>
          <w:noProof/>
          <w:sz w:val="24"/>
          <w:szCs w:val="24"/>
          <w:lang w:val="ro-RO"/>
        </w:rPr>
        <w:t xml:space="preserve"> Aceasta este însă doar o fațetă a situației. În unele state membre, aceste regiuni populația a crescut cu peste 0,2 % pe an, în timp ce în altele a scăzut cu aceeași valoare. În nouă state membre, regiunile rurale și-au pierdut populația începând din 1991</w:t>
      </w:r>
      <w:r>
        <w:rPr>
          <w:rFonts w:ascii="Times New Roman" w:hAnsi="Times New Roman"/>
          <w:noProof/>
          <w:sz w:val="24"/>
          <w:szCs w:val="24"/>
          <w:lang w:val="ro-RO"/>
        </w:rPr>
        <w:t>: cele trei state baltice, Bulgaria, Croația, Ungaria, Portugalia și România. Activitatea recentă a OCDE arată că regiunile din apropierea orașelor au tendința de a se dezvolta, în timp ce regiunile mai îndepărtate</w:t>
      </w:r>
      <w:r>
        <w:rPr>
          <w:rFonts w:ascii="Times New Roman" w:hAnsi="Times New Roman" w:cs="Times New Roman"/>
          <w:noProof/>
          <w:sz w:val="24"/>
          <w:szCs w:val="24"/>
          <w:vertAlign w:val="superscript"/>
          <w:lang w:val="ro-RO"/>
        </w:rPr>
        <w:footnoteReference w:id="50"/>
      </w:r>
      <w:r>
        <w:rPr>
          <w:rFonts w:ascii="Times New Roman" w:hAnsi="Times New Roman"/>
          <w:noProof/>
          <w:sz w:val="24"/>
          <w:szCs w:val="24"/>
          <w:lang w:val="ro-RO"/>
        </w:rPr>
        <w:t xml:space="preserve"> tind să piardă din populație.</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Regiunile </w:t>
      </w:r>
      <w:r>
        <w:rPr>
          <w:rFonts w:ascii="Times New Roman" w:hAnsi="Times New Roman"/>
          <w:b/>
          <w:noProof/>
          <w:sz w:val="24"/>
          <w:szCs w:val="24"/>
          <w:lang w:val="ro-RO"/>
        </w:rPr>
        <w:t>urbane din UE prezintă o imagine diferită – populația lor a crescut cu 3,8 milioane în aceeași perioadă</w:t>
      </w:r>
      <w:r>
        <w:rPr>
          <w:rFonts w:ascii="Times New Roman" w:hAnsi="Times New Roman"/>
          <w:noProof/>
          <w:sz w:val="24"/>
          <w:szCs w:val="24"/>
          <w:lang w:val="ro-RO"/>
        </w:rPr>
        <w:t>. Cu toate acestea, în Letonia și în Grecia aceasta a scăzut cu 0,3 % și, respectiv, 0,6 %. 22 % din populația urbană locuia într-o regiune în care popul</w:t>
      </w:r>
      <w:r>
        <w:rPr>
          <w:rFonts w:ascii="Times New Roman" w:hAnsi="Times New Roman"/>
          <w:noProof/>
          <w:sz w:val="24"/>
          <w:szCs w:val="24"/>
          <w:lang w:val="ro-RO"/>
        </w:rPr>
        <w:t>ația a scăzut în perioada 2014</w:t>
      </w:r>
      <w:r>
        <w:rPr>
          <w:rFonts w:ascii="Times New Roman" w:hAnsi="Times New Roman" w:cs="Times New Roman"/>
          <w:noProof/>
          <w:sz w:val="24"/>
          <w:szCs w:val="24"/>
          <w:lang w:val="ro-RO"/>
        </w:rPr>
        <w:t>­</w:t>
      </w:r>
      <w:r>
        <w:rPr>
          <w:rFonts w:ascii="Times New Roman" w:hAnsi="Times New Roman"/>
          <w:noProof/>
          <w:sz w:val="24"/>
          <w:szCs w:val="24"/>
          <w:lang w:val="ro-RO"/>
        </w:rPr>
        <w:t xml:space="preserve">2019. În paisprezece state membre, în toate regiunile urbane populația a crescut. </w:t>
      </w:r>
    </w:p>
    <w:p w:rsidR="00B243D9" w:rsidRDefault="00B243D9">
      <w:pPr>
        <w:rPr>
          <w:rFonts w:ascii="Times New Roman" w:hAnsi="Times New Roman" w:cs="Times New Roman"/>
          <w:noProof/>
          <w:sz w:val="24"/>
          <w:szCs w:val="24"/>
          <w:lang w:val="ro-RO"/>
        </w:rPr>
      </w:pPr>
    </w:p>
    <w:p w:rsidR="00B243D9" w:rsidRDefault="00F5719E">
      <w:pPr>
        <w:pStyle w:val="Heading3"/>
        <w:keepNext/>
        <w:rPr>
          <w:noProof/>
          <w:lang w:val="ro-RO"/>
        </w:rPr>
      </w:pPr>
      <w:bookmarkStart w:id="75" w:name="_Toc32414447"/>
      <w:bookmarkStart w:id="76" w:name="_Toc32444158"/>
      <w:bookmarkStart w:id="77" w:name="_Toc33800409"/>
      <w:bookmarkStart w:id="78" w:name="_Toc35516332"/>
      <w:bookmarkStart w:id="79" w:name="_Toc36563277"/>
      <w:bookmarkStart w:id="80" w:name="_Toc42531871"/>
      <w:bookmarkStart w:id="81" w:name="_Toc43897144"/>
      <w:r>
        <w:rPr>
          <w:noProof/>
          <w:lang w:val="ro-RO"/>
        </w:rPr>
        <w:t xml:space="preserve">3.4.1. </w:t>
      </w:r>
      <w:bookmarkEnd w:id="75"/>
      <w:bookmarkEnd w:id="76"/>
      <w:bookmarkEnd w:id="77"/>
      <w:bookmarkEnd w:id="78"/>
      <w:r>
        <w:rPr>
          <w:noProof/>
          <w:lang w:val="ro-RO"/>
        </w:rPr>
        <w:t>CALITATEA VIEȚII, INFRASTRUCTURA ȘI ACCESUL LA SERVICII</w:t>
      </w:r>
      <w:bookmarkEnd w:id="79"/>
      <w:bookmarkEnd w:id="80"/>
      <w:bookmarkEnd w:id="81"/>
    </w:p>
    <w:p w:rsidR="00B243D9" w:rsidRDefault="00F5719E">
      <w:pPr>
        <w:keepLines/>
        <w:jc w:val="both"/>
        <w:rPr>
          <w:rFonts w:ascii="Times New Roman" w:hAnsi="Times New Roman" w:cs="Times New Roman"/>
          <w:noProof/>
          <w:sz w:val="24"/>
          <w:szCs w:val="24"/>
          <w:lang w:val="ro-RO"/>
        </w:rPr>
      </w:pPr>
      <w:r>
        <w:rPr>
          <w:rFonts w:ascii="Times New Roman" w:hAnsi="Times New Roman"/>
          <w:noProof/>
          <w:sz w:val="24"/>
          <w:szCs w:val="24"/>
          <w:lang w:val="ro-RO"/>
        </w:rPr>
        <w:t>Fiecare regiune din Europa încearcă să furnizeze servicii și infrastructură pe</w:t>
      </w:r>
      <w:r>
        <w:rPr>
          <w:rFonts w:ascii="Times New Roman" w:hAnsi="Times New Roman"/>
          <w:noProof/>
          <w:sz w:val="24"/>
          <w:szCs w:val="24"/>
          <w:lang w:val="ro-RO"/>
        </w:rPr>
        <w:t>ntru a răspunde nevoilor populației sale. Dacă populația crește sau scade, serviciile și infrastructura trebuie ajustate în consecință, fie că este vorba despre transporturi, servicii digitale, locuințe, școli, asistență medicală și îngrijire pe termen lun</w:t>
      </w:r>
      <w:r>
        <w:rPr>
          <w:rFonts w:ascii="Times New Roman" w:hAnsi="Times New Roman"/>
          <w:noProof/>
          <w:sz w:val="24"/>
          <w:szCs w:val="24"/>
          <w:lang w:val="ro-RO"/>
        </w:rPr>
        <w:t xml:space="preserve">g și integrare socială.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Impactul schimbărilor demografice asupra unei regiuni specifice depinde în mare măsură de ritmul și de amploarea schimbărilor demografice și de disponibilitatea mijloacelor necesare pentru a face față acestei schimbări.</w:t>
      </w:r>
      <w:r>
        <w:rPr>
          <w:rFonts w:ascii="Times New Roman" w:hAnsi="Times New Roman"/>
          <w:b/>
          <w:noProof/>
          <w:sz w:val="24"/>
          <w:szCs w:val="24"/>
          <w:lang w:val="ro-RO"/>
        </w:rPr>
        <w:t xml:space="preserve"> </w:t>
      </w:r>
      <w:r>
        <w:rPr>
          <w:rFonts w:ascii="Times New Roman" w:hAnsi="Times New Roman"/>
          <w:bCs/>
          <w:noProof/>
          <w:sz w:val="24"/>
          <w:szCs w:val="24"/>
          <w:lang w:val="ro-RO"/>
        </w:rPr>
        <w:t>Majoritatea</w:t>
      </w:r>
      <w:r>
        <w:rPr>
          <w:rFonts w:ascii="Times New Roman" w:hAnsi="Times New Roman"/>
          <w:bCs/>
          <w:noProof/>
          <w:sz w:val="24"/>
          <w:szCs w:val="24"/>
          <w:lang w:val="ro-RO"/>
        </w:rPr>
        <w:t xml:space="preserve"> regiunilor care cunosc o creștere rapidă a populației au un PIB pe cap de locuitor peste media UE, în timp ce regiunile cu un declin rapid al populației tind să aibă un PIB pe cap de locuitor comparativ redus. </w:t>
      </w:r>
      <w:r>
        <w:rPr>
          <w:rFonts w:ascii="Times New Roman" w:hAnsi="Times New Roman"/>
          <w:noProof/>
          <w:sz w:val="24"/>
          <w:szCs w:val="24"/>
          <w:lang w:val="ro-RO"/>
        </w:rPr>
        <w:t>Regiunile în care se înregistrează venituri s</w:t>
      </w:r>
      <w:r>
        <w:rPr>
          <w:rFonts w:ascii="Times New Roman" w:hAnsi="Times New Roman"/>
          <w:noProof/>
          <w:sz w:val="24"/>
          <w:szCs w:val="24"/>
          <w:lang w:val="ro-RO"/>
        </w:rPr>
        <w:t>căzute și care suferă schimbări demografice rapide se confruntă cu cea mai dificilă situație.</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31 de milioane de persoane, sau 7 % din populația UE, trăiesc într-o regiune care se confruntă cu </w:t>
      </w:r>
      <w:r>
        <w:rPr>
          <w:rFonts w:ascii="Times New Roman" w:hAnsi="Times New Roman"/>
          <w:b/>
          <w:i/>
          <w:noProof/>
          <w:sz w:val="24"/>
          <w:szCs w:val="24"/>
          <w:lang w:val="ro-RO"/>
        </w:rPr>
        <w:t>dubla provocare</w:t>
      </w:r>
      <w:r>
        <w:rPr>
          <w:rFonts w:ascii="Times New Roman" w:hAnsi="Times New Roman"/>
          <w:b/>
          <w:noProof/>
          <w:sz w:val="24"/>
          <w:szCs w:val="24"/>
          <w:lang w:val="ro-RO"/>
        </w:rPr>
        <w:t xml:space="preserve"> a scăderii rapide a populației și a unui PIB scă</w:t>
      </w:r>
      <w:r>
        <w:rPr>
          <w:rFonts w:ascii="Times New Roman" w:hAnsi="Times New Roman"/>
          <w:b/>
          <w:noProof/>
          <w:sz w:val="24"/>
          <w:szCs w:val="24"/>
          <w:lang w:val="ro-RO"/>
        </w:rPr>
        <w:t>zut pe cap de locuitor</w:t>
      </w:r>
      <w:r>
        <w:rPr>
          <w:rFonts w:ascii="Times New Roman" w:hAnsi="Times New Roman"/>
          <w:noProof/>
          <w:sz w:val="24"/>
          <w:szCs w:val="24"/>
          <w:lang w:val="ro-RO"/>
        </w:rPr>
        <w:t>. Multe dintre aceste regiuni se află în statele baltice, Bulgaria, Croația, Ungaria, Portugalia și România. Există, de asemenea, unele regiuni în această situație în Grecia și Spania, precum și câteva regiuni în estul Germaniei, Fran</w:t>
      </w:r>
      <w:r>
        <w:rPr>
          <w:rFonts w:ascii="Times New Roman" w:hAnsi="Times New Roman"/>
          <w:noProof/>
          <w:sz w:val="24"/>
          <w:szCs w:val="24"/>
          <w:lang w:val="ro-RO"/>
        </w:rPr>
        <w:t>ț</w:t>
      </w:r>
      <w:r>
        <w:rPr>
          <w:rFonts w:ascii="Times New Roman" w:hAnsi="Times New Roman"/>
          <w:noProof/>
          <w:sz w:val="24"/>
          <w:szCs w:val="24"/>
          <w:lang w:val="ro-RO"/>
        </w:rPr>
        <w:t xml:space="preserve">a și Polonia.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Abordarea impactului schimbărilor demografice locale și regionale trebuie să ia în considerare motivele pentru care oamenii se mută într-o anumită regiune sau dintr-o anumită regiune. Adesea aceasta se rezumă la oportunitățile de ocupare a </w:t>
      </w:r>
      <w:r>
        <w:rPr>
          <w:rFonts w:ascii="Times New Roman" w:hAnsi="Times New Roman"/>
          <w:noProof/>
          <w:sz w:val="24"/>
          <w:szCs w:val="24"/>
          <w:lang w:val="ro-RO"/>
        </w:rPr>
        <w:t>forței de muncă și calitatea vieții. Calitatea vieții într-o regiune poate fi influențată de numeroși factor, cum ar fi mediul natural, accesul la servicii (de exemplu, îngrijirea copiilor, accesibilitatea pentru persoanele cu handicap, educație de bună ca</w:t>
      </w:r>
      <w:r>
        <w:rPr>
          <w:rFonts w:ascii="Times New Roman" w:hAnsi="Times New Roman"/>
          <w:noProof/>
          <w:sz w:val="24"/>
          <w:szCs w:val="24"/>
          <w:lang w:val="ro-RO"/>
        </w:rPr>
        <w:t>litate, asistență medicală, îngrijire pe termen lung, locuințe, petrecerea timpului liber și servicii culturale) sau disponibilitatea și calitatea infrastructurii (precum drumuri, căi ferate, aprovizionarea cu energie, accesul la internet).</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Accesibilitatea</w:t>
      </w:r>
      <w:r>
        <w:rPr>
          <w:rFonts w:ascii="Times New Roman" w:hAnsi="Times New Roman"/>
          <w:b/>
          <w:noProof/>
          <w:sz w:val="24"/>
          <w:szCs w:val="24"/>
          <w:lang w:val="ro-RO"/>
        </w:rPr>
        <w:t xml:space="preserve"> și conectivitatea vor deveni mai importante pentru perspectiva unei regiuni</w:t>
      </w:r>
      <w:r>
        <w:rPr>
          <w:rFonts w:ascii="Times New Roman" w:hAnsi="Times New Roman"/>
          <w:noProof/>
          <w:sz w:val="24"/>
          <w:szCs w:val="24"/>
          <w:lang w:val="ro-RO"/>
        </w:rPr>
        <w:t>. Acestea influențează perspectivele economice ale unei regiuni și potențialul de a oferi locuri de muncă atractive. Pe măsură ce Europa se angajează în procesul de tranziție verde</w:t>
      </w:r>
      <w:r>
        <w:rPr>
          <w:rFonts w:ascii="Times New Roman" w:hAnsi="Times New Roman"/>
          <w:noProof/>
          <w:sz w:val="24"/>
          <w:szCs w:val="24"/>
          <w:lang w:val="ro-RO"/>
        </w:rPr>
        <w:t>, nevoia de transport public curat, frecvent, accesibil și la un preț rezonabil va juca un rol din ce în ce mai important în atractivitatea unei regiuni. Dat fiind că Europa devine din ce în ce mai digitală, oamenii se vor aștepta la un acces de înaltă cal</w:t>
      </w:r>
      <w:r>
        <w:rPr>
          <w:rFonts w:ascii="Times New Roman" w:hAnsi="Times New Roman"/>
          <w:noProof/>
          <w:sz w:val="24"/>
          <w:szCs w:val="24"/>
          <w:lang w:val="ro-RO"/>
        </w:rPr>
        <w:t>itate la banda largă de generație următoare. Accesul la servicii în bandă largă de generație următoare va contribui la reducerea decalajului urban-rural în era digitală.</w:t>
      </w:r>
    </w:p>
    <w:p w:rsidR="00B243D9" w:rsidRDefault="00F5719E">
      <w:pPr>
        <w:keepNext/>
        <w:jc w:val="center"/>
        <w:rPr>
          <w:rFonts w:ascii="Times New Roman" w:hAnsi="Times New Roman" w:cs="Times New Roman"/>
          <w:b/>
          <w:noProof/>
          <w:sz w:val="24"/>
          <w:szCs w:val="24"/>
          <w:lang w:val="ro-RO"/>
        </w:rPr>
      </w:pPr>
      <w:r>
        <w:rPr>
          <w:rFonts w:ascii="Times New Roman" w:hAnsi="Times New Roman"/>
          <w:b/>
          <w:noProof/>
          <w:sz w:val="24"/>
          <w:szCs w:val="24"/>
          <w:lang w:val="ro-RO"/>
        </w:rPr>
        <w:t>Acoperirea serviciilor în bandă largă de generație următoare</w:t>
      </w:r>
    </w:p>
    <w:p w:rsidR="00B243D9" w:rsidRDefault="00F5719E">
      <w:pPr>
        <w:jc w:val="both"/>
        <w:rPr>
          <w:rFonts w:ascii="Times New Roman" w:hAnsi="Times New Roman" w:cs="Times New Roman"/>
          <w:noProof/>
          <w:sz w:val="24"/>
          <w:szCs w:val="24"/>
          <w:lang w:val="ro-RO"/>
        </w:rPr>
      </w:pPr>
      <w:r>
        <w:rPr>
          <w:noProof/>
          <w:lang w:val="fr-BE" w:eastAsia="fr-BE"/>
        </w:rPr>
        <w:drawing>
          <wp:inline distT="0" distB="0" distL="0" distR="0">
            <wp:extent cx="6192520" cy="21358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92520" cy="2135830"/>
                    </a:xfrm>
                    <a:prstGeom prst="rect">
                      <a:avLst/>
                    </a:prstGeom>
                    <a:noFill/>
                    <a:ln>
                      <a:noFill/>
                    </a:ln>
                  </pic:spPr>
                </pic:pic>
              </a:graphicData>
            </a:graphic>
          </wp:inline>
        </w:drawing>
      </w:r>
    </w:p>
    <w:p w:rsidR="00B243D9" w:rsidRDefault="00F5719E">
      <w:pPr>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Investițiile în </w:t>
      </w:r>
      <w:r>
        <w:rPr>
          <w:rFonts w:ascii="Times New Roman" w:hAnsi="Times New Roman"/>
          <w:b/>
          <w:noProof/>
          <w:sz w:val="24"/>
          <w:szCs w:val="24"/>
          <w:lang w:val="ro-RO"/>
        </w:rPr>
        <w:t>infrastructură și servicii, inclusiv în cadrul politicii de coeziune, constituie o parte esențială a soluției</w:t>
      </w:r>
      <w:r>
        <w:rPr>
          <w:rFonts w:ascii="Times New Roman" w:hAnsi="Times New Roman"/>
          <w:noProof/>
          <w:sz w:val="24"/>
          <w:szCs w:val="24"/>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Infrastructura are mai multe dimensiuni, inclusiv disponibilitatea serviciilor digitale (care include accesul la tehnologiile informației și comu</w:t>
      </w:r>
      <w:r>
        <w:rPr>
          <w:rFonts w:ascii="Times New Roman" w:hAnsi="Times New Roman"/>
          <w:noProof/>
          <w:sz w:val="24"/>
          <w:szCs w:val="24"/>
          <w:lang w:val="ro-RO"/>
        </w:rPr>
        <w:t xml:space="preserve">nicațiilor și acoperirea 5G), serviciile de educație și de asistență medicală, precum și cultură și agrement. </w:t>
      </w:r>
    </w:p>
    <w:p w:rsidR="00B243D9" w:rsidRDefault="00F5719E">
      <w:pPr>
        <w:keepNext/>
        <w:jc w:val="center"/>
        <w:rPr>
          <w:rFonts w:ascii="Times New Roman" w:hAnsi="Times New Roman" w:cs="Times New Roman"/>
          <w:noProof/>
          <w:sz w:val="24"/>
          <w:szCs w:val="24"/>
          <w:lang w:val="ro-RO"/>
        </w:rPr>
      </w:pPr>
      <w:r>
        <w:rPr>
          <w:rFonts w:ascii="Times New Roman" w:hAnsi="Times New Roman"/>
          <w:b/>
          <w:noProof/>
          <w:sz w:val="24"/>
          <w:szCs w:val="24"/>
          <w:lang w:val="ro-RO"/>
        </w:rPr>
        <w:t>Accesibilitatea transportului feroviar pe regiuni</w:t>
      </w:r>
      <w:r>
        <w:rPr>
          <w:rFonts w:ascii="Times New Roman" w:hAnsi="Times New Roman" w:cs="Times New Roman"/>
          <w:b/>
          <w:noProof/>
          <w:sz w:val="24"/>
          <w:szCs w:val="24"/>
          <w:vertAlign w:val="superscript"/>
          <w:lang w:val="ro-RO"/>
        </w:rPr>
        <w:footnoteReference w:id="51"/>
      </w:r>
      <w:r>
        <w:rPr>
          <w:rFonts w:ascii="Times New Roman" w:hAnsi="Times New Roman"/>
          <w:b/>
          <w:noProof/>
          <w:sz w:val="24"/>
          <w:szCs w:val="24"/>
          <w:lang w:val="ro-RO"/>
        </w:rPr>
        <w:t>, 2014</w:t>
      </w:r>
    </w:p>
    <w:p w:rsidR="00B243D9" w:rsidRDefault="00F5719E">
      <w:pPr>
        <w:jc w:val="center"/>
        <w:rPr>
          <w:rFonts w:ascii="Times New Roman" w:hAnsi="Times New Roman" w:cs="Times New Roman"/>
          <w:noProof/>
          <w:sz w:val="24"/>
          <w:szCs w:val="24"/>
          <w:lang w:val="ro-RO"/>
        </w:rPr>
      </w:pPr>
      <w:r>
        <w:rPr>
          <w:noProof/>
          <w:lang w:val="fr-BE" w:eastAsia="fr-BE"/>
        </w:rPr>
        <w:drawing>
          <wp:inline distT="0" distB="0" distL="0" distR="0">
            <wp:extent cx="5838825" cy="6241907"/>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44809" cy="6248305"/>
                    </a:xfrm>
                    <a:prstGeom prst="rect">
                      <a:avLst/>
                    </a:prstGeom>
                  </pic:spPr>
                </pic:pic>
              </a:graphicData>
            </a:graphic>
          </wp:inline>
        </w:drawing>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Inițiativele regionale pot îmbunătăți calitatea vieții, accesul la servicii și infrast</w:t>
      </w:r>
      <w:r>
        <w:rPr>
          <w:rFonts w:ascii="Times New Roman" w:hAnsi="Times New Roman"/>
          <w:noProof/>
          <w:sz w:val="24"/>
          <w:szCs w:val="24"/>
          <w:lang w:val="ro-RO"/>
        </w:rPr>
        <w:t>ructura și pot aborda efectele negative ale depopulării. De exemplu, mediile de afaceri locale pot fi îmbunătățite prin servicii de sprijin pentru întreprinderi, stimularea inovării și a cercetării. Dezvoltarea locală plasată sub responsabilitatea comunită</w:t>
      </w:r>
      <w:r>
        <w:rPr>
          <w:rFonts w:ascii="Times New Roman" w:hAnsi="Times New Roman"/>
          <w:noProof/>
          <w:sz w:val="24"/>
          <w:szCs w:val="24"/>
          <w:lang w:val="ro-RO"/>
        </w:rPr>
        <w:t>ț</w:t>
      </w:r>
      <w:r>
        <w:rPr>
          <w:rFonts w:ascii="Times New Roman" w:hAnsi="Times New Roman"/>
          <w:noProof/>
          <w:sz w:val="24"/>
          <w:szCs w:val="24"/>
          <w:lang w:val="ro-RO"/>
        </w:rPr>
        <w:t>ii poate să răspundă nevoilor cetățenilor și să amelioreze calitatea vieții pe plan local. Un acord rapid cu privire la viitorul buget pe termen lung, precum și instrumentul său de redresare Next Generation EU</w:t>
      </w:r>
      <w:r>
        <w:rPr>
          <w:rStyle w:val="FootnoteReference"/>
          <w:rFonts w:ascii="Times New Roman" w:hAnsi="Times New Roman" w:cs="Times New Roman"/>
          <w:noProof/>
          <w:sz w:val="24"/>
          <w:szCs w:val="24"/>
          <w:lang w:val="ro-RO"/>
        </w:rPr>
        <w:footnoteReference w:id="52"/>
      </w:r>
      <w:r>
        <w:rPr>
          <w:rFonts w:ascii="Times New Roman" w:hAnsi="Times New Roman"/>
          <w:noProof/>
          <w:sz w:val="24"/>
          <w:szCs w:val="24"/>
          <w:lang w:val="ro-RO"/>
        </w:rPr>
        <w:t xml:space="preserve"> vor asigura că fondurile UE și programele po</w:t>
      </w:r>
      <w:r>
        <w:rPr>
          <w:rFonts w:ascii="Times New Roman" w:hAnsi="Times New Roman"/>
          <w:noProof/>
          <w:sz w:val="24"/>
          <w:szCs w:val="24"/>
          <w:lang w:val="ro-RO"/>
        </w:rPr>
        <w:t xml:space="preserve">liticii de coeziune pot îndeplini un rol important în susținerea acestei activități.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Întrebarea esențială pentru politicile publice se referă la modul de dezvoltare a unor soluții durabile</w:t>
      </w:r>
      <w:r>
        <w:rPr>
          <w:rFonts w:ascii="Times New Roman" w:hAnsi="Times New Roman"/>
          <w:noProof/>
          <w:sz w:val="24"/>
          <w:szCs w:val="24"/>
          <w:lang w:val="ro-RO"/>
        </w:rPr>
        <w:t>. Nivelul local și cel regional și-au demonstrat capacitatea de a i</w:t>
      </w:r>
      <w:r>
        <w:rPr>
          <w:rFonts w:ascii="Times New Roman" w:hAnsi="Times New Roman"/>
          <w:noProof/>
          <w:sz w:val="24"/>
          <w:szCs w:val="24"/>
          <w:lang w:val="ro-RO"/>
        </w:rPr>
        <w:t>nova și de a gestiona în mod inteligent schimbările demografice. Pe baza acestei experiențe, va fi esențial să se facă schimb de bune practici și să se dezvolte idei, produse sau servicii inovatoare la o scară mai mare.</w:t>
      </w:r>
    </w:p>
    <w:p w:rsidR="00B243D9" w:rsidRDefault="00F5719E">
      <w:pPr>
        <w:jc w:val="both"/>
        <w:rPr>
          <w:rFonts w:ascii="Times New Roman" w:hAnsi="Times New Roman" w:cs="Times New Roman"/>
          <w:b/>
          <w:noProof/>
          <w:sz w:val="24"/>
          <w:szCs w:val="24"/>
          <w:lang w:val="ro-RO"/>
        </w:rPr>
      </w:pPr>
      <w:r>
        <w:rPr>
          <w:rFonts w:ascii="Times New Roman" w:hAnsi="Times New Roman"/>
          <w:b/>
          <w:noProof/>
          <w:sz w:val="24"/>
          <w:szCs w:val="24"/>
          <w:lang w:val="ro-RO"/>
        </w:rPr>
        <w:t>Orice răspuns de politică pentru a f</w:t>
      </w:r>
      <w:r>
        <w:rPr>
          <w:rFonts w:ascii="Times New Roman" w:hAnsi="Times New Roman"/>
          <w:b/>
          <w:noProof/>
          <w:sz w:val="24"/>
          <w:szCs w:val="24"/>
          <w:lang w:val="ro-RO"/>
        </w:rPr>
        <w:t xml:space="preserve">ace față provocărilor la nivel regional trebuie să se bazeze pe situația de la fața locului. </w:t>
      </w:r>
      <w:r>
        <w:rPr>
          <w:rFonts w:ascii="Times New Roman" w:hAnsi="Times New Roman"/>
          <w:noProof/>
          <w:sz w:val="24"/>
          <w:szCs w:val="24"/>
          <w:lang w:val="ro-RO"/>
        </w:rPr>
        <w:t>Aceasta reflectă diversitatea situațiilor de la o țară la alta și în cadrul fiecărei țări, cu un decalaj mai mare între mediul rural și cel urban în anumite zone ș</w:t>
      </w:r>
      <w:r>
        <w:rPr>
          <w:rFonts w:ascii="Times New Roman" w:hAnsi="Times New Roman"/>
          <w:noProof/>
          <w:sz w:val="24"/>
          <w:szCs w:val="24"/>
          <w:lang w:val="ro-RO"/>
        </w:rPr>
        <w:t>i cu tendințe opuse în altele. În 2018, ponderea populației expuse riscului de sărăcie a fost deosebit de ridicată în rândul persoanelor care trăiesc în orașe în cea mai mare parte a Europei de Vest, în timp ce, în regiunile din estul și sudul UE, acest lu</w:t>
      </w:r>
      <w:r>
        <w:rPr>
          <w:rFonts w:ascii="Times New Roman" w:hAnsi="Times New Roman"/>
          <w:noProof/>
          <w:sz w:val="24"/>
          <w:szCs w:val="24"/>
          <w:lang w:val="ro-RO"/>
        </w:rPr>
        <w:t>cru era valabil pentru persoanele care trăiesc în zonele rurale.</w:t>
      </w:r>
      <w:r>
        <w:rPr>
          <w:rFonts w:ascii="Times New Roman" w:hAnsi="Times New Roman"/>
          <w:b/>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În orașe, utilizarea energiei, a transportului și a terenurilor este mai eficientă. Este mai ușor să se organizeze și să se mențină infrastructura publică, cum ar fi transportul public sau a</w:t>
      </w:r>
      <w:r>
        <w:rPr>
          <w:rFonts w:ascii="Times New Roman" w:hAnsi="Times New Roman"/>
          <w:noProof/>
          <w:sz w:val="24"/>
          <w:szCs w:val="24"/>
          <w:lang w:val="ro-RO"/>
        </w:rPr>
        <w:t>ccesul la internet, precum și accesul la serviciile sociale, de exemplu în sectorul îngrijirii. Corelarea cererii și ofertei de competențe tinde să fie mai ușoară, ceea ce conduce la o creștere a productivității și a veniturilor pe cap de locuitor. În medi</w:t>
      </w:r>
      <w:r>
        <w:rPr>
          <w:rFonts w:ascii="Times New Roman" w:hAnsi="Times New Roman"/>
          <w:noProof/>
          <w:sz w:val="24"/>
          <w:szCs w:val="24"/>
          <w:lang w:val="ro-RO"/>
        </w:rPr>
        <w:t>ul urban, exisă un acces mai bun la o educație de calitate, inclusiv mai multe instituții de învățământ superior, care pot contribui la generarea inovării</w:t>
      </w:r>
      <w:r>
        <w:rPr>
          <w:rFonts w:ascii="Times New Roman" w:hAnsi="Times New Roman" w:cs="Times New Roman"/>
          <w:noProof/>
          <w:sz w:val="24"/>
          <w:szCs w:val="24"/>
          <w:vertAlign w:val="superscript"/>
          <w:lang w:val="ro-RO"/>
        </w:rPr>
        <w:footnoteReference w:id="53"/>
      </w:r>
      <w:r>
        <w:rPr>
          <w:rFonts w:ascii="Times New Roman" w:hAnsi="Times New Roman"/>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același timp, </w:t>
      </w:r>
      <w:r>
        <w:rPr>
          <w:rFonts w:ascii="Times New Roman" w:hAnsi="Times New Roman"/>
          <w:b/>
          <w:noProof/>
          <w:sz w:val="24"/>
          <w:szCs w:val="24"/>
          <w:lang w:val="ro-RO"/>
        </w:rPr>
        <w:t xml:space="preserve">ratele ridicate de creștere a populației în orașe trebuie să fie bine gestionate </w:t>
      </w:r>
      <w:r>
        <w:rPr>
          <w:rFonts w:ascii="Times New Roman" w:hAnsi="Times New Roman"/>
          <w:b/>
          <w:noProof/>
          <w:sz w:val="24"/>
          <w:szCs w:val="24"/>
          <w:lang w:val="ro-RO"/>
        </w:rPr>
        <w:t>pentru a evita creșterea în continuare a congestionării, a poluării și a costurilor legate de locuințe</w:t>
      </w:r>
      <w:r>
        <w:rPr>
          <w:rFonts w:ascii="Times New Roman" w:hAnsi="Times New Roman" w:cs="Times New Roman"/>
          <w:noProof/>
          <w:sz w:val="24"/>
          <w:szCs w:val="24"/>
          <w:vertAlign w:val="superscript"/>
          <w:lang w:val="ro-RO"/>
        </w:rPr>
        <w:footnoteReference w:id="54"/>
      </w:r>
      <w:r>
        <w:rPr>
          <w:rFonts w:ascii="Times New Roman" w:hAnsi="Times New Roman"/>
          <w:noProof/>
          <w:sz w:val="24"/>
          <w:szCs w:val="24"/>
          <w:lang w:val="ro-RO"/>
        </w:rPr>
        <w:t>. Orașele vor trebui, de asemenea, să își adapteze serviciile în domenii precum asistența medicală și mobilitatea, precum și infrastructura publică, locu</w:t>
      </w:r>
      <w:r>
        <w:rPr>
          <w:rFonts w:ascii="Times New Roman" w:hAnsi="Times New Roman"/>
          <w:noProof/>
          <w:sz w:val="24"/>
          <w:szCs w:val="24"/>
          <w:lang w:val="ro-RO"/>
        </w:rPr>
        <w:t>ințele, educația și politica socială pentru a face față evoluției demografice. Dată fiind legătura puternică dintre îmbătrânire și dizabilitate, aceasta include și îmbunătățirea accesibilității, în special a produselor, serviciilor și infrastructurii.</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Zonele rurale sunt bogate în teren și se bucură de un cost al vieții mai scăzut și de niveluri reduse de poluare atmosferică</w:t>
      </w:r>
      <w:r>
        <w:rPr>
          <w:rFonts w:ascii="Times New Roman" w:hAnsi="Times New Roman"/>
          <w:noProof/>
          <w:sz w:val="24"/>
          <w:szCs w:val="24"/>
          <w:lang w:val="ro-RO"/>
        </w:rPr>
        <w:t>. Cu toate acestea, ele se confruntă cu o serie de provocări, în special în ceea ce privește asigurarea unui acces adecvat la servic</w:t>
      </w:r>
      <w:r>
        <w:rPr>
          <w:rFonts w:ascii="Times New Roman" w:hAnsi="Times New Roman"/>
          <w:noProof/>
          <w:sz w:val="24"/>
          <w:szCs w:val="24"/>
          <w:lang w:val="ro-RO"/>
        </w:rPr>
        <w:t>ii publice și private. Zonele rurale care suferă de o reducere semnificativă a populației se pot confrunta cu abandonarea terenurilor și cu un risc crescut de incendii forestiere</w:t>
      </w:r>
      <w:r>
        <w:rPr>
          <w:rFonts w:ascii="Times New Roman" w:hAnsi="Times New Roman" w:cs="Times New Roman"/>
          <w:noProof/>
          <w:sz w:val="24"/>
          <w:szCs w:val="24"/>
          <w:vertAlign w:val="superscript"/>
          <w:lang w:val="ro-RO"/>
        </w:rPr>
        <w:footnoteReference w:id="55"/>
      </w:r>
      <w:r>
        <w:rPr>
          <w:rFonts w:ascii="Times New Roman" w:hAnsi="Times New Roman"/>
          <w:noProof/>
          <w:sz w:val="24"/>
          <w:szCs w:val="24"/>
          <w:lang w:val="ro-RO"/>
        </w:rPr>
        <w:t>, devenind în general mai dificil să atragă noi investiții. Un motiv de preoc</w:t>
      </w:r>
      <w:r>
        <w:rPr>
          <w:rFonts w:ascii="Times New Roman" w:hAnsi="Times New Roman"/>
          <w:noProof/>
          <w:sz w:val="24"/>
          <w:szCs w:val="24"/>
          <w:lang w:val="ro-RO"/>
        </w:rPr>
        <w:t xml:space="preserve">upare îl reprezintă scăderea numărului de tineri fermieri și importanța „reînnoirii generațiilor”. </w:t>
      </w:r>
    </w:p>
    <w:p w:rsidR="00B243D9" w:rsidRDefault="00F5719E">
      <w:pPr>
        <w:jc w:val="both"/>
        <w:rPr>
          <w:rFonts w:ascii="Times New Roman" w:hAnsi="Times New Roman" w:cs="Times New Roman"/>
          <w:noProof/>
          <w:sz w:val="24"/>
          <w:szCs w:val="24"/>
          <w:lang w:val="ro-RO"/>
        </w:rPr>
      </w:pPr>
      <w:r>
        <w:rPr>
          <w:rFonts w:ascii="Times New Roman" w:hAnsi="Times New Roman"/>
          <w:bCs/>
          <w:noProof/>
          <w:sz w:val="24"/>
          <w:szCs w:val="24"/>
          <w:lang w:val="ro-RO"/>
        </w:rPr>
        <w:t xml:space="preserve">O întrebare-cheie pentru zonele rurale este dacă acestea sunt aproape de un oraș sau sunt departe de o zonă urbană funcțională. </w:t>
      </w:r>
      <w:r>
        <w:rPr>
          <w:rFonts w:ascii="Times New Roman" w:hAnsi="Times New Roman"/>
          <w:noProof/>
          <w:sz w:val="24"/>
          <w:szCs w:val="24"/>
          <w:lang w:val="ro-RO"/>
        </w:rPr>
        <w:t xml:space="preserve">Zonele rurale care se află </w:t>
      </w:r>
      <w:r>
        <w:rPr>
          <w:rFonts w:ascii="Times New Roman" w:hAnsi="Times New Roman"/>
          <w:noProof/>
          <w:sz w:val="24"/>
          <w:szCs w:val="24"/>
          <w:lang w:val="ro-RO"/>
        </w:rPr>
        <w:t>în apropierea unui oraș pot interacționa frecvent cu orașul respectiv. Oamenii pot să lucreze în oraș, dar să locuiască în afara acestuia, făcând naveta zilnic. Acest model impune cerințe specifice, de exemplu pentru transporturi. Poate exista o repartizar</w:t>
      </w:r>
      <w:r>
        <w:rPr>
          <w:rFonts w:ascii="Times New Roman" w:hAnsi="Times New Roman"/>
          <w:noProof/>
          <w:sz w:val="24"/>
          <w:szCs w:val="24"/>
          <w:lang w:val="ro-RO"/>
        </w:rPr>
        <w:t>e specifică a sarcinilor, de exemplu orașul oferă acces la spitale, inclusiv pentru persoanele care locuiesc în zona rurală din apropiere.</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Dimpotrivă, unele zone rurale nu se află în apropierea niciunui oraș mai mare. În acest caz, dezvoltarea rurală se co</w:t>
      </w:r>
      <w:r>
        <w:rPr>
          <w:rFonts w:ascii="Times New Roman" w:hAnsi="Times New Roman"/>
          <w:noProof/>
          <w:sz w:val="24"/>
          <w:szCs w:val="24"/>
          <w:lang w:val="ro-RO"/>
        </w:rPr>
        <w:t>nfruntă cu provocări diferite, cum ar fi, de exemplu, preponderența sectorului primar și a lanțurilor valorice asociate</w:t>
      </w:r>
      <w:r>
        <w:rPr>
          <w:rFonts w:ascii="Times New Roman" w:hAnsi="Times New Roman" w:cs="Times New Roman"/>
          <w:noProof/>
          <w:sz w:val="24"/>
          <w:szCs w:val="24"/>
          <w:vertAlign w:val="superscript"/>
          <w:lang w:val="ro-RO"/>
        </w:rPr>
        <w:footnoteReference w:id="56"/>
      </w:r>
      <w:r>
        <w:rPr>
          <w:rFonts w:ascii="Times New Roman" w:hAnsi="Times New Roman"/>
          <w:noProof/>
          <w:sz w:val="24"/>
          <w:szCs w:val="24"/>
          <w:lang w:val="ro-RO"/>
        </w:rPr>
        <w:t xml:space="preserve"> sau reducerea populației și a creșterii economice</w:t>
      </w:r>
      <w:r>
        <w:rPr>
          <w:rFonts w:ascii="Times New Roman" w:hAnsi="Times New Roman" w:cs="Times New Roman"/>
          <w:noProof/>
          <w:sz w:val="24"/>
          <w:szCs w:val="24"/>
          <w:vertAlign w:val="superscript"/>
          <w:lang w:val="ro-RO"/>
        </w:rPr>
        <w:footnoteReference w:id="57"/>
      </w:r>
      <w:r>
        <w:rPr>
          <w:rFonts w:ascii="Times New Roman" w:hAnsi="Times New Roman"/>
          <w:noProof/>
          <w:sz w:val="24"/>
          <w:szCs w:val="24"/>
          <w:lang w:val="ro-RO"/>
        </w:rPr>
        <w:t>. Declinul economic în anumite regiuni nu numai că reprezintă o provocare pentru coez</w:t>
      </w:r>
      <w:r>
        <w:rPr>
          <w:rFonts w:ascii="Times New Roman" w:hAnsi="Times New Roman"/>
          <w:noProof/>
          <w:sz w:val="24"/>
          <w:szCs w:val="24"/>
          <w:lang w:val="ro-RO"/>
        </w:rPr>
        <w:t xml:space="preserve">iunea teritorială, ci poate conduce și la o geografie a nemulțumirilor. Dacă oamenii se simt lăsați în urmă, aceștia își pot pierde încrederea în echitatea economiei noastre și a instituțiilor noastre democratice.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Toate aceste chestiuni și multe altele vo</w:t>
      </w:r>
      <w:r>
        <w:rPr>
          <w:rFonts w:ascii="Times New Roman" w:hAnsi="Times New Roman"/>
          <w:noProof/>
          <w:sz w:val="24"/>
          <w:szCs w:val="24"/>
          <w:lang w:val="ro-RO"/>
        </w:rPr>
        <w:t xml:space="preserve">r fi abordate într-o </w:t>
      </w:r>
      <w:r>
        <w:rPr>
          <w:rFonts w:ascii="Times New Roman" w:hAnsi="Times New Roman"/>
          <w:b/>
          <w:noProof/>
          <w:sz w:val="24"/>
          <w:szCs w:val="24"/>
          <w:lang w:val="ro-RO"/>
        </w:rPr>
        <w:t>viziune pe termen lung a Comisiei pentru zonele rurale</w:t>
      </w:r>
      <w:r>
        <w:rPr>
          <w:rFonts w:ascii="Times New Roman" w:hAnsi="Times New Roman"/>
          <w:noProof/>
          <w:sz w:val="24"/>
          <w:szCs w:val="24"/>
          <w:lang w:val="ro-RO"/>
        </w:rPr>
        <w:t>, care va fi prezentată anul viitor, în urma unei ample consultări publice și în funcție de diferitele aspecte evidențiate de pandemia de COVID-19.</w:t>
      </w:r>
    </w:p>
    <w:p w:rsidR="00B243D9" w:rsidRDefault="00F5719E">
      <w:pPr>
        <w:pStyle w:val="Heading2"/>
        <w:keepNext/>
        <w:rPr>
          <w:noProof/>
          <w:lang w:val="ro-RO"/>
        </w:rPr>
      </w:pPr>
      <w:bookmarkStart w:id="82" w:name="_Toc42531872"/>
      <w:bookmarkStart w:id="83" w:name="_Toc43897145"/>
      <w:r>
        <w:rPr>
          <w:noProof/>
          <w:lang w:val="ro-RO"/>
        </w:rPr>
        <w:t>4.</w:t>
      </w:r>
      <w:r>
        <w:rPr>
          <w:noProof/>
          <w:lang w:val="ro-RO"/>
        </w:rPr>
        <w:tab/>
        <w:t>DUBLA TRANZIȚIE ȘI SCHIMBĂRILE</w:t>
      </w:r>
      <w:r>
        <w:rPr>
          <w:noProof/>
          <w:lang w:val="ro-RO"/>
        </w:rPr>
        <w:t xml:space="preserve"> DEMOGRAFICE</w:t>
      </w:r>
      <w:bookmarkEnd w:id="82"/>
      <w:bookmarkEnd w:id="83"/>
    </w:p>
    <w:p w:rsidR="00B243D9" w:rsidRDefault="00F5719E">
      <w:pPr>
        <w:keepLines/>
        <w:jc w:val="both"/>
        <w:rPr>
          <w:rFonts w:ascii="Times New Roman" w:hAnsi="Times New Roman" w:cs="Times New Roman"/>
          <w:noProof/>
          <w:sz w:val="24"/>
          <w:szCs w:val="24"/>
          <w:lang w:val="ro-RO"/>
        </w:rPr>
      </w:pPr>
      <w:r>
        <w:rPr>
          <w:rFonts w:ascii="Times New Roman" w:hAnsi="Times New Roman"/>
          <w:b/>
          <w:noProof/>
          <w:sz w:val="24"/>
          <w:szCs w:val="24"/>
          <w:lang w:val="ro-RO"/>
        </w:rPr>
        <w:t xml:space="preserve">Schimbările demografice și dubla tranziție verde și digitală se vor influența, sprijini sau accelera adesea în mod reciproc. </w:t>
      </w:r>
      <w:r>
        <w:rPr>
          <w:rFonts w:ascii="Times New Roman" w:hAnsi="Times New Roman"/>
          <w:noProof/>
          <w:sz w:val="24"/>
          <w:szCs w:val="24"/>
          <w:lang w:val="ro-RO"/>
        </w:rPr>
        <w:t>Previziunea strategică poate fi un instrument pentru identificarea și anticiparea provocărilor care vor afecta fiecare</w:t>
      </w:r>
      <w:r>
        <w:rPr>
          <w:rFonts w:ascii="Times New Roman" w:hAnsi="Times New Roman"/>
          <w:noProof/>
          <w:sz w:val="24"/>
          <w:szCs w:val="24"/>
          <w:lang w:val="ro-RO"/>
        </w:rPr>
        <w:t xml:space="preserve"> dintre aceste tranziții și pentru o mai bună pregătire a politicilor în vederea abordării acestora.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Presiunile exercitate la nivel mondial de schimbările demografice vor fi probabil exacerbate de impactul schimbărilor climatice și al degradării mediului.</w:t>
      </w:r>
      <w:r>
        <w:rPr>
          <w:rFonts w:ascii="Times New Roman" w:hAnsi="Times New Roman"/>
          <w:noProof/>
          <w:sz w:val="24"/>
          <w:szCs w:val="24"/>
          <w:lang w:val="ro-RO"/>
        </w:rPr>
        <w:t xml:space="preserve"> Menținerea situației existente ar însemna o creștere uriașă și simultană a necesarului mondial de alimente, energie și apă în următoarele decenii: cu 60 % mai multă mâncare, cu 50 % mai multă energie și cu 40 % mai multă apă până în 2050</w:t>
      </w:r>
      <w:r>
        <w:rPr>
          <w:rFonts w:ascii="Times New Roman" w:hAnsi="Times New Roman" w:cs="Times New Roman"/>
          <w:noProof/>
          <w:sz w:val="24"/>
          <w:szCs w:val="24"/>
          <w:vertAlign w:val="superscript"/>
          <w:lang w:val="ro-RO"/>
        </w:rPr>
        <w:footnoteReference w:id="58"/>
      </w:r>
      <w:r>
        <w:rPr>
          <w:rFonts w:ascii="Times New Roman" w:hAnsi="Times New Roman"/>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Astfel cum se </w:t>
      </w:r>
      <w:r>
        <w:rPr>
          <w:rFonts w:ascii="Times New Roman" w:hAnsi="Times New Roman"/>
          <w:noProof/>
          <w:sz w:val="24"/>
          <w:szCs w:val="24"/>
          <w:lang w:val="ro-RO"/>
        </w:rPr>
        <w:t>prevede în Acordul european „Green Deal” și în Legea privind clima</w:t>
      </w:r>
      <w:r>
        <w:rPr>
          <w:rStyle w:val="FootnoteReference"/>
          <w:rFonts w:ascii="Times New Roman" w:hAnsi="Times New Roman" w:cs="Times New Roman"/>
          <w:noProof/>
          <w:sz w:val="24"/>
          <w:szCs w:val="24"/>
          <w:lang w:val="ro-RO"/>
        </w:rPr>
        <w:footnoteReference w:id="59"/>
      </w:r>
      <w:r>
        <w:rPr>
          <w:rFonts w:ascii="Times New Roman" w:hAnsi="Times New Roman"/>
          <w:noProof/>
          <w:sz w:val="24"/>
          <w:szCs w:val="24"/>
          <w:lang w:val="ro-RO"/>
        </w:rPr>
        <w:t>, Europa va trece la o economie neutră din punct de vedere al impactului asupra climei și eficientă din punctul de vedere al utilizării resurselor în aceeași perioadă. Aceasta întărește nev</w:t>
      </w:r>
      <w:r>
        <w:rPr>
          <w:rFonts w:ascii="Times New Roman" w:hAnsi="Times New Roman"/>
          <w:noProof/>
          <w:sz w:val="24"/>
          <w:szCs w:val="24"/>
          <w:lang w:val="ro-RO"/>
        </w:rPr>
        <w:t xml:space="preserve">oia de energie curată, mobilitate durabilă și inteligentă, trecerea la o economie mai circulară și un progres important în protejarea și refacerea biodiversității. Recentele măsuri de limitare a deplasării persoanelor din cauza pandemiei de COVID-19 ne-au </w:t>
      </w:r>
      <w:r>
        <w:rPr>
          <w:rFonts w:ascii="Times New Roman" w:hAnsi="Times New Roman"/>
          <w:noProof/>
          <w:sz w:val="24"/>
          <w:szCs w:val="24"/>
          <w:lang w:val="ro-RO"/>
        </w:rPr>
        <w:t>arătat valoarea spațiilor urbane verzi pentru bunăstarea noastră fizică și mentală. Multe orașe europene au întreprins, de asemenea, acțiuni pentru ca mobilitatea activă, cum ar fi mersul pe jos sau cu bicicleta, să devină o opțiune mai sigură și mai atrac</w:t>
      </w:r>
      <w:r>
        <w:rPr>
          <w:rFonts w:ascii="Times New Roman" w:hAnsi="Times New Roman"/>
          <w:noProof/>
          <w:sz w:val="24"/>
          <w:szCs w:val="24"/>
          <w:lang w:val="ro-RO"/>
        </w:rPr>
        <w:t>tivă în timpul pandemiei. Pentru a facilita această activitate, Comisia va institui, în 2021, platforma UE privind înverzirea urbană, în cadrul unui nou „Acord privind orașele verzi” (Green City Accord), încheiat cu municipalități și primari.</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 măsură ce </w:t>
      </w:r>
      <w:r>
        <w:rPr>
          <w:rFonts w:ascii="Times New Roman" w:hAnsi="Times New Roman"/>
          <w:noProof/>
          <w:sz w:val="24"/>
          <w:szCs w:val="24"/>
          <w:lang w:val="ro-RO"/>
        </w:rPr>
        <w:t>orașele devin mai aglomerate, zonele urbane vor trebui să își continue și să își intensifice eforturile în privința spațiilor verzi urbane, care pot funcționa, de asemenea, ca rezervoare de captare a carbonului, contribuind la eliminarea emisiilor din atmo</w:t>
      </w:r>
      <w:r>
        <w:rPr>
          <w:rFonts w:ascii="Times New Roman" w:hAnsi="Times New Roman"/>
          <w:noProof/>
          <w:sz w:val="24"/>
          <w:szCs w:val="24"/>
          <w:lang w:val="ro-RO"/>
        </w:rPr>
        <w:t xml:space="preserve">sferă. Punerea în aplicare a </w:t>
      </w:r>
      <w:r>
        <w:rPr>
          <w:rFonts w:ascii="Times New Roman" w:hAnsi="Times New Roman"/>
          <w:b/>
          <w:noProof/>
          <w:sz w:val="24"/>
          <w:szCs w:val="24"/>
          <w:lang w:val="ro-RO"/>
        </w:rPr>
        <w:t xml:space="preserve">Planului de acțiune pentru economia circulară, Strategia UE în domeniul biodiversității </w:t>
      </w:r>
      <w:r>
        <w:rPr>
          <w:rFonts w:ascii="Times New Roman" w:hAnsi="Times New Roman"/>
          <w:noProof/>
          <w:sz w:val="24"/>
          <w:szCs w:val="24"/>
          <w:lang w:val="ro-RO"/>
        </w:rPr>
        <w:t>ș</w:t>
      </w:r>
      <w:r>
        <w:rPr>
          <w:rFonts w:ascii="Times New Roman" w:hAnsi="Times New Roman"/>
          <w:noProof/>
          <w:sz w:val="24"/>
          <w:szCs w:val="24"/>
          <w:lang w:val="ro-RO"/>
        </w:rPr>
        <w:t xml:space="preserve">i </w:t>
      </w:r>
      <w:r>
        <w:rPr>
          <w:rFonts w:ascii="Times New Roman" w:hAnsi="Times New Roman"/>
          <w:b/>
          <w:noProof/>
          <w:sz w:val="24"/>
          <w:szCs w:val="24"/>
          <w:lang w:val="ro-RO"/>
        </w:rPr>
        <w:t>Strategia „de la fermă la consumator”</w:t>
      </w:r>
      <w:r>
        <w:rPr>
          <w:rFonts w:ascii="Times New Roman" w:hAnsi="Times New Roman"/>
          <w:noProof/>
          <w:sz w:val="24"/>
          <w:szCs w:val="24"/>
          <w:lang w:val="ro-RO"/>
        </w:rPr>
        <w:t xml:space="preserve">, precum și viitoarea </w:t>
      </w:r>
      <w:r>
        <w:rPr>
          <w:rFonts w:ascii="Times New Roman" w:hAnsi="Times New Roman"/>
          <w:b/>
          <w:noProof/>
          <w:sz w:val="24"/>
          <w:szCs w:val="24"/>
          <w:lang w:val="ro-RO"/>
        </w:rPr>
        <w:t xml:space="preserve">Strategie revizuită a UE pentru adaptarea la schimbările climatice </w:t>
      </w:r>
      <w:r>
        <w:rPr>
          <w:rFonts w:ascii="Times New Roman" w:hAnsi="Times New Roman"/>
          <w:noProof/>
          <w:sz w:val="24"/>
          <w:szCs w:val="24"/>
          <w:lang w:val="ro-RO"/>
        </w:rPr>
        <w:t>vor aborda</w:t>
      </w:r>
      <w:r>
        <w:rPr>
          <w:rFonts w:ascii="Times New Roman" w:hAnsi="Times New Roman"/>
          <w:noProof/>
          <w:sz w:val="24"/>
          <w:szCs w:val="24"/>
          <w:lang w:val="ro-RO"/>
        </w:rPr>
        <w:t xml:space="preserve"> multe dintre aceste aspecte. </w:t>
      </w:r>
    </w:p>
    <w:p w:rsidR="00B243D9" w:rsidRDefault="00F5719E">
      <w:pPr>
        <w:jc w:val="both"/>
        <w:rPr>
          <w:rFonts w:ascii="Times New Roman" w:hAnsi="Times New Roman" w:cs="Times New Roman"/>
          <w:b/>
          <w:noProof/>
          <w:sz w:val="24"/>
          <w:szCs w:val="24"/>
          <w:lang w:val="ro-RO"/>
        </w:rPr>
      </w:pPr>
      <w:r>
        <w:rPr>
          <w:rFonts w:ascii="Times New Roman" w:hAnsi="Times New Roman"/>
          <w:b/>
          <w:noProof/>
          <w:sz w:val="24"/>
          <w:szCs w:val="24"/>
          <w:lang w:val="ro-RO"/>
        </w:rPr>
        <w:t>Se preconizează că schimbările climatice și pierderea biodiversității vor influența în mod semnificativ modelele de migrație</w:t>
      </w:r>
      <w:r>
        <w:rPr>
          <w:rFonts w:ascii="Times New Roman" w:hAnsi="Times New Roman"/>
          <w:noProof/>
          <w:sz w:val="24"/>
          <w:szCs w:val="24"/>
          <w:lang w:val="ro-RO"/>
        </w:rPr>
        <w:t xml:space="preserve">. Aceasta se datorează faptului că schimbările în ceea ce privește mediul, cum ar fi deșertificarea, </w:t>
      </w:r>
      <w:r>
        <w:rPr>
          <w:rFonts w:ascii="Times New Roman" w:hAnsi="Times New Roman"/>
          <w:noProof/>
          <w:sz w:val="24"/>
          <w:szCs w:val="24"/>
          <w:lang w:val="ro-RO"/>
        </w:rPr>
        <w:t>acidifierea oceanelor și eroziunea costieră, afectează în mod direct mijloacele de subzistență ale oamenilor și capacitatea acestora de a supraviețui în locurile lor de origine</w:t>
      </w:r>
      <w:r>
        <w:rPr>
          <w:rFonts w:ascii="Times New Roman" w:hAnsi="Times New Roman" w:cs="Times New Roman"/>
          <w:noProof/>
          <w:sz w:val="24"/>
          <w:szCs w:val="24"/>
          <w:vertAlign w:val="superscript"/>
          <w:lang w:val="ro-RO"/>
        </w:rPr>
        <w:footnoteReference w:id="60"/>
      </w:r>
      <w:r>
        <w:rPr>
          <w:rFonts w:ascii="Times New Roman" w:hAnsi="Times New Roman"/>
          <w:noProof/>
          <w:sz w:val="24"/>
          <w:szCs w:val="24"/>
          <w:lang w:val="ro-RO"/>
        </w:rPr>
        <w:t xml:space="preserve">. Se previzionează că această tendință nu poate decât să continue pe măsură ce </w:t>
      </w:r>
      <w:r>
        <w:rPr>
          <w:rFonts w:ascii="Times New Roman" w:hAnsi="Times New Roman"/>
          <w:noProof/>
          <w:sz w:val="24"/>
          <w:szCs w:val="24"/>
          <w:lang w:val="ro-RO"/>
        </w:rPr>
        <w:t>efectele schimbărilor climatice devin mai pronunțate. Potrivit Băncii Mondiale, până la 143 de milioane de persoane din Africa Subsahariană, Asia de Sud și America Latină ar putea fi strămutate în propriile țări până în 2050 dacă nu se iau măsuri climatice</w:t>
      </w:r>
      <w:r>
        <w:rPr>
          <w:rFonts w:ascii="Times New Roman" w:hAnsi="Times New Roman" w:cs="Times New Roman"/>
          <w:noProof/>
          <w:sz w:val="24"/>
          <w:szCs w:val="24"/>
          <w:vertAlign w:val="superscript"/>
          <w:lang w:val="ro-RO"/>
        </w:rPr>
        <w:footnoteReference w:id="61"/>
      </w:r>
      <w:r>
        <w:rPr>
          <w:rFonts w:ascii="Times New Roman" w:hAnsi="Times New Roman"/>
          <w:noProof/>
          <w:sz w:val="24"/>
          <w:szCs w:val="24"/>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Aceasta întărește necesitatea ca Europa să fie liderul mondial în ceea ce privește măsurile în domeniul climei și al mediului, în special prin punerea în aplicare a Noii ordini ecologice europene și prin intensificarea diplomației sale ecologice în cadr</w:t>
      </w:r>
      <w:r>
        <w:rPr>
          <w:rFonts w:ascii="Times New Roman" w:hAnsi="Times New Roman"/>
          <w:noProof/>
          <w:sz w:val="24"/>
          <w:szCs w:val="24"/>
          <w:lang w:val="ro-RO"/>
        </w:rPr>
        <w:t xml:space="preserve">ul tuturor politicilor și parteneriatelor acesteia.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Revoluția digitală și răspândirea rapidă a internetului a schimbat deja viața și obiceiurile oamenilor. Digitalizarea poate stimula productivitatea și creșterea economică, însă accesul inegal la internet</w:t>
      </w:r>
      <w:r>
        <w:rPr>
          <w:rFonts w:ascii="Times New Roman" w:hAnsi="Times New Roman"/>
          <w:noProof/>
          <w:sz w:val="24"/>
          <w:szCs w:val="24"/>
          <w:lang w:val="ro-RO"/>
        </w:rPr>
        <w:t xml:space="preserve"> generează un decalaj digital care începe să devină o dimensiune importantă a inegalității. Pe lângă aceasta, competențele digitale insuficiente și divergența puternică în ceea ce privește nivelul competențelor între țări și regiuni, precum și lipsa accesi</w:t>
      </w:r>
      <w:r>
        <w:rPr>
          <w:rFonts w:ascii="Times New Roman" w:hAnsi="Times New Roman"/>
          <w:noProof/>
          <w:sz w:val="24"/>
          <w:szCs w:val="24"/>
          <w:lang w:val="ro-RO"/>
        </w:rPr>
        <w:t>bilității ar putea agrava acest decalaj.</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Actuala criză a subliniat nevoia urgentă de a transforma această tranziție digitală într-o realitate pentru toată lumea cât mai curând posibil: date fiind măsurile de distanțare socială puse în aplicare în întreaga </w:t>
      </w:r>
      <w:r>
        <w:rPr>
          <w:rFonts w:ascii="Times New Roman" w:hAnsi="Times New Roman"/>
          <w:noProof/>
          <w:sz w:val="24"/>
          <w:szCs w:val="24"/>
          <w:lang w:val="ro-RO"/>
        </w:rPr>
        <w:t>Europă, multe persoane au fost nevoite să lucreze de acasă sau să recurgă la internet sau la aplicații mobile pentru a socializa cu familia și prietenii. Accesul la internet fiabil și rapid și capacitatea de a utiliza instrumentele digitale au devenit cu a</w:t>
      </w:r>
      <w:r>
        <w:rPr>
          <w:rFonts w:ascii="Times New Roman" w:hAnsi="Times New Roman"/>
          <w:noProof/>
          <w:sz w:val="24"/>
          <w:szCs w:val="24"/>
          <w:lang w:val="ro-RO"/>
        </w:rPr>
        <w:t xml:space="preserve">tât mai esențiale pentru afaceri, lucrători și liber-profesioniști.   </w:t>
      </w:r>
    </w:p>
    <w:p w:rsidR="00B243D9" w:rsidRDefault="00F5719E">
      <w:pPr>
        <w:pStyle w:val="Heading2"/>
        <w:keepNext/>
        <w:rPr>
          <w:noProof/>
          <w:lang w:val="ro-RO"/>
        </w:rPr>
      </w:pPr>
      <w:bookmarkStart w:id="84" w:name="_Toc33643888"/>
      <w:bookmarkStart w:id="85" w:name="_Toc33800411"/>
      <w:bookmarkStart w:id="86" w:name="_Toc36563279"/>
      <w:bookmarkStart w:id="87" w:name="_Toc42531873"/>
      <w:bookmarkStart w:id="88" w:name="_Toc43897146"/>
      <w:bookmarkStart w:id="89" w:name="_Toc32414448"/>
      <w:bookmarkEnd w:id="84"/>
      <w:r>
        <w:rPr>
          <w:noProof/>
          <w:lang w:val="ro-RO"/>
        </w:rPr>
        <w:t xml:space="preserve">5. </w:t>
      </w:r>
      <w:r>
        <w:rPr>
          <w:noProof/>
          <w:lang w:val="ro-RO"/>
        </w:rPr>
        <w:tab/>
        <w:t>GEOPOLITICA DEMOGRAFIEI: EUROPA ÎN LUME</w:t>
      </w:r>
      <w:bookmarkEnd w:id="85"/>
      <w:bookmarkEnd w:id="86"/>
      <w:bookmarkEnd w:id="87"/>
      <w:bookmarkEnd w:id="88"/>
    </w:p>
    <w:bookmarkEnd w:id="89"/>
    <w:p w:rsidR="00B243D9" w:rsidRDefault="00F5719E">
      <w:pPr>
        <w:keepLines/>
        <w:jc w:val="both"/>
        <w:rPr>
          <w:rFonts w:ascii="Times New Roman" w:hAnsi="Times New Roman" w:cs="Times New Roman"/>
          <w:noProof/>
          <w:sz w:val="24"/>
          <w:szCs w:val="24"/>
          <w:lang w:val="ro-RO"/>
        </w:rPr>
      </w:pPr>
      <w:r>
        <w:rPr>
          <w:rFonts w:ascii="Times New Roman" w:hAnsi="Times New Roman"/>
          <w:noProof/>
          <w:sz w:val="24"/>
          <w:szCs w:val="24"/>
          <w:lang w:val="ro-RO"/>
        </w:rPr>
        <w:t>Schimbările demografice au, de asemenea, un impact asupra perspectivelor geopolitice ale Europei și asupra poziției sale în lume. Populația și dimensiunea economică joacă un rol important în structurile de putere ale lumii. Pe măsură ce națiunile Europei d</w:t>
      </w:r>
      <w:r>
        <w:rPr>
          <w:rFonts w:ascii="Times New Roman" w:hAnsi="Times New Roman"/>
          <w:noProof/>
          <w:sz w:val="24"/>
          <w:szCs w:val="24"/>
          <w:lang w:val="ro-RO"/>
        </w:rPr>
        <w:t>evin mai mici și mai puțin puternice din punct de vedere economic în raport cu alte economii emergente, devine din ce în ce mai necesar ca Uniunea Europeană să își valorifice toată greutatea colectivă. În același timp, astfel cum ne-a arătat pandemia, un v</w:t>
      </w:r>
      <w:r>
        <w:rPr>
          <w:rFonts w:ascii="Times New Roman" w:hAnsi="Times New Roman"/>
          <w:noProof/>
          <w:sz w:val="24"/>
          <w:szCs w:val="24"/>
          <w:lang w:val="ro-RO"/>
        </w:rPr>
        <w:t xml:space="preserve">irus nu cunoaște frontiere și creează provocări comune pentru multe părți ale lumii.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Ponderea Europei în populația lumii este în scădere</w:t>
      </w:r>
      <w:r>
        <w:rPr>
          <w:rFonts w:ascii="Times New Roman" w:hAnsi="Times New Roman"/>
          <w:noProof/>
          <w:sz w:val="24"/>
          <w:szCs w:val="24"/>
          <w:lang w:val="ro-RO"/>
        </w:rPr>
        <w:t>. În 1960, populația UE-27 reprezenta aproximativ 12 % din populația lumii. Aceasta a scăzut până la aproximativ 6 % în</w:t>
      </w:r>
      <w:r>
        <w:rPr>
          <w:rFonts w:ascii="Times New Roman" w:hAnsi="Times New Roman"/>
          <w:noProof/>
          <w:sz w:val="24"/>
          <w:szCs w:val="24"/>
          <w:lang w:val="ro-RO"/>
        </w:rPr>
        <w:t xml:space="preserve"> prezent și se preconizează că va scădea sub 4 % până în 2070. Cealaltă evoluție importantă o reprezintă creșterea ponderii Africii în populația lumii: aceasta ar urma să crească de la 9 % la 32 %, în timp ce ponderea populației din Asia ar urma să scadă î</w:t>
      </w:r>
      <w:r>
        <w:rPr>
          <w:rFonts w:ascii="Times New Roman" w:hAnsi="Times New Roman"/>
          <w:noProof/>
          <w:sz w:val="24"/>
          <w:szCs w:val="24"/>
          <w:lang w:val="ro-RO"/>
        </w:rPr>
        <w:t>ntr-o oarecare măsură</w:t>
      </w:r>
      <w:r>
        <w:rPr>
          <w:rFonts w:ascii="Times New Roman" w:hAnsi="Times New Roman" w:cs="Times New Roman"/>
          <w:noProof/>
          <w:sz w:val="24"/>
          <w:szCs w:val="24"/>
          <w:vertAlign w:val="superscript"/>
          <w:lang w:val="ro-RO"/>
        </w:rPr>
        <w:footnoteReference w:id="62"/>
      </w:r>
      <w:r>
        <w:rPr>
          <w:rFonts w:ascii="Times New Roman" w:hAnsi="Times New Roman"/>
          <w:noProof/>
          <w:sz w:val="24"/>
          <w:szCs w:val="24"/>
          <w:lang w:val="ro-RO"/>
        </w:rPr>
        <w:t>.</w:t>
      </w:r>
    </w:p>
    <w:p w:rsidR="00B243D9" w:rsidRDefault="00F5719E">
      <w:pPr>
        <w:keepNext/>
        <w:ind w:firstLine="720"/>
        <w:jc w:val="center"/>
        <w:rPr>
          <w:rFonts w:ascii="Times New Roman" w:hAnsi="Times New Roman" w:cs="Times New Roman"/>
          <w:b/>
          <w:noProof/>
          <w:sz w:val="24"/>
          <w:szCs w:val="24"/>
          <w:lang w:val="ro-RO"/>
        </w:rPr>
      </w:pPr>
      <w:r>
        <w:rPr>
          <w:rFonts w:ascii="Times New Roman" w:hAnsi="Times New Roman"/>
          <w:b/>
          <w:bCs/>
          <w:noProof/>
          <w:sz w:val="24"/>
          <w:szCs w:val="24"/>
          <w:lang w:val="ro-RO"/>
        </w:rPr>
        <w:t>Populația lumii pe continente, 1960-2070</w:t>
      </w:r>
      <w:r>
        <w:rPr>
          <w:noProof/>
          <w:lang w:val="fr-BE" w:eastAsia="fr-BE"/>
        </w:rPr>
        <w:drawing>
          <wp:inline distT="0" distB="0" distL="0" distR="0">
            <wp:extent cx="6192520" cy="396719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92520" cy="3967194"/>
                    </a:xfrm>
                    <a:prstGeom prst="rect">
                      <a:avLst/>
                    </a:prstGeom>
                    <a:noFill/>
                    <a:ln>
                      <a:noFill/>
                    </a:ln>
                  </pic:spPr>
                </pic:pic>
              </a:graphicData>
            </a:graphic>
          </wp:inline>
        </w:drawing>
      </w:r>
    </w:p>
    <w:p w:rsidR="00B243D9" w:rsidRDefault="00F5719E">
      <w:pPr>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Sursă: ONU, Departamentul pentru afaceri economice și sociale, Secția Populație (2019). </w:t>
      </w:r>
    </w:p>
    <w:p w:rsidR="00B243D9" w:rsidRDefault="00F5719E">
      <w:pPr>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Europa nu este singurul continent care îmbătrânește, dar este cel mai în vârstă, în medie. </w:t>
      </w:r>
      <w:r>
        <w:rPr>
          <w:rFonts w:ascii="Times New Roman" w:hAnsi="Times New Roman"/>
          <w:noProof/>
          <w:sz w:val="24"/>
          <w:szCs w:val="24"/>
          <w:lang w:val="ro-RO"/>
        </w:rPr>
        <w:t xml:space="preserve">Comparând </w:t>
      </w:r>
      <w:r>
        <w:rPr>
          <w:rFonts w:ascii="Times New Roman" w:hAnsi="Times New Roman"/>
          <w:noProof/>
          <w:sz w:val="24"/>
          <w:szCs w:val="24"/>
          <w:lang w:val="ro-RO"/>
        </w:rPr>
        <w:t>tendința din Europa cu alte părți ale lumii, devine clar că alte continente trec printr-un proces similar de îmbătrânire, dar cu un decalaj în raport cu Europa. Proiecțiile arată că vârsta medie în Africa va crește, de asemenea, în timp, dar se așteaptă ca</w:t>
      </w:r>
      <w:r>
        <w:rPr>
          <w:rFonts w:ascii="Times New Roman" w:hAnsi="Times New Roman"/>
          <w:noProof/>
          <w:sz w:val="24"/>
          <w:szCs w:val="24"/>
          <w:lang w:val="ro-RO"/>
        </w:rPr>
        <w:t xml:space="preserve"> acesta să rămână cel mai tânăr continent de acum și până în 2070. </w:t>
      </w:r>
    </w:p>
    <w:p w:rsidR="00B243D9" w:rsidRDefault="00F5719E">
      <w:pPr>
        <w:keepNext/>
        <w:jc w:val="center"/>
        <w:rPr>
          <w:rFonts w:ascii="Times New Roman" w:hAnsi="Times New Roman" w:cs="Times New Roman"/>
          <w:b/>
          <w:noProof/>
          <w:sz w:val="24"/>
          <w:szCs w:val="24"/>
          <w:lang w:val="ro-RO"/>
        </w:rPr>
      </w:pPr>
      <w:r>
        <w:rPr>
          <w:rFonts w:ascii="Times New Roman" w:hAnsi="Times New Roman"/>
          <w:b/>
          <w:noProof/>
          <w:sz w:val="24"/>
          <w:szCs w:val="24"/>
          <w:lang w:val="ro-RO"/>
        </w:rPr>
        <w:t>Vârsta mediană a populației lumii în funcție de continent, 1960-2070</w:t>
      </w:r>
    </w:p>
    <w:p w:rsidR="00B243D9" w:rsidRDefault="00F5719E">
      <w:pPr>
        <w:jc w:val="center"/>
        <w:rPr>
          <w:rFonts w:ascii="Times New Roman" w:hAnsi="Times New Roman" w:cs="Times New Roman"/>
          <w:noProof/>
          <w:sz w:val="24"/>
          <w:szCs w:val="24"/>
          <w:lang w:val="ro-RO"/>
        </w:rPr>
      </w:pPr>
      <w:r>
        <w:rPr>
          <w:noProof/>
          <w:lang w:val="fr-BE" w:eastAsia="fr-BE"/>
        </w:rPr>
        <w:drawing>
          <wp:inline distT="0" distB="0" distL="0" distR="0">
            <wp:extent cx="5429250" cy="3562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29250" cy="3562350"/>
                    </a:xfrm>
                    <a:prstGeom prst="rect">
                      <a:avLst/>
                    </a:prstGeom>
                  </pic:spPr>
                </pic:pic>
              </a:graphicData>
            </a:graphic>
          </wp:inline>
        </w:drawing>
      </w:r>
    </w:p>
    <w:p w:rsidR="00B243D9" w:rsidRDefault="00F5719E">
      <w:pPr>
        <w:jc w:val="both"/>
        <w:rPr>
          <w:rFonts w:ascii="Times New Roman" w:hAnsi="Times New Roman" w:cs="Times New Roman"/>
          <w:i/>
          <w:noProof/>
          <w:sz w:val="24"/>
          <w:szCs w:val="24"/>
          <w:lang w:val="ro-RO"/>
        </w:rPr>
      </w:pPr>
      <w:r>
        <w:rPr>
          <w:rFonts w:ascii="Times New Roman" w:hAnsi="Times New Roman"/>
          <w:i/>
          <w:noProof/>
          <w:sz w:val="24"/>
          <w:szCs w:val="24"/>
          <w:lang w:val="ro-RO"/>
        </w:rPr>
        <w:t>Sursă: ONU, Departamentul pentru afaceri economice și sociale, Secția Populație (2019).</w:t>
      </w:r>
    </w:p>
    <w:p w:rsidR="00B243D9" w:rsidRDefault="00F5719E">
      <w:pPr>
        <w:jc w:val="both"/>
        <w:rPr>
          <w:rFonts w:ascii="Times New Roman" w:hAnsi="Times New Roman" w:cs="Times New Roman"/>
          <w:iCs/>
          <w:noProof/>
          <w:sz w:val="24"/>
          <w:szCs w:val="24"/>
          <w:lang w:val="ro-RO"/>
        </w:rPr>
      </w:pPr>
      <w:r>
        <w:rPr>
          <w:rFonts w:ascii="Times New Roman" w:hAnsi="Times New Roman"/>
          <w:b/>
          <w:noProof/>
          <w:sz w:val="24"/>
          <w:szCs w:val="24"/>
          <w:lang w:val="ro-RO"/>
        </w:rPr>
        <w:t>Cota Europei din PIB-ul mondi</w:t>
      </w:r>
      <w:r>
        <w:rPr>
          <w:rFonts w:ascii="Times New Roman" w:hAnsi="Times New Roman"/>
          <w:b/>
          <w:noProof/>
          <w:sz w:val="24"/>
          <w:szCs w:val="24"/>
          <w:lang w:val="ro-RO"/>
        </w:rPr>
        <w:t>al este, de asemenea, în scădere</w:t>
      </w:r>
      <w:r>
        <w:rPr>
          <w:rFonts w:ascii="Times New Roman" w:hAnsi="Times New Roman"/>
          <w:noProof/>
          <w:sz w:val="24"/>
          <w:szCs w:val="24"/>
          <w:lang w:val="ro-RO"/>
        </w:rPr>
        <w:t xml:space="preserve">. </w:t>
      </w:r>
      <w:r>
        <w:rPr>
          <w:rFonts w:ascii="Times New Roman" w:hAnsi="Times New Roman"/>
          <w:iCs/>
          <w:noProof/>
          <w:sz w:val="24"/>
          <w:szCs w:val="24"/>
          <w:lang w:val="ro-RO"/>
        </w:rPr>
        <w:t>În 2004, Europa reprezenta 18,3 % din PIB-ul mondial, această cotă scăzând până la 14,3 % în 2018</w:t>
      </w:r>
      <w:r>
        <w:rPr>
          <w:rStyle w:val="FootnoteReference"/>
          <w:rFonts w:ascii="Times New Roman" w:hAnsi="Times New Roman" w:cs="Times New Roman"/>
          <w:iCs/>
          <w:noProof/>
          <w:sz w:val="24"/>
          <w:szCs w:val="24"/>
          <w:lang w:val="ro-RO"/>
        </w:rPr>
        <w:footnoteReference w:id="63"/>
      </w:r>
      <w:r>
        <w:rPr>
          <w:rFonts w:ascii="Times New Roman" w:hAnsi="Times New Roman"/>
          <w:iCs/>
          <w:noProof/>
          <w:sz w:val="24"/>
          <w:szCs w:val="24"/>
          <w:lang w:val="ro-RO"/>
        </w:rPr>
        <w:t>. Odată cu scăderea populației în vârstă de muncă, există riscul ca această tendință să continue sau chiar să se accelereze.</w:t>
      </w:r>
      <w:r>
        <w:rPr>
          <w:rFonts w:ascii="Times New Roman" w:hAnsi="Times New Roman"/>
          <w:iCs/>
          <w:noProof/>
          <w:sz w:val="24"/>
          <w:szCs w:val="24"/>
          <w:lang w:val="ro-RO"/>
        </w:rPr>
        <w:t xml:space="preserve"> Statele membre vor deveni actori economici mai mici, dar, în mod colectiv, UE va continua să fie un actor economic, politic și diplomatic major.</w:t>
      </w:r>
      <w:r>
        <w:rPr>
          <w:noProof/>
          <w:lang w:val="ro-RO"/>
        </w:rPr>
        <w:t xml:space="preserve"> </w:t>
      </w:r>
    </w:p>
    <w:p w:rsidR="00B243D9" w:rsidRDefault="00F5719E">
      <w:pPr>
        <w:jc w:val="both"/>
        <w:rPr>
          <w:rFonts w:ascii="Times New Roman" w:hAnsi="Times New Roman" w:cs="Times New Roman"/>
          <w:iCs/>
          <w:noProof/>
          <w:sz w:val="24"/>
          <w:szCs w:val="24"/>
          <w:lang w:val="ro-RO"/>
        </w:rPr>
      </w:pPr>
      <w:r>
        <w:rPr>
          <w:rFonts w:ascii="Times New Roman" w:hAnsi="Times New Roman"/>
          <w:iCs/>
          <w:noProof/>
          <w:sz w:val="24"/>
          <w:szCs w:val="24"/>
          <w:lang w:val="ro-RO"/>
        </w:rPr>
        <w:t>Europa va trebui să fie mai puternică, mai unită și mai strategică în modul în care gândește, acționează și c</w:t>
      </w:r>
      <w:r>
        <w:rPr>
          <w:rFonts w:ascii="Times New Roman" w:hAnsi="Times New Roman"/>
          <w:iCs/>
          <w:noProof/>
          <w:sz w:val="24"/>
          <w:szCs w:val="24"/>
          <w:lang w:val="ro-RO"/>
        </w:rPr>
        <w:t xml:space="preserve">omunică. Va trebui să consolidăm parteneriatele existente și să creăm altele noi, în special cu partenerii cei mai apropiați și cu vecinii noștri. Noua </w:t>
      </w:r>
      <w:r>
        <w:rPr>
          <w:rFonts w:ascii="Times New Roman" w:hAnsi="Times New Roman"/>
          <w:b/>
          <w:iCs/>
          <w:noProof/>
          <w:sz w:val="24"/>
          <w:szCs w:val="24"/>
          <w:lang w:val="ro-RO"/>
        </w:rPr>
        <w:t>Strategie globală pentru Africa</w:t>
      </w:r>
      <w:r>
        <w:rPr>
          <w:rStyle w:val="FootnoteReference"/>
          <w:rFonts w:ascii="Times New Roman" w:hAnsi="Times New Roman" w:cs="Times New Roman"/>
          <w:b/>
          <w:iCs/>
          <w:noProof/>
          <w:sz w:val="24"/>
          <w:szCs w:val="24"/>
          <w:lang w:val="ro-RO"/>
        </w:rPr>
        <w:footnoteReference w:id="64"/>
      </w:r>
      <w:r>
        <w:rPr>
          <w:rFonts w:ascii="Times New Roman" w:hAnsi="Times New Roman"/>
          <w:b/>
          <w:iCs/>
          <w:noProof/>
          <w:sz w:val="24"/>
          <w:szCs w:val="24"/>
          <w:lang w:val="ro-RO"/>
        </w:rPr>
        <w:t xml:space="preserve"> </w:t>
      </w:r>
      <w:r>
        <w:rPr>
          <w:rFonts w:ascii="Times New Roman" w:hAnsi="Times New Roman"/>
          <w:iCs/>
          <w:noProof/>
          <w:sz w:val="24"/>
          <w:szCs w:val="24"/>
          <w:lang w:val="ro-RO"/>
        </w:rPr>
        <w:t>este deosebit de importantă având în vedere provocările demografice opu</w:t>
      </w:r>
      <w:r>
        <w:rPr>
          <w:rFonts w:ascii="Times New Roman" w:hAnsi="Times New Roman"/>
          <w:iCs/>
          <w:noProof/>
          <w:sz w:val="24"/>
          <w:szCs w:val="24"/>
          <w:lang w:val="ro-RO"/>
        </w:rPr>
        <w:t>se cu care se vor confrunta continentele noastre. Susținerea ordinii mondiale bazate pe norme și a instituțiilor sale, cum ar fi Organizația Națiunilor Unite sau Organizația Mondială a Comerțului, precum și asumarea unui rol mai activ în structurile intern</w:t>
      </w:r>
      <w:r>
        <w:rPr>
          <w:rFonts w:ascii="Times New Roman" w:hAnsi="Times New Roman"/>
          <w:iCs/>
          <w:noProof/>
          <w:sz w:val="24"/>
          <w:szCs w:val="24"/>
          <w:lang w:val="ro-RO"/>
        </w:rPr>
        <w:t xml:space="preserve">aționale vor fi cu atât mai importante. </w:t>
      </w:r>
    </w:p>
    <w:p w:rsidR="00B243D9" w:rsidRDefault="00F5719E">
      <w:pPr>
        <w:pStyle w:val="Heading2"/>
        <w:rPr>
          <w:noProof/>
          <w:lang w:val="ro-RO"/>
        </w:rPr>
      </w:pPr>
      <w:bookmarkStart w:id="90" w:name="_Toc32414449"/>
      <w:bookmarkStart w:id="91" w:name="_Toc32444050"/>
      <w:bookmarkStart w:id="92" w:name="_Toc32444159"/>
      <w:bookmarkStart w:id="93" w:name="_Toc33800413"/>
      <w:bookmarkStart w:id="94" w:name="_Toc36563280"/>
      <w:r>
        <w:rPr>
          <w:noProof/>
          <w:lang w:val="ro-RO"/>
        </w:rPr>
        <w:br w:type="page"/>
      </w:r>
    </w:p>
    <w:p w:rsidR="00B243D9" w:rsidRDefault="00F5719E">
      <w:pPr>
        <w:pStyle w:val="Heading2"/>
        <w:rPr>
          <w:noProof/>
          <w:lang w:val="ro-RO"/>
        </w:rPr>
      </w:pPr>
      <w:bookmarkStart w:id="95" w:name="_Toc42531874"/>
      <w:bookmarkStart w:id="96" w:name="_Toc43897147"/>
      <w:r>
        <w:rPr>
          <w:noProof/>
          <w:lang w:val="ro-RO"/>
        </w:rPr>
        <w:t>CONCLUZII ȘI PERSPECTIVE</w:t>
      </w:r>
      <w:bookmarkEnd w:id="90"/>
      <w:bookmarkEnd w:id="91"/>
      <w:bookmarkEnd w:id="92"/>
      <w:bookmarkEnd w:id="93"/>
      <w:bookmarkEnd w:id="94"/>
      <w:bookmarkEnd w:id="95"/>
      <w:bookmarkEnd w:id="96"/>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această perioadă de dificultăți și incertitudini extraordinare, Uniunea Europeană, statele sale membre și regiunile acestora au un interes comun în a răspunde la impactul schimbărilor </w:t>
      </w:r>
      <w:r>
        <w:rPr>
          <w:rFonts w:ascii="Times New Roman" w:hAnsi="Times New Roman"/>
          <w:noProof/>
          <w:sz w:val="24"/>
          <w:szCs w:val="24"/>
          <w:lang w:val="ro-RO"/>
        </w:rPr>
        <w:t>demografice în beneficiul tuturor europenilor.</w:t>
      </w:r>
      <w:r>
        <w:rPr>
          <w:rFonts w:ascii="Times New Roman" w:hAnsi="Times New Roman"/>
          <w:b/>
          <w:noProof/>
          <w:sz w:val="24"/>
          <w:szCs w:val="24"/>
          <w:lang w:val="ro-RO"/>
        </w:rPr>
        <w:t xml:space="preserve"> </w:t>
      </w:r>
      <w:r>
        <w:rPr>
          <w:rFonts w:ascii="Times New Roman" w:hAnsi="Times New Roman"/>
          <w:noProof/>
          <w:sz w:val="24"/>
          <w:szCs w:val="24"/>
          <w:lang w:val="ro-RO"/>
        </w:rPr>
        <w:t xml:space="preserve">Aceasta face parte din redresarea Europei și din construirea unei Uniuni mai reziliente, mai durabile și mai echitabile. Calea de urmat depinde de o serie de întrebări strategice, inclusiv cu privire la modul </w:t>
      </w:r>
      <w:r>
        <w:rPr>
          <w:rFonts w:ascii="Times New Roman" w:hAnsi="Times New Roman"/>
          <w:noProof/>
          <w:sz w:val="24"/>
          <w:szCs w:val="24"/>
          <w:lang w:val="ro-RO"/>
        </w:rPr>
        <w:t>de stimulare a inovării și a productivității; modalitățile de încadrare în muncă a unui număr mai mare de persoane; modalitățile de modernizare a sistemelor de sănătate, a protecției sociale și a serviciilor sociale, precum și modul de abordare a disparită</w:t>
      </w:r>
      <w:r>
        <w:rPr>
          <w:rFonts w:ascii="Times New Roman" w:hAnsi="Times New Roman"/>
          <w:noProof/>
          <w:sz w:val="24"/>
          <w:szCs w:val="24"/>
          <w:lang w:val="ro-RO"/>
        </w:rPr>
        <w:t>ț</w:t>
      </w:r>
      <w:r>
        <w:rPr>
          <w:rFonts w:ascii="Times New Roman" w:hAnsi="Times New Roman"/>
          <w:noProof/>
          <w:sz w:val="24"/>
          <w:szCs w:val="24"/>
          <w:lang w:val="ro-RO"/>
        </w:rPr>
        <w:t>ilor teritoriale.</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În acest sens și utilizând ca punct de plecare constatările din prezentul raport, Comisia va prezenta o</w:t>
      </w:r>
      <w:r>
        <w:rPr>
          <w:rFonts w:ascii="Times New Roman" w:hAnsi="Times New Roman"/>
          <w:b/>
          <w:noProof/>
          <w:sz w:val="24"/>
          <w:szCs w:val="24"/>
          <w:lang w:val="ro-RO"/>
        </w:rPr>
        <w:t xml:space="preserve"> Carte verde privind îmbătrânirea </w:t>
      </w:r>
      <w:r>
        <w:rPr>
          <w:rFonts w:ascii="Times New Roman" w:hAnsi="Times New Roman"/>
          <w:noProof/>
          <w:sz w:val="24"/>
          <w:szCs w:val="24"/>
          <w:lang w:val="ro-RO"/>
        </w:rPr>
        <w:t>ș</w:t>
      </w:r>
      <w:r>
        <w:rPr>
          <w:rFonts w:ascii="Times New Roman" w:hAnsi="Times New Roman"/>
          <w:noProof/>
          <w:sz w:val="24"/>
          <w:szCs w:val="24"/>
          <w:lang w:val="ro-RO"/>
        </w:rPr>
        <w:t>i o</w:t>
      </w:r>
      <w:r>
        <w:rPr>
          <w:rFonts w:ascii="Times New Roman" w:hAnsi="Times New Roman"/>
          <w:b/>
          <w:noProof/>
          <w:sz w:val="24"/>
          <w:szCs w:val="24"/>
          <w:lang w:val="ro-RO"/>
        </w:rPr>
        <w:t xml:space="preserve"> Viziune pe termen lung pentru zonele rurale</w:t>
      </w:r>
      <w:r>
        <w:rPr>
          <w:rFonts w:ascii="Times New Roman" w:hAnsi="Times New Roman"/>
          <w:noProof/>
          <w:sz w:val="24"/>
          <w:szCs w:val="24"/>
          <w:lang w:val="ro-RO"/>
        </w:rPr>
        <w:t>. De asemenea, Comisia va analiza îndeaproape alte a</w:t>
      </w:r>
      <w:r>
        <w:rPr>
          <w:rFonts w:ascii="Times New Roman" w:hAnsi="Times New Roman"/>
          <w:noProof/>
          <w:sz w:val="24"/>
          <w:szCs w:val="24"/>
          <w:lang w:val="ro-RO"/>
        </w:rPr>
        <w:t xml:space="preserve">specte subliniate în prezentul raport, cum ar fi singurătatea, izolarea socială, sănătatea mintală, reziliența economică, asistența medicală și îngrijirea pe termen lung, printre altele.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Acest raport indică, de asemenea, necesitatea de </w:t>
      </w:r>
      <w:r>
        <w:rPr>
          <w:rFonts w:ascii="Times New Roman" w:hAnsi="Times New Roman"/>
          <w:b/>
          <w:noProof/>
          <w:sz w:val="24"/>
          <w:szCs w:val="24"/>
          <w:lang w:val="ro-RO"/>
        </w:rPr>
        <w:t>a integra considere</w:t>
      </w:r>
      <w:r>
        <w:rPr>
          <w:rFonts w:ascii="Times New Roman" w:hAnsi="Times New Roman"/>
          <w:b/>
          <w:noProof/>
          <w:sz w:val="24"/>
          <w:szCs w:val="24"/>
          <w:lang w:val="ro-RO"/>
        </w:rPr>
        <w:t>ntele demografice în toate politicile UE</w:t>
      </w:r>
      <w:r>
        <w:rPr>
          <w:rFonts w:ascii="Times New Roman" w:hAnsi="Times New Roman"/>
          <w:noProof/>
          <w:sz w:val="24"/>
          <w:szCs w:val="24"/>
          <w:lang w:val="ro-RO"/>
        </w:rPr>
        <w:t>. Comisia este pregătită să își îndeplinească rolul pe deplin, utilizând toate instrumentele pe care le are la dispoziție, în special prin intermediul următorului buget UE pe termen lung și a instrumentului său de re</w:t>
      </w:r>
      <w:r>
        <w:rPr>
          <w:rFonts w:ascii="Times New Roman" w:hAnsi="Times New Roman"/>
          <w:noProof/>
          <w:sz w:val="24"/>
          <w:szCs w:val="24"/>
          <w:lang w:val="ro-RO"/>
        </w:rPr>
        <w:t>dresare, Next Generation EU. Eforturile sale în vederea redresării vor sprijini coeziunea socială, integrarea și incluziunea, dezvoltarea rurală, precum și educația și formarea. Aceasta va susține reformele structurale acolo unde este necesar și va acționa</w:t>
      </w:r>
      <w:r>
        <w:rPr>
          <w:rFonts w:ascii="Times New Roman" w:hAnsi="Times New Roman"/>
          <w:noProof/>
          <w:sz w:val="24"/>
          <w:szCs w:val="24"/>
          <w:lang w:val="ro-RO"/>
        </w:rPr>
        <w:t xml:space="preserve"> în vederea sustenabilității concurenței, valorificând la maximum semestrul european.</w:t>
      </w:r>
      <w:r>
        <w:rPr>
          <w:rFonts w:ascii="Times New Roman" w:hAnsi="Times New Roman"/>
          <w:i/>
          <w:iCs/>
          <w:noProof/>
          <w:sz w:val="24"/>
          <w:szCs w:val="24"/>
          <w:lang w:val="ro-RO"/>
        </w:rPr>
        <w:t xml:space="preserve"> </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același timp, este clar că nu există o abordare universal valabilă. </w:t>
      </w:r>
      <w:r>
        <w:rPr>
          <w:rFonts w:ascii="Times New Roman" w:hAnsi="Times New Roman"/>
          <w:b/>
          <w:noProof/>
          <w:sz w:val="24"/>
          <w:szCs w:val="24"/>
          <w:lang w:val="ro-RO"/>
        </w:rPr>
        <w:t>Elaborarea politicilor trebuie să se bazeze pe realitatea de la fața locului și să vizeze reducere</w:t>
      </w:r>
      <w:r>
        <w:rPr>
          <w:rFonts w:ascii="Times New Roman" w:hAnsi="Times New Roman"/>
          <w:b/>
          <w:noProof/>
          <w:sz w:val="24"/>
          <w:szCs w:val="24"/>
          <w:lang w:val="ro-RO"/>
        </w:rPr>
        <w:t xml:space="preserve">a disparităților dintre regiuni. </w:t>
      </w:r>
      <w:r>
        <w:rPr>
          <w:rFonts w:ascii="Times New Roman" w:hAnsi="Times New Roman"/>
          <w:noProof/>
          <w:sz w:val="24"/>
          <w:szCs w:val="24"/>
          <w:lang w:val="ro-RO"/>
        </w:rPr>
        <w:t>În acest spirit, Comisia va continua să promoveze convergența ascendentă, să asigure o tranziție echitabilă, să susțină echitatea socială, egalitatea de șanse și nediscriminarea, în special prin Pilonul european al drepturi</w:t>
      </w:r>
      <w:r>
        <w:rPr>
          <w:rFonts w:ascii="Times New Roman" w:hAnsi="Times New Roman"/>
          <w:noProof/>
          <w:sz w:val="24"/>
          <w:szCs w:val="24"/>
          <w:lang w:val="ro-RO"/>
        </w:rPr>
        <w:t>lor sociale și prin Strategia UE privind egalitatea de gen.</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Dubla provocare a democrației și demografiei trebuie să fie abordată în mod direct</w:t>
      </w:r>
      <w:r>
        <w:rPr>
          <w:rFonts w:ascii="Times New Roman" w:hAnsi="Times New Roman"/>
          <w:noProof/>
          <w:sz w:val="24"/>
          <w:szCs w:val="24"/>
          <w:lang w:val="ro-RO"/>
        </w:rPr>
        <w:t>. Transformarea demografică prezintă atât provocări, cât și oportunități pentru democrația noastră, iar acestea au</w:t>
      </w:r>
      <w:r>
        <w:rPr>
          <w:rFonts w:ascii="Times New Roman" w:hAnsi="Times New Roman"/>
          <w:noProof/>
          <w:sz w:val="24"/>
          <w:szCs w:val="24"/>
          <w:lang w:val="ro-RO"/>
        </w:rPr>
        <w:t xml:space="preserve"> fost evidențiate de criză. Dacă această transformare este bine gestionată, ea va contribui la asigurarea faptului că sistemele noastre de guvernare și de participare sunt dinamice, reziliente, incluzive și reprezintă diversitatea societății. Va trebui să </w:t>
      </w:r>
      <w:r>
        <w:rPr>
          <w:rFonts w:ascii="Times New Roman" w:hAnsi="Times New Roman"/>
          <w:noProof/>
          <w:sz w:val="24"/>
          <w:szCs w:val="24"/>
          <w:lang w:val="ro-RO"/>
        </w:rPr>
        <w:t>abordăm cauzele profunde ale problemelor și să evităm o „geografie a nemulțumirilor”</w:t>
      </w:r>
      <w:r>
        <w:rPr>
          <w:rFonts w:ascii="Times New Roman" w:hAnsi="Times New Roman" w:cs="Times New Roman"/>
          <w:noProof/>
          <w:sz w:val="24"/>
          <w:szCs w:val="24"/>
          <w:vertAlign w:val="superscript"/>
          <w:lang w:val="ro-RO"/>
        </w:rPr>
        <w:footnoteReference w:id="65"/>
      </w:r>
      <w:r>
        <w:rPr>
          <w:rFonts w:ascii="Times New Roman" w:hAnsi="Times New Roman"/>
          <w:noProof/>
          <w:sz w:val="24"/>
          <w:szCs w:val="24"/>
          <w:lang w:val="ro-RO"/>
        </w:rPr>
        <w:t>. Conferința privind viitorul Europei va constitui o platformă esențială pentru a asculta, a învăța și a identifica soluții.</w:t>
      </w:r>
    </w:p>
    <w:p w:rsidR="00B243D9" w:rsidRDefault="00F5719E">
      <w:pPr>
        <w:jc w:val="both"/>
        <w:rPr>
          <w:rFonts w:ascii="Times New Roman" w:hAnsi="Times New Roman" w:cs="Times New Roman"/>
          <w:noProof/>
          <w:sz w:val="24"/>
          <w:szCs w:val="24"/>
          <w:lang w:val="ro-RO"/>
        </w:rPr>
      </w:pPr>
      <w:r>
        <w:rPr>
          <w:rFonts w:ascii="Times New Roman" w:hAnsi="Times New Roman"/>
          <w:noProof/>
          <w:sz w:val="24"/>
          <w:szCs w:val="24"/>
          <w:lang w:val="ro-RO"/>
        </w:rPr>
        <w:t>Deși este prea devreme pentru a extrage învăță</w:t>
      </w:r>
      <w:r>
        <w:rPr>
          <w:rFonts w:ascii="Times New Roman" w:hAnsi="Times New Roman"/>
          <w:noProof/>
          <w:sz w:val="24"/>
          <w:szCs w:val="24"/>
          <w:lang w:val="ro-RO"/>
        </w:rPr>
        <w:t>minte demografice întemeiate în urma crizei COVID</w:t>
      </w:r>
      <w:r>
        <w:rPr>
          <w:rFonts w:ascii="Times New Roman" w:hAnsi="Times New Roman" w:cs="Times New Roman"/>
          <w:noProof/>
          <w:sz w:val="24"/>
          <w:szCs w:val="24"/>
          <w:lang w:val="ro-RO"/>
        </w:rPr>
        <w:t>­</w:t>
      </w:r>
      <w:r>
        <w:rPr>
          <w:rFonts w:ascii="Times New Roman" w:hAnsi="Times New Roman"/>
          <w:noProof/>
          <w:sz w:val="24"/>
          <w:szCs w:val="24"/>
          <w:lang w:val="ro-RO"/>
        </w:rPr>
        <w:t>19, site-ul web dedicat, lansat în paralel cu prezentul raport, va contribui la analiza datelor statistice comparabile pe scară largă din întreaga Uniune, odată ce vor deveni disponibile, astfel încât acest</w:t>
      </w:r>
      <w:r>
        <w:rPr>
          <w:rFonts w:ascii="Times New Roman" w:hAnsi="Times New Roman"/>
          <w:noProof/>
          <w:sz w:val="24"/>
          <w:szCs w:val="24"/>
          <w:lang w:val="ro-RO"/>
        </w:rPr>
        <w:t xml:space="preserve">ea să poată constitui o bază fiabilă pentru reflecții și decizii politice fundamentate. </w:t>
      </w:r>
    </w:p>
    <w:p w:rsidR="00B243D9" w:rsidRDefault="00F5719E">
      <w:pPr>
        <w:jc w:val="both"/>
        <w:rPr>
          <w:rFonts w:ascii="Times New Roman" w:hAnsi="Times New Roman" w:cs="Times New Roman"/>
          <w:noProof/>
          <w:sz w:val="24"/>
          <w:szCs w:val="24"/>
          <w:lang w:val="ro-RO"/>
        </w:rPr>
      </w:pPr>
      <w:r>
        <w:rPr>
          <w:rFonts w:ascii="Times New Roman" w:hAnsi="Times New Roman"/>
          <w:b/>
          <w:noProof/>
          <w:sz w:val="24"/>
          <w:szCs w:val="24"/>
          <w:lang w:val="ro-RO"/>
        </w:rPr>
        <w:t>Pe baza acestui raport, Comisia se va angaja într-un dialog cu părțile interesate relevante</w:t>
      </w:r>
      <w:r>
        <w:rPr>
          <w:rFonts w:ascii="Times New Roman" w:hAnsi="Times New Roman"/>
          <w:noProof/>
          <w:sz w:val="24"/>
          <w:szCs w:val="24"/>
          <w:lang w:val="ro-RO"/>
        </w:rPr>
        <w:t>, în special la nivel regional, și va discuta cu statele membre și cu instit</w:t>
      </w:r>
      <w:r>
        <w:rPr>
          <w:rFonts w:ascii="Times New Roman" w:hAnsi="Times New Roman"/>
          <w:noProof/>
          <w:sz w:val="24"/>
          <w:szCs w:val="24"/>
          <w:lang w:val="ro-RO"/>
        </w:rPr>
        <w:t xml:space="preserve">uțiile și organismele UE, în special Comitetul Economic și Social European și Comitetul Regiunilor. </w:t>
      </w:r>
    </w:p>
    <w:bookmarkEnd w:id="3"/>
    <w:bookmarkEnd w:id="2"/>
    <w:p w:rsidR="00B243D9" w:rsidRDefault="00B243D9">
      <w:pPr>
        <w:rPr>
          <w:rFonts w:ascii="Times New Roman" w:eastAsia="Times New Roman" w:hAnsi="Times New Roman" w:cs="Times New Roman"/>
          <w:b/>
          <w:smallCaps/>
          <w:noProof/>
          <w:color w:val="0070C0"/>
          <w:sz w:val="28"/>
          <w:szCs w:val="28"/>
          <w:lang w:val="ro-RO" w:eastAsia="en-GB"/>
        </w:rPr>
      </w:pPr>
    </w:p>
    <w:sectPr w:rsidR="00B243D9">
      <w:headerReference w:type="even" r:id="rId34"/>
      <w:headerReference w:type="default" r:id="rId35"/>
      <w:footerReference w:type="even" r:id="rId36"/>
      <w:footerReference w:type="default" r:id="rId37"/>
      <w:headerReference w:type="first" r:id="rId38"/>
      <w:footerReference w:type="first" r:id="rId39"/>
      <w:pgSz w:w="11906" w:h="16838"/>
      <w:pgMar w:top="1134" w:right="1077" w:bottom="1134" w:left="1077" w:header="601" w:footer="1077"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089C2" w16cex:dateUtc="2020-06-02T0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1A02FE5" w16cid:durableId="227FB791"/>
  <w16cid:commentId w16cid:paraId="411123E0" w16cid:durableId="227FB792"/>
  <w16cid:commentId w16cid:paraId="257A2B2C" w16cid:durableId="227FB793"/>
  <w16cid:commentId w16cid:paraId="57898443" w16cid:durableId="227FB794"/>
  <w16cid:commentId w16cid:paraId="5D2CCED8" w16cid:durableId="227FB795"/>
  <w16cid:commentId w16cid:paraId="620D67EF" w16cid:durableId="227FB796"/>
  <w16cid:commentId w16cid:paraId="42EDF6F3" w16cid:durableId="227FB797"/>
  <w16cid:commentId w16cid:paraId="6874AD6D" w16cid:durableId="227FB798"/>
  <w16cid:commentId w16cid:paraId="4F575F7B" w16cid:durableId="227FB799"/>
  <w16cid:commentId w16cid:paraId="1C90C26D" w16cid:durableId="227FB79A"/>
  <w16cid:commentId w16cid:paraId="5CA543DD" w16cid:durableId="227FB79B"/>
  <w16cid:commentId w16cid:paraId="6BBB7BB4" w16cid:durableId="227FB79C"/>
  <w16cid:commentId w16cid:paraId="0ED66ACB" w16cid:durableId="227FB79D"/>
  <w16cid:commentId w16cid:paraId="484979A1" w16cid:durableId="227FB79E"/>
  <w16cid:commentId w16cid:paraId="7BC42ADD" w16cid:durableId="227FB79F"/>
  <w16cid:commentId w16cid:paraId="65406D54" w16cid:durableId="227FB7A0"/>
  <w16cid:commentId w16cid:paraId="51CC4654" w16cid:durableId="228089C2"/>
  <w16cid:commentId w16cid:paraId="1F732F68" w16cid:durableId="227FB7A1"/>
  <w16cid:commentId w16cid:paraId="01EF31A1" w16cid:durableId="227FB7A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3D9" w:rsidRDefault="00F5719E">
      <w:pPr>
        <w:spacing w:after="0" w:line="240" w:lineRule="auto"/>
      </w:pPr>
      <w:r>
        <w:separator/>
      </w:r>
    </w:p>
  </w:endnote>
  <w:endnote w:type="continuationSeparator" w:id="0">
    <w:p w:rsidR="00B243D9" w:rsidRDefault="00F5719E">
      <w:pPr>
        <w:spacing w:after="0" w:line="240" w:lineRule="auto"/>
      </w:pPr>
      <w:r>
        <w:continuationSeparator/>
      </w:r>
    </w:p>
  </w:endnote>
  <w:endnote w:type="continuationNotice" w:id="1">
    <w:p w:rsidR="00B243D9" w:rsidRDefault="00B243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F5719E">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F5719E">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F5719E">
    <w:pPr>
      <w:pStyle w:val="FooterLine"/>
      <w:jc w:val="center"/>
      <w:rPr>
        <w:sz w:val="20"/>
      </w:rPr>
    </w:pPr>
    <w:r>
      <w:rPr>
        <w:sz w:val="20"/>
      </w:rPr>
      <w:fldChar w:fldCharType="begin"/>
    </w:r>
    <w:r>
      <w:rPr>
        <w:sz w:val="20"/>
      </w:rPr>
      <w:instrText xml:space="preserve"> PAGE   \* MERGEFORMAT </w:instrText>
    </w:r>
    <w:r>
      <w:rPr>
        <w:sz w:val="20"/>
      </w:rPr>
      <w:fldChar w:fldCharType="separate"/>
    </w:r>
    <w:r>
      <w:rPr>
        <w:noProof/>
        <w:sz w:val="20"/>
      </w:rPr>
      <w:t>3</w:t>
    </w:r>
    <w:r>
      <w:rPr>
        <w:noProof/>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17491"/>
      <w:docPartObj>
        <w:docPartGallery w:val="Page Numbers (Bottom of Page)"/>
        <w:docPartUnique/>
      </w:docPartObj>
    </w:sdtPr>
    <w:sdtEndPr>
      <w:rPr>
        <w:noProof/>
        <w:sz w:val="20"/>
        <w:szCs w:val="20"/>
      </w:rPr>
    </w:sdtEndPr>
    <w:sdtContent>
      <w:p w:rsidR="00B243D9" w:rsidRDefault="00F5719E">
        <w:pPr>
          <w:pStyle w:val="Foote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noProof/>
            <w:sz w:val="20"/>
            <w:szCs w:val="20"/>
          </w:rPr>
          <w:fldChar w:fldCharType="end"/>
        </w:r>
      </w:p>
    </w:sdtContent>
  </w:sdt>
  <w:p w:rsidR="00B243D9" w:rsidRDefault="00B24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3D9" w:rsidRDefault="00F5719E">
      <w:pPr>
        <w:spacing w:after="0" w:line="240" w:lineRule="auto"/>
      </w:pPr>
      <w:r>
        <w:separator/>
      </w:r>
    </w:p>
  </w:footnote>
  <w:footnote w:type="continuationSeparator" w:id="0">
    <w:p w:rsidR="00B243D9" w:rsidRDefault="00F5719E">
      <w:pPr>
        <w:spacing w:after="0" w:line="240" w:lineRule="auto"/>
      </w:pPr>
      <w:r>
        <w:continuationSeparator/>
      </w:r>
    </w:p>
  </w:footnote>
  <w:footnote w:type="continuationNotice" w:id="1">
    <w:p w:rsidR="00B243D9" w:rsidRDefault="00B243D9">
      <w:pPr>
        <w:spacing w:after="0" w:line="240" w:lineRule="auto"/>
      </w:pPr>
    </w:p>
  </w:footnote>
  <w:footnote w:id="2">
    <w:p w:rsidR="00B243D9" w:rsidRDefault="00F5719E">
      <w:pPr>
        <w:pStyle w:val="FootnoteText"/>
        <w:rPr>
          <w:lang w:val="ro-RO"/>
        </w:rPr>
      </w:pPr>
      <w:r>
        <w:rPr>
          <w:rStyle w:val="FootnoteReference"/>
          <w:lang w:val="ro-RO"/>
        </w:rPr>
        <w:footnoteRef/>
      </w:r>
      <w:r>
        <w:rPr>
          <w:lang w:val="ro-RO"/>
        </w:rPr>
        <w:t xml:space="preserve"> COM(2020) 456 final: Acum este momentul Europei: să reparăm prejudiciile aduse de criză și să pregătim viitorul pentru noua generație.</w:t>
      </w:r>
    </w:p>
  </w:footnote>
  <w:footnote w:id="3">
    <w:p w:rsidR="00B243D9" w:rsidRDefault="00F5719E">
      <w:pPr>
        <w:pStyle w:val="FootnoteText"/>
        <w:rPr>
          <w:lang w:val="ro-RO"/>
        </w:rPr>
      </w:pPr>
      <w:r>
        <w:rPr>
          <w:rStyle w:val="FootnoteReference"/>
          <w:lang w:val="ro-RO"/>
        </w:rPr>
        <w:footnoteRef/>
      </w:r>
      <w:r>
        <w:rPr>
          <w:lang w:val="ro-RO"/>
        </w:rPr>
        <w:t xml:space="preserve"> -</w:t>
      </w:r>
      <w:r>
        <w:rPr>
          <w:lang w:val="ro-RO"/>
        </w:rPr>
        <w:tab/>
        <w:t>Documentul de lucru al serviciilor Comisiei [SWD (2020) 109 final] completează raportul cu cifre, hărți și tabele su</w:t>
      </w:r>
      <w:r>
        <w:rPr>
          <w:lang w:val="ro-RO"/>
        </w:rPr>
        <w:t>plimentare.</w:t>
      </w:r>
    </w:p>
  </w:footnote>
  <w:footnote w:id="4">
    <w:p w:rsidR="00B243D9" w:rsidRDefault="00F5719E">
      <w:pPr>
        <w:pStyle w:val="FootnoteText"/>
        <w:rPr>
          <w:lang w:val="ro-RO"/>
        </w:rPr>
      </w:pPr>
      <w:r>
        <w:rPr>
          <w:rStyle w:val="FootnoteReference"/>
          <w:lang w:val="ro-RO"/>
        </w:rPr>
        <w:footnoteRef/>
      </w:r>
      <w:r>
        <w:rPr>
          <w:lang w:val="ro-RO"/>
        </w:rPr>
        <w:t xml:space="preserve"> În prezentul raport, termenii „Europa” și „UE” se referă la UE-27, cu excepția cazului în care se prevede altfel.</w:t>
      </w:r>
    </w:p>
  </w:footnote>
  <w:footnote w:id="5">
    <w:p w:rsidR="00B243D9" w:rsidRDefault="00F5719E">
      <w:pPr>
        <w:pStyle w:val="FootnoteText"/>
        <w:rPr>
          <w:lang w:val="ro-RO"/>
        </w:rPr>
      </w:pPr>
      <w:r>
        <w:rPr>
          <w:rStyle w:val="FootnoteReference"/>
          <w:lang w:val="ro-RO"/>
        </w:rPr>
        <w:footnoteRef/>
      </w:r>
      <w:r>
        <w:rPr>
          <w:lang w:val="ro-RO"/>
        </w:rPr>
        <w:t xml:space="preserve"> Datele statistice Eurostat utilizate în prezentul raport se bazează pe cifrele preluate din baza de date Eurostat în mai 2020.</w:t>
      </w:r>
    </w:p>
  </w:footnote>
  <w:footnote w:id="6">
    <w:p w:rsidR="00B243D9" w:rsidRDefault="00F5719E">
      <w:pPr>
        <w:pStyle w:val="FootnoteText"/>
        <w:rPr>
          <w:lang w:val="ro-RO"/>
        </w:rPr>
      </w:pPr>
      <w:r>
        <w:rPr>
          <w:rStyle w:val="FootnoteReference"/>
          <w:lang w:val="ro-RO"/>
        </w:rPr>
        <w:footnoteRef/>
      </w:r>
      <w:r>
        <w:rPr>
          <w:lang w:val="ro-RO"/>
        </w:rPr>
        <w:t xml:space="preserve"> Pentru mai multe informații, a se vedea publicația Eurostat „Statistici explicate” (Statistics Explained) referitoare la statisticile privind mortalitatea și speranța de viață: </w:t>
      </w:r>
    </w:p>
    <w:p w:rsidR="00B243D9" w:rsidRDefault="00F5719E">
      <w:pPr>
        <w:pStyle w:val="FootnoteText"/>
        <w:rPr>
          <w:lang w:val="ro-RO"/>
        </w:rPr>
      </w:pPr>
      <w:hyperlink r:id="rId1" w:history="1">
        <w:r>
          <w:rPr>
            <w:rStyle w:val="Hyperlink"/>
            <w:lang w:val="ro-RO"/>
          </w:rPr>
          <w:t>https://ec.europa.eu/eurostat/statistics-explained/index.php?title=Mortality_and_life_expectancy_statistics</w:t>
        </w:r>
      </w:hyperlink>
      <w:r>
        <w:rPr>
          <w:lang w:val="ro-RO"/>
        </w:rPr>
        <w:t xml:space="preserve"> </w:t>
      </w:r>
    </w:p>
  </w:footnote>
  <w:footnote w:id="7">
    <w:p w:rsidR="00B243D9" w:rsidRDefault="00F5719E">
      <w:pPr>
        <w:pStyle w:val="FootnoteText"/>
        <w:rPr>
          <w:lang w:val="ro-RO"/>
        </w:rPr>
      </w:pPr>
      <w:r>
        <w:rPr>
          <w:rStyle w:val="FootnoteReference"/>
          <w:lang w:val="ro-RO"/>
        </w:rPr>
        <w:footnoteRef/>
      </w:r>
      <w:r>
        <w:rPr>
          <w:lang w:val="ro-RO"/>
        </w:rPr>
        <w:t xml:space="preserve"> Previziunile privind populația sunt scenarii ipotetice de tip „what if” bazate pe datele observa</w:t>
      </w:r>
      <w:r>
        <w:rPr>
          <w:lang w:val="ro-RO"/>
        </w:rPr>
        <w:t xml:space="preserve">te pentru o mai bună înțelegere a dinamicii populației. Este important de notat că proiecțiile nu trebuie să fie considerate drept previziuni. Pentru informații suplimentare, a se vedea proiecțiile Eurostat privind populația: </w:t>
      </w:r>
      <w:hyperlink r:id="rId2" w:history="1">
        <w:r>
          <w:rPr>
            <w:rStyle w:val="Hyperlink"/>
            <w:lang w:val="ro-RO"/>
          </w:rPr>
          <w:t>https://ec.europa.eu/eurostat/web/population-demography-migration-projections/population-projections-data</w:t>
        </w:r>
      </w:hyperlink>
      <w:r>
        <w:rPr>
          <w:lang w:val="ro-RO"/>
        </w:rPr>
        <w:t xml:space="preserve"> </w:t>
      </w:r>
    </w:p>
  </w:footnote>
  <w:footnote w:id="8">
    <w:p w:rsidR="00B243D9" w:rsidRDefault="00F5719E">
      <w:pPr>
        <w:pStyle w:val="FootnoteText"/>
        <w:rPr>
          <w:lang w:val="ro-RO"/>
        </w:rPr>
      </w:pPr>
      <w:r>
        <w:rPr>
          <w:rStyle w:val="FootnoteReference"/>
          <w:lang w:val="ro-RO"/>
        </w:rPr>
        <w:footnoteRef/>
      </w:r>
      <w:r>
        <w:rPr>
          <w:lang w:val="ro-RO"/>
        </w:rPr>
        <w:t xml:space="preserve"> Pentru mai multe informații privind conceptul și datele, a se vedea: </w:t>
      </w:r>
      <w:hyperlink r:id="rId3" w:history="1">
        <w:r>
          <w:rPr>
            <w:color w:val="0000FF"/>
            <w:u w:val="single"/>
            <w:lang w:val="ro-RO"/>
          </w:rPr>
          <w:t>https://ec.europa.eu/eurostat/statistics-explained/pdfscache/1101.pdf</w:t>
        </w:r>
      </w:hyperlink>
    </w:p>
  </w:footnote>
  <w:footnote w:id="9">
    <w:p w:rsidR="00B243D9" w:rsidRDefault="00F5719E">
      <w:pPr>
        <w:pStyle w:val="FootnoteText"/>
        <w:rPr>
          <w:lang w:val="ro-RO"/>
        </w:rPr>
      </w:pPr>
      <w:r>
        <w:rPr>
          <w:rStyle w:val="FootnoteReference"/>
          <w:lang w:val="ro-RO"/>
        </w:rPr>
        <w:footnoteRef/>
      </w:r>
      <w:r>
        <w:rPr>
          <w:lang w:val="ro-RO"/>
        </w:rPr>
        <w:t xml:space="preserve"> Pentru mai multe informații,</w:t>
      </w:r>
      <w:r>
        <w:rPr>
          <w:lang w:val="ro-RO"/>
        </w:rPr>
        <w:t xml:space="preserve"> a se vedea „Starea sănătății în UE”, „Sănătatea pe scurt: Europa 2018, OECD/EU (2018) – </w:t>
      </w:r>
      <w:hyperlink r:id="rId4" w:history="1">
        <w:r>
          <w:rPr>
            <w:rStyle w:val="Hyperlink"/>
            <w:lang w:val="ro-RO"/>
          </w:rPr>
          <w:t>https://ec.europa.eu/health/state/glance_ro</w:t>
        </w:r>
      </w:hyperlink>
      <w:r>
        <w:rPr>
          <w:lang w:val="ro-RO"/>
        </w:rPr>
        <w:t xml:space="preserve"> </w:t>
      </w:r>
    </w:p>
  </w:footnote>
  <w:footnote w:id="10">
    <w:p w:rsidR="00B243D9" w:rsidRDefault="00F5719E">
      <w:pPr>
        <w:pStyle w:val="FootnoteText"/>
        <w:rPr>
          <w:lang w:val="ro-RO"/>
        </w:rPr>
      </w:pPr>
      <w:r>
        <w:rPr>
          <w:rStyle w:val="FootnoteReference"/>
          <w:lang w:val="ro-RO"/>
        </w:rPr>
        <w:footnoteRef/>
      </w:r>
      <w:r>
        <w:rPr>
          <w:lang w:val="ro-RO"/>
        </w:rPr>
        <w:t xml:space="preserve"> În 2018, 49 % din persoanele cu vârsta de cel puțin 65 de an</w:t>
      </w:r>
      <w:r>
        <w:rPr>
          <w:lang w:val="ro-RO"/>
        </w:rPr>
        <w:t>i erau percepute ca având o dizabilitate sau o limitare a activității pe termen lung. (Sursă: Eurostat tabel online hlth_silc_06)</w:t>
      </w:r>
    </w:p>
  </w:footnote>
  <w:footnote w:id="11">
    <w:p w:rsidR="00B243D9" w:rsidRDefault="00F5719E">
      <w:pPr>
        <w:pStyle w:val="FootnoteText"/>
        <w:rPr>
          <w:lang w:val="ro-RO"/>
        </w:rPr>
      </w:pPr>
      <w:r>
        <w:rPr>
          <w:rStyle w:val="FootnoteReference"/>
          <w:lang w:val="ro-RO"/>
        </w:rPr>
        <w:footnoteRef/>
      </w:r>
      <w:r>
        <w:rPr>
          <w:lang w:val="ro-RO"/>
        </w:rPr>
        <w:t xml:space="preserve"> Există trei tipuri de regiuni utilizate în nomenclatorul comun al unităților teritoriale de statistică, cunoscut sub denumir</w:t>
      </w:r>
      <w:r>
        <w:rPr>
          <w:lang w:val="ro-RO"/>
        </w:rPr>
        <w:t xml:space="preserve">ea de NUTS. Această hartă prezintă regiunile NUTS2. Regiunea NUTS2 medie dintr-o țară are o populație cuprinsă între 800 000 și 3 milioane de locuitori. </w:t>
      </w:r>
    </w:p>
  </w:footnote>
  <w:footnote w:id="12">
    <w:p w:rsidR="00B243D9" w:rsidRDefault="00F5719E">
      <w:pPr>
        <w:pStyle w:val="FootnoteText"/>
        <w:rPr>
          <w:lang w:val="ro-RO"/>
        </w:rPr>
      </w:pPr>
      <w:r>
        <w:rPr>
          <w:rStyle w:val="FootnoteReference"/>
          <w:lang w:val="ro-RO"/>
        </w:rPr>
        <w:footnoteRef/>
      </w:r>
      <w:r>
        <w:rPr>
          <w:lang w:val="ro-RO"/>
        </w:rPr>
        <w:t xml:space="preserve"> Pentru mai multe informații, a se vedea publicația Eurostat „Statistici explicate” referitoare la st</w:t>
      </w:r>
      <w:r>
        <w:rPr>
          <w:lang w:val="ro-RO"/>
        </w:rPr>
        <w:t xml:space="preserve">atisticile privind fertilitatea: </w:t>
      </w:r>
    </w:p>
    <w:p w:rsidR="00B243D9" w:rsidRDefault="00F5719E">
      <w:pPr>
        <w:pStyle w:val="FootnoteText"/>
        <w:rPr>
          <w:lang w:val="ro-RO"/>
        </w:rPr>
      </w:pPr>
      <w:hyperlink r:id="rId5" w:history="1">
        <w:r>
          <w:rPr>
            <w:rStyle w:val="Hyperlink"/>
            <w:lang w:val="ro-RO"/>
          </w:rPr>
          <w:t>https://ec.europa.eu/eurostat/statistics-explained/index.php?title=Fertility_statistics</w:t>
        </w:r>
      </w:hyperlink>
    </w:p>
  </w:footnote>
  <w:footnote w:id="13">
    <w:p w:rsidR="00B243D9" w:rsidRDefault="00F5719E">
      <w:pPr>
        <w:pStyle w:val="FootnoteText"/>
        <w:rPr>
          <w:lang w:val="ro-RO"/>
        </w:rPr>
      </w:pPr>
      <w:r>
        <w:rPr>
          <w:rStyle w:val="FootnoteReference"/>
          <w:lang w:val="ro-RO"/>
        </w:rPr>
        <w:footnoteRef/>
      </w:r>
      <w:r>
        <w:rPr>
          <w:lang w:val="ro-RO"/>
        </w:rPr>
        <w:t xml:space="preserve"> Din cele 1 169 de regiuni NU</w:t>
      </w:r>
      <w:r>
        <w:rPr>
          <w:lang w:val="ro-RO"/>
        </w:rPr>
        <w:t>TS-3, doar patru au o rată a fertilității de peste 2,1: Mayotte (4,6), Guyana (3,8), La Réunion (2.4) și Melilla (2,3).</w:t>
      </w:r>
    </w:p>
  </w:footnote>
  <w:footnote w:id="14">
    <w:p w:rsidR="00B243D9" w:rsidRDefault="00F5719E">
      <w:pPr>
        <w:pStyle w:val="FootnoteText"/>
        <w:rPr>
          <w:lang w:val="ro-RO"/>
        </w:rPr>
      </w:pPr>
      <w:r>
        <w:rPr>
          <w:rStyle w:val="FootnoteReference"/>
          <w:lang w:val="ro-RO"/>
        </w:rPr>
        <w:footnoteRef/>
      </w:r>
      <w:r>
        <w:rPr>
          <w:lang w:val="ro-RO"/>
        </w:rPr>
        <w:t xml:space="preserve"> Această hartă arată regiunile NUTS3. Regiunea NUTS3 medie dintr-o țară are o populație cuprinsă între 150 000 și 800 000 de locuitori.</w:t>
      </w:r>
      <w:r>
        <w:rPr>
          <w:lang w:val="ro-RO"/>
        </w:rPr>
        <w:t xml:space="preserve"> </w:t>
      </w:r>
    </w:p>
  </w:footnote>
  <w:footnote w:id="15">
    <w:p w:rsidR="00B243D9" w:rsidRDefault="00F5719E">
      <w:pPr>
        <w:pStyle w:val="FootnoteText"/>
        <w:rPr>
          <w:lang w:val="ro-RO"/>
        </w:rPr>
      </w:pPr>
      <w:r>
        <w:rPr>
          <w:rStyle w:val="FootnoteReference"/>
          <w:lang w:val="ro-RO"/>
        </w:rPr>
        <w:footnoteRef/>
      </w:r>
      <w:r>
        <w:rPr>
          <w:lang w:val="ro-RO"/>
        </w:rPr>
        <w:t xml:space="preserve"> Vârsta mediană este o măsură generală a gradului de îmbătrânire a unei populații: jumătate din populație este mai în vârstă decât vârsta mediană, iar cealaltă jumătate este mai tânără.</w:t>
      </w:r>
    </w:p>
  </w:footnote>
  <w:footnote w:id="16">
    <w:p w:rsidR="00B243D9" w:rsidRDefault="00F5719E">
      <w:pPr>
        <w:pStyle w:val="FootnoteText"/>
        <w:rPr>
          <w:lang w:val="ro-RO"/>
        </w:rPr>
      </w:pPr>
      <w:r>
        <w:rPr>
          <w:rStyle w:val="FootnoteReference"/>
          <w:lang w:val="ro-RO"/>
        </w:rPr>
        <w:footnoteRef/>
      </w:r>
      <w:r>
        <w:rPr>
          <w:lang w:val="ro-RO"/>
        </w:rPr>
        <w:t xml:space="preserve"> Pentru mai multe informații, a se vedea publicația Eurostat „Statistici explicate” referitoare la structura și îmbătrânirea populației: </w:t>
      </w:r>
    </w:p>
    <w:p w:rsidR="00B243D9" w:rsidRDefault="00F5719E">
      <w:pPr>
        <w:pStyle w:val="FootnoteText"/>
        <w:rPr>
          <w:sz w:val="24"/>
          <w:szCs w:val="24"/>
          <w:lang w:val="ro-RO"/>
        </w:rPr>
      </w:pPr>
      <w:hyperlink r:id="rId6" w:history="1">
        <w:r>
          <w:rPr>
            <w:rStyle w:val="Hyperlink"/>
            <w:lang w:val="ro-RO"/>
          </w:rPr>
          <w:t>htt</w:t>
        </w:r>
        <w:r>
          <w:rPr>
            <w:rStyle w:val="Hyperlink"/>
            <w:lang w:val="ro-RO"/>
          </w:rPr>
          <w:t>ps://ec.europa.eu/eurostat/statistics-explained/index.php?title=Population_structure_and_ageing</w:t>
        </w:r>
      </w:hyperlink>
      <w:r>
        <w:rPr>
          <w:lang w:val="ro-RO"/>
        </w:rPr>
        <w:t xml:space="preserve"> </w:t>
      </w:r>
    </w:p>
  </w:footnote>
  <w:footnote w:id="17">
    <w:p w:rsidR="00B243D9" w:rsidRDefault="00F5719E">
      <w:pPr>
        <w:pStyle w:val="FootnoteText"/>
        <w:rPr>
          <w:lang w:val="ro-RO"/>
        </w:rPr>
      </w:pPr>
      <w:r>
        <w:rPr>
          <w:rStyle w:val="FootnoteReference"/>
          <w:lang w:val="ro-RO"/>
        </w:rPr>
        <w:footnoteRef/>
      </w:r>
      <w:r>
        <w:rPr>
          <w:lang w:val="ro-RO"/>
        </w:rPr>
        <w:t xml:space="preserve"> Populația în vârstă de muncă este definită convențional ca populația cu vârsta între 20 și 64 de ani. Pe măsură ce populația îmbătrânește și mai multe persoa</w:t>
      </w:r>
      <w:r>
        <w:rPr>
          <w:lang w:val="ro-RO"/>
        </w:rPr>
        <w:t>ne cu vârsta de cel puțin 65 de ani rămân încadrate în muncă, aceasta definiție convențională se poate schimba.</w:t>
      </w:r>
    </w:p>
  </w:footnote>
  <w:footnote w:id="18">
    <w:p w:rsidR="00B243D9" w:rsidRDefault="00F5719E">
      <w:pPr>
        <w:pStyle w:val="FootnoteText"/>
        <w:rPr>
          <w:lang w:val="ro-RO"/>
        </w:rPr>
      </w:pPr>
      <w:r>
        <w:rPr>
          <w:rStyle w:val="FootnoteReference"/>
          <w:lang w:val="ro-RO"/>
        </w:rPr>
        <w:footnoteRef/>
      </w:r>
      <w:r>
        <w:rPr>
          <w:lang w:val="ro-RO"/>
        </w:rPr>
        <w:t xml:space="preserve"> Europa în curs de îmbătrânire: abordarea vieții persoanelor în vârstă din UE, Comisia Europeană (2019).</w:t>
      </w:r>
    </w:p>
  </w:footnote>
  <w:footnote w:id="19">
    <w:p w:rsidR="00B243D9" w:rsidRDefault="00F5719E">
      <w:pPr>
        <w:pStyle w:val="FootnoteText"/>
        <w:rPr>
          <w:lang w:val="ro-RO"/>
        </w:rPr>
      </w:pPr>
      <w:r>
        <w:rPr>
          <w:rStyle w:val="FootnoteReference"/>
          <w:lang w:val="ro-RO"/>
        </w:rPr>
        <w:footnoteRef/>
      </w:r>
      <w:r>
        <w:rPr>
          <w:lang w:val="ro-RO"/>
        </w:rPr>
        <w:t xml:space="preserve"> În plus față de resortisanții țărilo</w:t>
      </w:r>
      <w:r>
        <w:rPr>
          <w:lang w:val="ro-RO"/>
        </w:rPr>
        <w:t xml:space="preserve">r terțe, aceste cifre includ cetățenii UE care revin în UE sau pleacă din UE. Pentru mai multe informații, a se vedea publicația Eurostat „Statistici explicate” referitoare la statisticile privind migrația: </w:t>
      </w:r>
      <w:hyperlink r:id="rId7" w:history="1">
        <w:r>
          <w:rPr>
            <w:rStyle w:val="Hyperlink"/>
            <w:lang w:val="ro-RO"/>
          </w:rPr>
          <w:t>https://ec.europa.eu/eurostat/statistics-explained/index.php?title=Migration_and_migrant_population_statistics</w:t>
        </w:r>
      </w:hyperlink>
      <w:r>
        <w:rPr>
          <w:lang w:val="ro-RO"/>
        </w:rPr>
        <w:t xml:space="preserve"> </w:t>
      </w:r>
    </w:p>
    <w:p w:rsidR="00B243D9" w:rsidRDefault="00B243D9">
      <w:pPr>
        <w:pStyle w:val="FootnoteText"/>
        <w:rPr>
          <w:lang w:val="ro-RO"/>
        </w:rPr>
      </w:pPr>
    </w:p>
  </w:footnote>
  <w:footnote w:id="20">
    <w:p w:rsidR="00B243D9" w:rsidRDefault="00F5719E">
      <w:pPr>
        <w:pStyle w:val="FootnoteText"/>
        <w:rPr>
          <w:lang w:val="ro-RO"/>
        </w:rPr>
      </w:pPr>
      <w:r>
        <w:rPr>
          <w:rStyle w:val="FootnoteReference"/>
          <w:lang w:val="ro-RO"/>
        </w:rPr>
        <w:footnoteRef/>
      </w:r>
      <w:r>
        <w:rPr>
          <w:lang w:val="ro-RO"/>
        </w:rPr>
        <w:t xml:space="preserve"> Pentru mai multe informații, a se vedea publicația Eurostat „St</w:t>
      </w:r>
      <w:r>
        <w:rPr>
          <w:lang w:val="ro-RO"/>
        </w:rPr>
        <w:t xml:space="preserve">atistici explicate” referitoare la statisticile privind populația și schimbările demografice: </w:t>
      </w:r>
    </w:p>
    <w:p w:rsidR="00B243D9" w:rsidRDefault="00F5719E">
      <w:pPr>
        <w:pStyle w:val="FootnoteText"/>
        <w:rPr>
          <w:lang w:val="ro-RO"/>
        </w:rPr>
      </w:pPr>
      <w:hyperlink r:id="rId8" w:history="1">
        <w:r>
          <w:rPr>
            <w:rStyle w:val="Hyperlink"/>
            <w:lang w:val="ro-RO"/>
          </w:rPr>
          <w:t>https://ec.europa.eu/eurostat/stat</w:t>
        </w:r>
        <w:r>
          <w:rPr>
            <w:rStyle w:val="Hyperlink"/>
            <w:lang w:val="ro-RO"/>
          </w:rPr>
          <w:t>istics-explained/index.php?title=Population_and_population_change_statistics</w:t>
        </w:r>
      </w:hyperlink>
      <w:r>
        <w:rPr>
          <w:lang w:val="ro-RO"/>
        </w:rPr>
        <w:t xml:space="preserve"> </w:t>
      </w:r>
    </w:p>
  </w:footnote>
  <w:footnote w:id="21">
    <w:p w:rsidR="00B243D9" w:rsidRDefault="00F5719E">
      <w:pPr>
        <w:pStyle w:val="FootnoteText"/>
        <w:rPr>
          <w:lang w:val="ro-RO"/>
        </w:rPr>
      </w:pPr>
      <w:r>
        <w:rPr>
          <w:rStyle w:val="FootnoteReference"/>
          <w:lang w:val="ro-RO"/>
        </w:rPr>
        <w:footnoteRef/>
      </w:r>
      <w:r>
        <w:rPr>
          <w:lang w:val="ro-RO"/>
        </w:rPr>
        <w:t xml:space="preserve"> În aprilie 2020, Eurostat a publicat proiecțiile demografice pe baza datelor din 2019. La momentul strângerii datelor, efectele pandemiei de CODVI-19 nu erau cunoscute, prin ur</w:t>
      </w:r>
      <w:r>
        <w:rPr>
          <w:lang w:val="ro-RO"/>
        </w:rPr>
        <w:t xml:space="preserve">mare acestea nu sunt incluse. Pentru mai multe informații, a se vedea articolul Eurostat „Statistici explicate” cu privire la proiecțiile demografice: </w:t>
      </w:r>
      <w:hyperlink r:id="rId9" w:history="1">
        <w:r>
          <w:rPr>
            <w:rStyle w:val="Hyperlink"/>
            <w:lang w:val="ro-RO"/>
          </w:rPr>
          <w:t>https://ec.europa.eu/eurostat/web/population-demography-migration-projections/population-projections-data</w:t>
        </w:r>
      </w:hyperlink>
      <w:r>
        <w:rPr>
          <w:rStyle w:val="Hyperlink"/>
          <w:lang w:val="ro-RO"/>
        </w:rPr>
        <w:t>.</w:t>
      </w:r>
      <w:r>
        <w:rPr>
          <w:strike/>
          <w:lang w:val="ro-RO"/>
        </w:rPr>
        <w:t xml:space="preserve"> </w:t>
      </w:r>
    </w:p>
  </w:footnote>
  <w:footnote w:id="22">
    <w:p w:rsidR="00B243D9" w:rsidRDefault="00F5719E">
      <w:pPr>
        <w:pStyle w:val="FootnoteText"/>
        <w:rPr>
          <w:lang w:val="ro-RO"/>
        </w:rPr>
      </w:pPr>
      <w:r>
        <w:rPr>
          <w:rStyle w:val="FootnoteReference"/>
          <w:lang w:val="ro-RO"/>
        </w:rPr>
        <w:footnoteRef/>
      </w:r>
      <w:r>
        <w:rPr>
          <w:lang w:val="ro-RO"/>
        </w:rPr>
        <w:t xml:space="preserve"> Această hartă prezintă regiunile NUTS3. Regiunea NUTS3 medie dintr-o țară are o populație cuprinsă între 150 000 și 800 000 de lo</w:t>
      </w:r>
      <w:r>
        <w:rPr>
          <w:lang w:val="ro-RO"/>
        </w:rPr>
        <w:t>cuitori. Datele corespund proiecțiilor regionale ale Eurostat (EUROPOP2013).</w:t>
      </w:r>
    </w:p>
  </w:footnote>
  <w:footnote w:id="23">
    <w:p w:rsidR="00B243D9" w:rsidRDefault="00F5719E">
      <w:pPr>
        <w:pStyle w:val="FootnoteText"/>
        <w:rPr>
          <w:lang w:val="ro-RO"/>
        </w:rPr>
      </w:pPr>
      <w:r>
        <w:rPr>
          <w:rStyle w:val="FootnoteReference"/>
          <w:lang w:val="ro-RO"/>
        </w:rPr>
        <w:footnoteRef/>
      </w:r>
      <w:r>
        <w:rPr>
          <w:lang w:val="ro-RO"/>
        </w:rPr>
        <w:t xml:space="preserve"> Raportul din 2018 privind îmbătrânirea populației: Proiecții economice și bugetare pentru statele membre ale UE (2016-2070), Documentul instituțional 079, Comisia Europeană și C</w:t>
      </w:r>
      <w:r>
        <w:rPr>
          <w:lang w:val="ro-RO"/>
        </w:rPr>
        <w:t>omitetul pentru politică economică (2018).</w:t>
      </w:r>
    </w:p>
  </w:footnote>
  <w:footnote w:id="24">
    <w:p w:rsidR="00B243D9" w:rsidRDefault="00F5719E">
      <w:pPr>
        <w:pStyle w:val="FootnoteText"/>
        <w:rPr>
          <w:lang w:val="ro-RO"/>
        </w:rPr>
      </w:pPr>
      <w:r>
        <w:rPr>
          <w:rStyle w:val="FootnoteReference"/>
          <w:lang w:val="ro-RO"/>
        </w:rPr>
        <w:footnoteRef/>
      </w:r>
      <w:r>
        <w:rPr>
          <w:lang w:val="ro-RO"/>
        </w:rPr>
        <w:t xml:space="preserve"> Previziunea economică din primăvara 2020 a Comisiei Europene, 6.5.2020</w:t>
      </w:r>
    </w:p>
  </w:footnote>
  <w:footnote w:id="25">
    <w:p w:rsidR="00B243D9" w:rsidRDefault="00F5719E">
      <w:pPr>
        <w:pStyle w:val="FootnoteText"/>
        <w:rPr>
          <w:lang w:val="ro-RO"/>
        </w:rPr>
      </w:pPr>
      <w:r>
        <w:rPr>
          <w:rStyle w:val="FootnoteReference"/>
          <w:lang w:val="ro-RO"/>
        </w:rPr>
        <w:footnoteRef/>
      </w:r>
      <w:r>
        <w:rPr>
          <w:lang w:val="ro-RO"/>
        </w:rPr>
        <w:t xml:space="preserve"> O Uniune a egalității: Strategia privind egalitatea de gen 2020-2025, adoptată la 5 martie 2020 (COM (2020) 152 final).</w:t>
      </w:r>
    </w:p>
  </w:footnote>
  <w:footnote w:id="26">
    <w:p w:rsidR="00B243D9" w:rsidRDefault="00F5719E">
      <w:pPr>
        <w:pStyle w:val="FootnoteText"/>
        <w:rPr>
          <w:lang w:val="ro-RO"/>
        </w:rPr>
      </w:pPr>
      <w:r>
        <w:rPr>
          <w:rStyle w:val="FootnoteReference"/>
          <w:lang w:val="ro-RO"/>
        </w:rPr>
        <w:footnoteRef/>
      </w:r>
      <w:r>
        <w:rPr>
          <w:lang w:val="ro-RO"/>
        </w:rPr>
        <w:t xml:space="preserve"> Raportul din 201</w:t>
      </w:r>
      <w:r>
        <w:rPr>
          <w:lang w:val="ro-RO"/>
        </w:rPr>
        <w:t>8 privind îmbătrânirea populației: Proiecții economice și bugetare pentru statele membre ale UE (2016-2070), Documentul instituțional 079, Comisia Europeană și Comitetul pentru politică economică (2018)</w:t>
      </w:r>
    </w:p>
  </w:footnote>
  <w:footnote w:id="27">
    <w:p w:rsidR="00B243D9" w:rsidRDefault="00F5719E">
      <w:pPr>
        <w:pStyle w:val="FootnoteText"/>
        <w:rPr>
          <w:lang w:val="ro-RO"/>
        </w:rPr>
      </w:pPr>
      <w:r>
        <w:rPr>
          <w:rStyle w:val="FootnoteReference"/>
          <w:lang w:val="ro-RO"/>
        </w:rPr>
        <w:footnoteRef/>
      </w:r>
      <w:r>
        <w:rPr>
          <w:lang w:val="ro-RO"/>
        </w:rPr>
        <w:t xml:space="preserve"> O nouă strategie industrială pentru Europa, adoptat</w:t>
      </w:r>
      <w:r>
        <w:rPr>
          <w:lang w:val="ro-RO"/>
        </w:rPr>
        <w:t>ă la 10 martie 2020 COM(2020) 102 final.</w:t>
      </w:r>
    </w:p>
  </w:footnote>
  <w:footnote w:id="28">
    <w:p w:rsidR="00B243D9" w:rsidRDefault="00F5719E">
      <w:pPr>
        <w:pStyle w:val="FootnoteText"/>
        <w:rPr>
          <w:lang w:val="ro-RO"/>
        </w:rPr>
      </w:pPr>
      <w:r>
        <w:rPr>
          <w:rStyle w:val="FootnoteReference"/>
          <w:lang w:val="ro-RO"/>
        </w:rPr>
        <w:footnoteRef/>
      </w:r>
      <w:r>
        <w:rPr>
          <w:lang w:val="ro-RO"/>
        </w:rPr>
        <w:t xml:space="preserve"> A se vedea, de exemplu, Canton, E., Thum-Thysen, A., Voigt, P. (2018) Reflecțiile economiștilor cu privire la investițiile în capitalul uman: Cât de eficiente sunt</w:t>
      </w:r>
    </w:p>
    <w:p w:rsidR="00B243D9" w:rsidRDefault="00F5719E">
      <w:pPr>
        <w:pStyle w:val="FootnoteText"/>
        <w:rPr>
          <w:lang w:val="ro-RO"/>
        </w:rPr>
      </w:pPr>
      <w:r>
        <w:rPr>
          <w:lang w:val="ro-RO"/>
        </w:rPr>
        <w:t>cheltuielile publice pentru educație în statele m</w:t>
      </w:r>
      <w:r>
        <w:rPr>
          <w:lang w:val="ro-RO"/>
        </w:rPr>
        <w:t xml:space="preserve">embre ale UE? Documentul de reflecție privind economia europeană 81: </w:t>
      </w:r>
    </w:p>
    <w:p w:rsidR="00B243D9" w:rsidRDefault="00F5719E">
      <w:pPr>
        <w:pStyle w:val="FootnoteText"/>
        <w:rPr>
          <w:lang w:val="ro-RO"/>
        </w:rPr>
      </w:pPr>
      <w:hyperlink r:id="rId10" w:history="1">
        <w:r>
          <w:rPr>
            <w:rStyle w:val="Hyperlink"/>
            <w:lang w:val="ro-RO"/>
          </w:rPr>
          <w:t>https://ec.</w:t>
        </w:r>
        <w:r>
          <w:rPr>
            <w:rStyle w:val="Hyperlink"/>
            <w:lang w:val="ro-RO"/>
          </w:rPr>
          <w:t>europa.eu/info/publications/economy-finance/economists-musings-human-capital-investment-how-efficient-public-spending-education-eu-member-states_en</w:t>
        </w:r>
      </w:hyperlink>
      <w:r>
        <w:rPr>
          <w:lang w:val="ro-RO"/>
        </w:rPr>
        <w:t xml:space="preserve"> </w:t>
      </w:r>
    </w:p>
  </w:footnote>
  <w:footnote w:id="29">
    <w:p w:rsidR="00B243D9" w:rsidRDefault="00F5719E">
      <w:pPr>
        <w:pStyle w:val="FootnoteText"/>
        <w:rPr>
          <w:lang w:val="ro-RO"/>
        </w:rPr>
      </w:pPr>
      <w:r>
        <w:rPr>
          <w:rStyle w:val="FootnoteReference"/>
          <w:lang w:val="ro-RO"/>
        </w:rPr>
        <w:footnoteRef/>
      </w:r>
      <w:r>
        <w:rPr>
          <w:lang w:val="ro-RO"/>
        </w:rPr>
        <w:t xml:space="preserve"> </w:t>
      </w:r>
      <w:hyperlink r:id="rId11" w:history="1">
        <w:r>
          <w:rPr>
            <w:rStyle w:val="Hyperlink"/>
            <w:lang w:val="ro-RO"/>
          </w:rPr>
          <w:t>https://www.ecdc.europa.eu/en/cases-2</w:t>
        </w:r>
        <w:r>
          <w:rPr>
            <w:rStyle w:val="Hyperlink"/>
            <w:lang w:val="ro-RO"/>
          </w:rPr>
          <w:t>019-ncov-eueea</w:t>
        </w:r>
      </w:hyperlink>
      <w:r>
        <w:rPr>
          <w:lang w:val="ro-RO"/>
        </w:rPr>
        <w:t xml:space="preserve"> </w:t>
      </w:r>
    </w:p>
  </w:footnote>
  <w:footnote w:id="30">
    <w:p w:rsidR="00B243D9" w:rsidRDefault="00F5719E">
      <w:pPr>
        <w:pStyle w:val="FootnoteText"/>
        <w:rPr>
          <w:lang w:val="ro-RO"/>
        </w:rPr>
      </w:pPr>
      <w:r>
        <w:rPr>
          <w:rStyle w:val="FootnoteReference"/>
          <w:lang w:val="ro-RO"/>
        </w:rPr>
        <w:footnoteRef/>
      </w:r>
      <w:r>
        <w:rPr>
          <w:lang w:val="ro-RO"/>
        </w:rPr>
        <w:t xml:space="preserve"> Această hartă arată regiunile NUTS3. Regiunea NUTS3 medie dintr-o țară are o populație cuprinsă între 150 000 și 800 000 de locuitori. Datele corespund proiecțiilor regionale ale Eurostat (EUROPOP2013).</w:t>
      </w:r>
    </w:p>
    <w:p w:rsidR="00B243D9" w:rsidRDefault="00B243D9">
      <w:pPr>
        <w:pStyle w:val="FootnoteText"/>
        <w:rPr>
          <w:lang w:val="ro-RO"/>
        </w:rPr>
      </w:pPr>
    </w:p>
  </w:footnote>
  <w:footnote w:id="31">
    <w:p w:rsidR="00B243D9" w:rsidRDefault="00F5719E">
      <w:pPr>
        <w:pStyle w:val="FootnoteText"/>
        <w:rPr>
          <w:lang w:val="ro-RO"/>
        </w:rPr>
      </w:pPr>
      <w:r>
        <w:rPr>
          <w:rStyle w:val="FootnoteReference"/>
          <w:lang w:val="ro-RO"/>
        </w:rPr>
        <w:footnoteRef/>
      </w:r>
      <w:r>
        <w:rPr>
          <w:lang w:val="ro-RO"/>
        </w:rPr>
        <w:t xml:space="preserve"> Pentru mai multe informații cu privire la EU4Health, a se vedea: </w:t>
      </w:r>
      <w:hyperlink r:id="rId12" w:history="1">
        <w:r>
          <w:rPr>
            <w:rStyle w:val="Hyperlink"/>
            <w:lang w:val="ro-RO"/>
          </w:rPr>
          <w:t>https://ec.europa.eu/health/funding/eu4health_en</w:t>
        </w:r>
      </w:hyperlink>
      <w:r>
        <w:rPr>
          <w:lang w:val="ro-RO"/>
        </w:rPr>
        <w:t xml:space="preserve"> </w:t>
      </w:r>
    </w:p>
  </w:footnote>
  <w:footnote w:id="32">
    <w:p w:rsidR="00B243D9" w:rsidRDefault="00F5719E">
      <w:pPr>
        <w:pStyle w:val="FootnoteText"/>
        <w:rPr>
          <w:lang w:val="ro-RO"/>
        </w:rPr>
      </w:pPr>
      <w:r>
        <w:rPr>
          <w:rStyle w:val="FootnoteReference"/>
          <w:lang w:val="ro-RO"/>
        </w:rPr>
        <w:footnoteRef/>
      </w:r>
      <w:r>
        <w:rPr>
          <w:lang w:val="ro-RO"/>
        </w:rPr>
        <w:t xml:space="preserve"> </w:t>
      </w:r>
      <w:hyperlink r:id="rId13" w:history="1">
        <w:r>
          <w:rPr>
            <w:rStyle w:val="Hyperlink"/>
            <w:lang w:val="ro-RO"/>
          </w:rPr>
          <w:t>https://data.consilium.europa.eu/doc/document/ST-12983-2013-INIT/en/pdf</w:t>
        </w:r>
      </w:hyperlink>
      <w:r>
        <w:rPr>
          <w:lang w:val="ro-RO"/>
        </w:rPr>
        <w:t xml:space="preserve"> </w:t>
      </w:r>
    </w:p>
  </w:footnote>
  <w:footnote w:id="33">
    <w:p w:rsidR="00B243D9" w:rsidRDefault="00F5719E">
      <w:pPr>
        <w:pStyle w:val="FootnoteText"/>
        <w:rPr>
          <w:lang w:val="ro-RO"/>
        </w:rPr>
      </w:pPr>
      <w:r>
        <w:rPr>
          <w:rStyle w:val="FootnoteReference"/>
          <w:lang w:val="ro-RO"/>
        </w:rPr>
        <w:footnoteRef/>
      </w:r>
      <w:r>
        <w:rPr>
          <w:lang w:val="ro-RO"/>
        </w:rPr>
        <w:t xml:space="preserve"> Starea sănătății în UE, profilurile de țară în domeniul sănătății 2019, ancheta SHARE (2017).</w:t>
      </w:r>
    </w:p>
  </w:footnote>
  <w:footnote w:id="34">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14" w:history="1">
        <w:r>
          <w:rPr>
            <w:rStyle w:val="Hyperlink"/>
            <w:lang w:val="ro-RO"/>
          </w:rPr>
          <w:t>https://ec.europa.eu/food/farm2fork_en</w:t>
        </w:r>
      </w:hyperlink>
      <w:r>
        <w:rPr>
          <w:lang w:val="ro-RO"/>
        </w:rPr>
        <w:t xml:space="preserve"> </w:t>
      </w:r>
    </w:p>
  </w:footnote>
  <w:footnote w:id="35">
    <w:p w:rsidR="00B243D9" w:rsidRDefault="00F5719E">
      <w:pPr>
        <w:pStyle w:val="FootnoteText"/>
        <w:rPr>
          <w:lang w:val="ro-RO"/>
        </w:rPr>
      </w:pPr>
      <w:r>
        <w:rPr>
          <w:rStyle w:val="FootnoteReference"/>
          <w:lang w:val="ro-RO"/>
        </w:rPr>
        <w:footnoteRef/>
      </w:r>
      <w:r>
        <w:rPr>
          <w:lang w:val="ro-RO"/>
        </w:rPr>
        <w:t xml:space="preserve"> Astfel de deficite pot avea cauze diferite, inclusiv nivelul de remunerare și condițiile de muncă.</w:t>
      </w:r>
    </w:p>
  </w:footnote>
  <w:footnote w:id="36">
    <w:p w:rsidR="00B243D9" w:rsidRDefault="00F5719E">
      <w:pPr>
        <w:pStyle w:val="FootnoteText"/>
        <w:rPr>
          <w:lang w:val="ro-RO"/>
        </w:rPr>
      </w:pPr>
      <w:r>
        <w:rPr>
          <w:rStyle w:val="FootnoteReference"/>
          <w:lang w:val="ro-RO"/>
        </w:rPr>
        <w:footnoteRef/>
      </w:r>
      <w:r>
        <w:rPr>
          <w:lang w:val="ro-RO"/>
        </w:rPr>
        <w:t xml:space="preserve"> Starea sănătă</w:t>
      </w:r>
      <w:r>
        <w:rPr>
          <w:lang w:val="ro-RO"/>
        </w:rPr>
        <w:t>ții în UE, Sănătatea pe scurt: Europa 2018, OCDE/UE (2018), p. 178 și 180</w:t>
      </w:r>
    </w:p>
  </w:footnote>
  <w:footnote w:id="37">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15" w:history="1">
        <w:r>
          <w:rPr>
            <w:rStyle w:val="Hyperlink"/>
            <w:lang w:val="ro-RO"/>
          </w:rPr>
          <w:t>https://</w:t>
        </w:r>
        <w:r>
          <w:rPr>
            <w:rStyle w:val="Hyperlink"/>
            <w:lang w:val="ro-RO"/>
          </w:rPr>
          <w:t>www.oecd.org/els/health-systems/who-cares-attracting-and-retaining-elderly-care-workers-92c0ef68-en.htm</w:t>
        </w:r>
      </w:hyperlink>
      <w:r>
        <w:rPr>
          <w:lang w:val="ro-RO"/>
        </w:rPr>
        <w:t xml:space="preserve"> </w:t>
      </w:r>
    </w:p>
  </w:footnote>
  <w:footnote w:id="38">
    <w:p w:rsidR="00B243D9" w:rsidRDefault="00F5719E">
      <w:pPr>
        <w:pStyle w:val="FootnoteText"/>
        <w:rPr>
          <w:lang w:val="ro-RO"/>
        </w:rPr>
      </w:pPr>
      <w:r>
        <w:rPr>
          <w:rStyle w:val="FootnoteReference"/>
          <w:lang w:val="ro-RO"/>
        </w:rPr>
        <w:footnoteRef/>
      </w:r>
      <w:r>
        <w:rPr>
          <w:lang w:val="ro-RO"/>
        </w:rPr>
        <w:t xml:space="preserve"> Articolul 35 din Carta drepturilor fundamentale a Uniunii Europene.</w:t>
      </w:r>
    </w:p>
  </w:footnote>
  <w:footnote w:id="39">
    <w:p w:rsidR="00B243D9" w:rsidRDefault="00F5719E">
      <w:pPr>
        <w:pStyle w:val="FootnoteText"/>
        <w:rPr>
          <w:lang w:val="ro-RO"/>
        </w:rPr>
      </w:pPr>
      <w:r>
        <w:rPr>
          <w:rStyle w:val="FootnoteReference"/>
          <w:lang w:val="ro-RO"/>
        </w:rPr>
        <w:footnoteRef/>
      </w:r>
      <w:r>
        <w:rPr>
          <w:lang w:val="ro-RO"/>
        </w:rPr>
        <w:t xml:space="preserve"> Acest „triplu câștig” este susținut de Parteneriatul european pentru inovare pr</w:t>
      </w:r>
      <w:r>
        <w:rPr>
          <w:lang w:val="ro-RO"/>
        </w:rPr>
        <w:t xml:space="preserve">ivind îmbătrânirea activă și în condiții bune de sănătate. Pentru informații suplimentare, a se vedea: </w:t>
      </w:r>
      <w:hyperlink r:id="rId16" w:history="1">
        <w:r>
          <w:rPr>
            <w:rStyle w:val="Hyperlink"/>
            <w:lang w:val="ro-RO"/>
          </w:rPr>
          <w:t>https://ec.europa.eu/eip/ageing/about-the-partnership_en</w:t>
        </w:r>
      </w:hyperlink>
      <w:r>
        <w:rPr>
          <w:lang w:val="ro-RO"/>
        </w:rPr>
        <w:t xml:space="preserve"> </w:t>
      </w:r>
    </w:p>
  </w:footnote>
  <w:footnote w:id="40">
    <w:p w:rsidR="00B243D9" w:rsidRDefault="00F5719E">
      <w:pPr>
        <w:pStyle w:val="FootnoteText"/>
        <w:rPr>
          <w:lang w:val="ro-RO"/>
        </w:rPr>
      </w:pPr>
      <w:r>
        <w:rPr>
          <w:rStyle w:val="FootnoteReference"/>
          <w:lang w:val="ro-RO"/>
        </w:rPr>
        <w:footnoteRef/>
      </w:r>
      <w:r>
        <w:rPr>
          <w:lang w:val="ro-RO"/>
        </w:rPr>
        <w:t>În Raportul privind î</w:t>
      </w:r>
      <w:r>
        <w:rPr>
          <w:lang w:val="ro-RO"/>
        </w:rPr>
        <w:t xml:space="preserve">mbătrânirea din 2018, costul total al îmbătrânirii populației este definit drept cheltuielile publice pentru pensii, asistență medicală, îngrijire pe termen lung, educație și indemnizații de șomaj. </w:t>
      </w:r>
    </w:p>
  </w:footnote>
  <w:footnote w:id="41">
    <w:p w:rsidR="00B243D9" w:rsidRDefault="00F5719E">
      <w:pPr>
        <w:pStyle w:val="FootnoteText"/>
        <w:rPr>
          <w:lang w:val="ro-RO"/>
        </w:rPr>
      </w:pPr>
      <w:r>
        <w:rPr>
          <w:rStyle w:val="FootnoteReference"/>
          <w:lang w:val="ro-RO"/>
        </w:rPr>
        <w:footnoteRef/>
      </w:r>
      <w:r>
        <w:rPr>
          <w:lang w:val="ro-RO"/>
        </w:rPr>
        <w:t xml:space="preserve"> Pentru o analiză detaliată a factorilor care determină </w:t>
      </w:r>
      <w:r>
        <w:rPr>
          <w:lang w:val="ro-RO"/>
        </w:rPr>
        <w:t>creșterea cheltuielilor de asistență medicală și de îngrijire pe termen lung, a se vedea: Raport comun privind sistemele de sănătate și de îngrijire pe termen lung și sustenabilitatea finanțelor publice, Comisia Europeană și Comitetul pentru politică econo</w:t>
      </w:r>
      <w:r>
        <w:rPr>
          <w:lang w:val="ro-RO"/>
        </w:rPr>
        <w:t>mică (CPE), 2016.</w:t>
      </w:r>
    </w:p>
  </w:footnote>
  <w:footnote w:id="42">
    <w:p w:rsidR="00B243D9" w:rsidRDefault="00F5719E">
      <w:pPr>
        <w:pStyle w:val="FootnoteText"/>
        <w:rPr>
          <w:lang w:val="ro-RO"/>
        </w:rPr>
      </w:pPr>
      <w:r>
        <w:rPr>
          <w:rStyle w:val="FootnoteReference"/>
          <w:lang w:val="ro-RO"/>
        </w:rPr>
        <w:footnoteRef/>
      </w:r>
      <w:r>
        <w:rPr>
          <w:lang w:val="ro-RO"/>
        </w:rPr>
        <w:t xml:space="preserve"> Sărăcia în rândul persoanelor în vârstă are două componente: persoanele al căror venit este sub 60 % din mediana națională și persoanele care nu își pot permite cel puțin patru dintre cele zece articole esențiale (a se vedea </w:t>
      </w:r>
      <w:hyperlink r:id="rId17" w:history="1">
        <w:r>
          <w:rPr>
            <w:rStyle w:val="Hyperlink"/>
            <w:lang w:val="ro-RO"/>
          </w:rPr>
          <w:t>https://ec.europa.eu/eurostat/statistics-explained/index.php/Glossary:Material_deprivation</w:t>
        </w:r>
      </w:hyperlink>
      <w:r>
        <w:rPr>
          <w:lang w:val="ro-RO"/>
        </w:rPr>
        <w:t>)</w:t>
      </w:r>
    </w:p>
  </w:footnote>
  <w:footnote w:id="43">
    <w:p w:rsidR="00B243D9" w:rsidRDefault="00F5719E">
      <w:pPr>
        <w:pStyle w:val="FootnoteText"/>
        <w:rPr>
          <w:lang w:val="ro-RO"/>
        </w:rPr>
      </w:pPr>
      <w:r>
        <w:rPr>
          <w:rStyle w:val="FootnoteReference"/>
          <w:lang w:val="ro-RO"/>
        </w:rPr>
        <w:footnoteRef/>
      </w:r>
      <w:r>
        <w:rPr>
          <w:lang w:val="ro-RO"/>
        </w:rPr>
        <w:t xml:space="preserve"> Pentru o analiză detaliată a impactului schimbărilor demografice a</w:t>
      </w:r>
      <w:r>
        <w:rPr>
          <w:lang w:val="ro-RO"/>
        </w:rPr>
        <w:t>supra caracterului adecvat al pensiilor: Raportul privind adecvarea pensiilor pe 2018: adecvarea actuală și viitoare a veniturilor la o vârstă înaintată în UE, Comisia Europeană și Comitetul pentru protecție socială (CPS), 2018.</w:t>
      </w:r>
    </w:p>
  </w:footnote>
  <w:footnote w:id="44">
    <w:p w:rsidR="00B243D9" w:rsidRDefault="00F5719E">
      <w:pPr>
        <w:pStyle w:val="FootnoteText"/>
        <w:rPr>
          <w:lang w:val="ro-RO"/>
        </w:rPr>
      </w:pPr>
      <w:r>
        <w:rPr>
          <w:rStyle w:val="FootnoteReference"/>
          <w:lang w:val="ro-RO"/>
        </w:rPr>
        <w:footnoteRef/>
      </w:r>
      <w:r>
        <w:rPr>
          <w:lang w:val="ro-RO"/>
        </w:rPr>
        <w:t xml:space="preserve"> În 2018, în UE-27, 30,5 %</w:t>
      </w:r>
      <w:r>
        <w:rPr>
          <w:lang w:val="ro-RO"/>
        </w:rPr>
        <w:t xml:space="preserve"> din femei și 9,2 % din bărbați lucrau cu fracțiune de normă (Eurostat, LFS).</w:t>
      </w:r>
    </w:p>
  </w:footnote>
  <w:footnote w:id="45">
    <w:p w:rsidR="00B243D9" w:rsidRDefault="00F5719E">
      <w:pPr>
        <w:pStyle w:val="FootnoteText"/>
        <w:rPr>
          <w:lang w:val="ro-RO"/>
        </w:rPr>
      </w:pPr>
      <w:r>
        <w:rPr>
          <w:rStyle w:val="FootnoteReference"/>
          <w:lang w:val="ro-RO"/>
        </w:rPr>
        <w:footnoteRef/>
      </w:r>
      <w:r>
        <w:rPr>
          <w:lang w:val="ro-RO"/>
        </w:rPr>
        <w:t xml:space="preserve"> Ponderea contractelor temporare pentru persoanele cu vârste cuprinse între 15 și 64 de ani a rămas stabilă în ultimii ani. În 2018, aceasta se ridica la 12,1 % din totalul ocup</w:t>
      </w:r>
      <w:r>
        <w:rPr>
          <w:lang w:val="ro-RO"/>
        </w:rPr>
        <w:t>ării forței de muncă. Proporția în rândul femeilor este ușor mai ridicată (13,1 %) decât în cazul bărbaților (11,2 %) (Eurostat).</w:t>
      </w:r>
    </w:p>
  </w:footnote>
  <w:footnote w:id="46">
    <w:p w:rsidR="00B243D9" w:rsidRDefault="00F5719E">
      <w:pPr>
        <w:pStyle w:val="FootnoteText"/>
        <w:rPr>
          <w:lang w:val="ro-RO"/>
        </w:rPr>
      </w:pPr>
      <w:r>
        <w:rPr>
          <w:rStyle w:val="FootnoteReference"/>
          <w:lang w:val="ro-RO"/>
        </w:rPr>
        <w:footnoteRef/>
      </w:r>
      <w:r>
        <w:rPr>
          <w:lang w:val="ro-RO"/>
        </w:rPr>
        <w:t xml:space="preserve"> Regional se referă la NUTS3 și local se referă la UAL (unități administrative locale).</w:t>
      </w:r>
    </w:p>
  </w:footnote>
  <w:footnote w:id="47">
    <w:p w:rsidR="00B243D9" w:rsidRDefault="00F5719E">
      <w:pPr>
        <w:pStyle w:val="FootnoteText"/>
        <w:rPr>
          <w:lang w:val="ro-RO"/>
        </w:rPr>
      </w:pPr>
      <w:r>
        <w:rPr>
          <w:rStyle w:val="FootnoteReference"/>
          <w:lang w:val="ro-RO"/>
        </w:rPr>
        <w:footnoteRef/>
      </w:r>
      <w:r>
        <w:rPr>
          <w:lang w:val="ro-RO"/>
        </w:rPr>
        <w:t xml:space="preserve"> COM(2020) 451 final, 28.5.2020.</w:t>
      </w:r>
    </w:p>
  </w:footnote>
  <w:footnote w:id="48">
    <w:p w:rsidR="00B243D9" w:rsidRDefault="00F5719E">
      <w:pPr>
        <w:pStyle w:val="FootnoteText"/>
        <w:rPr>
          <w:lang w:val="ro-RO"/>
        </w:rPr>
      </w:pPr>
      <w:r>
        <w:rPr>
          <w:rStyle w:val="FootnoteReference"/>
          <w:lang w:val="ro-RO"/>
        </w:rPr>
        <w:footnoteRef/>
      </w:r>
      <w:r>
        <w:rPr>
          <w:lang w:val="ro-RO"/>
        </w:rPr>
        <w:t xml:space="preserve"> A</w:t>
      </w:r>
      <w:r>
        <w:rPr>
          <w:lang w:val="ro-RO"/>
        </w:rPr>
        <w:t>ceastă hartă prezintă regiunile NUTS3. Regiunea NUTS3 medie dintr-o țară are o populație cuprinsă între 150 000 și 800 000 de locuitori.</w:t>
      </w:r>
    </w:p>
  </w:footnote>
  <w:footnote w:id="49">
    <w:p w:rsidR="00B243D9" w:rsidRDefault="00F5719E">
      <w:pPr>
        <w:rPr>
          <w:lang w:val="ro-RO"/>
        </w:rPr>
      </w:pPr>
      <w:r>
        <w:rPr>
          <w:rStyle w:val="FootnoteReference"/>
          <w:lang w:val="ro-RO"/>
        </w:rPr>
        <w:footnoteRef/>
      </w:r>
      <w:r>
        <w:rPr>
          <w:lang w:val="ro-RO"/>
        </w:rPr>
        <w:t xml:space="preserve"> </w:t>
      </w:r>
      <w:hyperlink r:id="rId18" w:history="1">
        <w:r>
          <w:rPr>
            <w:rStyle w:val="Hyperlink"/>
            <w:rFonts w:ascii="Times New Roman" w:hAnsi="Times New Roman"/>
            <w:sz w:val="18"/>
            <w:szCs w:val="18"/>
            <w:lang w:val="ro-RO"/>
          </w:rPr>
          <w:t>http://publications.jrc.ec.europa.eu</w:t>
        </w:r>
        <w:r>
          <w:rPr>
            <w:rStyle w:val="Hyperlink"/>
            <w:rFonts w:ascii="Times New Roman" w:hAnsi="Times New Roman"/>
            <w:sz w:val="18"/>
            <w:szCs w:val="18"/>
            <w:lang w:val="ro-RO"/>
          </w:rPr>
          <w:t>/repository/handle/JRC120680</w:t>
        </w:r>
      </w:hyperlink>
      <w:r>
        <w:rPr>
          <w:rStyle w:val="Hyperlink"/>
          <w:rFonts w:ascii="Times New Roman" w:hAnsi="Times New Roman"/>
          <w:sz w:val="18"/>
          <w:szCs w:val="18"/>
          <w:lang w:val="ro-RO"/>
        </w:rPr>
        <w:t xml:space="preserve"> </w:t>
      </w:r>
    </w:p>
  </w:footnote>
  <w:footnote w:id="50">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19" w:tgtFrame="_blank" w:history="1">
        <w:r>
          <w:rPr>
            <w:rStyle w:val="Hyperlink"/>
            <w:lang w:val="ro-RO"/>
          </w:rPr>
          <w:t>https://doi.org/10.1787/b902cc00-en</w:t>
        </w:r>
      </w:hyperlink>
    </w:p>
  </w:footnote>
  <w:footnote w:id="51">
    <w:p w:rsidR="00B243D9" w:rsidRDefault="00F5719E">
      <w:pPr>
        <w:pStyle w:val="FootnoteText"/>
        <w:rPr>
          <w:lang w:val="ro-RO"/>
        </w:rPr>
      </w:pPr>
      <w:r>
        <w:rPr>
          <w:rStyle w:val="FootnoteReference"/>
          <w:lang w:val="ro-RO"/>
        </w:rPr>
        <w:footnoteRef/>
      </w:r>
      <w:r>
        <w:rPr>
          <w:lang w:val="ro-RO"/>
        </w:rPr>
        <w:t xml:space="preserve"> Această hartă arată regiunile NUTS3. Regiunea NUTS3 medie dintr-o țară are o populație cuprinsă între 150 000 și 800 000 de locuitori. </w:t>
      </w:r>
    </w:p>
  </w:footnote>
  <w:footnote w:id="52">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20" w:history="1">
        <w:r>
          <w:rPr>
            <w:rStyle w:val="Hyperlink"/>
            <w:lang w:val="ro-RO"/>
          </w:rPr>
          <w:t>https://ec.europa.eu/info/publications/mff-legislation_en</w:t>
        </w:r>
      </w:hyperlink>
      <w:r>
        <w:rPr>
          <w:lang w:val="ro-RO"/>
        </w:rPr>
        <w:t xml:space="preserve"> </w:t>
      </w:r>
    </w:p>
  </w:footnote>
  <w:footnote w:id="53">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21" w:history="1">
        <w:r>
          <w:rPr>
            <w:rStyle w:val="Hyperlink"/>
            <w:lang w:val="ro-RO"/>
          </w:rPr>
          <w:t>https://ec.europa.eu/regional_policy/en/information/publications/regional-focus/2018/access-to-universities-in-the-eu-a-regional-and-territorial-analysis</w:t>
        </w:r>
      </w:hyperlink>
      <w:r>
        <w:rPr>
          <w:lang w:val="ro-RO"/>
        </w:rPr>
        <w:t xml:space="preserve"> </w:t>
      </w:r>
    </w:p>
  </w:footnote>
  <w:footnote w:id="54">
    <w:p w:rsidR="00B243D9" w:rsidRDefault="00F5719E">
      <w:pPr>
        <w:pStyle w:val="FootnoteText"/>
        <w:rPr>
          <w:lang w:val="ro-RO"/>
        </w:rPr>
      </w:pPr>
      <w:r>
        <w:rPr>
          <w:rStyle w:val="FootnoteReference"/>
          <w:lang w:val="ro-RO"/>
        </w:rPr>
        <w:footnoteRef/>
      </w:r>
      <w:r>
        <w:rPr>
          <w:lang w:val="ro-RO"/>
        </w:rPr>
        <w:t xml:space="preserve"> Pentru informații suplimentare, a se vedea</w:t>
      </w:r>
      <w:r>
        <w:rPr>
          <w:lang w:val="ro-RO"/>
        </w:rPr>
        <w:t xml:space="preserve">: </w:t>
      </w:r>
      <w:hyperlink r:id="rId22" w:anchor="the-chapter" w:history="1">
        <w:r>
          <w:rPr>
            <w:rStyle w:val="Hyperlink"/>
            <w:lang w:val="ro-RO"/>
          </w:rPr>
          <w:t>https://urban.jrc.ec.europa.eu/thefutureofcities/ageing#the-chapter</w:t>
        </w:r>
      </w:hyperlink>
    </w:p>
  </w:footnote>
  <w:footnote w:id="55">
    <w:p w:rsidR="00B243D9" w:rsidRDefault="00F5719E">
      <w:pPr>
        <w:pStyle w:val="FootnoteText"/>
        <w:rPr>
          <w:lang w:val="ro-RO"/>
        </w:rPr>
      </w:pPr>
      <w:r>
        <w:rPr>
          <w:rStyle w:val="FootnoteReference"/>
          <w:lang w:val="ro-RO"/>
        </w:rPr>
        <w:footnoteRef/>
      </w:r>
      <w:r>
        <w:rPr>
          <w:lang w:val="ro-RO"/>
        </w:rPr>
        <w:t xml:space="preserve"> Incendiile forestiere – Inițierea unor politici inteligente de combatere a incendiilor în UE, C</w:t>
      </w:r>
      <w:r>
        <w:rPr>
          <w:lang w:val="ro-RO"/>
        </w:rPr>
        <w:t xml:space="preserve">omisia Europeană (2018). </w:t>
      </w:r>
    </w:p>
  </w:footnote>
  <w:footnote w:id="56">
    <w:p w:rsidR="00B243D9" w:rsidRDefault="00F5719E">
      <w:pPr>
        <w:pStyle w:val="FootnoteText"/>
        <w:rPr>
          <w:lang w:val="ro-RO"/>
        </w:rPr>
      </w:pPr>
      <w:r>
        <w:rPr>
          <w:rStyle w:val="FootnoteReference"/>
          <w:lang w:val="ro-RO"/>
        </w:rPr>
        <w:footnoteRef/>
      </w:r>
      <w:r>
        <w:rPr>
          <w:lang w:val="ro-RO"/>
        </w:rPr>
        <w:t xml:space="preserve"> OCDE, 2018. Nota de politică „Rural 3.0” – un cadru pentru dezvoltarea rurală. </w:t>
      </w:r>
    </w:p>
    <w:p w:rsidR="00B243D9" w:rsidRDefault="00F5719E">
      <w:pPr>
        <w:pStyle w:val="FootnoteText"/>
        <w:rPr>
          <w:lang w:val="ro-RO"/>
        </w:rPr>
      </w:pPr>
      <w:hyperlink r:id="rId23" w:history="1">
        <w:r>
          <w:rPr>
            <w:rStyle w:val="Hyperlink"/>
            <w:lang w:val="ro-RO"/>
          </w:rPr>
          <w:t>https://www.oecd.org/cfe/regional-policy/Rural-3.0-Policy-Note.pd</w:t>
        </w:r>
        <w:r>
          <w:rPr>
            <w:rStyle w:val="Hyperlink"/>
            <w:lang w:val="ro-RO"/>
          </w:rPr>
          <w:t>f</w:t>
        </w:r>
      </w:hyperlink>
      <w:r>
        <w:rPr>
          <w:lang w:val="ro-RO"/>
        </w:rPr>
        <w:t xml:space="preserve"> </w:t>
      </w:r>
    </w:p>
  </w:footnote>
  <w:footnote w:id="57">
    <w:p w:rsidR="00B243D9" w:rsidRDefault="00F5719E">
      <w:pPr>
        <w:pStyle w:val="FootnoteText"/>
        <w:rPr>
          <w:lang w:val="ro-RO"/>
        </w:rPr>
      </w:pPr>
      <w:r>
        <w:rPr>
          <w:rStyle w:val="FootnoteReference"/>
          <w:lang w:val="ro-RO"/>
        </w:rPr>
        <w:footnoteRef/>
      </w:r>
      <w:r>
        <w:rPr>
          <w:lang w:val="ro-RO"/>
        </w:rPr>
        <w:t xml:space="preserve"> </w:t>
      </w:r>
      <w:hyperlink r:id="rId24" w:history="1">
        <w:r>
          <w:rPr>
            <w:rStyle w:val="Hyperlink"/>
            <w:lang w:val="ro-RO"/>
          </w:rPr>
          <w:t>https://ec.europa.eu/regional_policy/en/information/publicati</w:t>
        </w:r>
        <w:r>
          <w:rPr>
            <w:rStyle w:val="Hyperlink"/>
            <w:lang w:val="ro-RO"/>
          </w:rPr>
          <w:t>ons/regional-focus/2008/remote-rural-regions-how-proximity-to-a-city-influences-the-performance-of-rural-regions</w:t>
        </w:r>
      </w:hyperlink>
      <w:r>
        <w:rPr>
          <w:lang w:val="ro-RO"/>
        </w:rPr>
        <w:t xml:space="preserve"> </w:t>
      </w:r>
    </w:p>
  </w:footnote>
  <w:footnote w:id="58">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25" w:history="1">
        <w:r>
          <w:rPr>
            <w:rStyle w:val="Hyperlink"/>
            <w:lang w:val="ro-RO"/>
          </w:rPr>
          <w:t>http://www.fao.org/global-perspectives-studies/en</w:t>
        </w:r>
      </w:hyperlink>
      <w:r>
        <w:rPr>
          <w:lang w:val="ro-RO"/>
        </w:rPr>
        <w:t xml:space="preserve"> </w:t>
      </w:r>
    </w:p>
  </w:footnote>
  <w:footnote w:id="59">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26" w:history="1">
        <w:r>
          <w:rPr>
            <w:rStyle w:val="Hyperlink"/>
            <w:lang w:val="ro-RO"/>
          </w:rPr>
          <w:t>https://ec.europa.eu/info/strategy/priorities-2019-2024/european</w:t>
        </w:r>
        <w:r>
          <w:rPr>
            <w:rStyle w:val="Hyperlink"/>
            <w:lang w:val="ro-RO"/>
          </w:rPr>
          <w:t>-green-deal_en</w:t>
        </w:r>
      </w:hyperlink>
      <w:r>
        <w:rPr>
          <w:color w:val="1F497D"/>
          <w:lang w:val="ro-RO"/>
        </w:rPr>
        <w:t xml:space="preserve"> </w:t>
      </w:r>
    </w:p>
  </w:footnote>
  <w:footnote w:id="60">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27" w:history="1">
        <w:r>
          <w:rPr>
            <w:rStyle w:val="Hyperlink"/>
            <w:lang w:val="ro-RO"/>
          </w:rPr>
          <w:t>https://news.un.org/en/story/2019/07/1043551</w:t>
        </w:r>
      </w:hyperlink>
      <w:r>
        <w:rPr>
          <w:lang w:val="ro-RO"/>
        </w:rPr>
        <w:t xml:space="preserve"> </w:t>
      </w:r>
    </w:p>
  </w:footnote>
  <w:footnote w:id="61">
    <w:p w:rsidR="00B243D9" w:rsidRDefault="00F5719E">
      <w:pPr>
        <w:pStyle w:val="FootnoteText"/>
        <w:rPr>
          <w:lang w:val="ro-RO"/>
        </w:rPr>
      </w:pPr>
      <w:r>
        <w:rPr>
          <w:rStyle w:val="FootnoteReference"/>
          <w:lang w:val="ro-RO"/>
        </w:rPr>
        <w:footnoteRef/>
      </w:r>
      <w:r>
        <w:rPr>
          <w:lang w:val="ro-RO"/>
        </w:rPr>
        <w:t xml:space="preserve"> Pentru informații suplimentare, a se vedea: </w:t>
      </w:r>
      <w:hyperlink r:id="rId28" w:history="1">
        <w:r>
          <w:rPr>
            <w:rStyle w:val="Hyperlink"/>
            <w:lang w:val="ro-RO"/>
          </w:rPr>
          <w:t>https://openknowledge.worldbank.org/handle/10986/29461</w:t>
        </w:r>
      </w:hyperlink>
      <w:r>
        <w:rPr>
          <w:lang w:val="ro-RO"/>
        </w:rPr>
        <w:t xml:space="preserve"> </w:t>
      </w:r>
    </w:p>
  </w:footnote>
  <w:footnote w:id="62">
    <w:p w:rsidR="00B243D9" w:rsidRDefault="00F5719E">
      <w:pPr>
        <w:pStyle w:val="FootnoteText"/>
        <w:rPr>
          <w:lang w:val="ro-RO"/>
        </w:rPr>
      </w:pPr>
      <w:r>
        <w:rPr>
          <w:rStyle w:val="FootnoteReference"/>
          <w:lang w:val="ro-RO"/>
        </w:rPr>
        <w:footnoteRef/>
      </w:r>
      <w:r>
        <w:rPr>
          <w:lang w:val="ro-RO"/>
        </w:rPr>
        <w:t xml:space="preserve"> Pentru mai multe informații privind revizuirea perspectivelor ONU privind populația lumii pentru 2019, a se vedea: </w:t>
      </w:r>
      <w:hyperlink r:id="rId29" w:history="1">
        <w:r>
          <w:rPr>
            <w:rStyle w:val="Hyperlink"/>
            <w:lang w:val="ro-RO"/>
          </w:rPr>
          <w:t>https://population.un.org/wpp/</w:t>
        </w:r>
      </w:hyperlink>
    </w:p>
    <w:p w:rsidR="00B243D9" w:rsidRDefault="00B243D9">
      <w:pPr>
        <w:pStyle w:val="FootnoteText"/>
        <w:rPr>
          <w:lang w:val="ro-RO"/>
        </w:rPr>
      </w:pPr>
    </w:p>
  </w:footnote>
  <w:footnote w:id="63">
    <w:p w:rsidR="00B243D9" w:rsidRDefault="00F5719E">
      <w:pPr>
        <w:pStyle w:val="FootnoteText"/>
        <w:rPr>
          <w:lang w:val="ro-RO"/>
        </w:rPr>
      </w:pPr>
      <w:r>
        <w:rPr>
          <w:rStyle w:val="FootnoteReference"/>
          <w:lang w:val="ro-RO"/>
        </w:rPr>
        <w:footnoteRef/>
      </w:r>
      <w:r>
        <w:rPr>
          <w:lang w:val="ro-RO"/>
        </w:rPr>
        <w:t xml:space="preserve"> Sursă: Banca Mondială, PPC-urile PPP (paritatea puterii de cumpărare) extrase din baza de date: „World Development Indicators” (Indicatori de dezvoltare mondială).</w:t>
      </w:r>
    </w:p>
  </w:footnote>
  <w:footnote w:id="64">
    <w:p w:rsidR="00B243D9" w:rsidRDefault="00F5719E">
      <w:pPr>
        <w:pStyle w:val="FootnoteText"/>
        <w:rPr>
          <w:lang w:val="ro-RO"/>
        </w:rPr>
      </w:pPr>
      <w:r>
        <w:rPr>
          <w:rStyle w:val="FootnoteReference"/>
          <w:lang w:val="ro-RO"/>
        </w:rPr>
        <w:footnoteRef/>
      </w:r>
      <w:r>
        <w:rPr>
          <w:lang w:val="ro-RO"/>
        </w:rPr>
        <w:t xml:space="preserve"> JOIN(2020) 4 final, 9.3.2020.</w:t>
      </w:r>
    </w:p>
  </w:footnote>
  <w:footnote w:id="65">
    <w:p w:rsidR="00B243D9" w:rsidRDefault="00F5719E">
      <w:r>
        <w:rPr>
          <w:rStyle w:val="FootnoteReference"/>
          <w:lang w:val="ro-RO"/>
        </w:rPr>
        <w:footnoteRef/>
      </w:r>
      <w:r>
        <w:rPr>
          <w:rFonts w:ascii="Times New Roman" w:hAnsi="Times New Roman"/>
          <w:sz w:val="18"/>
          <w:szCs w:val="18"/>
          <w:lang w:val="ro-RO"/>
        </w:rPr>
        <w:t xml:space="preserve"> </w:t>
      </w:r>
      <w:hyperlink r:id="rId30" w:history="1">
        <w:r>
          <w:rPr>
            <w:rStyle w:val="Hyperlink"/>
            <w:rFonts w:ascii="Times New Roman" w:hAnsi="Times New Roman"/>
            <w:sz w:val="18"/>
            <w:szCs w:val="18"/>
            <w:lang w:val="ro-RO"/>
          </w:rPr>
          <w:t>https://ec.europa.eu/regional_policy/en/information/publications/working-papers/2018/the-geography-of-eu-discontent</w:t>
        </w:r>
      </w:hyperlink>
      <w:r>
        <w:rPr>
          <w:rFonts w:ascii="Times New Roman" w:hAnsi="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D9" w:rsidRDefault="00B24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D486AEA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9AE2513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11D315F"/>
    <w:multiLevelType w:val="hybridMultilevel"/>
    <w:tmpl w:val="D9D2F188"/>
    <w:lvl w:ilvl="0" w:tplc="0809000F">
      <w:start w:val="4"/>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0B7201"/>
    <w:multiLevelType w:val="multilevel"/>
    <w:tmpl w:val="76D0A3B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C068DFE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C346FAF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E94A4A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9D506B7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886C261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256E4D4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36324F1E"/>
    <w:multiLevelType w:val="multilevel"/>
    <w:tmpl w:val="68AE438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7CB1E1C"/>
    <w:multiLevelType w:val="multilevel"/>
    <w:tmpl w:val="B604571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A7730C4"/>
    <w:multiLevelType w:val="multilevel"/>
    <w:tmpl w:val="D6FC2B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429E662A"/>
    <w:multiLevelType w:val="multilevel"/>
    <w:tmpl w:val="2D4C222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E1A982C"/>
    <w:multiLevelType w:val="multilevel"/>
    <w:tmpl w:val="DC1A72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5072619B"/>
    <w:multiLevelType w:val="multilevel"/>
    <w:tmpl w:val="7F3CB8D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53A234F1"/>
    <w:multiLevelType w:val="hybridMultilevel"/>
    <w:tmpl w:val="718EAD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977472E"/>
    <w:multiLevelType w:val="multilevel"/>
    <w:tmpl w:val="FCB42AC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7B0D7648"/>
    <w:multiLevelType w:val="hybridMultilevel"/>
    <w:tmpl w:val="F2624902"/>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7C65145E"/>
    <w:multiLevelType w:val="multilevel"/>
    <w:tmpl w:val="2BF24F5C"/>
    <w:name w:val="EurolookHeading"/>
    <w:lvl w:ilvl="0">
      <w:start w:val="1"/>
      <w:numFmt w:val="decimal"/>
      <w:pStyle w:val="Heading1"/>
      <w:lvlText w:val="%1."/>
      <w:lvlJc w:val="left"/>
      <w:pPr>
        <w:tabs>
          <w:tab w:val="num" w:pos="624"/>
        </w:tabs>
        <w:ind w:left="624" w:hanging="482"/>
      </w:pPr>
      <w:rPr>
        <w:color w:val="auto"/>
        <w:sz w:val="28"/>
      </w:r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0"/>
  </w:num>
  <w:num w:numId="3">
    <w:abstractNumId w:val="7"/>
  </w:num>
  <w:num w:numId="4">
    <w:abstractNumId w:val="11"/>
  </w:num>
  <w:num w:numId="5">
    <w:abstractNumId w:val="15"/>
  </w:num>
  <w:num w:numId="6">
    <w:abstractNumId w:val="17"/>
  </w:num>
  <w:num w:numId="7">
    <w:abstractNumId w:val="1"/>
  </w:num>
  <w:num w:numId="8">
    <w:abstractNumId w:val="6"/>
  </w:num>
  <w:num w:numId="9">
    <w:abstractNumId w:val="13"/>
  </w:num>
  <w:num w:numId="10">
    <w:abstractNumId w:val="3"/>
  </w:num>
  <w:num w:numId="11">
    <w:abstractNumId w:val="4"/>
  </w:num>
  <w:num w:numId="12">
    <w:abstractNumId w:val="5"/>
  </w:num>
  <w:num w:numId="13">
    <w:abstractNumId w:val="8"/>
  </w:num>
  <w:num w:numId="14">
    <w:abstractNumId w:val="12"/>
  </w:num>
  <w:num w:numId="15">
    <w:abstractNumId w:val="14"/>
  </w:num>
  <w:num w:numId="16">
    <w:abstractNumId w:val="19"/>
  </w:num>
  <w:num w:numId="17">
    <w:abstractNumId w:val="9"/>
  </w:num>
  <w:num w:numId="18">
    <w:abstractNumId w:val="20"/>
  </w:num>
  <w:num w:numId="19">
    <w:abstractNumId w:val="2"/>
  </w:num>
  <w:num w:numId="20">
    <w:abstractNumId w:val="16"/>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hideSpellingErrors/>
  <w:hideGrammaticalErrors/>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8EEEFA2-C082-4335-9EE0-0BED211EFC4A"/>
    <w:docVar w:name="LW_COVERPAGE_TYPE" w:val="1"/>
    <w:docVar w:name="LW_CROSSREFERENCE" w:val="{SWD(2020) 109 final}"/>
    <w:docVar w:name="LW_DocType" w:val="NORMAL"/>
    <w:docVar w:name="LW_EMISSION" w:val="17.6.2020"/>
    <w:docVar w:name="LW_EMISSION_ISODATE" w:val="2020-06-17"/>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2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impactul schimb\u259?rilor demografice"/>
    <w:docVar w:name="LW_TYPE.DOC.CP" w:val="RAPORT AL COMISIEI C\u258?TRE PARLAMENTUL EUROPEAN, CONSILIU, COMITETUL ECONOMIC \u536?I SOCIAL EUROPEAN \u536?I COMITETUL REGIUNILOR"/>
  </w:docVars>
  <w:rsids>
    <w:rsidRoot w:val="00B243D9"/>
    <w:rsid w:val="00B243D9"/>
    <w:rsid w:val="00F57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8471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0"/>
    <w:qFormat/>
    <w:pPr>
      <w:keepNext/>
      <w:numPr>
        <w:numId w:val="16"/>
      </w:numPr>
      <w:spacing w:before="240" w:after="240" w:line="240" w:lineRule="auto"/>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jc w:val="both"/>
      <w:outlineLvl w:val="1"/>
    </w:pPr>
    <w:rPr>
      <w:rFonts w:ascii="Times New Roman" w:hAnsi="Times New Roman" w:cs="Times New Roman"/>
      <w:b/>
      <w:sz w:val="24"/>
      <w:szCs w:val="24"/>
      <w:lang w:val="en-IE"/>
    </w:rPr>
  </w:style>
  <w:style w:type="paragraph" w:styleId="Heading3">
    <w:name w:val="heading 3"/>
    <w:basedOn w:val="Normal"/>
    <w:next w:val="Text3"/>
    <w:link w:val="Heading3Char"/>
    <w:uiPriority w:val="90"/>
    <w:qFormat/>
    <w:pPr>
      <w:jc w:val="both"/>
      <w:outlineLvl w:val="2"/>
    </w:pPr>
    <w:rPr>
      <w:rFonts w:ascii="Times New Roman" w:hAnsi="Times New Roman" w:cs="Times New Roman"/>
      <w:b/>
      <w:sz w:val="24"/>
      <w:szCs w:val="24"/>
    </w:rPr>
  </w:style>
  <w:style w:type="paragraph" w:styleId="Heading4">
    <w:name w:val="heading 4"/>
    <w:basedOn w:val="Normal"/>
    <w:next w:val="Text4"/>
    <w:link w:val="Heading4Char"/>
    <w:uiPriority w:val="90"/>
    <w:qFormat/>
    <w:pPr>
      <w:keepNext/>
      <w:numPr>
        <w:ilvl w:val="3"/>
        <w:numId w:val="16"/>
      </w:numPr>
      <w:spacing w:after="240" w:line="240" w:lineRule="auto"/>
      <w:jc w:val="both"/>
      <w:outlineLvl w:val="3"/>
    </w:pPr>
    <w:rPr>
      <w:rFonts w:ascii="Times New Roman" w:eastAsia="Times New Roman" w:hAnsi="Times New Roman" w:cs="Times New Roman"/>
      <w:sz w:val="24"/>
      <w:szCs w:val="20"/>
      <w:lang w:eastAsia="en-GB"/>
    </w:rPr>
  </w:style>
  <w:style w:type="paragraph" w:styleId="Heading5">
    <w:name w:val="heading 5"/>
    <w:basedOn w:val="Normal"/>
    <w:next w:val="Normal"/>
    <w:link w:val="Heading5Char"/>
    <w:semiHidden/>
    <w:pPr>
      <w:keepNext/>
      <w:numPr>
        <w:ilvl w:val="4"/>
        <w:numId w:val="16"/>
      </w:numPr>
      <w:spacing w:after="240" w:line="240" w:lineRule="auto"/>
      <w:jc w:val="both"/>
      <w:outlineLvl w:val="4"/>
    </w:pPr>
    <w:rPr>
      <w:rFonts w:ascii="Times New Roman" w:eastAsia="Times New Roman" w:hAnsi="Times New Roman" w:cs="Times New Roman"/>
      <w:sz w:val="24"/>
      <w:szCs w:val="20"/>
      <w:lang w:eastAsia="en-GB"/>
    </w:rPr>
  </w:style>
  <w:style w:type="paragraph" w:styleId="Heading6">
    <w:name w:val="heading 6"/>
    <w:basedOn w:val="Normal"/>
    <w:next w:val="Normal"/>
    <w:link w:val="Heading6Char"/>
    <w:semiHidden/>
    <w:pPr>
      <w:keepNext/>
      <w:numPr>
        <w:ilvl w:val="5"/>
        <w:numId w:val="16"/>
      </w:numPr>
      <w:spacing w:after="240" w:line="240" w:lineRule="auto"/>
      <w:jc w:val="both"/>
      <w:outlineLvl w:val="5"/>
    </w:pPr>
    <w:rPr>
      <w:rFonts w:ascii="Times New Roman" w:eastAsia="Times New Roman" w:hAnsi="Times New Roman" w:cs="Times New Roman"/>
      <w:sz w:val="24"/>
      <w:szCs w:val="20"/>
      <w:lang w:eastAsia="en-GB"/>
    </w:rPr>
  </w:style>
  <w:style w:type="paragraph" w:styleId="Heading7">
    <w:name w:val="heading 7"/>
    <w:basedOn w:val="Normal"/>
    <w:next w:val="Normal"/>
    <w:link w:val="Heading7Char"/>
    <w:semiHidden/>
    <w:pPr>
      <w:keepNext/>
      <w:numPr>
        <w:ilvl w:val="6"/>
        <w:numId w:val="16"/>
      </w:numPr>
      <w:spacing w:after="240" w:line="240" w:lineRule="auto"/>
      <w:jc w:val="both"/>
      <w:outlineLvl w:val="6"/>
    </w:pPr>
    <w:rPr>
      <w:rFonts w:ascii="Times New Roman" w:eastAsia="Times New Roman" w:hAnsi="Times New Roman" w:cs="Times New Roman"/>
      <w:sz w:val="24"/>
      <w:szCs w:val="20"/>
      <w:lang w:eastAsia="en-GB"/>
    </w:rPr>
  </w:style>
  <w:style w:type="paragraph" w:styleId="Heading8">
    <w:name w:val="heading 8"/>
    <w:basedOn w:val="Normal"/>
    <w:next w:val="Normal"/>
    <w:link w:val="Heading8Char"/>
    <w:semiHidden/>
    <w:pPr>
      <w:keepNext/>
      <w:numPr>
        <w:ilvl w:val="7"/>
        <w:numId w:val="16"/>
      </w:numPr>
      <w:spacing w:after="240" w:line="240" w:lineRule="auto"/>
      <w:jc w:val="both"/>
      <w:outlineLvl w:val="7"/>
    </w:pPr>
    <w:rPr>
      <w:rFonts w:ascii="Times New Roman" w:eastAsia="Times New Roman" w:hAnsi="Times New Roman" w:cs="Times New Roman"/>
      <w:sz w:val="24"/>
      <w:szCs w:val="20"/>
      <w:lang w:eastAsia="en-GB"/>
    </w:rPr>
  </w:style>
  <w:style w:type="paragraph" w:styleId="Heading9">
    <w:name w:val="heading 9"/>
    <w:basedOn w:val="Normal"/>
    <w:next w:val="Normal"/>
    <w:link w:val="Heading9Char"/>
    <w:semiHidden/>
    <w:pPr>
      <w:keepNext/>
      <w:numPr>
        <w:ilvl w:val="8"/>
        <w:numId w:val="16"/>
      </w:numPr>
      <w:spacing w:after="240" w:line="240" w:lineRule="auto"/>
      <w:jc w:val="both"/>
      <w:outlineLvl w:val="8"/>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hAnsi="Times New Roman" w:cs="Times New Roman"/>
      <w:b/>
      <w:sz w:val="24"/>
      <w:szCs w:val="24"/>
      <w:lang w:val="en-IE"/>
    </w:rPr>
  </w:style>
  <w:style w:type="character" w:customStyle="1" w:styleId="Heading3Char">
    <w:name w:val="Heading 3 Char"/>
    <w:basedOn w:val="DefaultParagraphFont"/>
    <w:link w:val="Heading3"/>
    <w:uiPriority w:val="90"/>
    <w:rPr>
      <w:rFonts w:ascii="Times New Roman" w:hAnsi="Times New Roman" w:cs="Times New Roman"/>
      <w:b/>
      <w:sz w:val="24"/>
      <w:szCs w:val="24"/>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eastAsia="en-GB"/>
    </w:rPr>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20"/>
      <w:szCs w:val="20"/>
      <w:lang w:eastAsia="en-GB"/>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 w:val="24"/>
      <w:szCs w:val="20"/>
      <w:lang w:eastAsia="en-GB"/>
    </w:rPr>
  </w:style>
  <w:style w:type="paragraph" w:customStyle="1" w:styleId="FigureTitle">
    <w:name w:val="Figure Title"/>
    <w:basedOn w:val="Normal"/>
    <w:next w:val="FigureBody"/>
    <w:uiPriority w:val="6"/>
    <w:pPr>
      <w:keepNext/>
      <w:spacing w:after="180" w:line="240" w:lineRule="auto"/>
      <w:jc w:val="both"/>
    </w:pPr>
    <w:rPr>
      <w:rFonts w:ascii="Times New Roman" w:eastAsia="Times New Roman" w:hAnsi="Times New Roman" w:cs="Times New Roman"/>
      <w:b/>
      <w:sz w:val="24"/>
      <w:szCs w:val="20"/>
      <w:lang w:eastAsia="en-GB"/>
    </w:rPr>
  </w:style>
  <w:style w:type="paragraph" w:customStyle="1" w:styleId="HistTableHeading">
    <w:name w:val="HistTableHeading"/>
    <w:basedOn w:val="Normal"/>
    <w:next w:val="HistoryTable"/>
    <w:pPr>
      <w:spacing w:before="240" w:after="240" w:line="240" w:lineRule="auto"/>
      <w:jc w:val="center"/>
    </w:pPr>
    <w:rPr>
      <w:rFonts w:ascii="Times New Roman Bold" w:eastAsia="Times New Roman" w:hAnsi="Times New Roman Bold" w:cs="Times New Roman"/>
      <w:b/>
      <w:caps/>
      <w:sz w:val="24"/>
      <w:szCs w:val="20"/>
      <w:lang w:eastAsia="en-GB"/>
    </w:rPr>
  </w:style>
  <w:style w:type="paragraph" w:customStyle="1" w:styleId="HistoryTable">
    <w:name w:val="HistoryTable"/>
    <w:basedOn w:val="Normal"/>
    <w:pPr>
      <w:spacing w:before="60" w:after="60" w:line="240" w:lineRule="auto"/>
    </w:pPr>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customStyle="1" w:styleId="YReferences">
    <w:name w:val="YReferences"/>
    <w:basedOn w:val="Normal"/>
    <w:pPr>
      <w:spacing w:after="480" w:line="240" w:lineRule="auto"/>
      <w:ind w:left="3062" w:hanging="1531"/>
      <w:contextualSpacing/>
      <w:jc w:val="both"/>
    </w:pPr>
    <w:rPr>
      <w:rFonts w:ascii="Times New Roman" w:eastAsia="Times New Roman" w:hAnsi="Times New Roman" w:cs="Times New Roman"/>
      <w:sz w:val="24"/>
      <w:szCs w:val="20"/>
      <w:lang w:eastAsia="en-GB"/>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lang w:eastAsia="en-GB"/>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lang w:eastAsia="en-GB"/>
    </w:rPr>
  </w:style>
  <w:style w:type="paragraph" w:styleId="Title">
    <w:name w:val="Title"/>
    <w:basedOn w:val="Normal"/>
    <w:next w:val="SubTitle1"/>
    <w:link w:val="TitleChar"/>
    <w:pPr>
      <w:spacing w:after="480" w:line="240" w:lineRule="auto"/>
      <w:jc w:val="center"/>
    </w:pPr>
    <w:rPr>
      <w:rFonts w:ascii="Times New Roman" w:eastAsia="Times New Roman" w:hAnsi="Times New Roman" w:cs="Times New Roman"/>
      <w:b/>
      <w:kern w:val="28"/>
      <w:sz w:val="48"/>
      <w:szCs w:val="20"/>
      <w:lang w:eastAsia="en-GB"/>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en-GB"/>
    </w:rPr>
  </w:style>
  <w:style w:type="paragraph" w:customStyle="1" w:styleId="Enclosures">
    <w:name w:val="Enclosures"/>
    <w:basedOn w:val="Normal"/>
    <w:pPr>
      <w:keepNext/>
      <w:keepLines/>
      <w:tabs>
        <w:tab w:val="left" w:pos="5641"/>
      </w:tabs>
      <w:spacing w:before="480" w:after="0" w:line="240" w:lineRule="auto"/>
      <w:ind w:left="2382" w:hanging="1191"/>
      <w:contextualSpacing/>
    </w:pPr>
    <w:rPr>
      <w:rFonts w:ascii="Times New Roman" w:eastAsia="Times New Roman" w:hAnsi="Times New Roman" w:cs="Times New Roman"/>
      <w:sz w:val="24"/>
      <w:szCs w:val="20"/>
      <w:lang w:eastAsia="en-GB"/>
    </w:rPr>
  </w:style>
  <w:style w:type="paragraph" w:customStyle="1" w:styleId="DoubSign">
    <w:name w:val="DoubSign"/>
    <w:basedOn w:val="Normal"/>
    <w:next w:val="Enclosures"/>
    <w:pPr>
      <w:tabs>
        <w:tab w:val="left" w:pos="5102"/>
      </w:tabs>
      <w:spacing w:before="1200" w:after="0" w:line="240" w:lineRule="auto"/>
    </w:pPr>
    <w:rPr>
      <w:rFonts w:ascii="Times New Roman" w:eastAsia="Times New Roman" w:hAnsi="Times New Roman" w:cs="Times New Roman"/>
      <w:sz w:val="24"/>
      <w:szCs w:val="20"/>
      <w:lang w:eastAsia="en-GB"/>
    </w:rPr>
  </w:style>
  <w:style w:type="paragraph" w:customStyle="1" w:styleId="SignatureL">
    <w:name w:val="SignatureL"/>
    <w:basedOn w:val="Normal"/>
    <w:next w:val="Enclosures"/>
    <w:pPr>
      <w:tabs>
        <w:tab w:val="left" w:pos="5102"/>
      </w:tabs>
      <w:spacing w:before="1200" w:after="0" w:line="240" w:lineRule="auto"/>
    </w:pPr>
    <w:rPr>
      <w:rFonts w:ascii="Times New Roman" w:eastAsia="Times New Roman" w:hAnsi="Times New Roman" w:cs="Times New Roman"/>
      <w:sz w:val="24"/>
      <w:szCs w:val="20"/>
      <w:lang w:eastAsia="en-GB"/>
    </w:rPr>
  </w:style>
  <w:style w:type="paragraph" w:styleId="Signature">
    <w:name w:val="Signature"/>
    <w:basedOn w:val="Normal"/>
    <w:next w:val="Enclosures"/>
    <w:link w:val="SignatureChar"/>
    <w:pPr>
      <w:tabs>
        <w:tab w:val="left" w:pos="5102"/>
      </w:tabs>
      <w:spacing w:before="1200" w:after="0" w:line="240" w:lineRule="auto"/>
      <w:ind w:left="5102"/>
      <w:jc w:val="center"/>
    </w:pPr>
    <w:rPr>
      <w:rFonts w:ascii="Times New Roman" w:eastAsia="Times New Roman" w:hAnsi="Times New Roman" w:cs="Times New Roman"/>
      <w:sz w:val="24"/>
      <w:szCs w:val="20"/>
      <w:lang w:eastAsia="en-GB"/>
    </w:r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en-GB"/>
    </w:rPr>
  </w:style>
  <w:style w:type="paragraph" w:customStyle="1" w:styleId="SectionTitle">
    <w:name w:val="SectionTitle"/>
    <w:basedOn w:val="Normal"/>
    <w:next w:val="Heading1"/>
    <w:uiPriority w:val="90"/>
    <w:qFormat/>
    <w:pPr>
      <w:keepNext/>
      <w:spacing w:after="480" w:line="240" w:lineRule="auto"/>
      <w:jc w:val="center"/>
      <w:outlineLvl w:val="0"/>
    </w:pPr>
    <w:rPr>
      <w:rFonts w:ascii="Times New Roman" w:eastAsia="Times New Roman" w:hAnsi="Times New Roman" w:cs="Times New Roman"/>
      <w:b/>
      <w:smallCaps/>
      <w:sz w:val="28"/>
      <w:szCs w:val="20"/>
      <w:lang w:eastAsia="en-GB"/>
    </w:rPr>
  </w:style>
  <w:style w:type="paragraph" w:customStyle="1" w:styleId="ChapterTitle">
    <w:name w:val="ChapterTitle"/>
    <w:basedOn w:val="Normal"/>
    <w:next w:val="SectionTitle"/>
    <w:uiPriority w:val="90"/>
    <w:qFormat/>
    <w:pPr>
      <w:keepNext/>
      <w:spacing w:after="480" w:line="240" w:lineRule="auto"/>
      <w:jc w:val="center"/>
      <w:outlineLvl w:val="0"/>
    </w:pPr>
    <w:rPr>
      <w:rFonts w:ascii="Times New Roman" w:eastAsia="Times New Roman" w:hAnsi="Times New Roman" w:cs="Times New Roman"/>
      <w:b/>
      <w:sz w:val="32"/>
      <w:szCs w:val="20"/>
      <w:lang w:eastAsia="en-GB"/>
    </w:rPr>
  </w:style>
  <w:style w:type="paragraph" w:customStyle="1" w:styleId="PartTitle">
    <w:name w:val="PartTitle"/>
    <w:basedOn w:val="Normal"/>
    <w:next w:val="ChapterTitle"/>
    <w:uiPriority w:val="90"/>
    <w:qFormat/>
    <w:pPr>
      <w:keepNext/>
      <w:pageBreakBefore/>
      <w:spacing w:after="480" w:line="240" w:lineRule="auto"/>
      <w:jc w:val="center"/>
      <w:outlineLvl w:val="0"/>
    </w:pPr>
    <w:rPr>
      <w:rFonts w:ascii="Times New Roman" w:eastAsia="Times New Roman" w:hAnsi="Times New Roman" w:cs="Times New Roman"/>
      <w:b/>
      <w:sz w:val="36"/>
      <w:szCs w:val="20"/>
      <w:lang w:eastAsia="en-GB"/>
    </w:rPr>
  </w:style>
  <w:style w:type="paragraph" w:customStyle="1" w:styleId="AddressTR">
    <w:name w:val="AddressTR"/>
    <w:basedOn w:val="Normal"/>
    <w:next w:val="Normal"/>
    <w:pPr>
      <w:spacing w:after="720" w:line="240" w:lineRule="auto"/>
      <w:ind w:left="5102"/>
    </w:pPr>
    <w:rPr>
      <w:rFonts w:ascii="Times New Roman" w:eastAsia="Times New Roman" w:hAnsi="Times New Roman" w:cs="Times New Roman"/>
      <w:sz w:val="24"/>
      <w:szCs w:val="20"/>
      <w:lang w:eastAsia="en-GB"/>
    </w:rPr>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lang w:eastAsia="en-GB"/>
    </w:rPr>
  </w:style>
  <w:style w:type="paragraph" w:customStyle="1" w:styleId="Address">
    <w:name w:val="Address"/>
    <w:basedOn w:val="Normal"/>
    <w:pPr>
      <w:spacing w:after="0" w:line="240" w:lineRule="auto"/>
    </w:pPr>
    <w:rPr>
      <w:rFonts w:ascii="Times New Roman" w:eastAsia="Times New Roman" w:hAnsi="Times New Roman" w:cs="Times New Roman"/>
      <w:sz w:val="24"/>
      <w:szCs w:val="20"/>
      <w:lang w:eastAsia="en-GB"/>
    </w:rPr>
  </w:style>
  <w:style w:type="paragraph" w:customStyle="1" w:styleId="Text4">
    <w:name w:val="Text 4"/>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3">
    <w:name w:val="Text 3"/>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lang w:eastAsia="en-GB"/>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lang w:eastAsia="en-GB"/>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lang w:eastAsia="en-GB"/>
    </w:rPr>
  </w:style>
  <w:style w:type="paragraph" w:styleId="Caption">
    <w:name w:val="caption"/>
    <w:basedOn w:val="Normal"/>
    <w:next w:val="Normal"/>
    <w:qFormat/>
    <w:pPr>
      <w:spacing w:before="160" w:after="240" w:line="240" w:lineRule="auto"/>
      <w:jc w:val="both"/>
    </w:pPr>
    <w:rPr>
      <w:rFonts w:ascii="Times New Roman" w:eastAsia="Times New Roman" w:hAnsi="Times New Roman" w:cs="Times New Roman"/>
      <w:i/>
      <w:szCs w:val="20"/>
      <w:lang w:eastAsia="en-GB"/>
    </w:rPr>
  </w:style>
  <w:style w:type="paragraph" w:customStyle="1" w:styleId="Contact">
    <w:name w:val="Contact"/>
    <w:basedOn w:val="Normal"/>
    <w:uiPriority w:val="99"/>
    <w:pPr>
      <w:spacing w:before="480" w:after="0" w:line="240" w:lineRule="auto"/>
      <w:ind w:left="567" w:hanging="567"/>
      <w:contextualSpacing/>
    </w:pPr>
    <w:rPr>
      <w:rFonts w:ascii="Times New Roman" w:eastAsia="Times New Roman" w:hAnsi="Times New Roman" w:cs="Times New Roman"/>
      <w:sz w:val="24"/>
      <w:szCs w:val="20"/>
      <w:lang w:eastAsia="en-GB"/>
    </w:rPr>
  </w:style>
  <w:style w:type="paragraph" w:styleId="Date">
    <w:name w:val="Date"/>
    <w:basedOn w:val="Normal"/>
    <w:next w:val="References"/>
    <w:link w:val="DateChar"/>
    <w:pPr>
      <w:spacing w:after="0" w:line="240" w:lineRule="auto"/>
      <w:ind w:left="5102" w:right="-567"/>
    </w:pPr>
    <w:rPr>
      <w:rFonts w:ascii="Times New Roman" w:eastAsia="Times New Roman" w:hAnsi="Times New Roman" w:cs="Times New Roman"/>
      <w:sz w:val="24"/>
      <w:szCs w:val="20"/>
      <w:lang w:eastAsia="en-GB"/>
    </w:rPr>
  </w:style>
  <w:style w:type="character" w:customStyle="1" w:styleId="DateChar">
    <w:name w:val="Date Char"/>
    <w:basedOn w:val="DefaultParagraphFont"/>
    <w:link w:val="Date"/>
    <w:rPr>
      <w:rFonts w:ascii="Times New Roman" w:eastAsia="Times New Roman" w:hAnsi="Times New Roman" w:cs="Times New Roman"/>
      <w:sz w:val="24"/>
      <w:szCs w:val="20"/>
      <w:lang w:eastAsia="en-GB"/>
    </w:rPr>
  </w:style>
  <w:style w:type="paragraph" w:customStyle="1" w:styleId="References">
    <w:name w:val="References"/>
    <w:basedOn w:val="Normal"/>
    <w:pPr>
      <w:spacing w:after="240" w:line="240" w:lineRule="auto"/>
      <w:ind w:left="5102" w:right="-567"/>
      <w:contextualSpacing/>
    </w:pPr>
    <w:rPr>
      <w:rFonts w:ascii="Times New Roman" w:eastAsia="Times New Roman" w:hAnsi="Times New Roman" w:cs="Times New Roman"/>
      <w:sz w:val="20"/>
      <w:szCs w:val="20"/>
      <w:lang w:eastAsia="en-GB"/>
    </w:rPr>
  </w:style>
  <w:style w:type="paragraph" w:customStyle="1" w:styleId="Designator">
    <w:name w:val="Designator"/>
    <w:basedOn w:val="Normal"/>
    <w:pPr>
      <w:spacing w:after="0" w:line="240" w:lineRule="auto"/>
      <w:jc w:val="center"/>
    </w:pPr>
    <w:rPr>
      <w:rFonts w:ascii="Times New Roman" w:eastAsia="Times New Roman" w:hAnsi="Times New Roman" w:cs="Times New Roman"/>
      <w:b/>
      <w:caps/>
      <w:sz w:val="32"/>
      <w:szCs w:val="20"/>
      <w:lang w:eastAsia="en-GB"/>
    </w:rPr>
  </w:style>
  <w:style w:type="paragraph" w:customStyle="1" w:styleId="Releasable">
    <w:name w:val="Releasable"/>
    <w:basedOn w:val="Normal"/>
    <w:pPr>
      <w:spacing w:after="0" w:line="240" w:lineRule="auto"/>
      <w:jc w:val="center"/>
    </w:pPr>
    <w:rPr>
      <w:rFonts w:ascii="Times New Roman" w:eastAsia="Times New Roman" w:hAnsi="Times New Roman" w:cs="Times New Roman"/>
      <w:b/>
      <w:caps/>
      <w:sz w:val="32"/>
      <w:szCs w:val="20"/>
      <w:lang w:eastAsia="en-GB"/>
    </w:rPr>
  </w:style>
  <w:style w:type="paragraph" w:customStyle="1" w:styleId="RUE">
    <w:name w:val="RUE"/>
    <w:basedOn w:val="Normal"/>
    <w:pPr>
      <w:spacing w:after="0" w:line="240" w:lineRule="auto"/>
      <w:jc w:val="center"/>
    </w:pPr>
    <w:rPr>
      <w:rFonts w:ascii="Times New Roman" w:eastAsia="Times New Roman" w:hAnsi="Times New Roman" w:cs="Times New Roman"/>
      <w:b/>
      <w:caps/>
      <w:sz w:val="32"/>
      <w:szCs w:val="20"/>
      <w:bdr w:val="single" w:sz="18" w:space="0" w:color="auto"/>
      <w:lang w:eastAsia="en-GB"/>
    </w:rPr>
  </w:style>
  <w:style w:type="paragraph" w:customStyle="1" w:styleId="ConfidentialUE">
    <w:name w:val="Confidential UE"/>
    <w:basedOn w:val="Normal"/>
    <w:pPr>
      <w:spacing w:after="0" w:line="240" w:lineRule="auto"/>
      <w:jc w:val="center"/>
    </w:pPr>
    <w:rPr>
      <w:rFonts w:ascii="Times New Roman" w:eastAsia="Times New Roman" w:hAnsi="Times New Roman" w:cs="Times New Roman"/>
      <w:b/>
      <w:caps/>
      <w:sz w:val="32"/>
      <w:szCs w:val="20"/>
      <w:bdr w:val="single" w:sz="18" w:space="0" w:color="auto"/>
      <w:lang w:eastAsia="en-GB"/>
    </w:rPr>
  </w:style>
  <w:style w:type="paragraph" w:customStyle="1" w:styleId="SecretUE">
    <w:name w:val="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lang w:eastAsia="en-GB"/>
    </w:rPr>
  </w:style>
  <w:style w:type="paragraph" w:customStyle="1" w:styleId="TrsSecretUE">
    <w:name w:val="Très 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lang w:eastAsia="en-GB"/>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Plonk"/>
    <w:basedOn w:val="Normal"/>
    <w:link w:val="FootnoteTextChar"/>
    <w:autoRedefine/>
    <w:uiPriority w:val="99"/>
    <w:qFormat/>
    <w:pPr>
      <w:spacing w:after="0" w:line="240" w:lineRule="auto"/>
    </w:pPr>
    <w:rPr>
      <w:rFonts w:ascii="Times New Roman" w:eastAsia="Times New Roman" w:hAnsi="Times New Roman" w:cs="Times New Roman"/>
      <w:sz w:val="18"/>
      <w:szCs w:val="16"/>
      <w:lang w:eastAsia="en-GB"/>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rPr>
      <w:rFonts w:ascii="Times New Roman" w:eastAsia="Times New Roman" w:hAnsi="Times New Roman" w:cs="Times New Roman"/>
      <w:sz w:val="18"/>
      <w:szCs w:val="16"/>
      <w:lang w:eastAsia="en-GB"/>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spacing w:after="240" w:line="240" w:lineRule="auto"/>
      <w:jc w:val="both"/>
    </w:pPr>
    <w:rPr>
      <w:rFonts w:ascii="Courier New" w:eastAsia="Times New Roman" w:hAnsi="Courier New" w:cs="Times New Roman"/>
      <w:szCs w:val="20"/>
      <w:lang w:eastAsia="en-GB"/>
    </w:rPr>
  </w:style>
  <w:style w:type="character" w:customStyle="1" w:styleId="MacroTextChar">
    <w:name w:val="Macro Text Char"/>
    <w:basedOn w:val="DefaultParagraphFont"/>
    <w:link w:val="MacroText"/>
    <w:uiPriority w:val="90"/>
    <w:qFormat/>
    <w:rPr>
      <w:rFonts w:ascii="Courier New" w:eastAsia="Times New Roman" w:hAnsi="Courier New" w:cs="Times New Roman"/>
      <w:szCs w:val="20"/>
      <w:lang w:eastAsia="en-GB"/>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outlineLvl w:val="9"/>
    </w:pPr>
    <w:rPr>
      <w:b w:val="0"/>
    </w:rPr>
  </w:style>
  <w:style w:type="paragraph" w:customStyle="1" w:styleId="NumPar3">
    <w:name w:val="NumPar 3"/>
    <w:basedOn w:val="Heading3"/>
    <w:uiPriority w:val="90"/>
    <w:qFormat/>
    <w:pPr>
      <w:outlineLvl w:val="9"/>
    </w:pPr>
    <w:rPr>
      <w:i/>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line="240" w:lineRule="auto"/>
      <w:jc w:val="both"/>
      <w:outlineLvl w:val="0"/>
    </w:pPr>
    <w:rPr>
      <w:rFonts w:ascii="Times New Roman" w:eastAsia="Times New Roman" w:hAnsi="Times New Roman" w:cs="Times New Roman"/>
      <w:b/>
      <w:sz w:val="32"/>
      <w:szCs w:val="20"/>
      <w:lang w:eastAsia="en-GB"/>
    </w:rPr>
  </w:style>
  <w:style w:type="paragraph" w:styleId="TOCHeading">
    <w:name w:val="TOC Heading"/>
    <w:basedOn w:val="Normal"/>
    <w:next w:val="Normal"/>
    <w:uiPriority w:val="39"/>
    <w:qFormat/>
    <w:pPr>
      <w:spacing w:before="240" w:after="240" w:line="240" w:lineRule="auto"/>
      <w:jc w:val="center"/>
    </w:pPr>
    <w:rPr>
      <w:rFonts w:ascii="Times New Roman Bold" w:eastAsia="Times New Roman" w:hAnsi="Times New Roman Bold" w:cs="Times New Roman"/>
      <w:b/>
      <w:caps/>
      <w:sz w:val="24"/>
      <w:szCs w:val="20"/>
      <w:lang w:eastAsia="en-GB"/>
    </w:r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eastAsia="en-GB"/>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lang w:eastAsia="en-GB"/>
    </w:rPr>
  </w:style>
  <w:style w:type="paragraph" w:styleId="TOC3">
    <w:name w:val="toc 3"/>
    <w:basedOn w:val="Normal"/>
    <w:next w:val="Normal"/>
    <w:uiPriority w:val="39"/>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eastAsia="en-GB"/>
    </w:rPr>
  </w:style>
  <w:style w:type="paragraph" w:styleId="TOC4">
    <w:name w:val="toc 4"/>
    <w:basedOn w:val="Normal"/>
    <w:next w:val="Normal"/>
    <w:uiPriority w:val="39"/>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lang w:eastAsia="en-GB"/>
    </w:rPr>
  </w:style>
  <w:style w:type="paragraph" w:styleId="TOC5">
    <w:name w:val="toc 5"/>
    <w:basedOn w:val="Normal"/>
    <w:next w:val="Normal"/>
    <w:uiPriority w:val="39"/>
    <w:pPr>
      <w:tabs>
        <w:tab w:val="right" w:leader="dot" w:pos="8640"/>
      </w:tabs>
      <w:spacing w:before="240" w:after="120" w:line="240" w:lineRule="auto"/>
      <w:ind w:right="720"/>
      <w:jc w:val="both"/>
    </w:pPr>
    <w:rPr>
      <w:rFonts w:ascii="Times New Roman" w:eastAsia="Times New Roman" w:hAnsi="Times New Roman" w:cs="Times New Roman"/>
      <w:caps/>
      <w:sz w:val="24"/>
      <w:szCs w:val="20"/>
      <w:lang w:eastAsia="en-GB"/>
    </w:rPr>
  </w:style>
  <w:style w:type="paragraph" w:styleId="TOC6">
    <w:name w:val="toc 6"/>
    <w:basedOn w:val="Normal"/>
    <w:next w:val="Normal"/>
    <w:uiPriority w:val="39"/>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sz w:val="24"/>
      <w:szCs w:val="20"/>
      <w:lang w:eastAsia="en-GB"/>
    </w:rPr>
  </w:style>
  <w:style w:type="paragraph" w:styleId="TOC7">
    <w:name w:val="toc 7"/>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TOC8">
    <w:name w:val="toc 8"/>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TOC9">
    <w:name w:val="toc 9"/>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ListBullet">
    <w:name w:val="List Bullet"/>
    <w:basedOn w:val="Normal"/>
    <w:pPr>
      <w:numPr>
        <w:numId w:val="15"/>
      </w:numPr>
      <w:spacing w:after="240" w:line="240" w:lineRule="auto"/>
      <w:jc w:val="both"/>
    </w:pPr>
    <w:rPr>
      <w:rFonts w:ascii="Times New Roman" w:eastAsia="Times New Roman" w:hAnsi="Times New Roman" w:cs="Times New Roman"/>
      <w:sz w:val="24"/>
      <w:szCs w:val="20"/>
      <w:lang w:eastAsia="en-GB"/>
    </w:r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unhideWhenUsed/>
    <w:pPr>
      <w:numPr>
        <w:ilvl w:val="2"/>
        <w:numId w:val="15"/>
      </w:numPr>
    </w:pPr>
  </w:style>
  <w:style w:type="paragraph" w:customStyle="1" w:styleId="ListBulletLevel4">
    <w:name w:val="List Bullet (Level 4)"/>
    <w:basedOn w:val="Text1"/>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2">
    <w:name w:val="List Dash (Level 2)"/>
    <w:basedOn w:val="Normal"/>
    <w:pPr>
      <w:numPr>
        <w:ilvl w:val="1"/>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3">
    <w:name w:val="List Dash (Level 3)"/>
    <w:basedOn w:val="Normal"/>
    <w:unhideWhenUsed/>
    <w:pPr>
      <w:numPr>
        <w:ilvl w:val="2"/>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4">
    <w:name w:val="List Dash (Level 4)"/>
    <w:basedOn w:val="Normal"/>
    <w:unhideWhenUsed/>
    <w:pPr>
      <w:numPr>
        <w:ilvl w:val="3"/>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2">
    <w:name w:val="List Number (Level 2)"/>
    <w:basedOn w:val="Normal"/>
    <w:pPr>
      <w:numPr>
        <w:ilvl w:val="1"/>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3">
    <w:name w:val="List Number (Level 3)"/>
    <w:basedOn w:val="Normal"/>
    <w:unhideWhenUsed/>
    <w:pPr>
      <w:numPr>
        <w:ilvl w:val="2"/>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4">
    <w:name w:val="List Number (Level 4)"/>
    <w:basedOn w:val="Normal"/>
    <w:unhideWhenUsed/>
    <w:pPr>
      <w:numPr>
        <w:ilvl w:val="3"/>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after="240"/>
      <w:ind w:left="5102" w:right="-567"/>
      <w:contextualSpacing/>
    </w:pPr>
    <w:rPr>
      <w:rFonts w:ascii="Times New Roman" w:eastAsia="Times New Roman" w:hAnsi="Times New Roman" w:cs="Times New Roman"/>
      <w:sz w:val="28"/>
      <w:szCs w:val="20"/>
      <w:lang w:eastAsia="en-GB"/>
    </w:rPr>
  </w:style>
  <w:style w:type="paragraph" w:customStyle="1" w:styleId="LegalNumPar">
    <w:name w:val="LegalNumPar"/>
    <w:basedOn w:val="Normal"/>
    <w:uiPriority w:val="90"/>
    <w:qFormat/>
    <w:pPr>
      <w:numPr>
        <w:numId w:val="17"/>
      </w:numPr>
      <w:spacing w:after="240" w:line="360" w:lineRule="auto"/>
      <w:jc w:val="both"/>
    </w:pPr>
    <w:rPr>
      <w:rFonts w:ascii="Times New Roman" w:eastAsia="Times New Roman" w:hAnsi="Times New Roman" w:cs="Times New Roman"/>
      <w:sz w:val="24"/>
      <w:szCs w:val="20"/>
      <w:lang w:eastAsia="en-GB"/>
    </w:rPr>
  </w:style>
  <w:style w:type="paragraph" w:customStyle="1" w:styleId="LegalNumPar2">
    <w:name w:val="LegalNumPar2"/>
    <w:basedOn w:val="Normal"/>
    <w:pPr>
      <w:numPr>
        <w:ilvl w:val="1"/>
        <w:numId w:val="17"/>
      </w:numPr>
      <w:spacing w:after="240" w:line="360" w:lineRule="auto"/>
      <w:jc w:val="both"/>
    </w:pPr>
    <w:rPr>
      <w:rFonts w:ascii="Times New Roman" w:eastAsia="Times New Roman" w:hAnsi="Times New Roman" w:cs="Times New Roman"/>
      <w:sz w:val="24"/>
      <w:szCs w:val="20"/>
      <w:lang w:eastAsia="en-GB"/>
    </w:rPr>
  </w:style>
  <w:style w:type="paragraph" w:customStyle="1" w:styleId="LegalNumPar3">
    <w:name w:val="LegalNumPar3"/>
    <w:basedOn w:val="Normal"/>
    <w:pPr>
      <w:numPr>
        <w:ilvl w:val="2"/>
        <w:numId w:val="17"/>
      </w:numPr>
      <w:spacing w:after="240" w:line="360" w:lineRule="auto"/>
      <w:jc w:val="both"/>
    </w:pPr>
    <w:rPr>
      <w:rFonts w:ascii="Times New Roman" w:eastAsia="Times New Roman" w:hAnsi="Times New Roman" w:cs="Times New Roman"/>
      <w:sz w:val="24"/>
      <w:szCs w:val="20"/>
      <w:lang w:eastAsia="en-GB"/>
    </w:rPr>
  </w:style>
  <w:style w:type="table" w:customStyle="1" w:styleId="TableHistory">
    <w:name w:val="Table History"/>
    <w:basedOn w:val="TableNormal"/>
    <w:uiPriority w:val="99"/>
    <w:pPr>
      <w:spacing w:before="60" w:after="60" w:line="264" w:lineRule="auto"/>
    </w:pPr>
    <w:rPr>
      <w:rFonts w:ascii="Times New Roman" w:eastAsia="Times New Roman" w:hAnsi="Times New Roman" w:cs="Times New Roman"/>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Footnote#"/>
    <w:basedOn w:val="DefaultParagraphFont"/>
    <w:link w:val="AppelnotedebasdepageCharCharCharCharCharChar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xmsonormal">
    <w:name w:val="x_msonormal"/>
    <w:basedOn w:val="Normal"/>
    <w:pPr>
      <w:spacing w:before="100" w:beforeAutospacing="1" w:after="100" w:afterAutospacing="1" w:line="240" w:lineRule="auto"/>
    </w:pPr>
    <w:rPr>
      <w:rFonts w:ascii="Times" w:hAnsi="Times"/>
      <w:sz w:val="20"/>
      <w:szCs w:val="20"/>
      <w:lang w:val="en-US"/>
    </w:rPr>
  </w:style>
  <w:style w:type="paragraph" w:customStyle="1" w:styleId="s77">
    <w:name w:val="s7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6">
    <w:name w:val="s76"/>
    <w:basedOn w:val="DefaultParagraphFont"/>
  </w:style>
  <w:style w:type="character" w:customStyle="1" w:styleId="s91">
    <w:name w:val="s91"/>
    <w:basedOn w:val="DefaultParagraphFont"/>
  </w:style>
  <w:style w:type="paragraph" w:customStyle="1" w:styleId="TableText">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styleId="TableofFigures">
    <w:name w:val="table of figures"/>
    <w:basedOn w:val="Normal"/>
    <w:next w:val="Normal"/>
    <w:uiPriority w:val="99"/>
    <w:unhideWhenUsed/>
    <w:pPr>
      <w:spacing w:after="0"/>
    </w:p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numbering" w:customStyle="1" w:styleId="NoList1">
    <w:name w:val="No List1"/>
    <w:next w:val="NoList"/>
    <w:uiPriority w:val="99"/>
    <w:semiHidden/>
    <w:unhideWhenUsed/>
  </w:style>
  <w:style w:type="paragraph" w:customStyle="1" w:styleId="BVIfnrCharCharCharChar">
    <w:name w:val="BVI fnr Char Char Char Char"/>
    <w:aliases w:val="BVI fnr Car Car Char Char Char Char,BVI fnr Car Char Char Char Char,BVI fnr Car Car Car Car Char Char Char Char"/>
    <w:basedOn w:val="Normal"/>
    <w:uiPriority w:val="99"/>
    <w:pPr>
      <w:spacing w:after="160" w:line="240" w:lineRule="exact"/>
    </w:pPr>
    <w:rPr>
      <w:rFonts w:ascii="Times New Roman" w:eastAsia="Times New Roman" w:hAnsi="Times New Roman" w:cs="Times New Roman"/>
      <w:sz w:val="24"/>
      <w:szCs w:val="20"/>
      <w:vertAlign w:val="superscript"/>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59614">
      <w:bodyDiv w:val="1"/>
      <w:marLeft w:val="0"/>
      <w:marRight w:val="0"/>
      <w:marTop w:val="0"/>
      <w:marBottom w:val="0"/>
      <w:divBdr>
        <w:top w:val="none" w:sz="0" w:space="0" w:color="auto"/>
        <w:left w:val="none" w:sz="0" w:space="0" w:color="auto"/>
        <w:bottom w:val="none" w:sz="0" w:space="0" w:color="auto"/>
        <w:right w:val="none" w:sz="0" w:space="0" w:color="auto"/>
      </w:divBdr>
    </w:div>
    <w:div w:id="258292327">
      <w:bodyDiv w:val="1"/>
      <w:marLeft w:val="0"/>
      <w:marRight w:val="0"/>
      <w:marTop w:val="0"/>
      <w:marBottom w:val="0"/>
      <w:divBdr>
        <w:top w:val="none" w:sz="0" w:space="0" w:color="auto"/>
        <w:left w:val="none" w:sz="0" w:space="0" w:color="auto"/>
        <w:bottom w:val="none" w:sz="0" w:space="0" w:color="auto"/>
        <w:right w:val="none" w:sz="0" w:space="0" w:color="auto"/>
      </w:divBdr>
    </w:div>
    <w:div w:id="396440200">
      <w:bodyDiv w:val="1"/>
      <w:marLeft w:val="0"/>
      <w:marRight w:val="0"/>
      <w:marTop w:val="0"/>
      <w:marBottom w:val="0"/>
      <w:divBdr>
        <w:top w:val="none" w:sz="0" w:space="0" w:color="auto"/>
        <w:left w:val="none" w:sz="0" w:space="0" w:color="auto"/>
        <w:bottom w:val="none" w:sz="0" w:space="0" w:color="auto"/>
        <w:right w:val="none" w:sz="0" w:space="0" w:color="auto"/>
      </w:divBdr>
    </w:div>
    <w:div w:id="514150291">
      <w:bodyDiv w:val="1"/>
      <w:marLeft w:val="0"/>
      <w:marRight w:val="0"/>
      <w:marTop w:val="0"/>
      <w:marBottom w:val="0"/>
      <w:divBdr>
        <w:top w:val="none" w:sz="0" w:space="0" w:color="auto"/>
        <w:left w:val="none" w:sz="0" w:space="0" w:color="auto"/>
        <w:bottom w:val="none" w:sz="0" w:space="0" w:color="auto"/>
        <w:right w:val="none" w:sz="0" w:space="0" w:color="auto"/>
      </w:divBdr>
    </w:div>
    <w:div w:id="526867492">
      <w:bodyDiv w:val="1"/>
      <w:marLeft w:val="0"/>
      <w:marRight w:val="0"/>
      <w:marTop w:val="0"/>
      <w:marBottom w:val="0"/>
      <w:divBdr>
        <w:top w:val="none" w:sz="0" w:space="0" w:color="auto"/>
        <w:left w:val="none" w:sz="0" w:space="0" w:color="auto"/>
        <w:bottom w:val="none" w:sz="0" w:space="0" w:color="auto"/>
        <w:right w:val="none" w:sz="0" w:space="0" w:color="auto"/>
      </w:divBdr>
    </w:div>
    <w:div w:id="1204517692">
      <w:bodyDiv w:val="1"/>
      <w:marLeft w:val="0"/>
      <w:marRight w:val="0"/>
      <w:marTop w:val="0"/>
      <w:marBottom w:val="0"/>
      <w:divBdr>
        <w:top w:val="none" w:sz="0" w:space="0" w:color="auto"/>
        <w:left w:val="none" w:sz="0" w:space="0" w:color="auto"/>
        <w:bottom w:val="none" w:sz="0" w:space="0" w:color="auto"/>
        <w:right w:val="none" w:sz="0" w:space="0" w:color="auto"/>
      </w:divBdr>
    </w:div>
    <w:div w:id="1284843426">
      <w:bodyDiv w:val="1"/>
      <w:marLeft w:val="0"/>
      <w:marRight w:val="0"/>
      <w:marTop w:val="0"/>
      <w:marBottom w:val="0"/>
      <w:divBdr>
        <w:top w:val="none" w:sz="0" w:space="0" w:color="auto"/>
        <w:left w:val="none" w:sz="0" w:space="0" w:color="auto"/>
        <w:bottom w:val="none" w:sz="0" w:space="0" w:color="auto"/>
        <w:right w:val="none" w:sz="0" w:space="0" w:color="auto"/>
      </w:divBdr>
    </w:div>
    <w:div w:id="1311859669">
      <w:bodyDiv w:val="1"/>
      <w:marLeft w:val="0"/>
      <w:marRight w:val="0"/>
      <w:marTop w:val="0"/>
      <w:marBottom w:val="0"/>
      <w:divBdr>
        <w:top w:val="none" w:sz="0" w:space="0" w:color="auto"/>
        <w:left w:val="none" w:sz="0" w:space="0" w:color="auto"/>
        <w:bottom w:val="none" w:sz="0" w:space="0" w:color="auto"/>
        <w:right w:val="none" w:sz="0" w:space="0" w:color="auto"/>
      </w:divBdr>
    </w:div>
    <w:div w:id="1360005866">
      <w:bodyDiv w:val="1"/>
      <w:marLeft w:val="0"/>
      <w:marRight w:val="0"/>
      <w:marTop w:val="0"/>
      <w:marBottom w:val="0"/>
      <w:divBdr>
        <w:top w:val="none" w:sz="0" w:space="0" w:color="auto"/>
        <w:left w:val="none" w:sz="0" w:space="0" w:color="auto"/>
        <w:bottom w:val="none" w:sz="0" w:space="0" w:color="auto"/>
        <w:right w:val="none" w:sz="0" w:space="0" w:color="auto"/>
      </w:divBdr>
    </w:div>
    <w:div w:id="1433012372">
      <w:bodyDiv w:val="1"/>
      <w:marLeft w:val="0"/>
      <w:marRight w:val="0"/>
      <w:marTop w:val="0"/>
      <w:marBottom w:val="0"/>
      <w:divBdr>
        <w:top w:val="none" w:sz="0" w:space="0" w:color="auto"/>
        <w:left w:val="none" w:sz="0" w:space="0" w:color="auto"/>
        <w:bottom w:val="none" w:sz="0" w:space="0" w:color="auto"/>
        <w:right w:val="none" w:sz="0" w:space="0" w:color="auto"/>
      </w:divBdr>
    </w:div>
    <w:div w:id="1450397417">
      <w:bodyDiv w:val="1"/>
      <w:marLeft w:val="0"/>
      <w:marRight w:val="0"/>
      <w:marTop w:val="0"/>
      <w:marBottom w:val="0"/>
      <w:divBdr>
        <w:top w:val="none" w:sz="0" w:space="0" w:color="auto"/>
        <w:left w:val="none" w:sz="0" w:space="0" w:color="auto"/>
        <w:bottom w:val="none" w:sz="0" w:space="0" w:color="auto"/>
        <w:right w:val="none" w:sz="0" w:space="0" w:color="auto"/>
      </w:divBdr>
    </w:div>
    <w:div w:id="1876768501">
      <w:bodyDiv w:val="1"/>
      <w:marLeft w:val="0"/>
      <w:marRight w:val="0"/>
      <w:marTop w:val="0"/>
      <w:marBottom w:val="0"/>
      <w:divBdr>
        <w:top w:val="none" w:sz="0" w:space="0" w:color="auto"/>
        <w:left w:val="none" w:sz="0" w:space="0" w:color="auto"/>
        <w:bottom w:val="none" w:sz="0" w:space="0" w:color="auto"/>
        <w:right w:val="none" w:sz="0" w:space="0" w:color="auto"/>
      </w:divBdr>
    </w:div>
    <w:div w:id="1926303820">
      <w:bodyDiv w:val="1"/>
      <w:marLeft w:val="0"/>
      <w:marRight w:val="0"/>
      <w:marTop w:val="0"/>
      <w:marBottom w:val="0"/>
      <w:divBdr>
        <w:top w:val="none" w:sz="0" w:space="0" w:color="auto"/>
        <w:left w:val="none" w:sz="0" w:space="0" w:color="auto"/>
        <w:bottom w:val="none" w:sz="0" w:space="0" w:color="auto"/>
        <w:right w:val="none" w:sz="0" w:space="0" w:color="auto"/>
      </w:divBdr>
    </w:div>
    <w:div w:id="207030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header" Target="header4.xml"/><Relationship Id="rId47"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6.xml"/><Relationship Id="rId46"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image" Target="media/image16.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png"/><Relationship Id="rId36"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image" Target="media/image14.png"/><Relationship Id="rId30" Type="http://schemas.openxmlformats.org/officeDocument/2006/relationships/image" Target="media/image17.emf"/><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Population_and_population_change_statistics" TargetMode="External"/><Relationship Id="rId13" Type="http://schemas.openxmlformats.org/officeDocument/2006/relationships/hyperlink" Target="https://data.consilium.europa.eu/doc/document/ST-12983-2013-INIT/en/pdf" TargetMode="External"/><Relationship Id="rId18" Type="http://schemas.openxmlformats.org/officeDocument/2006/relationships/hyperlink" Target="http://publications.jrc.ec.europa.eu/repository/handle/JRC120680" TargetMode="External"/><Relationship Id="rId26" Type="http://schemas.openxmlformats.org/officeDocument/2006/relationships/hyperlink" Target="https://ec.europa.eu/info/strategy/priorities-2019-2024/european-green-deal_en" TargetMode="External"/><Relationship Id="rId3" Type="http://schemas.openxmlformats.org/officeDocument/2006/relationships/hyperlink" Target="https://ec.europa.eu/eurostat/statistics-explained/pdfscache/1101.pdf" TargetMode="External"/><Relationship Id="rId21" Type="http://schemas.openxmlformats.org/officeDocument/2006/relationships/hyperlink" Target="https://ec.europa.eu/regional_policy/en/information/publications/regional-focus/2018/access-to-universities-in-the-eu-a-regional-and-territorial-analysis" TargetMode="External"/><Relationship Id="rId7" Type="http://schemas.openxmlformats.org/officeDocument/2006/relationships/hyperlink" Target="https://ec.europa.eu/eurostat/statistics-explained/index.php?title=Migration_and_migrant_population_statistics" TargetMode="External"/><Relationship Id="rId12" Type="http://schemas.openxmlformats.org/officeDocument/2006/relationships/hyperlink" Target="https://ec.europa.eu/health/funding/eu4health_en" TargetMode="External"/><Relationship Id="rId17" Type="http://schemas.openxmlformats.org/officeDocument/2006/relationships/hyperlink" Target="https://ec.europa.eu/eurostat/statistics-explained/index.php/Glossary:Material_deprivation" TargetMode="External"/><Relationship Id="rId25" Type="http://schemas.openxmlformats.org/officeDocument/2006/relationships/hyperlink" Target="http://www.fao.org/global-perspectives-studies/en" TargetMode="External"/><Relationship Id="rId2" Type="http://schemas.openxmlformats.org/officeDocument/2006/relationships/hyperlink" Target="https://ec.europa.eu/eurostat/web/population-demography-migration-projections/population-projections-data" TargetMode="External"/><Relationship Id="rId16" Type="http://schemas.openxmlformats.org/officeDocument/2006/relationships/hyperlink" Target="https://ec.europa.eu/eip/ageing/about-the-partnership_en" TargetMode="External"/><Relationship Id="rId20" Type="http://schemas.openxmlformats.org/officeDocument/2006/relationships/hyperlink" Target="https://ec.europa.eu/info/publications/mff-legislation_en" TargetMode="External"/><Relationship Id="rId29" Type="http://schemas.openxmlformats.org/officeDocument/2006/relationships/hyperlink" Target="https://population.un.org/wpp/" TargetMode="External"/><Relationship Id="rId1" Type="http://schemas.openxmlformats.org/officeDocument/2006/relationships/hyperlink" Target="https://ec.europa.eu/eurostat/statistics-explained/index.php?title=Mortality_and_life_expectancy_statistics" TargetMode="External"/><Relationship Id="rId6" Type="http://schemas.openxmlformats.org/officeDocument/2006/relationships/hyperlink" Target="https://ec.europa.eu/eurostat/statistics-explained/index.php?title=Population_structure_and_ageing" TargetMode="External"/><Relationship Id="rId11" Type="http://schemas.openxmlformats.org/officeDocument/2006/relationships/hyperlink" Target="https://www.ecdc.europa.eu/en/cases-2019-ncov-eueea" TargetMode="External"/><Relationship Id="rId24" Type="http://schemas.openxmlformats.org/officeDocument/2006/relationships/hyperlink" Target="https://ec.europa.eu/regional_policy/en/information/publications/regional-focus/2008/remote-rural-regions-how-proximity-to-a-city-influences-the-performance-of-rural-regions" TargetMode="External"/><Relationship Id="rId5" Type="http://schemas.openxmlformats.org/officeDocument/2006/relationships/hyperlink" Target="https://ec.europa.eu/eurostat/statistics-explained/index.php?title=Fertility_statistics" TargetMode="External"/><Relationship Id="rId15" Type="http://schemas.openxmlformats.org/officeDocument/2006/relationships/hyperlink" Target="https://www.oecd.org/els/health-systems/who-cares-attracting-and-retaining-elderly-care-workers-92c0ef68-en.htm" TargetMode="External"/><Relationship Id="rId23" Type="http://schemas.openxmlformats.org/officeDocument/2006/relationships/hyperlink" Target="https://www.oecd.org/cfe/regional-policy/Rural-3.0-Policy-Note.pdf" TargetMode="External"/><Relationship Id="rId28" Type="http://schemas.openxmlformats.org/officeDocument/2006/relationships/hyperlink" Target="https://openknowledge.worldbank.org/handle/10986/29461" TargetMode="External"/><Relationship Id="rId10" Type="http://schemas.openxmlformats.org/officeDocument/2006/relationships/hyperlink" Target="https://ec.europa.eu/info/publications/economy-finance/economists-musings-human-capital-investment-how-efficient-public-spending-education-eu-member-states_en" TargetMode="External"/><Relationship Id="rId19" Type="http://schemas.openxmlformats.org/officeDocument/2006/relationships/hyperlink" Target="https://urldefense.com/v3/__https:/doi.org/10.1787/b902cc00-en__;!!DOxrgLBm!XIOlO0824qKuoP5_CkmxzkAXuVqDihmiPLY6WWZqia09gnpYwaWx4PkOST04llZWbklw13At$" TargetMode="External"/><Relationship Id="rId4" Type="http://schemas.openxmlformats.org/officeDocument/2006/relationships/hyperlink" Target="https://ec.europa.eu/health/state/glance_ro" TargetMode="External"/><Relationship Id="rId9" Type="http://schemas.openxmlformats.org/officeDocument/2006/relationships/hyperlink" Target="https://ec.europa.eu/eurostat/web/population-demography-migration-projections/population-projections-data" TargetMode="External"/><Relationship Id="rId14" Type="http://schemas.openxmlformats.org/officeDocument/2006/relationships/hyperlink" Target="https://ec.europa.eu/food/farm2fork_en" TargetMode="External"/><Relationship Id="rId22" Type="http://schemas.openxmlformats.org/officeDocument/2006/relationships/hyperlink" Target="https://urban.jrc.ec.europa.eu/thefutureofcities/ageing" TargetMode="External"/><Relationship Id="rId27" Type="http://schemas.openxmlformats.org/officeDocument/2006/relationships/hyperlink" Target="https://news.un.org/en/story/2019/07/1043551" TargetMode="External"/><Relationship Id="rId30" Type="http://schemas.openxmlformats.org/officeDocument/2006/relationships/hyperlink" Target="https://ec.europa.eu/regional_policy/en/information/publications/working-papers/2018/the-geography-of-eu-dis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9AB8B-3C74-4FBA-9F49-888DA5648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10156</Words>
  <Characters>53323</Characters>
  <Application>Microsoft Office Word</Application>
  <DocSecurity>0</DocSecurity>
  <Lines>833</Lines>
  <Paragraphs>233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2020-06-17T06:49:00Z</dcterms:created>
  <dcterms:modified xsi:type="dcterms:W3CDTF">2020-06-25T11:17:00Z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CP-008</vt:lpwstr>
  </property>
</Properties>
</file>