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1C0107D2-3908-4762-ADC9-D2A47B9CD866" style="width:450.75pt;height:338.2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EXPUNERE DE MOTIVE</w:t>
      </w:r>
    </w:p>
    <w:p>
      <w:pPr>
        <w:pStyle w:val="ManualHeading1"/>
        <w:rPr>
          <w:noProof/>
        </w:rPr>
      </w:pPr>
      <w:r>
        <w:rPr>
          <w:noProof/>
        </w:rPr>
        <w:t>1.</w:t>
      </w:r>
      <w:r>
        <w:rPr>
          <w:noProof/>
        </w:rPr>
        <w:tab/>
        <w:t>CONTEXTUL PROPUNERII</w:t>
      </w:r>
    </w:p>
    <w:p>
      <w:pPr>
        <w:pStyle w:val="ManualHeading2"/>
        <w:rPr>
          <w:rFonts w:eastAsia="Arial Unicode MS"/>
          <w:noProof/>
        </w:rPr>
      </w:pPr>
      <w:r>
        <w:rPr>
          <w:noProof/>
          <w:color w:val="000000"/>
          <w:u w:color="000000"/>
          <w:bdr w:val="nil"/>
        </w:rPr>
        <w:t>•</w:t>
      </w:r>
      <w:r>
        <w:rPr>
          <w:noProof/>
        </w:rPr>
        <w:tab/>
        <w:t>Motivele și obiectivele propunerii</w:t>
      </w:r>
    </w:p>
    <w:p>
      <w:pPr>
        <w:rPr>
          <w:rFonts w:eastAsia="Calibri"/>
          <w:noProof/>
          <w:szCs w:val="20"/>
        </w:rPr>
      </w:pPr>
      <w:r>
        <w:rPr>
          <w:noProof/>
        </w:rPr>
        <w:t xml:space="preserve">Articolul 305 din Tratatul privind funcționarea Uniunii Europene (TFUE) prevede că </w:t>
      </w:r>
      <w:r>
        <w:rPr>
          <w:noProof/>
        </w:rPr>
        <w:br/>
        <w:t xml:space="preserve">numărul de membri ai Comitetului Regiunilor (denumit în continuare „Comitetul”) </w:t>
      </w:r>
      <w:r>
        <w:rPr>
          <w:noProof/>
        </w:rPr>
        <w:br/>
        <w:t xml:space="preserve">nu poate depăși 350. </w:t>
      </w:r>
    </w:p>
    <w:p>
      <w:pPr>
        <w:rPr>
          <w:rFonts w:eastAsia="Calibri"/>
          <w:noProof/>
          <w:szCs w:val="20"/>
        </w:rPr>
      </w:pPr>
      <w:r>
        <w:rPr>
          <w:noProof/>
        </w:rPr>
        <w:t>Până la intrarea în vigoare a Tratatului de la Lisabona, componența Comitetului a fost prevăzută în tratate. După această dată, articolul 305 paragraful al doilea din TFUE prevede că Consiliul, hotărând în unanimitate, la propunerea Comisiei, adoptă o decizie care stabilește componența Comitetului.</w:t>
      </w:r>
    </w:p>
    <w:p>
      <w:pPr>
        <w:rPr>
          <w:rFonts w:eastAsia="Calibri"/>
          <w:noProof/>
          <w:szCs w:val="20"/>
        </w:rPr>
      </w:pPr>
      <w:r>
        <w:rPr>
          <w:noProof/>
        </w:rPr>
        <w:t>Ar trebui reamintit faptul că articolul 300 alineatul (5) din TFUE prevede că normele referitoare la natura compunerii comitetelor consultative „sunt revizuite periodic de Consiliu, pentru a ține seama de evoluția economică, socială și demografică a Uniunii. Consiliul, la propunerea Comisiei, adoptă decizii în acest scop”.</w:t>
      </w:r>
    </w:p>
    <w:p>
      <w:pPr>
        <w:rPr>
          <w:rFonts w:eastAsia="Calibri"/>
          <w:noProof/>
          <w:szCs w:val="20"/>
        </w:rPr>
      </w:pPr>
      <w:r>
        <w:rPr>
          <w:noProof/>
        </w:rPr>
        <w:t>La 1 iulie 2013, Actul privind condițiile de aderare a Republicii Croația</w:t>
      </w:r>
      <w:r>
        <w:rPr>
          <w:rStyle w:val="FootnoteReference"/>
          <w:noProof/>
        </w:rPr>
        <w:footnoteReference w:id="1"/>
      </w:r>
      <w:r>
        <w:rPr>
          <w:noProof/>
        </w:rPr>
        <w:t xml:space="preserve"> a adaptat componența Comitetului prin articolul său 24 alineatul (1) și, prin alineatul (2) al aceluiași articol, a prevăzut creșterea temporară a numărului membrilor Comitetului la 353 de membri, pentru a ține seama de aderarea Republicii Croația. Pentru perioada 2015-2020, Consiliul a adoptat, la 16 decembrie 2014, decizia de stabilire a componenței Comitetului</w:t>
      </w:r>
      <w:r>
        <w:rPr>
          <w:rStyle w:val="FootnoteReference"/>
          <w:noProof/>
        </w:rPr>
        <w:footnoteReference w:id="2"/>
      </w:r>
      <w:r>
        <w:rPr>
          <w:noProof/>
        </w:rPr>
        <w:t xml:space="preserve"> pentru a respecta numărul maxim de 350 de membri prevăzut în tratat. Ca urmare a acestei decizii, componența delegațiilor din Estonia, Cipru și Luxemburg a fost redusă cu câte un loc.</w:t>
      </w:r>
    </w:p>
    <w:p>
      <w:pPr>
        <w:rPr>
          <w:rFonts w:eastAsia="Calibri"/>
          <w:noProof/>
          <w:szCs w:val="20"/>
        </w:rPr>
      </w:pPr>
      <w:r>
        <w:rPr>
          <w:noProof/>
        </w:rPr>
        <w:t xml:space="preserve">Actualul mandat al Comitetului se va încheia la data de 25 ianuarie 2020. Prin urmare, Consiliul trebuie să adopte în timp util decizia privind componența Comitetului, înainte de a lansa procedura de reînnoire a mandatului Comitetului Regiunilor pentru perioada 2020-2025. </w:t>
      </w:r>
    </w:p>
    <w:p>
      <w:pPr>
        <w:rPr>
          <w:rFonts w:eastAsia="Calibri"/>
          <w:noProof/>
          <w:szCs w:val="20"/>
        </w:rPr>
      </w:pPr>
      <w:r>
        <w:rPr>
          <w:noProof/>
        </w:rPr>
        <w:t xml:space="preserve">Ca urmare a retragerii Regatului Unit din Uniunea Europeană la 30 martie 2019, vor rămâne 24 de locuri vacante în cadrul Comitetului. </w:t>
      </w:r>
    </w:p>
    <w:p>
      <w:pPr>
        <w:rPr>
          <w:rFonts w:eastAsia="Calibri"/>
          <w:noProof/>
          <w:szCs w:val="20"/>
        </w:rPr>
      </w:pPr>
      <w:r>
        <w:rPr>
          <w:noProof/>
        </w:rPr>
        <w:t xml:space="preserve">Comisia este de părere că ar trebui să se mențină, în măsura posibilului, echilibrul existent în prezent în componența Comitetului, acesta fiind rezultatul mai multor conferințe interguvernamentale succesive. </w:t>
      </w:r>
    </w:p>
    <w:p>
      <w:pPr>
        <w:rPr>
          <w:rFonts w:eastAsia="Calibri"/>
          <w:noProof/>
          <w:szCs w:val="20"/>
        </w:rPr>
      </w:pPr>
      <w:r>
        <w:rPr>
          <w:noProof/>
        </w:rPr>
        <w:t xml:space="preserve">Prin urmare, se propune să se restituie Estoniei, Ciprului și Luxemburgului cele trei locuri pierdute în urma ultimei decizii de stabilire a componenței Comitetului și să se păstreze </w:t>
      </w:r>
      <w:r>
        <w:rPr>
          <w:noProof/>
        </w:rPr>
        <w:br/>
        <w:t xml:space="preserve">restul locurile vacante ca rezervă pentru eventualele extinderi viitoare. Prin urmare, </w:t>
      </w:r>
      <w:r>
        <w:rPr>
          <w:noProof/>
        </w:rPr>
        <w:br/>
        <w:t>în perioada 2020-2025, Comitetul ar urma să fie compus din 329 de membri.</w:t>
      </w:r>
    </w:p>
    <w:p>
      <w:pPr>
        <w:pStyle w:val="ManualHeading2"/>
        <w:rPr>
          <w:rFonts w:eastAsia="Arial Unicode MS"/>
          <w:noProof/>
          <w:color w:val="000000"/>
          <w:u w:color="000000"/>
          <w:bdr w:val="nil"/>
        </w:rPr>
      </w:pPr>
      <w:r>
        <w:rPr>
          <w:noProof/>
          <w:color w:val="000000"/>
          <w:u w:color="000000"/>
          <w:bdr w:val="nil"/>
        </w:rPr>
        <w:t>•</w:t>
      </w:r>
      <w:r>
        <w:rPr>
          <w:noProof/>
        </w:rPr>
        <w:tab/>
        <w:t>Coerența cu dispozițiile existente în domeniul de politică vizat</w:t>
      </w:r>
    </w:p>
    <w:p>
      <w:pPr>
        <w:pBdr>
          <w:top w:val="nil"/>
          <w:left w:val="nil"/>
          <w:bottom w:val="nil"/>
          <w:right w:val="nil"/>
          <w:between w:val="nil"/>
          <w:bar w:val="nil"/>
        </w:pBdr>
        <w:spacing w:before="0" w:after="240"/>
        <w:rPr>
          <w:rFonts w:eastAsia="Arial Unicode MS"/>
          <w:noProof/>
        </w:rPr>
      </w:pPr>
      <w:r>
        <w:rPr>
          <w:noProof/>
        </w:rPr>
        <w:t>N/A</w:t>
      </w:r>
    </w:p>
    <w:p>
      <w:pPr>
        <w:pStyle w:val="ManualHeading2"/>
        <w:rPr>
          <w:rFonts w:eastAsia="Arial Unicode MS"/>
          <w:noProof/>
        </w:rPr>
      </w:pPr>
      <w:r>
        <w:rPr>
          <w:noProof/>
          <w:color w:val="000000"/>
          <w:u w:color="000000"/>
          <w:bdr w:val="nil"/>
        </w:rPr>
        <w:t>•</w:t>
      </w:r>
      <w:r>
        <w:rPr>
          <w:noProof/>
        </w:rPr>
        <w:tab/>
        <w:t>Coerența cu alte politici ale Uniunii</w:t>
      </w:r>
    </w:p>
    <w:p>
      <w:pPr>
        <w:rPr>
          <w:rFonts w:eastAsia="Calibri"/>
          <w:noProof/>
          <w:szCs w:val="20"/>
        </w:rPr>
      </w:pPr>
      <w:r>
        <w:rPr>
          <w:noProof/>
        </w:rPr>
        <w:t xml:space="preserve">Comisia adoptă prezenta propunere în paralel cu propunerea privind componența Comitetului Economic și Social. Trebuie menținut paralelismul cu privire la repartizarea numărului de membri între statele membre în cele două comitete. </w:t>
      </w:r>
    </w:p>
    <w:p>
      <w:pPr>
        <w:rPr>
          <w:rFonts w:eastAsia="Calibri"/>
          <w:noProof/>
          <w:szCs w:val="20"/>
        </w:rPr>
      </w:pPr>
      <w:r>
        <w:rPr>
          <w:noProof/>
        </w:rPr>
        <w:lastRenderedPageBreak/>
        <w:t>Tratatul nu conține dispoziții privind metoda de stabilire a componenței Comitetului Economic și Social sau a componenței Comitetului Regiunilor, în limitele numărului maxim de 350 de membri. Această situație este diferită de cea a Parlamentului European, a cărui componență este stabilită la articolul 14 alineatul (2) din Tratatul privind Uniunea Europeană. În timp ce Parlamentul este alcătuit din reprezentanți aleși în mod direct de cetățenii Uniunii, Comitetul este format din reprezentanți ai colectivităților regionale și locale [articolul 300 alineatul (3) din TFUE]. Prin urmare, principala preocupare ar trebui să fie nu stabilirea unui raport direct între numărul de membri ai Comitetului și dimensiunea populației fiecărui stat membru, ci asigurarea faptului că punctul de vedere al colectivităților regionale și locale se face auzit în cadrul Comitetului.</w:t>
      </w:r>
    </w:p>
    <w:p>
      <w:pPr>
        <w:rPr>
          <w:rFonts w:eastAsia="Calibri"/>
          <w:noProof/>
          <w:szCs w:val="20"/>
        </w:rPr>
      </w:pPr>
      <w:r>
        <w:rPr>
          <w:noProof/>
        </w:rPr>
        <w:t>Comunicarea „Principiile subsidiarității și proporționalității: consolidarea rolului lor în elaborarea politicilor UE”</w:t>
      </w:r>
      <w:r>
        <w:rPr>
          <w:rStyle w:val="FootnoteReference"/>
          <w:noProof/>
        </w:rPr>
        <w:footnoteReference w:id="3"/>
      </w:r>
      <w:r>
        <w:rPr>
          <w:noProof/>
        </w:rPr>
        <w:t xml:space="preserve"> prezintă modalitățile prin care se poate asigura faptul că autoritățile locale și regionale și organizațiile acestora se pot implica mai eficient în elaborarea și punerea în aplicare a politicilor Uniunii și consideră că, din acest punct de vedere, Comitetului Regiunilor îi revine un rol important.</w:t>
      </w:r>
    </w:p>
    <w:p>
      <w:pPr>
        <w:pStyle w:val="ManualHeading1"/>
        <w:rPr>
          <w:noProof/>
        </w:rPr>
      </w:pPr>
      <w:r>
        <w:rPr>
          <w:noProof/>
        </w:rPr>
        <w:t>2.</w:t>
      </w:r>
      <w:r>
        <w:rPr>
          <w:noProof/>
        </w:rPr>
        <w:tab/>
        <w:t>TEMEIUL JURIDIC, SUBSIDIARITATEA ȘI PROPORȚIONALITATEA</w:t>
      </w:r>
    </w:p>
    <w:p>
      <w:pPr>
        <w:pStyle w:val="ManualHeading2"/>
        <w:rPr>
          <w:rFonts w:eastAsia="Arial Unicode MS"/>
          <w:noProof/>
          <w:u w:color="000000"/>
          <w:bdr w:val="nil"/>
        </w:rPr>
      </w:pPr>
      <w:r>
        <w:rPr>
          <w:noProof/>
        </w:rPr>
        <w:t>•</w:t>
      </w:r>
      <w:r>
        <w:rPr>
          <w:noProof/>
        </w:rPr>
        <w:tab/>
        <w:t>Temeiul juridic</w:t>
      </w:r>
    </w:p>
    <w:p>
      <w:pPr>
        <w:rPr>
          <w:rFonts w:eastAsia="Calibri"/>
          <w:noProof/>
          <w:szCs w:val="20"/>
        </w:rPr>
      </w:pPr>
      <w:r>
        <w:rPr>
          <w:noProof/>
        </w:rPr>
        <w:t xml:space="preserve">Propunerea se bazează pe articolul 305 din TFUE, care prevede că decizia de stabilire a componenței Comitetului se adoptă de către Consiliu, care hotărăște în unanimitate. </w:t>
      </w:r>
    </w:p>
    <w:p>
      <w:pPr>
        <w:pStyle w:val="ManualHeading2"/>
        <w:rPr>
          <w:rFonts w:eastAsia="Arial Unicode MS"/>
          <w:noProof/>
          <w:u w:color="000000"/>
          <w:bdr w:val="nil"/>
        </w:rPr>
      </w:pPr>
      <w:r>
        <w:rPr>
          <w:noProof/>
        </w:rPr>
        <w:t>•</w:t>
      </w:r>
      <w:r>
        <w:rPr>
          <w:noProof/>
        </w:rPr>
        <w:tab/>
        <w:t xml:space="preserve">Subsidiaritatea (în cazul competențelor neexclusive) </w:t>
      </w:r>
    </w:p>
    <w:p>
      <w:pPr>
        <w:pBdr>
          <w:top w:val="nil"/>
          <w:left w:val="nil"/>
          <w:bottom w:val="nil"/>
          <w:right w:val="nil"/>
          <w:between w:val="nil"/>
          <w:bar w:val="nil"/>
        </w:pBdr>
        <w:spacing w:before="0" w:after="240"/>
        <w:rPr>
          <w:rFonts w:eastAsia="Arial Unicode MS"/>
          <w:noProof/>
        </w:rPr>
      </w:pPr>
      <w:r>
        <w:rPr>
          <w:noProof/>
        </w:rPr>
        <w:t>N/A</w:t>
      </w:r>
    </w:p>
    <w:p>
      <w:pPr>
        <w:pStyle w:val="ManualHeading2"/>
        <w:rPr>
          <w:rFonts w:eastAsia="Arial Unicode MS"/>
          <w:noProof/>
          <w:u w:color="000000"/>
          <w:bdr w:val="nil"/>
        </w:rPr>
      </w:pPr>
      <w:r>
        <w:rPr>
          <w:noProof/>
        </w:rPr>
        <w:t>•</w:t>
      </w:r>
      <w:r>
        <w:rPr>
          <w:noProof/>
        </w:rPr>
        <w:tab/>
        <w:t>Proporționalitatea</w:t>
      </w:r>
    </w:p>
    <w:p>
      <w:pPr>
        <w:pBdr>
          <w:top w:val="nil"/>
          <w:left w:val="nil"/>
          <w:bottom w:val="nil"/>
          <w:right w:val="nil"/>
          <w:between w:val="nil"/>
          <w:bar w:val="nil"/>
        </w:pBdr>
        <w:spacing w:before="0" w:after="240"/>
        <w:rPr>
          <w:rFonts w:eastAsia="Arial Unicode MS"/>
          <w:noProof/>
        </w:rPr>
      </w:pPr>
      <w:r>
        <w:rPr>
          <w:noProof/>
        </w:rPr>
        <w:t>N/A</w:t>
      </w:r>
    </w:p>
    <w:p>
      <w:pPr>
        <w:pStyle w:val="ManualHeading2"/>
        <w:rPr>
          <w:rFonts w:eastAsia="Arial Unicode MS"/>
          <w:noProof/>
          <w:u w:color="000000"/>
          <w:bdr w:val="nil"/>
        </w:rPr>
      </w:pPr>
      <w:r>
        <w:rPr>
          <w:noProof/>
        </w:rPr>
        <w:t>•</w:t>
      </w:r>
      <w:r>
        <w:rPr>
          <w:noProof/>
        </w:rPr>
        <w:tab/>
        <w:t>Alegerea instrumentului</w:t>
      </w:r>
    </w:p>
    <w:p>
      <w:pPr>
        <w:pBdr>
          <w:top w:val="nil"/>
          <w:left w:val="nil"/>
          <w:bottom w:val="nil"/>
          <w:right w:val="nil"/>
          <w:between w:val="nil"/>
          <w:bar w:val="nil"/>
        </w:pBdr>
        <w:spacing w:before="0" w:after="240"/>
        <w:rPr>
          <w:rFonts w:eastAsia="Arial Unicode MS"/>
          <w:noProof/>
        </w:rPr>
      </w:pPr>
      <w:r>
        <w:rPr>
          <w:noProof/>
        </w:rPr>
        <w:t>Articolul 305 paragraful al doilea din TFUE prevede că Consiliul, hotărând în unanimitate, la propunerea Comisiei, adoptă o decizie de stabilire a componenței Comitetului.</w:t>
      </w:r>
    </w:p>
    <w:p>
      <w:pPr>
        <w:pStyle w:val="ManualHeading1"/>
        <w:rPr>
          <w:noProof/>
        </w:rPr>
      </w:pPr>
      <w:r>
        <w:rPr>
          <w:noProof/>
        </w:rPr>
        <w:t>3.</w:t>
      </w:r>
      <w:r>
        <w:rPr>
          <w:noProof/>
        </w:rPr>
        <w:tab/>
        <w:t xml:space="preserve">REZULTATELE EVALUĂRILOR </w:t>
      </w:r>
      <w:r>
        <w:rPr>
          <w:i/>
          <w:noProof/>
        </w:rPr>
        <w:t>EX POST</w:t>
      </w:r>
      <w:r>
        <w:rPr>
          <w:noProof/>
        </w:rPr>
        <w:t>, ALE CONSULTĂRILOR CU PĂRȚILE INTERESATE ȘI ALE EVALUĂRILOR IMPACTULUI</w:t>
      </w:r>
    </w:p>
    <w:p>
      <w:pPr>
        <w:pStyle w:val="ManualHeading2"/>
        <w:rPr>
          <w:rFonts w:eastAsia="Arial Unicode MS"/>
          <w:noProof/>
          <w:u w:color="000000"/>
          <w:bdr w:val="nil"/>
        </w:rPr>
      </w:pPr>
      <w:r>
        <w:rPr>
          <w:noProof/>
        </w:rPr>
        <w:t>•</w:t>
      </w:r>
      <w:r>
        <w:rPr>
          <w:noProof/>
        </w:rPr>
        <w:tab/>
        <w:t xml:space="preserve">Evaluările </w:t>
      </w:r>
      <w:r>
        <w:rPr>
          <w:i/>
          <w:noProof/>
        </w:rPr>
        <w:t>ex post</w:t>
      </w:r>
      <w:r>
        <w:rPr>
          <w:noProof/>
        </w:rPr>
        <w:t>/verificarea adecvării legislației existente</w:t>
      </w:r>
    </w:p>
    <w:p>
      <w:pPr>
        <w:pBdr>
          <w:top w:val="nil"/>
          <w:left w:val="nil"/>
          <w:bottom w:val="nil"/>
          <w:right w:val="nil"/>
          <w:between w:val="nil"/>
          <w:bar w:val="nil"/>
        </w:pBdr>
        <w:spacing w:before="0" w:after="240"/>
        <w:rPr>
          <w:rFonts w:eastAsia="Arial Unicode MS"/>
          <w:noProof/>
        </w:rPr>
      </w:pPr>
      <w:r>
        <w:rPr>
          <w:noProof/>
        </w:rPr>
        <w:t>N/A</w:t>
      </w:r>
    </w:p>
    <w:p>
      <w:pPr>
        <w:pStyle w:val="ManualHeading2"/>
        <w:rPr>
          <w:rFonts w:eastAsia="Arial Unicode MS"/>
          <w:noProof/>
          <w:u w:color="000000"/>
          <w:bdr w:val="nil"/>
        </w:rPr>
      </w:pPr>
      <w:r>
        <w:rPr>
          <w:noProof/>
        </w:rPr>
        <w:t>•</w:t>
      </w:r>
      <w:r>
        <w:rPr>
          <w:noProof/>
        </w:rPr>
        <w:tab/>
        <w:t>Consultările cu părțile interesate</w:t>
      </w:r>
    </w:p>
    <w:p>
      <w:pPr>
        <w:pBdr>
          <w:top w:val="nil"/>
          <w:left w:val="nil"/>
          <w:bottom w:val="nil"/>
          <w:right w:val="nil"/>
          <w:between w:val="nil"/>
          <w:bar w:val="nil"/>
        </w:pBdr>
        <w:spacing w:before="0" w:after="240"/>
        <w:rPr>
          <w:rFonts w:eastAsia="Arial Unicode MS"/>
          <w:noProof/>
        </w:rPr>
      </w:pPr>
      <w:r>
        <w:rPr>
          <w:noProof/>
        </w:rPr>
        <w:t>Pentru pregătirea prezentei propuneri, Comisia a purtat un dialog strâns cu reprezentanții statelor membre și a organizat mai multe reuniuni cu aceștia. Comitetul a transmis Comisiei recomandarea sa, bazată pe decizia Biroului său din 3 iulie 2018</w:t>
      </w:r>
      <w:r>
        <w:rPr>
          <w:rStyle w:val="FootnoteReference"/>
          <w:noProof/>
        </w:rPr>
        <w:footnoteReference w:id="4"/>
      </w:r>
      <w:r>
        <w:rPr>
          <w:noProof/>
        </w:rPr>
        <w:t>, de a se restitui cele trei locuri Estoniei, Ciprului și Luxemburgului și de a nu se redistribui celelalte locuri vacante, fixându-se astfel la 329 numărul total al membrilor pentru mandatul 2020-2025.</w:t>
      </w:r>
    </w:p>
    <w:p>
      <w:pPr>
        <w:pStyle w:val="ManualHeading2"/>
        <w:rPr>
          <w:rFonts w:eastAsia="Arial Unicode MS"/>
          <w:noProof/>
          <w:u w:color="000000"/>
          <w:bdr w:val="nil"/>
        </w:rPr>
      </w:pPr>
      <w:r>
        <w:rPr>
          <w:noProof/>
        </w:rPr>
        <w:lastRenderedPageBreak/>
        <w:t>•</w:t>
      </w:r>
      <w:r>
        <w:rPr>
          <w:noProof/>
        </w:rPr>
        <w:tab/>
        <w:t>Obținerea și utilizarea cunoștințelor de specialitate</w:t>
      </w:r>
    </w:p>
    <w:p>
      <w:pPr>
        <w:pBdr>
          <w:top w:val="nil"/>
          <w:left w:val="nil"/>
          <w:bottom w:val="nil"/>
          <w:right w:val="nil"/>
          <w:between w:val="nil"/>
          <w:bar w:val="nil"/>
        </w:pBdr>
        <w:spacing w:before="0" w:after="240"/>
        <w:rPr>
          <w:rFonts w:eastAsia="Arial Unicode MS"/>
          <w:noProof/>
        </w:rPr>
      </w:pPr>
      <w:r>
        <w:rPr>
          <w:noProof/>
        </w:rPr>
        <w:t>N/A</w:t>
      </w:r>
    </w:p>
    <w:p>
      <w:pPr>
        <w:pStyle w:val="ManualHeading2"/>
        <w:rPr>
          <w:rFonts w:eastAsia="Arial Unicode MS"/>
          <w:noProof/>
          <w:u w:color="000000"/>
          <w:bdr w:val="nil"/>
        </w:rPr>
      </w:pPr>
      <w:r>
        <w:rPr>
          <w:noProof/>
        </w:rPr>
        <w:t>•</w:t>
      </w:r>
      <w:r>
        <w:rPr>
          <w:noProof/>
        </w:rPr>
        <w:tab/>
        <w:t>Evaluarea impactului</w:t>
      </w:r>
    </w:p>
    <w:p>
      <w:pPr>
        <w:pBdr>
          <w:top w:val="nil"/>
          <w:left w:val="nil"/>
          <w:bottom w:val="nil"/>
          <w:right w:val="nil"/>
          <w:between w:val="nil"/>
          <w:bar w:val="nil"/>
        </w:pBdr>
        <w:spacing w:before="0" w:after="240"/>
        <w:rPr>
          <w:rFonts w:eastAsia="Arial Unicode MS"/>
          <w:noProof/>
        </w:rPr>
      </w:pPr>
      <w:r>
        <w:rPr>
          <w:noProof/>
        </w:rPr>
        <w:t>Prezenta propunere nu este însoțită de o evaluare a impactului specifică, întrucât nu se preconizează că va avea un impact semnificativ mai larg din punct de vedere economic, social și de mediu.</w:t>
      </w:r>
    </w:p>
    <w:p>
      <w:pPr>
        <w:pStyle w:val="ManualHeading2"/>
        <w:rPr>
          <w:rFonts w:eastAsia="Arial Unicode MS"/>
          <w:noProof/>
          <w:u w:color="000000"/>
          <w:bdr w:val="nil"/>
        </w:rPr>
      </w:pPr>
      <w:r>
        <w:rPr>
          <w:noProof/>
        </w:rPr>
        <w:t>•</w:t>
      </w:r>
      <w:r>
        <w:rPr>
          <w:noProof/>
        </w:rPr>
        <w:tab/>
        <w:t>Adecvarea reglementărilor și simplificarea</w:t>
      </w:r>
    </w:p>
    <w:p>
      <w:pPr>
        <w:pBdr>
          <w:top w:val="nil"/>
          <w:left w:val="nil"/>
          <w:bottom w:val="nil"/>
          <w:right w:val="nil"/>
          <w:between w:val="nil"/>
          <w:bar w:val="nil"/>
        </w:pBdr>
        <w:spacing w:before="0" w:after="240"/>
        <w:rPr>
          <w:rFonts w:eastAsia="Arial Unicode MS"/>
          <w:noProof/>
        </w:rPr>
      </w:pPr>
      <w:r>
        <w:rPr>
          <w:noProof/>
        </w:rPr>
        <w:t>N/A</w:t>
      </w:r>
    </w:p>
    <w:p>
      <w:pPr>
        <w:pStyle w:val="ManualHeading2"/>
        <w:rPr>
          <w:rFonts w:eastAsia="Arial Unicode MS"/>
          <w:noProof/>
          <w:u w:color="000000"/>
          <w:bdr w:val="nil"/>
        </w:rPr>
      </w:pPr>
      <w:r>
        <w:rPr>
          <w:noProof/>
        </w:rPr>
        <w:t>•</w:t>
      </w:r>
      <w:r>
        <w:rPr>
          <w:noProof/>
        </w:rPr>
        <w:tab/>
        <w:t>Drepturile fundamentale</w:t>
      </w:r>
    </w:p>
    <w:p>
      <w:pPr>
        <w:pBdr>
          <w:top w:val="nil"/>
          <w:left w:val="nil"/>
          <w:bottom w:val="nil"/>
          <w:right w:val="nil"/>
          <w:between w:val="nil"/>
          <w:bar w:val="nil"/>
        </w:pBdr>
        <w:spacing w:before="0" w:after="240"/>
        <w:rPr>
          <w:rFonts w:eastAsia="Arial Unicode MS"/>
          <w:noProof/>
        </w:rPr>
      </w:pPr>
      <w:r>
        <w:rPr>
          <w:noProof/>
        </w:rPr>
        <w:t>N/A</w:t>
      </w:r>
    </w:p>
    <w:p>
      <w:pPr>
        <w:pStyle w:val="ManualHeading1"/>
        <w:rPr>
          <w:noProof/>
        </w:rPr>
      </w:pPr>
      <w:r>
        <w:rPr>
          <w:noProof/>
        </w:rPr>
        <w:t>4.</w:t>
      </w:r>
      <w:r>
        <w:rPr>
          <w:noProof/>
        </w:rPr>
        <w:tab/>
        <w:t>IMPLICAȚIILE BUGETARE</w:t>
      </w:r>
    </w:p>
    <w:p>
      <w:pPr>
        <w:pBdr>
          <w:top w:val="nil"/>
          <w:left w:val="nil"/>
          <w:bottom w:val="nil"/>
          <w:right w:val="nil"/>
          <w:between w:val="nil"/>
          <w:bar w:val="nil"/>
        </w:pBdr>
        <w:spacing w:before="0" w:after="240"/>
        <w:rPr>
          <w:rFonts w:eastAsia="Arial Unicode MS"/>
          <w:noProof/>
        </w:rPr>
      </w:pPr>
      <w:r>
        <w:rPr>
          <w:noProof/>
        </w:rPr>
        <w:t>Reducerea numărului de locuri în urma retragerii Regatului Unit din Uniunea Europeană ar putea avea ca efect diminuarea bugetului general al Comitetului.</w:t>
      </w:r>
    </w:p>
    <w:p>
      <w:pPr>
        <w:pStyle w:val="ManualHeading1"/>
        <w:rPr>
          <w:noProof/>
        </w:rPr>
      </w:pPr>
      <w:r>
        <w:rPr>
          <w:noProof/>
        </w:rPr>
        <w:t>5.</w:t>
      </w:r>
      <w:r>
        <w:rPr>
          <w:noProof/>
        </w:rPr>
        <w:tab/>
        <w:t>ALTE ELEMENTE</w:t>
      </w:r>
    </w:p>
    <w:p>
      <w:pPr>
        <w:pStyle w:val="ManualHeading2"/>
        <w:rPr>
          <w:rFonts w:eastAsia="Arial Unicode MS"/>
          <w:noProof/>
          <w:u w:color="000000"/>
          <w:bdr w:val="nil"/>
        </w:rPr>
      </w:pPr>
      <w:r>
        <w:rPr>
          <w:noProof/>
        </w:rPr>
        <w:t>•</w:t>
      </w:r>
      <w:r>
        <w:rPr>
          <w:noProof/>
        </w:rPr>
        <w:tab/>
        <w:t>Planurile de punere în aplicare și măsurile de monitorizare, evaluare și raportare</w:t>
      </w:r>
    </w:p>
    <w:p>
      <w:pPr>
        <w:pBdr>
          <w:top w:val="nil"/>
          <w:left w:val="nil"/>
          <w:bottom w:val="nil"/>
          <w:right w:val="nil"/>
          <w:between w:val="nil"/>
          <w:bar w:val="nil"/>
        </w:pBdr>
        <w:spacing w:before="0" w:after="240"/>
        <w:rPr>
          <w:rFonts w:eastAsia="Arial Unicode MS"/>
          <w:noProof/>
        </w:rPr>
      </w:pPr>
      <w:r>
        <w:rPr>
          <w:noProof/>
        </w:rPr>
        <w:t>N/A</w:t>
      </w:r>
    </w:p>
    <w:p>
      <w:pPr>
        <w:pStyle w:val="ManualHeading2"/>
        <w:rPr>
          <w:rFonts w:eastAsia="Arial Unicode MS"/>
          <w:noProof/>
          <w:u w:color="000000"/>
          <w:bdr w:val="nil"/>
        </w:rPr>
      </w:pPr>
      <w:r>
        <w:rPr>
          <w:noProof/>
        </w:rPr>
        <w:t>•</w:t>
      </w:r>
      <w:r>
        <w:rPr>
          <w:noProof/>
        </w:rPr>
        <w:tab/>
        <w:t>Documente explicative (în cazul directivelor)</w:t>
      </w:r>
    </w:p>
    <w:p>
      <w:pPr>
        <w:pBdr>
          <w:top w:val="nil"/>
          <w:left w:val="nil"/>
          <w:bottom w:val="nil"/>
          <w:right w:val="nil"/>
          <w:between w:val="nil"/>
          <w:bar w:val="nil"/>
        </w:pBdr>
        <w:spacing w:before="0" w:after="240"/>
        <w:rPr>
          <w:rFonts w:eastAsia="Arial Unicode MS"/>
          <w:noProof/>
        </w:rPr>
      </w:pPr>
      <w:r>
        <w:rPr>
          <w:noProof/>
        </w:rPr>
        <w:t>N/A</w:t>
      </w:r>
    </w:p>
    <w:p>
      <w:pPr>
        <w:pStyle w:val="ManualHeading2"/>
        <w:rPr>
          <w:rFonts w:eastAsia="Arial Unicode MS"/>
          <w:noProof/>
          <w:u w:color="000000"/>
          <w:bdr w:val="nil"/>
        </w:rPr>
      </w:pPr>
      <w:r>
        <w:rPr>
          <w:noProof/>
        </w:rPr>
        <w:t>•</w:t>
      </w:r>
      <w:r>
        <w:rPr>
          <w:noProof/>
        </w:rPr>
        <w:tab/>
        <w:t>Intrarea în vigoare</w:t>
      </w:r>
    </w:p>
    <w:p>
      <w:pPr>
        <w:rPr>
          <w:rFonts w:eastAsia="Calibri"/>
          <w:noProof/>
          <w:szCs w:val="20"/>
        </w:rPr>
      </w:pPr>
      <w:r>
        <w:rPr>
          <w:noProof/>
        </w:rPr>
        <w:t xml:space="preserve">Comisia propune Consiliului să amâne aplicarea prezentei decizii până în ziua următoare expirării mandatului actual al Comitetului. </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2018/0401 (NLE)</w:t>
      </w:r>
    </w:p>
    <w:p>
      <w:pPr>
        <w:pStyle w:val="Statut"/>
        <w:rPr>
          <w:noProof/>
        </w:rPr>
      </w:pPr>
      <w:r>
        <w:rPr>
          <w:noProof/>
        </w:rPr>
        <w:t>Propunere de</w:t>
      </w:r>
    </w:p>
    <w:p>
      <w:pPr>
        <w:pStyle w:val="Typedudocument"/>
        <w:rPr>
          <w:noProof/>
        </w:rPr>
      </w:pPr>
      <w:r>
        <w:rPr>
          <w:noProof/>
        </w:rPr>
        <w:t>DECIZIE A CONSILIULUI</w:t>
      </w:r>
    </w:p>
    <w:p>
      <w:pPr>
        <w:pStyle w:val="Titreobjet"/>
        <w:rPr>
          <w:noProof/>
        </w:rPr>
      </w:pPr>
      <w:r>
        <w:rPr>
          <w:noProof/>
        </w:rPr>
        <w:t>cu privire la stabilirea componenței Comitetului Regiunilor</w:t>
      </w:r>
    </w:p>
    <w:p>
      <w:pPr>
        <w:pStyle w:val="Institutionquiagit"/>
        <w:rPr>
          <w:noProof/>
        </w:rPr>
      </w:pPr>
      <w:r>
        <w:rPr>
          <w:noProof/>
        </w:rPr>
        <w:t>CONSILIUL UNIUNII EUROPENE,</w:t>
      </w:r>
    </w:p>
    <w:p>
      <w:pPr>
        <w:rPr>
          <w:noProof/>
        </w:rPr>
      </w:pPr>
      <w:r>
        <w:rPr>
          <w:noProof/>
        </w:rPr>
        <w:t>având în vedere Tratatul privind funcționarea Uniunii Europene, în special articolul 305,</w:t>
      </w:r>
    </w:p>
    <w:p>
      <w:pPr>
        <w:rPr>
          <w:noProof/>
        </w:rPr>
      </w:pPr>
      <w:r>
        <w:rPr>
          <w:noProof/>
        </w:rPr>
        <w:t>având în vedere propunerea Comisiei Europene,</w:t>
      </w:r>
    </w:p>
    <w:p>
      <w:pPr>
        <w:rPr>
          <w:noProof/>
        </w:rPr>
      </w:pPr>
      <w:r>
        <w:rPr>
          <w:noProof/>
        </w:rPr>
        <w:t>întrucât:</w:t>
      </w:r>
    </w:p>
    <w:p>
      <w:pPr>
        <w:pStyle w:val="ManualConsidrant"/>
        <w:rPr>
          <w:noProof/>
        </w:rPr>
      </w:pPr>
      <w:r>
        <w:t>(1)</w:t>
      </w:r>
      <w:r>
        <w:tab/>
      </w:r>
      <w:r>
        <w:rPr>
          <w:noProof/>
        </w:rPr>
        <w:t xml:space="preserve">Articolul 300 din tratat stabilește normele de stabilire a componenței </w:t>
      </w:r>
      <w:r>
        <w:rPr>
          <w:noProof/>
        </w:rPr>
        <w:br/>
        <w:t xml:space="preserve">Comitetului Regiunilor. </w:t>
      </w:r>
    </w:p>
    <w:p>
      <w:pPr>
        <w:pStyle w:val="ManualConsidrant"/>
        <w:rPr>
          <w:noProof/>
        </w:rPr>
      </w:pPr>
      <w:r>
        <w:t>(2)</w:t>
      </w:r>
      <w:r>
        <w:tab/>
      </w:r>
      <w:r>
        <w:rPr>
          <w:noProof/>
        </w:rPr>
        <w:t>Decizia (UE) nr. 2014/930 a Consiliului</w:t>
      </w:r>
      <w:r>
        <w:rPr>
          <w:rStyle w:val="FootnoteReference"/>
          <w:noProof/>
        </w:rPr>
        <w:footnoteReference w:id="5"/>
      </w:r>
      <w:r>
        <w:rPr>
          <w:noProof/>
        </w:rPr>
        <w:t xml:space="preserve"> a adaptat componența </w:t>
      </w:r>
      <w:r>
        <w:rPr>
          <w:noProof/>
        </w:rPr>
        <w:br/>
        <w:t xml:space="preserve">Comitetului Regiunilor în urma aderării Croației. Pentru a se remedia discrepanța dintre numărul maxim de membri stabilit prin tratat și numărul de membri rezultat în urma aderării Croației, Estonia, Cipru și Luxemburg au pierdut fiecare un loc. </w:t>
      </w:r>
    </w:p>
    <w:p>
      <w:pPr>
        <w:pStyle w:val="ManualConsidrant"/>
        <w:rPr>
          <w:noProof/>
        </w:rPr>
      </w:pPr>
      <w:r>
        <w:t>(3)</w:t>
      </w:r>
      <w:r>
        <w:tab/>
      </w:r>
      <w:r>
        <w:rPr>
          <w:noProof/>
        </w:rPr>
        <w:t>Preambulul la Decizia 2014/930/UE prevede că aceasta trebuie revizuită în timp util pentru mandatul Comitetului care începe în 2020.</w:t>
      </w:r>
    </w:p>
    <w:p>
      <w:pPr>
        <w:pStyle w:val="ManualConsidrant"/>
        <w:rPr>
          <w:noProof/>
        </w:rPr>
      </w:pPr>
      <w:r>
        <w:t>(4)</w:t>
      </w:r>
      <w:r>
        <w:tab/>
      </w:r>
      <w:r>
        <w:rPr>
          <w:noProof/>
        </w:rPr>
        <w:t>La 3 iulie 2018, Comitetul Regiunilor a adoptat recomandări adresate Comisiei și Consiliului cu privire la viitoarea sa componență</w:t>
      </w:r>
      <w:r>
        <w:rPr>
          <w:rStyle w:val="FootnoteReference"/>
          <w:noProof/>
        </w:rPr>
        <w:footnoteReference w:id="6"/>
      </w:r>
      <w:r>
        <w:rPr>
          <w:noProof/>
        </w:rPr>
        <w:t>.</w:t>
      </w:r>
    </w:p>
    <w:p>
      <w:pPr>
        <w:pStyle w:val="ManualConsidrant"/>
        <w:rPr>
          <w:noProof/>
        </w:rPr>
      </w:pPr>
      <w:r>
        <w:t>(5)</w:t>
      </w:r>
      <w:r>
        <w:tab/>
      </w:r>
      <w:r>
        <w:rPr>
          <w:noProof/>
        </w:rPr>
        <w:t>Ar trebui să se păstreze, pe cât posibil, echilibrul existent în prezent în componența Comitetului Regiunilor, acesta fiind rezultatul mai multor conferințe interguvernamentale succesive.</w:t>
      </w:r>
    </w:p>
    <w:p>
      <w:pPr>
        <w:pStyle w:val="ManualConsidrant"/>
        <w:rPr>
          <w:noProof/>
        </w:rPr>
      </w:pPr>
      <w:r>
        <w:t>(6)</w:t>
      </w:r>
      <w:r>
        <w:tab/>
      </w:r>
      <w:r>
        <w:rPr>
          <w:noProof/>
        </w:rPr>
        <w:t>Dată fiind retragerea Regatului Unit din Uniunea Europeană, rămân 24 de locuri vacante în cadrul Comitetului. În consecință, se poate restabili echilibrul în materie de alocare a locurilor care exista înainte de adoptarea Deciziei (UE) 2014/930 a Consiliului,</w:t>
      </w:r>
    </w:p>
    <w:p>
      <w:pPr>
        <w:pStyle w:val="Formuledadoption"/>
        <w:rPr>
          <w:noProof/>
        </w:rPr>
      </w:pPr>
      <w:r>
        <w:rPr>
          <w:noProof/>
        </w:rPr>
        <w:t xml:space="preserve">ADOPTĂ PREZENTA DECIZIE: </w:t>
      </w:r>
    </w:p>
    <w:p>
      <w:pPr>
        <w:pStyle w:val="Titrearticle"/>
        <w:rPr>
          <w:noProof/>
        </w:rPr>
      </w:pPr>
      <w:r>
        <w:rPr>
          <w:noProof/>
        </w:rPr>
        <w:t>Articolul 1</w:t>
      </w:r>
    </w:p>
    <w:p>
      <w:pPr>
        <w:rPr>
          <w:rFonts w:eastAsia="Calibri"/>
          <w:noProof/>
          <w:szCs w:val="20"/>
        </w:rPr>
      </w:pPr>
      <w:r>
        <w:rPr>
          <w:noProof/>
        </w:rPr>
        <w:t>Numărul membrilor Comitetului Regiunilor se stabilește după cum urmează:</w:t>
      </w:r>
    </w:p>
    <w:p>
      <w:pPr>
        <w:tabs>
          <w:tab w:val="left" w:pos="2835"/>
        </w:tabs>
        <w:rPr>
          <w:rFonts w:eastAsia="Calibri"/>
          <w:noProof/>
          <w:szCs w:val="20"/>
        </w:rPr>
      </w:pPr>
      <w:r>
        <w:rPr>
          <w:noProof/>
        </w:rPr>
        <w:t>Belgia</w:t>
      </w:r>
      <w:r>
        <w:rPr>
          <w:noProof/>
        </w:rPr>
        <w:tab/>
        <w:t>12</w:t>
      </w:r>
    </w:p>
    <w:p>
      <w:pPr>
        <w:tabs>
          <w:tab w:val="left" w:pos="2835"/>
        </w:tabs>
        <w:rPr>
          <w:rFonts w:eastAsia="Calibri"/>
          <w:noProof/>
          <w:szCs w:val="20"/>
        </w:rPr>
      </w:pPr>
      <w:r>
        <w:rPr>
          <w:noProof/>
        </w:rPr>
        <w:t>Bulgaria</w:t>
      </w:r>
      <w:r>
        <w:rPr>
          <w:noProof/>
        </w:rPr>
        <w:tab/>
        <w:t>12</w:t>
      </w:r>
    </w:p>
    <w:p>
      <w:pPr>
        <w:tabs>
          <w:tab w:val="left" w:pos="2835"/>
        </w:tabs>
        <w:rPr>
          <w:rFonts w:eastAsia="Calibri"/>
          <w:noProof/>
          <w:szCs w:val="20"/>
        </w:rPr>
      </w:pPr>
      <w:r>
        <w:rPr>
          <w:noProof/>
        </w:rPr>
        <w:t>Republica Cehă</w:t>
      </w:r>
      <w:r>
        <w:rPr>
          <w:noProof/>
        </w:rPr>
        <w:tab/>
        <w:t>12</w:t>
      </w:r>
    </w:p>
    <w:p>
      <w:pPr>
        <w:tabs>
          <w:tab w:val="left" w:pos="2977"/>
        </w:tabs>
        <w:rPr>
          <w:rFonts w:eastAsia="Calibri"/>
          <w:noProof/>
          <w:szCs w:val="20"/>
        </w:rPr>
      </w:pPr>
      <w:r>
        <w:rPr>
          <w:noProof/>
        </w:rPr>
        <w:t>Danemarca</w:t>
      </w:r>
      <w:r>
        <w:rPr>
          <w:noProof/>
        </w:rPr>
        <w:tab/>
        <w:t>9</w:t>
      </w:r>
    </w:p>
    <w:p>
      <w:pPr>
        <w:tabs>
          <w:tab w:val="left" w:pos="2835"/>
        </w:tabs>
        <w:rPr>
          <w:rFonts w:eastAsia="Calibri"/>
          <w:noProof/>
          <w:szCs w:val="20"/>
        </w:rPr>
      </w:pPr>
      <w:r>
        <w:rPr>
          <w:noProof/>
        </w:rPr>
        <w:t>Germania</w:t>
      </w:r>
      <w:r>
        <w:rPr>
          <w:noProof/>
        </w:rPr>
        <w:tab/>
        <w:t>24</w:t>
      </w:r>
    </w:p>
    <w:p>
      <w:pPr>
        <w:tabs>
          <w:tab w:val="left" w:pos="2977"/>
        </w:tabs>
        <w:rPr>
          <w:rFonts w:eastAsia="Calibri"/>
          <w:noProof/>
          <w:szCs w:val="20"/>
        </w:rPr>
      </w:pPr>
      <w:r>
        <w:rPr>
          <w:noProof/>
        </w:rPr>
        <w:lastRenderedPageBreak/>
        <w:t>Estonia</w:t>
      </w:r>
      <w:r>
        <w:rPr>
          <w:noProof/>
        </w:rPr>
        <w:tab/>
        <w:t>7</w:t>
      </w:r>
    </w:p>
    <w:p>
      <w:pPr>
        <w:tabs>
          <w:tab w:val="left" w:pos="2977"/>
        </w:tabs>
        <w:rPr>
          <w:rFonts w:eastAsia="Calibri"/>
          <w:noProof/>
          <w:szCs w:val="20"/>
        </w:rPr>
      </w:pPr>
      <w:r>
        <w:rPr>
          <w:noProof/>
        </w:rPr>
        <w:t>Irlanda</w:t>
      </w:r>
      <w:r>
        <w:rPr>
          <w:noProof/>
        </w:rPr>
        <w:tab/>
        <w:t>9</w:t>
      </w:r>
    </w:p>
    <w:p>
      <w:pPr>
        <w:tabs>
          <w:tab w:val="left" w:pos="2835"/>
        </w:tabs>
        <w:rPr>
          <w:rFonts w:eastAsia="Calibri"/>
          <w:noProof/>
          <w:szCs w:val="20"/>
        </w:rPr>
      </w:pPr>
      <w:r>
        <w:rPr>
          <w:noProof/>
        </w:rPr>
        <w:t>Grecia</w:t>
      </w:r>
      <w:r>
        <w:rPr>
          <w:noProof/>
        </w:rPr>
        <w:tab/>
        <w:t>12</w:t>
      </w:r>
    </w:p>
    <w:p>
      <w:pPr>
        <w:tabs>
          <w:tab w:val="left" w:pos="2835"/>
        </w:tabs>
        <w:rPr>
          <w:rFonts w:eastAsia="Calibri"/>
          <w:noProof/>
          <w:szCs w:val="20"/>
        </w:rPr>
      </w:pPr>
      <w:r>
        <w:rPr>
          <w:noProof/>
        </w:rPr>
        <w:t>Spania</w:t>
      </w:r>
      <w:r>
        <w:rPr>
          <w:noProof/>
        </w:rPr>
        <w:tab/>
        <w:t>21</w:t>
      </w:r>
    </w:p>
    <w:p>
      <w:pPr>
        <w:tabs>
          <w:tab w:val="left" w:pos="2835"/>
        </w:tabs>
        <w:rPr>
          <w:rFonts w:eastAsia="Calibri"/>
          <w:noProof/>
          <w:szCs w:val="20"/>
        </w:rPr>
      </w:pPr>
      <w:r>
        <w:rPr>
          <w:noProof/>
        </w:rPr>
        <w:t>Franța</w:t>
      </w:r>
      <w:r>
        <w:rPr>
          <w:noProof/>
        </w:rPr>
        <w:tab/>
        <w:t>24</w:t>
      </w:r>
    </w:p>
    <w:p>
      <w:pPr>
        <w:tabs>
          <w:tab w:val="left" w:pos="2977"/>
        </w:tabs>
        <w:rPr>
          <w:rFonts w:eastAsia="Calibri"/>
          <w:noProof/>
          <w:szCs w:val="20"/>
        </w:rPr>
      </w:pPr>
      <w:r>
        <w:rPr>
          <w:noProof/>
        </w:rPr>
        <w:t>Croația</w:t>
      </w:r>
      <w:r>
        <w:rPr>
          <w:noProof/>
        </w:rPr>
        <w:tab/>
        <w:t>9</w:t>
      </w:r>
    </w:p>
    <w:p>
      <w:pPr>
        <w:tabs>
          <w:tab w:val="left" w:pos="2835"/>
        </w:tabs>
        <w:rPr>
          <w:rFonts w:eastAsia="Calibri"/>
          <w:noProof/>
          <w:szCs w:val="20"/>
        </w:rPr>
      </w:pPr>
      <w:r>
        <w:rPr>
          <w:noProof/>
        </w:rPr>
        <w:t>Italia</w:t>
      </w:r>
      <w:r>
        <w:rPr>
          <w:noProof/>
        </w:rPr>
        <w:tab/>
        <w:t>24</w:t>
      </w:r>
    </w:p>
    <w:p>
      <w:pPr>
        <w:tabs>
          <w:tab w:val="left" w:pos="2977"/>
        </w:tabs>
        <w:rPr>
          <w:rFonts w:eastAsia="Calibri"/>
          <w:noProof/>
          <w:szCs w:val="20"/>
        </w:rPr>
      </w:pPr>
      <w:r>
        <w:rPr>
          <w:noProof/>
        </w:rPr>
        <w:t>Cipru</w:t>
      </w:r>
      <w:r>
        <w:rPr>
          <w:noProof/>
        </w:rPr>
        <w:tab/>
        <w:t>6</w:t>
      </w:r>
    </w:p>
    <w:p>
      <w:pPr>
        <w:tabs>
          <w:tab w:val="left" w:pos="2977"/>
        </w:tabs>
        <w:rPr>
          <w:rFonts w:eastAsia="Calibri"/>
          <w:noProof/>
          <w:szCs w:val="20"/>
        </w:rPr>
      </w:pPr>
      <w:r>
        <w:rPr>
          <w:noProof/>
        </w:rPr>
        <w:t>Letonia</w:t>
      </w:r>
      <w:r>
        <w:rPr>
          <w:noProof/>
        </w:rPr>
        <w:tab/>
        <w:t>7</w:t>
      </w:r>
    </w:p>
    <w:p>
      <w:pPr>
        <w:tabs>
          <w:tab w:val="left" w:pos="2977"/>
        </w:tabs>
        <w:rPr>
          <w:rFonts w:eastAsia="Calibri"/>
          <w:noProof/>
          <w:szCs w:val="20"/>
        </w:rPr>
      </w:pPr>
      <w:r>
        <w:rPr>
          <w:noProof/>
        </w:rPr>
        <w:t>Lituania</w:t>
      </w:r>
      <w:r>
        <w:rPr>
          <w:noProof/>
        </w:rPr>
        <w:tab/>
        <w:t>9</w:t>
      </w:r>
    </w:p>
    <w:p>
      <w:pPr>
        <w:tabs>
          <w:tab w:val="left" w:pos="2977"/>
        </w:tabs>
        <w:rPr>
          <w:rFonts w:eastAsia="Calibri"/>
          <w:noProof/>
          <w:szCs w:val="20"/>
        </w:rPr>
      </w:pPr>
      <w:r>
        <w:rPr>
          <w:noProof/>
        </w:rPr>
        <w:t>Luxemburg</w:t>
      </w:r>
      <w:r>
        <w:rPr>
          <w:noProof/>
        </w:rPr>
        <w:tab/>
        <w:t>6</w:t>
      </w:r>
    </w:p>
    <w:p>
      <w:pPr>
        <w:tabs>
          <w:tab w:val="left" w:pos="2835"/>
        </w:tabs>
        <w:rPr>
          <w:rFonts w:eastAsia="Calibri"/>
          <w:noProof/>
          <w:szCs w:val="20"/>
        </w:rPr>
      </w:pPr>
      <w:r>
        <w:rPr>
          <w:noProof/>
        </w:rPr>
        <w:t>Ungaria</w:t>
      </w:r>
      <w:r>
        <w:rPr>
          <w:noProof/>
        </w:rPr>
        <w:tab/>
        <w:t>12</w:t>
      </w:r>
    </w:p>
    <w:p>
      <w:pPr>
        <w:tabs>
          <w:tab w:val="left" w:pos="2977"/>
        </w:tabs>
        <w:rPr>
          <w:rFonts w:eastAsia="Calibri"/>
          <w:noProof/>
          <w:szCs w:val="20"/>
        </w:rPr>
      </w:pPr>
      <w:r>
        <w:rPr>
          <w:noProof/>
        </w:rPr>
        <w:t>Malta</w:t>
      </w:r>
      <w:r>
        <w:rPr>
          <w:noProof/>
        </w:rPr>
        <w:tab/>
        <w:t>5</w:t>
      </w:r>
    </w:p>
    <w:p>
      <w:pPr>
        <w:tabs>
          <w:tab w:val="left" w:pos="2835"/>
        </w:tabs>
        <w:rPr>
          <w:rFonts w:eastAsia="Calibri"/>
          <w:noProof/>
          <w:szCs w:val="20"/>
        </w:rPr>
      </w:pPr>
      <w:r>
        <w:rPr>
          <w:noProof/>
        </w:rPr>
        <w:t>Țările de Jos</w:t>
      </w:r>
      <w:r>
        <w:rPr>
          <w:noProof/>
        </w:rPr>
        <w:tab/>
        <w:t>12</w:t>
      </w:r>
    </w:p>
    <w:p>
      <w:pPr>
        <w:tabs>
          <w:tab w:val="left" w:pos="2835"/>
        </w:tabs>
        <w:rPr>
          <w:rFonts w:eastAsia="Calibri"/>
          <w:noProof/>
          <w:szCs w:val="20"/>
        </w:rPr>
      </w:pPr>
      <w:r>
        <w:rPr>
          <w:noProof/>
        </w:rPr>
        <w:t>Austria</w:t>
      </w:r>
      <w:r>
        <w:rPr>
          <w:noProof/>
        </w:rPr>
        <w:tab/>
        <w:t>12</w:t>
      </w:r>
    </w:p>
    <w:p>
      <w:pPr>
        <w:tabs>
          <w:tab w:val="left" w:pos="2835"/>
        </w:tabs>
        <w:rPr>
          <w:rFonts w:eastAsia="Calibri"/>
          <w:noProof/>
          <w:szCs w:val="20"/>
        </w:rPr>
      </w:pPr>
      <w:r>
        <w:rPr>
          <w:noProof/>
        </w:rPr>
        <w:t>Polonia</w:t>
      </w:r>
      <w:r>
        <w:rPr>
          <w:noProof/>
        </w:rPr>
        <w:tab/>
        <w:t>21</w:t>
      </w:r>
    </w:p>
    <w:p>
      <w:pPr>
        <w:tabs>
          <w:tab w:val="left" w:pos="2835"/>
        </w:tabs>
        <w:rPr>
          <w:rFonts w:eastAsia="Calibri"/>
          <w:noProof/>
          <w:szCs w:val="20"/>
        </w:rPr>
      </w:pPr>
      <w:r>
        <w:rPr>
          <w:noProof/>
        </w:rPr>
        <w:t>Portugalia</w:t>
      </w:r>
      <w:r>
        <w:rPr>
          <w:noProof/>
        </w:rPr>
        <w:tab/>
        <w:t>12</w:t>
      </w:r>
    </w:p>
    <w:p>
      <w:pPr>
        <w:tabs>
          <w:tab w:val="left" w:pos="2835"/>
        </w:tabs>
        <w:rPr>
          <w:rFonts w:eastAsia="Calibri" w:cs="EUAlbertina"/>
          <w:noProof/>
          <w:szCs w:val="20"/>
        </w:rPr>
      </w:pPr>
      <w:r>
        <w:rPr>
          <w:noProof/>
        </w:rPr>
        <w:t>România</w:t>
      </w:r>
      <w:r>
        <w:rPr>
          <w:noProof/>
        </w:rPr>
        <w:tab/>
        <w:t>15</w:t>
      </w:r>
    </w:p>
    <w:p>
      <w:pPr>
        <w:tabs>
          <w:tab w:val="left" w:pos="2977"/>
        </w:tabs>
        <w:rPr>
          <w:rFonts w:eastAsia="Calibri"/>
          <w:noProof/>
          <w:szCs w:val="20"/>
        </w:rPr>
      </w:pPr>
      <w:r>
        <w:rPr>
          <w:noProof/>
        </w:rPr>
        <w:t>Slovenia</w:t>
      </w:r>
      <w:r>
        <w:rPr>
          <w:noProof/>
        </w:rPr>
        <w:tab/>
        <w:t>7</w:t>
      </w:r>
    </w:p>
    <w:p>
      <w:pPr>
        <w:tabs>
          <w:tab w:val="left" w:pos="2977"/>
        </w:tabs>
        <w:rPr>
          <w:rFonts w:eastAsia="Calibri"/>
          <w:noProof/>
          <w:szCs w:val="20"/>
        </w:rPr>
      </w:pPr>
      <w:r>
        <w:rPr>
          <w:noProof/>
        </w:rPr>
        <w:t>Slovacia</w:t>
      </w:r>
      <w:r>
        <w:rPr>
          <w:noProof/>
        </w:rPr>
        <w:tab/>
        <w:t>9</w:t>
      </w:r>
    </w:p>
    <w:p>
      <w:pPr>
        <w:tabs>
          <w:tab w:val="left" w:pos="2977"/>
        </w:tabs>
        <w:rPr>
          <w:rFonts w:eastAsia="Calibri"/>
          <w:noProof/>
          <w:szCs w:val="20"/>
        </w:rPr>
      </w:pPr>
      <w:r>
        <w:rPr>
          <w:noProof/>
        </w:rPr>
        <w:t>Finlanda</w:t>
      </w:r>
      <w:r>
        <w:rPr>
          <w:noProof/>
        </w:rPr>
        <w:tab/>
        <w:t>9</w:t>
      </w:r>
    </w:p>
    <w:p>
      <w:pPr>
        <w:tabs>
          <w:tab w:val="left" w:pos="2835"/>
        </w:tabs>
        <w:rPr>
          <w:rFonts w:eastAsia="Calibri"/>
          <w:noProof/>
          <w:szCs w:val="20"/>
        </w:rPr>
      </w:pPr>
      <w:r>
        <w:rPr>
          <w:noProof/>
        </w:rPr>
        <w:t>Suedia</w:t>
      </w:r>
      <w:r>
        <w:rPr>
          <w:noProof/>
        </w:rPr>
        <w:tab/>
        <w:t>12.</w:t>
      </w:r>
    </w:p>
    <w:p>
      <w:pPr>
        <w:pStyle w:val="Titrearticle"/>
        <w:keepNext w:val="0"/>
        <w:rPr>
          <w:noProof/>
        </w:rPr>
      </w:pPr>
      <w:r>
        <w:rPr>
          <w:noProof/>
        </w:rPr>
        <w:t>Articolul 2</w:t>
      </w:r>
    </w:p>
    <w:p>
      <w:pPr>
        <w:keepLines/>
        <w:rPr>
          <w:noProof/>
        </w:rPr>
      </w:pPr>
      <w:r>
        <w:rPr>
          <w:noProof/>
        </w:rPr>
        <w:t xml:space="preserve">Prezenta decizie intră în vigoare în a douăzecea zi de la data publicării în </w:t>
      </w:r>
      <w:r>
        <w:rPr>
          <w:i/>
          <w:noProof/>
        </w:rPr>
        <w:t xml:space="preserve">Jurnalul Oficial </w:t>
      </w:r>
      <w:r>
        <w:rPr>
          <w:i/>
          <w:noProof/>
        </w:rPr>
        <w:br/>
        <w:t>al Uniunii Europene</w:t>
      </w:r>
      <w:r>
        <w:rPr>
          <w:noProof/>
        </w:rPr>
        <w:t>.</w:t>
      </w:r>
    </w:p>
    <w:p>
      <w:pPr>
        <w:keepLines/>
        <w:rPr>
          <w:noProof/>
        </w:rPr>
      </w:pPr>
      <w:r>
        <w:rPr>
          <w:noProof/>
        </w:rPr>
        <w:t>Se aplică de la 26 ianuarie 2020.</w:t>
      </w:r>
    </w:p>
    <w:p>
      <w:pPr>
        <w:pStyle w:val="Titrearticle"/>
        <w:rPr>
          <w:noProof/>
        </w:rPr>
      </w:pPr>
      <w:r>
        <w:rPr>
          <w:noProof/>
        </w:rPr>
        <w:t>Articolul 3</w:t>
      </w:r>
    </w:p>
    <w:p>
      <w:pPr>
        <w:rPr>
          <w:noProof/>
        </w:rPr>
      </w:pPr>
      <w:r>
        <w:rPr>
          <w:noProof/>
        </w:rPr>
        <w:t>Prezenta decizie se adresează statelor membre.</w:t>
      </w:r>
    </w:p>
    <w:p>
      <w:pPr>
        <w:pStyle w:val="Fait"/>
        <w:rPr>
          <w:noProof/>
        </w:rPr>
      </w:pPr>
      <w:r>
        <w:t>Adoptată la Bruxelles,</w:t>
      </w:r>
    </w:p>
    <w:p>
      <w:pPr>
        <w:pStyle w:val="Institutionquisigne"/>
        <w:rPr>
          <w:noProof/>
        </w:rPr>
      </w:pPr>
      <w:r>
        <w:rPr>
          <w:noProof/>
        </w:rPr>
        <w:tab/>
        <w:t>Pentru Consiliu,</w:t>
      </w:r>
    </w:p>
    <w:p>
      <w:pPr>
        <w:pStyle w:val="Personnequisigne"/>
        <w:rPr>
          <w:noProof/>
        </w:rPr>
      </w:pPr>
      <w:r>
        <w:rPr>
          <w:noProof/>
        </w:rPr>
        <w:tab/>
        <w:t>Președintele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tab/>
    </w:r>
    <w:r>
      <w:rPr>
        <w:rFonts w:ascii="Arial" w:hAnsi="Arial" w:cs="Arial"/>
        <w:b/>
        <w:sz w:val="48"/>
      </w:rPr>
      <w:t>RO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Actul privind condițiile de aderare a Republicii Croația, precum și adaptările la Tratatul privind Uniunea Europeană, la Tratatul privind funcționarea Uniunii Europene și la Tratatul de instituire a Comunității Europene a Energiei Atomice (JO L 112, 24.4.2012, p. 6-110).</w:t>
      </w:r>
    </w:p>
  </w:footnote>
  <w:footnote w:id="2">
    <w:p>
      <w:pPr>
        <w:pStyle w:val="FootnoteText"/>
      </w:pPr>
      <w:r>
        <w:rPr>
          <w:rStyle w:val="FootnoteReference"/>
        </w:rPr>
        <w:footnoteRef/>
      </w:r>
      <w:r>
        <w:tab/>
        <w:t>Decizia 2014/930/UE a Consiliului, JO L 365, 19.12.2014, p. 143-144.</w:t>
      </w:r>
    </w:p>
  </w:footnote>
  <w:footnote w:id="3">
    <w:p>
      <w:pPr>
        <w:pStyle w:val="FootnoteText"/>
      </w:pPr>
      <w:r>
        <w:rPr>
          <w:rStyle w:val="FootnoteReference"/>
        </w:rPr>
        <w:footnoteRef/>
      </w:r>
      <w:r>
        <w:tab/>
        <w:t>COM(2018) 703 final, adoptată la 23 octombrie 2018.</w:t>
      </w:r>
    </w:p>
  </w:footnote>
  <w:footnote w:id="4">
    <w:p>
      <w:pPr>
        <w:pStyle w:val="FootnoteText"/>
      </w:pPr>
      <w:r>
        <w:rPr>
          <w:rStyle w:val="FootnoteReference"/>
        </w:rPr>
        <w:footnoteRef/>
      </w:r>
      <w:r>
        <w:tab/>
        <w:t>Scrisoarea președintelui Comitetului către Comisie din 27 iulie 2018.</w:t>
      </w:r>
    </w:p>
  </w:footnote>
  <w:footnote w:id="5">
    <w:p>
      <w:pPr>
        <w:pStyle w:val="FootnoteText"/>
      </w:pPr>
      <w:r>
        <w:rPr>
          <w:rStyle w:val="FootnoteReference"/>
        </w:rPr>
        <w:footnoteRef/>
      </w:r>
      <w:r>
        <w:tab/>
        <w:t>Decizia 2014/930/UE a Consiliului, JO L 365, 19.12.2014, p. 143-144.</w:t>
      </w:r>
    </w:p>
  </w:footnote>
  <w:footnote w:id="6">
    <w:p>
      <w:pPr>
        <w:pStyle w:val="FootnoteText"/>
      </w:pPr>
      <w:r>
        <w:rPr>
          <w:rStyle w:val="FootnoteReference"/>
        </w:rPr>
        <w:footnoteRef/>
      </w:r>
      <w:r>
        <w:tab/>
        <w:t>Decizia Biroului Comitetului Regiunilor din 3 iulie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F24949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19CB092"/>
    <w:lvl w:ilvl="0">
      <w:start w:val="1"/>
      <w:numFmt w:val="decimal"/>
      <w:pStyle w:val="ListNumber3"/>
      <w:lvlText w:val="%1."/>
      <w:lvlJc w:val="left"/>
      <w:pPr>
        <w:tabs>
          <w:tab w:val="num" w:pos="926"/>
        </w:tabs>
        <w:ind w:left="926" w:hanging="360"/>
      </w:pPr>
    </w:lvl>
  </w:abstractNum>
  <w:abstractNum w:abstractNumId="2">
    <w:nsid w:val="FFFFFF7F"/>
    <w:multiLevelType w:val="singleLevel"/>
    <w:tmpl w:val="5C2204CA"/>
    <w:lvl w:ilvl="0">
      <w:start w:val="1"/>
      <w:numFmt w:val="decimal"/>
      <w:pStyle w:val="ListNumber2"/>
      <w:lvlText w:val="%1."/>
      <w:lvlJc w:val="left"/>
      <w:pPr>
        <w:tabs>
          <w:tab w:val="num" w:pos="643"/>
        </w:tabs>
        <w:ind w:left="643" w:hanging="360"/>
      </w:pPr>
    </w:lvl>
  </w:abstractNum>
  <w:abstractNum w:abstractNumId="3">
    <w:nsid w:val="FFFFFF81"/>
    <w:multiLevelType w:val="singleLevel"/>
    <w:tmpl w:val="69C2CF1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3A6310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8A1268D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B60C8566"/>
    <w:lvl w:ilvl="0">
      <w:start w:val="1"/>
      <w:numFmt w:val="decimal"/>
      <w:pStyle w:val="ListNumber"/>
      <w:lvlText w:val="%1."/>
      <w:lvlJc w:val="left"/>
      <w:pPr>
        <w:tabs>
          <w:tab w:val="num" w:pos="360"/>
        </w:tabs>
        <w:ind w:left="360" w:hanging="360"/>
      </w:pPr>
    </w:lvl>
  </w:abstractNum>
  <w:abstractNum w:abstractNumId="7">
    <w:nsid w:val="FFFFFF89"/>
    <w:multiLevelType w:val="singleLevel"/>
    <w:tmpl w:val="CF708D9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hideSpellingErrors/>
  <w:hideGrammaticalErrors/>
  <w:attachedTemplate r:id="rId1"/>
  <w:revisionView w:markup="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12-07 14:19:05"/>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1C0107D2-3908-4762-ADC9-D2A47B9CD866"/>
    <w:docVar w:name="LW_COVERPAGE_TYPE" w:val="1"/>
    <w:docVar w:name="LW_CROSSREFERENCE" w:val="&lt;UNUSED&gt;"/>
    <w:docVar w:name="LW_DocType" w:val="COM"/>
    <w:docVar w:name="LW_EMISSION" w:val="28.11.2018"/>
    <w:docVar w:name="LW_EMISSION_ISODATE" w:val="2018-11-28"/>
    <w:docVar w:name="LW_EMISSION_LOCATION" w:val="BRX"/>
    <w:docVar w:name="LW_EMISSION_PREFIX" w:val="Bruxelles, "/>
    <w:docVar w:name="LW_EMISSION_SUFFIX" w:val="&lt;EMPTY&gt;"/>
    <w:docVar w:name="LW_ID_DOCMODEL" w:val="SJ-019"/>
    <w:docVar w:name="LW_ID_DOCSIGNATURE" w:val="SJ-019"/>
    <w:docVar w:name="LW_ID_DOCSTRUCTURE" w:val="COM/PL/ORG"/>
    <w:docVar w:name="LW_ID_DOCTYPE" w:val="SJ-019"/>
    <w:docVar w:name="LW_ID_EXP.MOTIFS.NEW" w:val="EM_PL_"/>
    <w:docVar w:name="LW_ID_STATUT" w:val="SJ-019"/>
    <w:docVar w:name="LW_INTERETEEE.CP" w:val="&lt;UNUSED&gt;"/>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NLE"/>
    <w:docVar w:name="LW_REF.II.NEW.CP_NUMBER" w:val="0401"/>
    <w:docVar w:name="LW_REF.II.NEW.CP_YEAR" w:val="2018"/>
    <w:docVar w:name="LW_REF.INST.NEW" w:val="COM"/>
    <w:docVar w:name="LW_REF.INST.NEW_ADOPTED" w:val="final"/>
    <w:docVar w:name="LW_REF.INST.NEW_TEXT" w:val="(2018) 78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unere de"/>
    <w:docVar w:name="LW_SUPERTITRE" w:val="&lt;UNUSED&gt;"/>
    <w:docVar w:name="LW_TITRE.OBJ.CP" w:val="cu privire la stabilirea componen\u539?ei Comitetului Regiunilor"/>
    <w:docVar w:name="LW_TYPE.DOC.CP" w:val="DECIZIE A CONSILIULUI"/>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ro-RO"/>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ro-RO"/>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ro-RO"/>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ro-RO"/>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ro-RO"/>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ro-RO"/>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74E8F-AE17-4A67-A086-E8B14C2E2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TotalTime>
  <Pages>6</Pages>
  <Words>1190</Words>
  <Characters>7093</Characters>
  <Application>Microsoft Office Word</Application>
  <DocSecurity>0</DocSecurity>
  <Lines>164</Lines>
  <Paragraphs>116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20</cp:revision>
  <cp:lastPrinted>2018-09-17T08:35:00Z</cp:lastPrinted>
  <dcterms:created xsi:type="dcterms:W3CDTF">2018-12-06T12:28:00Z</dcterms:created>
  <dcterms:modified xsi:type="dcterms:W3CDTF">2018-12-07T13:19:00Z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6.0.1, Build 20180503</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DQCStatus">
    <vt:lpwstr>Green (DQC version 03)</vt:lpwstr>
  </property>
  <property name="OP_sanitized" fmtid="{D5CDD505-2E9C-101B-9397-08002B2CF9AE}" pid="11">
    <vt:lpwstr>True</vt:lpwstr>
  </property>
</Properties>
</file>