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3" type="#_x0000_t75" alt="519EE1C2-1C1A-4B3E-BAC5-0ACD42168437" style="width:450.75pt;height:30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b/>
          <w:noProof/>
          <w:u w:val="single"/>
        </w:rPr>
      </w:pPr>
      <w:bookmarkStart w:id="1" w:name="_GoBack"/>
      <w:bookmarkEnd w:id="1"/>
    </w:p>
    <w:p>
      <w:pPr>
        <w:spacing w:after="120" w:line="288" w:lineRule="auto"/>
        <w:ind w:left="357"/>
        <w:jc w:val="both"/>
        <w:rPr>
          <w:noProof/>
        </w:rPr>
      </w:pPr>
      <w:r>
        <w:rPr>
          <w:noProof/>
        </w:rPr>
        <w:t>Inițiativa cetățenească europeană (ICE) este un instrument care permite unui număr de un milion de cetățeni să invite Comisia Europeană să prezinte o propunere de act juridic al Uniunii în scopul punerii în aplicare a tratatelor. De asemenea, acest instrument permite influențarea agendei și participarea la viața democratică a Uniunii. Normele care reglementează inițiativa cetățenească europeană se bazează pe dispozițiile Tratatului de la Lisabona</w:t>
      </w:r>
      <w:r>
        <w:rPr>
          <w:rStyle w:val="FootnoteReference"/>
          <w:noProof/>
        </w:rPr>
        <w:footnoteReference w:id="2"/>
      </w:r>
      <w:r>
        <w:rPr>
          <w:noProof/>
        </w:rPr>
        <w:t xml:space="preserve"> și sunt puse în aplicare prin intermediul Regulamentului privind inițiativa cetățenească, ce se aplică de la 1 aprilie 2012</w:t>
      </w:r>
      <w:r>
        <w:rPr>
          <w:rStyle w:val="FootnoteReference"/>
          <w:noProof/>
        </w:rPr>
        <w:footnoteReference w:id="3"/>
      </w:r>
      <w:r>
        <w:rPr>
          <w:noProof/>
        </w:rPr>
        <w:t>. De atunci, organizatorii de inițiative au adunat, potrivit estimărilor, 9 milioane de declarații de susținere din partea cetățenilor de pe întreg teritoriul Uniunii Europene.</w:t>
      </w:r>
    </w:p>
    <w:p>
      <w:pPr>
        <w:spacing w:after="120" w:line="288" w:lineRule="auto"/>
        <w:ind w:left="360"/>
        <w:jc w:val="both"/>
        <w:rPr>
          <w:noProof/>
        </w:rPr>
      </w:pPr>
      <w:r>
        <w:rPr>
          <w:noProof/>
        </w:rPr>
        <w:t xml:space="preserve">Articolul 22 din Regulamentul privind ICE prevede că, la fiecare trei ani, Comisia prezintă Parlamentului European și Consiliului un raport privind aplicarea regulamentului. </w:t>
      </w:r>
    </w:p>
    <w:p>
      <w:pPr>
        <w:spacing w:after="120" w:line="288" w:lineRule="auto"/>
        <w:ind w:left="360"/>
        <w:jc w:val="both"/>
        <w:rPr>
          <w:noProof/>
        </w:rPr>
      </w:pPr>
    </w:p>
    <w:p>
      <w:pPr>
        <w:pBdr>
          <w:bottom w:val="single" w:sz="4" w:space="1" w:color="auto"/>
        </w:pBdr>
        <w:spacing w:after="120" w:line="288" w:lineRule="auto"/>
        <w:ind w:left="360"/>
        <w:rPr>
          <w:b/>
          <w:smallCaps/>
          <w:noProof/>
          <w:sz w:val="28"/>
        </w:rPr>
      </w:pPr>
      <w:r>
        <w:rPr>
          <w:b/>
          <w:smallCaps/>
          <w:noProof/>
          <w:sz w:val="28"/>
        </w:rPr>
        <w:t>2015-2018: către o revizuire a inițiativei cetățenești</w:t>
      </w:r>
    </w:p>
    <w:p>
      <w:pPr>
        <w:spacing w:after="120" w:line="288" w:lineRule="auto"/>
        <w:ind w:left="360"/>
        <w:jc w:val="both"/>
        <w:rPr>
          <w:noProof/>
        </w:rPr>
      </w:pPr>
      <w:r>
        <w:rPr>
          <w:noProof/>
        </w:rPr>
        <w:br/>
        <w:t>Primul raport al Comisiei adoptat la 31 martie 2015 a enumerat o serie de provocări care apar la punerea în aplicare a Regulamentului privind ICE în forma sa actuală, variind de la aspecte tehnice sau logistice la chestiuni cu un caracter politic mai pronunțat</w:t>
      </w:r>
      <w:r>
        <w:rPr>
          <w:rStyle w:val="FootnoteReference"/>
          <w:noProof/>
        </w:rPr>
        <w:footnoteReference w:id="4"/>
      </w:r>
      <w:r>
        <w:rPr>
          <w:noProof/>
        </w:rPr>
        <w:t xml:space="preserve">. </w:t>
      </w:r>
    </w:p>
    <w:p>
      <w:pPr>
        <w:spacing w:after="120" w:line="288" w:lineRule="auto"/>
        <w:ind w:left="360"/>
        <w:jc w:val="both"/>
        <w:rPr>
          <w:noProof/>
        </w:rPr>
      </w:pPr>
      <w:r>
        <w:rPr>
          <w:noProof/>
        </w:rPr>
        <w:t>În urma acestui raport a fost efectuată o reexaminare a instrumentului ICE pentru a colecta opinii cu privire la modalitățile de îmbunătățire a punerii sale în aplicare. Astfel au avut loc consultări cu principalele părți interesate și cu principalii interlocutori, inclusiv cu instituțiile și cu organele consultative ale UE, cu statele membre, cu organizațiile societății civile și cu organizatorii ICE, și au fost primite contribuții din partea acestora. „Zilele ICE”, organizate în fiecare an începând din 2012 de Comitetul Economic și Social European și de câțiva parteneri din societatea civilă, au constituit un forum de discuții și contribuții. Alte instituții și organe ale UE, precum și diverse părți interesate au efectuat, de asemenea, propriile estimări și evaluări ale instrumentului. În special, la 28 octombrie 2015, Parlamentul European a emis o rezoluție</w:t>
      </w:r>
      <w:r>
        <w:rPr>
          <w:rStyle w:val="FootnoteReference"/>
          <w:noProof/>
        </w:rPr>
        <w:footnoteReference w:id="5"/>
      </w:r>
      <w:r>
        <w:rPr>
          <w:noProof/>
        </w:rPr>
        <w:t>, prin care s-a solicitat o revizuire a regulamentului.</w:t>
      </w:r>
    </w:p>
    <w:p>
      <w:pPr>
        <w:spacing w:after="120" w:line="288" w:lineRule="auto"/>
        <w:ind w:left="360"/>
        <w:jc w:val="both"/>
        <w:rPr>
          <w:noProof/>
        </w:rPr>
      </w:pPr>
      <w:r>
        <w:rPr>
          <w:noProof/>
        </w:rPr>
        <w:lastRenderedPageBreak/>
        <w:t>În acest context, Comisia a adoptat, la 13 septembrie 2017, o propunere pentru un nou regulament privind inițiativa cetățenească</w:t>
      </w:r>
      <w:r>
        <w:rPr>
          <w:rStyle w:val="FootnoteReference"/>
          <w:noProof/>
        </w:rPr>
        <w:footnoteReference w:id="6"/>
      </w:r>
      <w:r>
        <w:rPr>
          <w:noProof/>
        </w:rPr>
        <w:t xml:space="preserve"> (denumită în continuare în prezentul raport „propunerea”). Obiectivul acesteia este de a exploata întregul potențial al ICE, făcând această inițiativă mai accesibilă, mai puțin împovărătoare și mai ușor de utilizat de organizatori și de susținători. Propunerea ține cont de numeroasele contribuții colectate în cursul anilor precedenți, precum și de observațiile primite în cadrul unei consultări publice organizate în 2017 pe tema revizuirii. Aceste contribuții sunt rezumate într-un document de lucru al serviciilor Comisiei care însoțește propunerea și care include, de asemenea, detalii cu privire la chestiunile referitoare la funcționarea ICE, precum și o analiză a opțiunilor de îmbunătățire</w:t>
      </w:r>
      <w:r>
        <w:rPr>
          <w:rStyle w:val="FootnoteReference"/>
          <w:noProof/>
        </w:rPr>
        <w:footnoteReference w:id="7"/>
      </w:r>
      <w:r>
        <w:rPr>
          <w:noProof/>
        </w:rPr>
        <w:t>, pe baza studiilor lansate de Comisie pentru a însoți revizuirea ICE</w:t>
      </w:r>
      <w:r>
        <w:rPr>
          <w:rStyle w:val="FootnoteReference"/>
          <w:noProof/>
        </w:rPr>
        <w:footnoteReference w:id="8"/>
      </w:r>
      <w:r>
        <w:rPr>
          <w:noProof/>
        </w:rPr>
        <w:t>.</w:t>
      </w:r>
    </w:p>
    <w:p>
      <w:pPr>
        <w:spacing w:after="120" w:line="288" w:lineRule="auto"/>
        <w:ind w:left="360"/>
        <w:jc w:val="both"/>
        <w:rPr>
          <w:noProof/>
        </w:rPr>
      </w:pPr>
      <w:r>
        <w:rPr>
          <w:noProof/>
        </w:rPr>
        <w:t>Propunerea abordează principalele deficiențe identificate cu ocazia reexaminării, și anume:</w:t>
      </w:r>
    </w:p>
    <w:p>
      <w:pPr>
        <w:pStyle w:val="ListParagraph"/>
        <w:numPr>
          <w:ilvl w:val="0"/>
          <w:numId w:val="11"/>
        </w:numPr>
        <w:spacing w:line="288" w:lineRule="auto"/>
        <w:contextualSpacing w:val="0"/>
        <w:rPr>
          <w:noProof/>
        </w:rPr>
      </w:pPr>
      <w:r>
        <w:rPr>
          <w:rFonts w:ascii="Times New Roman" w:hAnsi="Times New Roman"/>
          <w:noProof/>
          <w:sz w:val="24"/>
        </w:rPr>
        <w:t>Dificultățile cetățenilor de a propune inițiative admisibile din punct de vedere legal – acest lucru este demonstrat de rata relativ ridicată de cazuri de refuz al înregistrării înainte de colectarea semnăturilor (30 % din cererile de înregistrare nu au putut fi înregistrate de Comisie întrucât inițiativele propuse au fost, în mod vădit, în afara sferei competențelor Comisiei);</w:t>
      </w:r>
    </w:p>
    <w:p>
      <w:pPr>
        <w:pStyle w:val="ListParagraph"/>
        <w:numPr>
          <w:ilvl w:val="0"/>
          <w:numId w:val="11"/>
        </w:numPr>
        <w:spacing w:line="288" w:lineRule="auto"/>
        <w:contextualSpacing w:val="0"/>
        <w:rPr>
          <w:noProof/>
        </w:rPr>
      </w:pPr>
      <w:r>
        <w:rPr>
          <w:rFonts w:ascii="Times New Roman" w:hAnsi="Times New Roman"/>
          <w:noProof/>
          <w:sz w:val="24"/>
        </w:rPr>
        <w:t>procesul complex și greoi de colectare de către organizatorii inițiativelor a declarațiilor de susținere, astfel cum reiese din rata scăzută a inițiativelor reușite (adică acelea care obțin numărul necesar de semnatari în termenul de un an al perioadei de colectare); de exemplu, lipsa de flexibilitate din calendarul ICE; cerințele diferite de la un stat membru la altul în ceea ce privește datele solicitate semnatarilor; procesul complex de colectare a declarațiilor de susținere online;</w:t>
      </w:r>
    </w:p>
    <w:p>
      <w:pPr>
        <w:pStyle w:val="ListParagraph"/>
        <w:numPr>
          <w:ilvl w:val="0"/>
          <w:numId w:val="11"/>
        </w:numPr>
        <w:spacing w:line="288" w:lineRule="auto"/>
        <w:contextualSpacing w:val="0"/>
        <w:rPr>
          <w:noProof/>
        </w:rPr>
      </w:pPr>
      <w:r>
        <w:rPr>
          <w:rFonts w:ascii="Times New Roman" w:hAnsi="Times New Roman"/>
          <w:noProof/>
          <w:sz w:val="24"/>
        </w:rPr>
        <w:t>în general, caracterul relativ limitat al dezbaterii și al impactului generat până în prezent de inițiativele cetățenești.</w:t>
      </w:r>
    </w:p>
    <w:p>
      <w:pPr>
        <w:pStyle w:val="ListParagraph"/>
        <w:spacing w:before="0" w:line="288" w:lineRule="auto"/>
        <w:ind w:left="360"/>
        <w:contextualSpacing w:val="0"/>
        <w:rPr>
          <w:noProof/>
        </w:rPr>
      </w:pPr>
      <w:r>
        <w:rPr>
          <w:rFonts w:ascii="Times New Roman" w:hAnsi="Times New Roman"/>
          <w:noProof/>
          <w:sz w:val="24"/>
        </w:rPr>
        <w:t xml:space="preserve">În ordinea juridică actuală, Comisia a luat deja diverse măsuri nelegislative pentru a introduce îmbunătățiri practice în punerea în aplicare a instrumentului ICE. În special, Comisia a pus la dispoziție gratuit servere care </w:t>
      </w:r>
      <w:r>
        <w:rPr>
          <w:rFonts w:ascii="Times New Roman" w:hAnsi="Times New Roman"/>
          <w:noProof/>
          <w:color w:val="auto"/>
          <w:sz w:val="24"/>
        </w:rPr>
        <w:t xml:space="preserve">să găzduiască sistemele de colectare online ale organizatorilor, a consolidat consultanța și sprijinul acordat organizatorilor (potențiali) și activitățile de comunicare, a îmbunătățit accesibilitatea software-ului de colectare online pe care organizatorii pot alege să îl utilizeze și a decis să înregistreze unele inițiative parțial, după caz. </w:t>
      </w:r>
    </w:p>
    <w:p>
      <w:pPr>
        <w:pStyle w:val="ListParagraph"/>
        <w:spacing w:before="0" w:line="288" w:lineRule="auto"/>
        <w:ind w:left="360"/>
        <w:contextualSpacing w:val="0"/>
        <w:rPr>
          <w:rFonts w:ascii="Times New Roman" w:hAnsi="Times New Roman"/>
          <w:noProof/>
          <w:color w:val="auto"/>
          <w:sz w:val="24"/>
          <w:szCs w:val="24"/>
        </w:rPr>
      </w:pPr>
      <w:r>
        <w:rPr>
          <w:rFonts w:ascii="Times New Roman" w:hAnsi="Times New Roman"/>
          <w:noProof/>
          <w:sz w:val="24"/>
        </w:rPr>
        <w:t xml:space="preserve">În special, </w:t>
      </w:r>
      <w:r>
        <w:rPr>
          <w:rFonts w:ascii="Times New Roman" w:hAnsi="Times New Roman"/>
          <w:noProof/>
          <w:color w:val="auto"/>
          <w:sz w:val="24"/>
        </w:rPr>
        <w:t>scăderea drastică a procentajului de cereri de înregistrare respinse de Comisie (numai 2 refuzuri din 17 inițiative propuse depuse începând cu luna aprilie 2015, comparativ cu 20 din 51 în perioada cuprinsă între aprilie 2012 și martie 2015) poate fi atribuită și introducerii de către Comisie a practicii de a permite înregistrările parțiale în cazurile în care este justificată o astfel de abordare.</w:t>
      </w:r>
    </w:p>
    <w:p>
      <w:pPr>
        <w:pStyle w:val="ListParagraph"/>
        <w:spacing w:before="0" w:line="288" w:lineRule="auto"/>
        <w:ind w:left="360"/>
        <w:contextualSpacing w:val="0"/>
        <w:rPr>
          <w:noProof/>
        </w:rPr>
      </w:pPr>
      <w:r>
        <w:rPr>
          <w:rFonts w:ascii="Times New Roman" w:hAnsi="Times New Roman"/>
          <w:noProof/>
          <w:color w:val="auto"/>
          <w:sz w:val="24"/>
        </w:rPr>
        <w:t>Aceste modificări au adus îmbunătățiri semnificative, dar au fost doar de natură nelegislativă. Pentru a se asigura că instrumentul ICE este pe deplin eficace și accesibil, adoptarea unui nou regulament constituie o prioritate, astfel cum a fost identificată în Declarația comună privind prioritățile legislative pentru perioada 2018-2019 adoptată de președinții celor trei instituții la 14 decembrie 2017.</w:t>
      </w:r>
    </w:p>
    <w:p>
      <w:pPr>
        <w:spacing w:after="120" w:line="288" w:lineRule="auto"/>
        <w:ind w:left="360"/>
        <w:jc w:val="both"/>
        <w:rPr>
          <w:noProof/>
        </w:rPr>
      </w:pPr>
      <w:r>
        <w:rPr>
          <w:noProof/>
        </w:rPr>
        <w:t xml:space="preserve">Prezentul raport este al doilea de acest gen și urmărește îndeaproape evaluarea cuprinzătoare realizată în perioada premergătoare propunerii de revizuire a actualului Regulament privind ICE. Prin urmare, se bazează pe acest exercițiu recent și include mai multe detalii și informații concrete cu privire la punerea în aplicare și funcționarea inițiativei cetățenești europene. </w:t>
      </w:r>
    </w:p>
    <w:p>
      <w:pPr>
        <w:pStyle w:val="ListParagraph"/>
        <w:spacing w:before="0" w:line="288" w:lineRule="auto"/>
        <w:ind w:left="360"/>
        <w:contextualSpacing w:val="0"/>
        <w:rPr>
          <w:rFonts w:ascii="Times New Roman" w:hAnsi="Times New Roman"/>
          <w:noProof/>
          <w:sz w:val="24"/>
          <w:szCs w:val="24"/>
        </w:rPr>
      </w:pPr>
      <w:r>
        <w:rPr>
          <w:rFonts w:ascii="Times New Roman" w:hAnsi="Times New Roman"/>
          <w:noProof/>
          <w:sz w:val="24"/>
        </w:rPr>
        <w:t xml:space="preserve">Secțiunea următoare prezintă situația actuală a procedurii aplicabile în cazul ICE, care cuprinde o scurtă analiză a principalelor probleme cu care se confruntă părțile interesate de ICE. După caz, se face trimitere la unele dintre îmbunătățirile deja aduse sau la cele propuse de Comisie în propunerea sa referitoare la un nou regulament. </w:t>
      </w:r>
    </w:p>
    <w:p>
      <w:pPr>
        <w:pStyle w:val="ListParagraph"/>
        <w:spacing w:before="0" w:line="288" w:lineRule="auto"/>
        <w:ind w:left="360"/>
        <w:contextualSpacing w:val="0"/>
        <w:rPr>
          <w:rFonts w:ascii="Times New Roman" w:hAnsi="Times New Roman"/>
          <w:noProof/>
          <w:sz w:val="24"/>
        </w:rPr>
      </w:pPr>
    </w:p>
    <w:p>
      <w:pPr>
        <w:pBdr>
          <w:bottom w:val="single" w:sz="4" w:space="1" w:color="auto"/>
        </w:pBdr>
        <w:spacing w:after="120" w:line="288" w:lineRule="auto"/>
        <w:ind w:left="360"/>
        <w:rPr>
          <w:b/>
          <w:smallCaps/>
          <w:noProof/>
          <w:sz w:val="28"/>
        </w:rPr>
      </w:pPr>
      <w:r>
        <w:rPr>
          <w:b/>
          <w:smallCaps/>
          <w:noProof/>
          <w:sz w:val="28"/>
        </w:rPr>
        <w:t>Imagine de ansamblu asupra inițiativelor</w:t>
      </w:r>
    </w:p>
    <w:p>
      <w:pPr>
        <w:spacing w:after="120" w:line="288" w:lineRule="auto"/>
        <w:ind w:left="360"/>
        <w:jc w:val="both"/>
        <w:rPr>
          <w:noProof/>
        </w:rPr>
      </w:pPr>
      <w:r>
        <w:rPr>
          <w:noProof/>
        </w:rPr>
        <w:br/>
        <w:t>Ciclul de viață al unei inițiative cetățenești se bazează pe normele și procedurile stabilite în regulament. O inițiativă trebuie lansată de un comitet al cetățenilor și este apoi înregistrată de Comisie, numai în cazul îndeplinirii condițiilor de admisibilitate, în special a faptului că inițiativa nu se află vădit în afara sferei de competență a Comisiei. După înregistrare poate începe colectarea declarațiilor de susținere. În cazul în care în urma verificării declarațiilor de susținere de către autoritățile competente ale statelor membre se confirmă faptul că a fost atins numărul minim de semnatari, organizatorii prezintă inițiativa Comisiei, care dispune de un termen de trei luni pentru a răspunde. Această fază include și o reuniune cu Comisia și o audiere publică organizată la Parlamentul European.</w:t>
      </w:r>
    </w:p>
    <w:p>
      <w:pPr>
        <w:spacing w:after="120" w:line="288" w:lineRule="auto"/>
        <w:ind w:left="360"/>
        <w:jc w:val="both"/>
        <w:rPr>
          <w:noProof/>
        </w:rPr>
      </w:pPr>
      <w:r>
        <w:rPr>
          <w:noProof/>
        </w:rPr>
        <w:t>De la raportul anterior din martie 2015 privind aplicarea ICE, Comisia a primit 17 cereri de înregistrare a inițiativelor cetățenești propuse, dintre care 15 au fost acceptate și 2 respinse. În plus, două inițiative a căror înregistrare a fost inițial respinsă în perioada de trei ani anterioară au fost înregistrate de către Comisie în urma deciziilor Curții (a se vedea mai jos).</w:t>
      </w:r>
    </w:p>
    <w:p>
      <w:pPr>
        <w:spacing w:after="120" w:line="288" w:lineRule="auto"/>
        <w:ind w:left="284"/>
        <w:jc w:val="both"/>
        <w:rPr>
          <w:noProof/>
        </w:rPr>
      </w:pPr>
      <w:r>
        <w:rPr>
          <w:noProof/>
        </w:rPr>
        <w:t>Tabelul de mai jos oferă o imagine de ansamblu asupra numărului total de propuneri de inițiative cetățenești înregistrate și de cereri de înregistrare respinse de la data aplicării regulamentului în aprilie 2012.</w:t>
      </w:r>
    </w:p>
    <w:tbl>
      <w:tblPr>
        <w:tblStyle w:val="TableGrid"/>
        <w:tblW w:w="0" w:type="auto"/>
        <w:tblInd w:w="392" w:type="dxa"/>
        <w:tblLook w:val="04A0" w:firstRow="1" w:lastRow="0" w:firstColumn="1" w:lastColumn="0" w:noHBand="0" w:noVBand="1"/>
      </w:tblPr>
      <w:tblGrid>
        <w:gridCol w:w="2068"/>
        <w:gridCol w:w="2378"/>
        <w:gridCol w:w="2378"/>
        <w:gridCol w:w="2072"/>
      </w:tblGrid>
      <w:tr>
        <w:tc>
          <w:tcPr>
            <w:tcW w:w="2068" w:type="dxa"/>
            <w:tcBorders>
              <w:top w:val="nil"/>
              <w:left w:val="nil"/>
            </w:tcBorders>
          </w:tcPr>
          <w:p>
            <w:pPr>
              <w:spacing w:before="120" w:after="120"/>
              <w:rPr>
                <w:noProof/>
              </w:rPr>
            </w:pPr>
          </w:p>
        </w:tc>
        <w:tc>
          <w:tcPr>
            <w:tcW w:w="2378" w:type="dxa"/>
          </w:tcPr>
          <w:p>
            <w:pPr>
              <w:spacing w:before="120" w:after="120"/>
              <w:jc w:val="center"/>
              <w:rPr>
                <w:noProof/>
              </w:rPr>
            </w:pPr>
            <w:r>
              <w:rPr>
                <w:noProof/>
              </w:rPr>
              <w:t>04/2012-03/2015</w:t>
            </w:r>
          </w:p>
        </w:tc>
        <w:tc>
          <w:tcPr>
            <w:tcW w:w="2378" w:type="dxa"/>
          </w:tcPr>
          <w:p>
            <w:pPr>
              <w:spacing w:before="120" w:after="120"/>
              <w:jc w:val="center"/>
              <w:rPr>
                <w:noProof/>
              </w:rPr>
            </w:pPr>
            <w:r>
              <w:rPr>
                <w:noProof/>
              </w:rPr>
              <w:t>04/2015-03/2018</w:t>
            </w:r>
          </w:p>
        </w:tc>
        <w:tc>
          <w:tcPr>
            <w:tcW w:w="2072" w:type="dxa"/>
          </w:tcPr>
          <w:p>
            <w:pPr>
              <w:spacing w:before="120" w:after="120"/>
              <w:jc w:val="center"/>
              <w:rPr>
                <w:noProof/>
              </w:rPr>
            </w:pPr>
            <w:r>
              <w:rPr>
                <w:b/>
                <w:noProof/>
              </w:rPr>
              <w:t>Total din 04/2012</w:t>
            </w:r>
          </w:p>
        </w:tc>
      </w:tr>
      <w:tr>
        <w:tc>
          <w:tcPr>
            <w:tcW w:w="2068" w:type="dxa"/>
            <w:shd w:val="clear" w:color="auto" w:fill="B6DDE8"/>
          </w:tcPr>
          <w:p>
            <w:pPr>
              <w:spacing w:before="120" w:after="120"/>
              <w:rPr>
                <w:b/>
                <w:noProof/>
              </w:rPr>
            </w:pPr>
            <w:r>
              <w:rPr>
                <w:b/>
                <w:noProof/>
              </w:rPr>
              <w:t>Total inițiative înregistrate</w:t>
            </w:r>
          </w:p>
        </w:tc>
        <w:tc>
          <w:tcPr>
            <w:tcW w:w="2378" w:type="dxa"/>
          </w:tcPr>
          <w:p>
            <w:pPr>
              <w:spacing w:before="120" w:after="120"/>
              <w:jc w:val="center"/>
              <w:rPr>
                <w:noProof/>
              </w:rPr>
            </w:pPr>
            <w:r>
              <w:rPr>
                <w:noProof/>
                <w:sz w:val="22"/>
              </w:rPr>
              <w:t>31</w:t>
            </w:r>
          </w:p>
        </w:tc>
        <w:tc>
          <w:tcPr>
            <w:tcW w:w="2378" w:type="dxa"/>
          </w:tcPr>
          <w:p>
            <w:pPr>
              <w:spacing w:before="120" w:after="120"/>
              <w:jc w:val="center"/>
              <w:rPr>
                <w:noProof/>
              </w:rPr>
            </w:pPr>
            <w:r>
              <w:rPr>
                <w:noProof/>
                <w:sz w:val="22"/>
              </w:rPr>
              <w:t>17</w:t>
            </w:r>
          </w:p>
        </w:tc>
        <w:tc>
          <w:tcPr>
            <w:tcW w:w="2072" w:type="dxa"/>
          </w:tcPr>
          <w:p>
            <w:pPr>
              <w:spacing w:before="120" w:after="120"/>
              <w:jc w:val="center"/>
              <w:rPr>
                <w:b/>
                <w:noProof/>
              </w:rPr>
            </w:pPr>
            <w:r>
              <w:rPr>
                <w:b/>
                <w:noProof/>
              </w:rPr>
              <w:t>48</w:t>
            </w:r>
          </w:p>
        </w:tc>
      </w:tr>
      <w:tr>
        <w:tc>
          <w:tcPr>
            <w:tcW w:w="2068" w:type="dxa"/>
            <w:shd w:val="clear" w:color="auto" w:fill="B6DDE8"/>
          </w:tcPr>
          <w:p>
            <w:pPr>
              <w:spacing w:before="120" w:after="120"/>
              <w:rPr>
                <w:b/>
                <w:noProof/>
              </w:rPr>
            </w:pPr>
            <w:r>
              <w:rPr>
                <w:b/>
                <w:noProof/>
              </w:rPr>
              <w:t>Numărul total de cereri de înregistrare respinse</w:t>
            </w:r>
          </w:p>
        </w:tc>
        <w:tc>
          <w:tcPr>
            <w:tcW w:w="2378" w:type="dxa"/>
          </w:tcPr>
          <w:p>
            <w:pPr>
              <w:spacing w:before="120" w:after="120"/>
              <w:jc w:val="center"/>
              <w:rPr>
                <w:noProof/>
              </w:rPr>
            </w:pPr>
            <w:r>
              <w:rPr>
                <w:noProof/>
                <w:sz w:val="22"/>
              </w:rPr>
              <w:t>20</w:t>
            </w:r>
          </w:p>
        </w:tc>
        <w:tc>
          <w:tcPr>
            <w:tcW w:w="2378" w:type="dxa"/>
          </w:tcPr>
          <w:p>
            <w:pPr>
              <w:spacing w:before="120" w:after="120"/>
              <w:jc w:val="center"/>
              <w:rPr>
                <w:noProof/>
              </w:rPr>
            </w:pPr>
            <w:r>
              <w:rPr>
                <w:noProof/>
                <w:sz w:val="22"/>
              </w:rPr>
              <w:t>2</w:t>
            </w:r>
          </w:p>
        </w:tc>
        <w:tc>
          <w:tcPr>
            <w:tcW w:w="2072" w:type="dxa"/>
          </w:tcPr>
          <w:p>
            <w:pPr>
              <w:spacing w:before="120" w:after="120"/>
              <w:jc w:val="center"/>
              <w:rPr>
                <w:b/>
                <w:noProof/>
              </w:rPr>
            </w:pPr>
            <w:r>
              <w:rPr>
                <w:b/>
                <w:noProof/>
              </w:rPr>
              <w:t>22</w:t>
            </w:r>
          </w:p>
        </w:tc>
      </w:tr>
    </w:tbl>
    <w:p>
      <w:pPr>
        <w:pBdr>
          <w:bottom w:val="single" w:sz="4" w:space="1" w:color="auto"/>
        </w:pBdr>
        <w:spacing w:after="120" w:line="288" w:lineRule="auto"/>
        <w:ind w:left="360"/>
        <w:rPr>
          <w:b/>
          <w:smallCaps/>
          <w:noProof/>
          <w:sz w:val="28"/>
        </w:rPr>
      </w:pPr>
      <w:r>
        <w:rPr>
          <w:b/>
          <w:smallCaps/>
          <w:noProof/>
          <w:sz w:val="28"/>
        </w:rPr>
        <w:t>Punerea în aplicare a procedurii ICE</w:t>
      </w:r>
    </w:p>
    <w:p>
      <w:pPr>
        <w:spacing w:after="120" w:line="288" w:lineRule="auto"/>
        <w:ind w:left="1080"/>
        <w:rPr>
          <w:b/>
          <w:i/>
          <w:noProof/>
        </w:rPr>
      </w:pPr>
      <w:r>
        <w:rPr>
          <w:b/>
          <w:i/>
          <w:noProof/>
        </w:rPr>
        <w:t>Comitetul cetățenilor</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 condiție prealabilă pentru lansarea unei inițiative cetățenești este crearea unui comitet al cetățenilor compus din cel puțin șapte cetățeni ai UE care locuiesc în șapte state membre diferite și care trebuie să fi împlinit vârsta ce le conferă dreptul de vot în alegerile pentru Parlamentul European. Deși nu există nicio limită în ceea ce privește numărul de cetățeni din cadrul unui comitet, numai acești șapte membri sunt înregistrați oficial de către Comisie.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 xml:space="preserve">Statistici privind membrii comitetelor cetățenilor pentru </w:t>
      </w:r>
      <w:r>
        <w:rPr>
          <w:rFonts w:ascii="Times New Roman" w:hAnsi="Times New Roman"/>
          <w:i/>
          <w:noProof/>
          <w:sz w:val="24"/>
          <w:u w:val="single"/>
        </w:rPr>
        <w:t>inițiativele înregistrate începând din aprilie 2015</w:t>
      </w:r>
      <w:r>
        <w:rPr>
          <w:rFonts w:ascii="Times New Roman" w:hAnsi="Times New Roman"/>
          <w:noProof/>
          <w:sz w:val="24"/>
        </w:rPr>
        <w:t>:</w:t>
      </w:r>
    </w:p>
    <w:p>
      <w:pPr>
        <w:pStyle w:val="ListParagraph"/>
        <w:numPr>
          <w:ilvl w:val="0"/>
          <w:numId w:val="8"/>
        </w:numPr>
        <w:spacing w:before="0" w:line="288" w:lineRule="auto"/>
        <w:contextualSpacing w:val="0"/>
        <w:rPr>
          <w:rFonts w:ascii="Times New Roman" w:hAnsi="Times New Roman"/>
          <w:noProof/>
          <w:sz w:val="24"/>
          <w:szCs w:val="24"/>
        </w:rPr>
      </w:pPr>
      <w:r>
        <w:rPr>
          <w:rFonts w:ascii="Times New Roman" w:hAnsi="Times New Roman"/>
          <w:i/>
          <w:noProof/>
          <w:sz w:val="24"/>
        </w:rPr>
        <w:t>Reședința și cetățenia membrilor comitetelor</w:t>
      </w:r>
    </w:p>
    <w:p>
      <w:pPr>
        <w:spacing w:after="120" w:line="288" w:lineRule="auto"/>
        <w:ind w:left="357"/>
        <w:rPr>
          <w:noProof/>
        </w:rPr>
      </w:pPr>
      <w:r>
        <w:rPr>
          <w:noProof/>
          <w:lang w:val="en-US" w:eastAsia="en-US" w:bidi="ar-SA"/>
        </w:rPr>
        <w:drawing>
          <wp:inline distT="0" distB="0" distL="0" distR="0">
            <wp:extent cx="5760720" cy="273945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2739455"/>
                    </a:xfrm>
                    <a:prstGeom prst="rect">
                      <a:avLst/>
                    </a:prstGeom>
                    <a:noFill/>
                    <a:ln>
                      <a:noFill/>
                    </a:ln>
                  </pic:spPr>
                </pic:pic>
              </a:graphicData>
            </a:graphic>
          </wp:inline>
        </w:drawing>
      </w:r>
    </w:p>
    <w:p>
      <w:pPr>
        <w:pStyle w:val="ListParagraph"/>
        <w:numPr>
          <w:ilvl w:val="0"/>
          <w:numId w:val="8"/>
        </w:numPr>
        <w:spacing w:before="0" w:line="288" w:lineRule="auto"/>
        <w:contextualSpacing w:val="0"/>
        <w:rPr>
          <w:rFonts w:ascii="Times New Roman" w:hAnsi="Times New Roman"/>
          <w:i/>
          <w:noProof/>
          <w:sz w:val="24"/>
          <w:szCs w:val="24"/>
        </w:rPr>
      </w:pPr>
      <w:r>
        <w:rPr>
          <w:rFonts w:ascii="Times New Roman" w:hAnsi="Times New Roman"/>
          <w:i/>
          <w:noProof/>
          <w:sz w:val="24"/>
        </w:rPr>
        <w:t>Vârsta membrilor comitetelor (în momentul înregistrării)</w:t>
      </w:r>
    </w:p>
    <w:p>
      <w:pPr>
        <w:pStyle w:val="ListParagraph"/>
        <w:spacing w:before="0" w:line="288" w:lineRule="auto"/>
        <w:ind w:left="357"/>
        <w:contextualSpacing w:val="0"/>
        <w:rPr>
          <w:rFonts w:ascii="Times New Roman" w:hAnsi="Times New Roman"/>
          <w:noProof/>
          <w:sz w:val="24"/>
          <w:szCs w:val="24"/>
          <w:highlight w:val="yellow"/>
        </w:rPr>
      </w:pPr>
      <w:r>
        <w:rPr>
          <w:noProof/>
          <w:lang w:val="en-US" w:eastAsia="en-US" w:bidi="ar-SA"/>
        </w:rPr>
        <w:drawing>
          <wp:inline distT="0" distB="0" distL="0" distR="0">
            <wp:extent cx="4564380" cy="27432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64380" cy="2743200"/>
                    </a:xfrm>
                    <a:prstGeom prst="rect">
                      <a:avLst/>
                    </a:prstGeom>
                    <a:noFill/>
                    <a:ln>
                      <a:noFill/>
                    </a:ln>
                  </pic:spPr>
                </pic:pic>
              </a:graphicData>
            </a:graphic>
          </wp:inline>
        </w:drawing>
      </w:r>
    </w:p>
    <w:p>
      <w:pPr>
        <w:spacing w:after="120" w:line="288" w:lineRule="auto"/>
        <w:ind w:left="1080"/>
        <w:rPr>
          <w:b/>
          <w:i/>
          <w:noProof/>
        </w:rPr>
      </w:pPr>
    </w:p>
    <w:p>
      <w:pPr>
        <w:spacing w:after="120" w:line="288" w:lineRule="auto"/>
        <w:ind w:left="1080"/>
        <w:rPr>
          <w:b/>
          <w:i/>
          <w:noProof/>
        </w:rPr>
      </w:pPr>
    </w:p>
    <w:p>
      <w:pPr>
        <w:spacing w:after="120" w:line="288" w:lineRule="auto"/>
        <w:ind w:left="1080"/>
        <w:rPr>
          <w:b/>
          <w:i/>
          <w:noProof/>
        </w:rPr>
      </w:pPr>
      <w:r>
        <w:rPr>
          <w:b/>
          <w:i/>
          <w:noProof/>
        </w:rPr>
        <w:t>Înregistrarea inițiativelor</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Înainte de a începe să colecteze declarațiile de susținere, organizatorii trebuie să își înregistreze inițiativa la Comisie, care verifică în acest stadiu, în special, respectarea de către comitetul cetățenilor a cerințelor descrise mai sus. Comisia verifică, de asemenea, dacă propunerea de inițiativă nu se află vădit în afara sferei sale de competență în ceea ce privește prezentarea unei propuneri de act juridic al Uniunii în scopul punerii în aplicare a tratatelor și dacă aceasta nu este vădit abuzivă, neserioasă sau vexatorie și nu contravine vădit valorilor Uniunii.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Comisia are la dispoziție două luni pentru a verifica dacă sunt îndeplinite condițiile menționate la articolul 4 alineatul (2) din Regulamentul privind ICE.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sz w:val="24"/>
        </w:rPr>
        <w:t xml:space="preserve">Raportul precedent a subliniat deja faptul că procedura de înregistrare reprezintă o provocare pentru organizatori, în special în ceea ce privește sfera de aplicare a competențelor Comisiei. Ulterior, s-au adus îmbunătățiri la două niveluri. </w:t>
      </w:r>
      <w:r>
        <w:rPr>
          <w:rFonts w:ascii="Times New Roman" w:hAnsi="Times New Roman"/>
          <w:noProof/>
          <w:color w:val="auto"/>
          <w:sz w:val="24"/>
        </w:rPr>
        <w:t xml:space="preserve">Începând din 2015, colegiul comisarilor adoptă deciziile cu privire la înregistrarea inițiativelor propuse de cetățeni, ceea ce demonstrează importanța pe care Comisia o acordă ICE și priorității de a asculta opiniile și problemele acestora. Publicarea unor comunicate de presă de către Comisie a consolidat, de asemenea, vizibilitatea înregistrărilor. </w:t>
      </w:r>
    </w:p>
    <w:p>
      <w:pPr>
        <w:pStyle w:val="ListParagraph"/>
        <w:spacing w:before="0" w:line="288" w:lineRule="auto"/>
        <w:ind w:left="357"/>
        <w:contextualSpacing w:val="0"/>
        <w:rPr>
          <w:noProof/>
        </w:rPr>
      </w:pPr>
      <w:r>
        <w:rPr>
          <w:rFonts w:ascii="Times New Roman" w:hAnsi="Times New Roman"/>
          <w:noProof/>
          <w:color w:val="auto"/>
          <w:sz w:val="24"/>
        </w:rPr>
        <w:t>În plus, Comisia a instituit practica de a înregistra inițiativele parțial, după caz.</w:t>
      </w:r>
      <w:r>
        <w:rPr>
          <w:rFonts w:ascii="Times New Roman" w:hAnsi="Times New Roman"/>
          <w:noProof/>
          <w:sz w:val="24"/>
        </w:rPr>
        <w:t xml:space="preserve"> În situațiile respective, Comisia a adoptat o decizie în care a stabilit condițiile de înregistrare, specificând inclusiv elementele înregistrate de Comisie pe baza cărora pot fi colectate declarații de susținere pentru inițiativa în cauză.</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 xml:space="preserve">Ca urmare, începând din 2015, doar două inițiative propuse </w:t>
      </w:r>
      <w:r>
        <w:rPr>
          <w:rFonts w:ascii="Times New Roman" w:hAnsi="Times New Roman"/>
          <w:noProof/>
          <w:sz w:val="24"/>
        </w:rPr>
        <w:t>nu au îndeplinit cerințele de înregistrare și, prin urmare, nu au putut fi înregistrate de către Comisie</w:t>
      </w:r>
      <w:r>
        <w:rPr>
          <w:noProof/>
          <w:sz w:val="23"/>
        </w:rPr>
        <w:t xml:space="preserve"> </w:t>
      </w:r>
      <w:r>
        <w:rPr>
          <w:rFonts w:ascii="Times New Roman" w:hAnsi="Times New Roman"/>
          <w:noProof/>
          <w:color w:val="auto"/>
          <w:sz w:val="24"/>
        </w:rPr>
        <w:t xml:space="preserve">(„Stop Brexit”; „British friends - stay with us in EU”).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De la aplicarea regulamentului în 2012, șase comitete ale cetățenilor au introdus o acțiune în fața Tribunalului împotriva deciziilor Comisiei de respingere a înregistrării inițiativelor propuse de acestea</w:t>
      </w:r>
      <w:r>
        <w:rPr>
          <w:rStyle w:val="FootnoteReference"/>
          <w:rFonts w:ascii="Times New Roman" w:hAnsi="Times New Roman"/>
          <w:noProof/>
          <w:color w:val="auto"/>
          <w:sz w:val="24"/>
        </w:rPr>
        <w:footnoteReference w:id="9"/>
      </w:r>
      <w:r>
        <w:rPr>
          <w:rFonts w:ascii="Times New Roman" w:hAnsi="Times New Roman"/>
          <w:noProof/>
          <w:color w:val="auto"/>
          <w:sz w:val="24"/>
        </w:rPr>
        <w:t xml:space="preserve">. Deși procedurile în fața Tribunalului au continuat în timpul perioadei de raportare, toate aceste acțiuni se referă la decizii adoptate în perioada 2012-2014.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Tribunalul a confirmat deciziile de respingere în patru cauze</w:t>
      </w:r>
      <w:r>
        <w:rPr>
          <w:rStyle w:val="FootnoteReference"/>
          <w:rFonts w:ascii="Times New Roman" w:hAnsi="Times New Roman"/>
          <w:noProof/>
          <w:sz w:val="24"/>
        </w:rPr>
        <w:footnoteReference w:id="10"/>
      </w:r>
      <w:r>
        <w:rPr>
          <w:rFonts w:ascii="Times New Roman" w:hAnsi="Times New Roman"/>
          <w:noProof/>
          <w:sz w:val="24"/>
        </w:rPr>
        <w:t>. Două dintre aceste patru hotărâri ale Tribunalului au fost contestate în fața Curții de Justiție a UE. La 12 septembrie 2017, Curtea de Justiție a respins recursul în prima dintre aceste cauze și a confirmat hotărârea Tribunalului și decizia Comisiei de a refuza înregistrarea propunerii de inițiativă</w:t>
      </w:r>
      <w:r>
        <w:rPr>
          <w:rStyle w:val="FootnoteReference"/>
          <w:rFonts w:ascii="Times New Roman" w:hAnsi="Times New Roman"/>
          <w:noProof/>
          <w:sz w:val="24"/>
        </w:rPr>
        <w:footnoteReference w:id="11"/>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alte două cazuri, Comisia a înregistrat inițiativele pentru a se conforma hotărârilor pronunțate de Tribunalul UE în 2017</w:t>
      </w:r>
      <w:r>
        <w:rPr>
          <w:rStyle w:val="FootnoteReference"/>
          <w:rFonts w:ascii="Times New Roman" w:hAnsi="Times New Roman"/>
          <w:noProof/>
          <w:sz w:val="24"/>
        </w:rPr>
        <w:footnoteReference w:id="12"/>
      </w:r>
      <w:r>
        <w:rPr>
          <w:rFonts w:ascii="Times New Roman" w:hAnsi="Times New Roman"/>
          <w:noProof/>
          <w:sz w:val="24"/>
        </w:rPr>
        <w:t xml:space="preserve"> („STOP TTIP”; „Minority SafePack”). </w:t>
      </w:r>
      <w:r>
        <w:rPr>
          <w:rFonts w:ascii="Times New Roman" w:hAnsi="Times New Roman"/>
          <w:noProof/>
          <w:color w:val="auto"/>
          <w:sz w:val="24"/>
        </w:rPr>
        <w:t>Ulterior a fost introdusă o acțiune în anulare împotriva deciziei Comisiei din martie 2017 de a înregistra propunerea de inițiativă „Minority SafePack”</w:t>
      </w:r>
      <w:r>
        <w:rPr>
          <w:rStyle w:val="FootnoteReference"/>
          <w:rFonts w:ascii="Times New Roman" w:hAnsi="Times New Roman"/>
          <w:noProof/>
          <w:color w:val="auto"/>
          <w:sz w:val="24"/>
        </w:rPr>
        <w:footnoteReference w:id="13"/>
      </w:r>
      <w:r>
        <w:rPr>
          <w:rFonts w:ascii="Times New Roman" w:hAnsi="Times New Roman"/>
          <w:noProof/>
          <w:color w:val="auto"/>
          <w:sz w:val="24"/>
        </w:rPr>
        <w: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Propunerea Comisiei pentru un nou regulament urmărește să îmbunătățească procedura de înregistrare, prevăzând posibilitatea de a le oferi informații (preliminare) organizatorilor în cazul în care inițiativa nu intră în sfera de competență a Comisiei. Propunerea clarifică, de asemenea, condițiile de înregistrare parțială a inițiativelor, și anume atunci când doar o parte a inițiativei nu este vădit în afara competențelor Comisiei de a prezenta o propunere de act juridic în scopul punerii în aplicare a tratatelor.</w:t>
      </w:r>
    </w:p>
    <w:p>
      <w:pPr>
        <w:pStyle w:val="ListParagraph"/>
        <w:spacing w:before="0" w:line="288" w:lineRule="auto"/>
        <w:ind w:left="1440"/>
        <w:contextualSpacing w:val="0"/>
        <w:rPr>
          <w:b/>
          <w:i/>
          <w:noProof/>
        </w:rPr>
      </w:pPr>
      <w:r>
        <w:rPr>
          <w:rFonts w:ascii="Times New Roman" w:hAnsi="Times New Roman"/>
          <w:b/>
          <w:i/>
          <w:noProof/>
          <w:sz w:val="24"/>
        </w:rPr>
        <w:t>Colectarea declarațiilor de susținere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Regulamentul privind ICE prevede că susținerea unei inițiative cetățenești poate fi exprimată doar de către cetățeni ai Uniunii care au împlinit vârsta ce le conferă dreptul de vot la alegerile pentru Parlamentul European; aceasta este 18 ani peste tot în UE, cu excepția Austriei, unde este stabilită la 16 ani.</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Organizatorii au la dispoziție cel mult 12 luni pentru a colecta declarații de susținere pe suport de hârtie sau online, utilizând formularele conforme cu modelele prezentate în anexa III la regulament.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ceea ce privește colectarea declarațiilor de susținere pentru cea mai recentă inițiativă care a atins pragul de un milion de semnături, „Interzicerea glifosatului și protecția oamenilor și mediului de pesticide toxice”, aproximativ 21 % din declarații au fost colectate pe suport de hârtie și aproximativ 79 %, online</w:t>
      </w:r>
      <w:r>
        <w:rPr>
          <w:rStyle w:val="FootnoteReference"/>
          <w:rFonts w:ascii="Times New Roman" w:hAnsi="Times New Roman"/>
          <w:noProof/>
          <w:sz w:val="24"/>
        </w:rPr>
        <w:footnoteReference w:id="14"/>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Cerințele în materie de date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Semnatarii trebuie să îndeplinească cerința privind existența unei legături de cetățenie sau de reședință cu un anumit stat membru și să furnizeze date cu caracter personal în scopul verificării de către autoritățile competente din statele membre. Aceste cerințe diferă de la un stat membru la altul.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Comisia poate modifica cerințele privind datele solicitate semnatarilor stabilite în anexa III, printr-un act delegat, la solicitarea statelor membre. După o primă modificare în 2013 în ceea ce privește 6 state membre, o a doua modificare în 2015 a simplificat cerințele pentru alte 3 state membre.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Aceste divergențe în ceea ce privește cerințele în materie de date pentru susținerea exprimată de cetățeni au avut un impact negativ asupra eficienței și a eficacității inițiativei cetățenești: unii cetățeni ai UE se regăsesc în imposibilitatea de a-și exprima susținerea; în unele țări se solicită un mare volum de date cu caracter personal sau tipurile de date solicitate pot fi considerate sensibile, ceea ce i-ar putea descuraja pe cetățeni să își exprime susținerea; în prezent sunt utilizate nu mai puțin de 13 formulare prin care se solicită seturi diferite de date cu caracter personal, ceea ce face colectarea declarațiilor de susținere un exercițiu extrem de greoi, în special pe suport de hârtie etc.</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Aceste chestiuni nesoluționate sunt abordate în mod prioritar în cadrul propunerii adoptate în septembrie 2017 și sunt descrise în detaliu în documentul de lucru al serviciilor Comisiei care însoțește propunerea.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Colectarea online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Colectarea online a declarațiilor de susținere de la semnatari este unul din punctele forte ale instrumentului și, adesea, o parte indispensabilă a setului de instrumente de care dispun organizatorii. Aceasta poate fi totuși o provocare importantă pentru organizatori.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Pentru a putea colecta declarațiile de susținere online, aceștia trebuie în prezent să își dezvolte propriul sistem (inclusiv software-ul și serverul-gazdă) și să obțină certificarea acestuia din partea unei autorități competente din statul membru în care vor fi stocate datele. Specificațiile tehnice pentru sistemele de colectare online sunt prevăzute în Regulamentul de punere în aplicare (UE) nr. 1179/2011 al Comisiei din 17 noiembrie 2011 privind punerea în aplicare a cerințelor stabilite de Regulamentul privind ICE (articolul 6).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Sistemele de colectare trebuie să prezinte și caracteristicile tehnice și de securitate necesare pentru a proteja datele cu caracter personal ale semnatarilor.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Comisia a oferit o asistență extinsă pentru elementul de colectare online din cadrul ICE. În conformitate cu regulamentul menționat, în decembrie 2011 Comisia a pus la dispoziție cu titlu gratuit un software cu sursă deschisă, pe care organizatorii îl pot folosi, cu sau fără modificări. Cu toate acestea, sunt liberi să utilizeze un alt software, la alegere.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Identificarea unui server-gazdă pentru a instala software-ul a reprezentat o provocare recurentă pentru organizatori, din punctul de vedere al costurilor, dar, mai ales, în ceea ce privește organizarea, cauzând întârzieri în lansarea colectării online. În 2012, Comisia a hotărât să le ofere organizatorilor găzduirea sistemelor lor de colectare online pe serverele sale, cu titlu gratuit și dincolo de obligațiile care îi revin în temeiul regulamentului actual.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Software-ul realizat de Comisie pune la dispoziție un set de funcționalități pentru colectarea declarațiilor de susținere online, pentru stocarea în condiții de siguranță a datelor semnatarilor și pentru exportul de date în vederea prezentării ulterioare a acestora către autoritățile naționale competente din statele membre.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Software-ul a fost actualizat periodic pentru a fi menținut la zi și a deveni mai ușor de folosit. Acesta include posibilitatea de a colecta declarații de susținere prin intermediul dispozitivelor mobile, cum ar fi telefoanele inteligente sau tabletele, precum și posibilitatea de a stabili legături cu platformele de comunicare socială și site-urile web în scopurile campaniei. Au fost concepute îmbunătățiri suplimentare pentru persoanele cu handicap</w:t>
      </w:r>
      <w:r>
        <w:rPr>
          <w:rStyle w:val="FootnoteReference"/>
          <w:rFonts w:ascii="Times New Roman" w:hAnsi="Times New Roman"/>
          <w:noProof/>
          <w:sz w:val="24"/>
        </w:rPr>
        <w:footnoteReference w:id="15"/>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Începând cu luna aprilie a anului 2015, douăsprezece inițiative au utilizat software-ul Comisiei, zece dintre acestea folosind, de asemenea, serviciul de găzduire al Comisiei.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Până în prezent nu a fost raportată nicio utilizare a „semnăturii electronice avansate”, în conformitate cu articolul 5 alineatul (2).</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Calendarul de colectare</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Organizatorii au la dispoziție un an de la data la care Comisia le înregistrează inițiativa pentru a colecta declarațiile de susținere. În practică, organizatorii au adeseori mai puțin de un an pentru colectare având în vedere cerințele logistice de inițiere a colectării. Mulți organizatori, de exemplu, nu încep pregătirile pentru colectare înainte de a primi confirmarea că inițiativa lor va fi înregistrată, deși regulamentul le permite să solicite statului membru relevant să le certifice sistemele de colectare online înainte de înregistrarea inițiativei. Experiența arată că rezultatul procesului de colectare este într-o anumită măsură influențat de nivelul și calitatea organizării campaniei</w:t>
      </w:r>
      <w:r>
        <w:rPr>
          <w:rStyle w:val="FootnoteReference"/>
          <w:rFonts w:ascii="Times New Roman" w:hAnsi="Times New Roman"/>
          <w:noProof/>
          <w:spacing w:val="-2"/>
          <w:sz w:val="24"/>
        </w:rPr>
        <w:footnoteReference w:id="16"/>
      </w:r>
      <w:r>
        <w:rPr>
          <w:rFonts w:ascii="Times New Roman" w:hAnsi="Times New Roman"/>
          <w:noProof/>
          <w:spacing w:val="-2"/>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Organizatorii inițiativei „Mama, tatăl și copiii” au depus o plângere la Ombudsman în ceea ce privește interpretarea juridică a Comisiei referitoare la perioada de colectare de 12 luni. Ombudsmanul a concluzionat că, așa cum este legea în prezent, Comisia a avut dreptate să considere începerea colectării declarațiilor de susținere de la data înregistrării inițiativei propuse</w:t>
      </w:r>
      <w:r>
        <w:rPr>
          <w:rStyle w:val="FootnoteReference"/>
          <w:rFonts w:ascii="Times New Roman" w:hAnsi="Times New Roman"/>
          <w:noProof/>
          <w:sz w:val="24"/>
        </w:rPr>
        <w:footnoteReference w:id="17"/>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Pentru a soluționa problemele menționate anterior, propunerea de revizuire a Regulamentului privind ICE include o serie de îmbunătățiri care variază de la un calendar mai flexibil, în special posibilitatea ca organizatorii să aleagă data de începere a perioadei de colectare, în termen de trei luni de la data înregistrării, până la furnizarea unui sistem de colectare online, pe care Comisia îl va înființa și gestiona în mod gratuit, ca alternativă la sistemele individuale.</w:t>
      </w:r>
    </w:p>
    <w:p>
      <w:pPr>
        <w:spacing w:after="120" w:line="288" w:lineRule="auto"/>
        <w:ind w:left="1080"/>
        <w:rPr>
          <w:b/>
          <w:i/>
          <w:noProof/>
        </w:rPr>
      </w:pPr>
      <w:r>
        <w:rPr>
          <w:b/>
          <w:i/>
          <w:noProof/>
        </w:rPr>
        <w:t>Verificarea declarațiilor de susținere și prezentarea acestora către Comisie</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 xml:space="preserve">După ce au colectat numărul necesar de declarații de susținere (în total un milion de semnături și praguri minime care trebuie atinse în cel puțin 7 țări), organizatorii le prezintă autorităților naționale competente care au la dispoziție 3 luni pentru a verifica și a certifica numărul de declarații de susținere valabile.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noProof/>
          <w:sz w:val="24"/>
        </w:rPr>
        <w:t xml:space="preserve">În cazul în care se confirmă că a fost atins numărul minim de semnatari, organizatorii prezintă inițiativa Comisiei. Până în martie 2015 au fost înaintate cu succes Comisiei trei inițiative (astfel cum s-a descris în raportul precedent), urmate de încă o inițiativă, </w:t>
      </w:r>
      <w:r>
        <w:rPr>
          <w:rFonts w:ascii="Times New Roman" w:hAnsi="Times New Roman"/>
          <w:noProof/>
          <w:color w:val="auto"/>
          <w:sz w:val="24"/>
        </w:rPr>
        <w:t>„Interzicerea glifosatului și protecția oamenilor și mediului de pesticide toxice”, la 6 octombrie 2017</w:t>
      </w:r>
      <w:r>
        <w:rPr>
          <w:rFonts w:ascii="Times New Roman" w:hAnsi="Times New Roman"/>
          <w:noProof/>
          <w:sz w:val="24"/>
        </w:rPr>
        <w:t>.</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 xml:space="preserve">Autorităților din toate statele membre li s-a solicitat să verifice declarațiile de susținere pentru inițiativa „Interzicerea glifosatului și protecția oamenilor și mediului de pesticide toxice”. În cazul acestei inițiative, peste 87 % din declarațiile de susținere colectate au fost considerate valabile de către autoritățile competente. Numai două autorități au obținut rezultate sub 75 %.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Au fost realizate verificări prin sondaj în 12 state membre (dintre acestea, două au verificat declarațiile de susținere colectate pe hârtie și unul, declarațiile de susținere colectate online). Între statele membre care au utilizat selecția aleatorie și cele care au verificat toate declarațiile de susținere nu s-au constatat discrepanțe semnificative în ceea ce privește rezultatele referitoare la valabilitatea declarațiilor de susținere.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A patra inițiativă „Interzicerea glifosatului și protecția oamenilor și mediului de pesticide toxice” a beneficiat de susținerea a 1 070 865 de semnatari</w:t>
      </w:r>
      <w:r>
        <w:rPr>
          <w:rStyle w:val="FootnoteReference"/>
          <w:rFonts w:ascii="Times New Roman" w:hAnsi="Times New Roman"/>
          <w:noProof/>
          <w:sz w:val="24"/>
        </w:rPr>
        <w:footnoteReference w:id="18"/>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Statele membre în care toate cele patru ICE reușite au atins pragul impus au fost Germania, Spania și Italia.</w:t>
      </w:r>
    </w:p>
    <w:p>
      <w:pPr>
        <w:pStyle w:val="ListParagraph"/>
        <w:spacing w:before="0" w:line="288" w:lineRule="auto"/>
        <w:ind w:left="357"/>
        <w:contextualSpacing w:val="0"/>
        <w:rPr>
          <w:rFonts w:ascii="Times New Roman" w:eastAsia="Times New Roman" w:hAnsi="Times New Roman"/>
          <w:bCs/>
          <w:noProof/>
          <w:sz w:val="24"/>
          <w:szCs w:val="24"/>
        </w:rPr>
      </w:pPr>
      <w:r>
        <w:rPr>
          <w:rFonts w:ascii="Times New Roman" w:hAnsi="Times New Roman"/>
          <w:noProof/>
          <w:color w:val="auto"/>
          <w:sz w:val="24"/>
        </w:rPr>
        <w:t xml:space="preserve">Numărul total (cumulat) </w:t>
      </w:r>
      <w:r>
        <w:rPr>
          <w:rFonts w:ascii="Times New Roman" w:hAnsi="Times New Roman"/>
          <w:noProof/>
          <w:sz w:val="24"/>
        </w:rPr>
        <w:t>de semnatari din fiecare țară pentru cele patru inițiative reușite:</w:t>
      </w:r>
    </w:p>
    <w:tbl>
      <w:tblPr>
        <w:tblStyle w:val="TableGrid"/>
        <w:tblW w:w="9600" w:type="dxa"/>
        <w:tblLook w:val="04A0" w:firstRow="1" w:lastRow="0" w:firstColumn="1" w:lastColumn="0" w:noHBand="0" w:noVBand="1"/>
      </w:tblPr>
      <w:tblGrid>
        <w:gridCol w:w="1017"/>
        <w:gridCol w:w="928"/>
        <w:gridCol w:w="966"/>
        <w:gridCol w:w="927"/>
        <w:gridCol w:w="1016"/>
        <w:gridCol w:w="927"/>
        <w:gridCol w:w="927"/>
        <w:gridCol w:w="966"/>
        <w:gridCol w:w="960"/>
        <w:gridCol w:w="966"/>
      </w:tblGrid>
      <w:tr>
        <w:trPr>
          <w:trHeight w:val="397"/>
        </w:trPr>
        <w:tc>
          <w:tcPr>
            <w:tcW w:w="960" w:type="dxa"/>
            <w:vAlign w:val="center"/>
          </w:tcPr>
          <w:p>
            <w:pPr>
              <w:jc w:val="center"/>
              <w:rPr>
                <w:b/>
                <w:bCs/>
                <w:noProof/>
                <w:color w:val="000000"/>
                <w:sz w:val="20"/>
                <w:szCs w:val="22"/>
              </w:rPr>
            </w:pPr>
            <w:r>
              <w:rPr>
                <w:b/>
                <w:noProof/>
                <w:color w:val="000000"/>
                <w:sz w:val="20"/>
              </w:rPr>
              <w:t>AT</w:t>
            </w:r>
          </w:p>
        </w:tc>
        <w:tc>
          <w:tcPr>
            <w:tcW w:w="960" w:type="dxa"/>
            <w:vAlign w:val="center"/>
          </w:tcPr>
          <w:p>
            <w:pPr>
              <w:jc w:val="center"/>
              <w:rPr>
                <w:b/>
                <w:bCs/>
                <w:noProof/>
                <w:color w:val="000000"/>
                <w:sz w:val="20"/>
                <w:szCs w:val="22"/>
              </w:rPr>
            </w:pPr>
            <w:r>
              <w:rPr>
                <w:b/>
                <w:noProof/>
                <w:color w:val="000000"/>
                <w:sz w:val="20"/>
              </w:rPr>
              <w:t>BE</w:t>
            </w:r>
          </w:p>
        </w:tc>
        <w:tc>
          <w:tcPr>
            <w:tcW w:w="960" w:type="dxa"/>
            <w:vAlign w:val="center"/>
          </w:tcPr>
          <w:p>
            <w:pPr>
              <w:jc w:val="center"/>
              <w:rPr>
                <w:b/>
                <w:bCs/>
                <w:noProof/>
                <w:color w:val="000000"/>
                <w:sz w:val="20"/>
                <w:szCs w:val="22"/>
              </w:rPr>
            </w:pPr>
            <w:r>
              <w:rPr>
                <w:b/>
                <w:noProof/>
                <w:color w:val="000000"/>
                <w:sz w:val="20"/>
              </w:rPr>
              <w:t>BG</w:t>
            </w:r>
          </w:p>
        </w:tc>
        <w:tc>
          <w:tcPr>
            <w:tcW w:w="960" w:type="dxa"/>
            <w:vAlign w:val="center"/>
          </w:tcPr>
          <w:p>
            <w:pPr>
              <w:jc w:val="center"/>
              <w:rPr>
                <w:b/>
                <w:bCs/>
                <w:noProof/>
                <w:color w:val="000000"/>
                <w:sz w:val="20"/>
                <w:szCs w:val="22"/>
              </w:rPr>
            </w:pPr>
            <w:r>
              <w:rPr>
                <w:b/>
                <w:noProof/>
                <w:color w:val="000000"/>
                <w:sz w:val="20"/>
              </w:rPr>
              <w:t>HR</w:t>
            </w:r>
          </w:p>
        </w:tc>
        <w:tc>
          <w:tcPr>
            <w:tcW w:w="960" w:type="dxa"/>
            <w:vAlign w:val="center"/>
          </w:tcPr>
          <w:p>
            <w:pPr>
              <w:jc w:val="center"/>
              <w:rPr>
                <w:b/>
                <w:bCs/>
                <w:noProof/>
                <w:color w:val="000000"/>
                <w:sz w:val="20"/>
                <w:szCs w:val="22"/>
              </w:rPr>
            </w:pPr>
            <w:r>
              <w:rPr>
                <w:b/>
                <w:noProof/>
                <w:color w:val="000000"/>
                <w:sz w:val="20"/>
              </w:rPr>
              <w:t>CY</w:t>
            </w:r>
          </w:p>
        </w:tc>
        <w:tc>
          <w:tcPr>
            <w:tcW w:w="960" w:type="dxa"/>
            <w:vAlign w:val="center"/>
          </w:tcPr>
          <w:p>
            <w:pPr>
              <w:jc w:val="center"/>
              <w:rPr>
                <w:b/>
                <w:bCs/>
                <w:noProof/>
                <w:color w:val="000000"/>
                <w:sz w:val="20"/>
                <w:szCs w:val="22"/>
              </w:rPr>
            </w:pPr>
            <w:r>
              <w:rPr>
                <w:b/>
                <w:noProof/>
                <w:color w:val="000000"/>
                <w:sz w:val="20"/>
              </w:rPr>
              <w:t>CZ</w:t>
            </w:r>
          </w:p>
        </w:tc>
        <w:tc>
          <w:tcPr>
            <w:tcW w:w="960" w:type="dxa"/>
            <w:vAlign w:val="center"/>
          </w:tcPr>
          <w:p>
            <w:pPr>
              <w:jc w:val="center"/>
              <w:rPr>
                <w:b/>
                <w:bCs/>
                <w:noProof/>
                <w:color w:val="000000"/>
                <w:sz w:val="20"/>
                <w:szCs w:val="22"/>
              </w:rPr>
            </w:pPr>
            <w:r>
              <w:rPr>
                <w:b/>
                <w:noProof/>
                <w:color w:val="000000"/>
                <w:sz w:val="20"/>
              </w:rPr>
              <w:t>DK</w:t>
            </w:r>
          </w:p>
        </w:tc>
        <w:tc>
          <w:tcPr>
            <w:tcW w:w="960" w:type="dxa"/>
            <w:vAlign w:val="center"/>
          </w:tcPr>
          <w:p>
            <w:pPr>
              <w:jc w:val="center"/>
              <w:rPr>
                <w:b/>
                <w:bCs/>
                <w:noProof/>
                <w:color w:val="000000"/>
                <w:sz w:val="20"/>
                <w:szCs w:val="22"/>
              </w:rPr>
            </w:pPr>
            <w:r>
              <w:rPr>
                <w:b/>
                <w:noProof/>
                <w:color w:val="000000"/>
                <w:sz w:val="20"/>
              </w:rPr>
              <w:t>EE</w:t>
            </w:r>
          </w:p>
        </w:tc>
        <w:tc>
          <w:tcPr>
            <w:tcW w:w="960" w:type="dxa"/>
            <w:vAlign w:val="center"/>
          </w:tcPr>
          <w:p>
            <w:pPr>
              <w:jc w:val="center"/>
              <w:rPr>
                <w:b/>
                <w:bCs/>
                <w:noProof/>
                <w:color w:val="000000"/>
                <w:sz w:val="20"/>
                <w:szCs w:val="22"/>
              </w:rPr>
            </w:pPr>
            <w:r>
              <w:rPr>
                <w:b/>
                <w:noProof/>
                <w:color w:val="000000"/>
                <w:sz w:val="20"/>
              </w:rPr>
              <w:t>FI</w:t>
            </w:r>
          </w:p>
        </w:tc>
        <w:tc>
          <w:tcPr>
            <w:tcW w:w="960" w:type="dxa"/>
            <w:vAlign w:val="center"/>
          </w:tcPr>
          <w:p>
            <w:pPr>
              <w:jc w:val="center"/>
              <w:rPr>
                <w:b/>
                <w:bCs/>
                <w:noProof/>
                <w:color w:val="000000"/>
                <w:sz w:val="20"/>
                <w:szCs w:val="22"/>
              </w:rPr>
            </w:pPr>
            <w:r>
              <w:rPr>
                <w:b/>
                <w:noProof/>
                <w:color w:val="000000"/>
                <w:sz w:val="20"/>
              </w:rPr>
              <w:t>FR</w:t>
            </w:r>
          </w:p>
        </w:tc>
      </w:tr>
      <w:tr>
        <w:trPr>
          <w:trHeight w:val="397"/>
        </w:trPr>
        <w:tc>
          <w:tcPr>
            <w:tcW w:w="960" w:type="dxa"/>
            <w:vAlign w:val="center"/>
          </w:tcPr>
          <w:p>
            <w:pPr>
              <w:jc w:val="center"/>
              <w:rPr>
                <w:noProof/>
                <w:color w:val="000000"/>
                <w:sz w:val="20"/>
                <w:szCs w:val="22"/>
              </w:rPr>
            </w:pPr>
            <w:r>
              <w:rPr>
                <w:noProof/>
                <w:color w:val="000000"/>
                <w:sz w:val="20"/>
              </w:rPr>
              <w:t>132 923</w:t>
            </w:r>
          </w:p>
        </w:tc>
        <w:tc>
          <w:tcPr>
            <w:tcW w:w="960" w:type="dxa"/>
            <w:vAlign w:val="center"/>
          </w:tcPr>
          <w:p>
            <w:pPr>
              <w:jc w:val="center"/>
              <w:rPr>
                <w:noProof/>
                <w:color w:val="000000"/>
                <w:sz w:val="20"/>
                <w:szCs w:val="22"/>
              </w:rPr>
            </w:pPr>
            <w:r>
              <w:rPr>
                <w:noProof/>
                <w:color w:val="000000"/>
                <w:sz w:val="20"/>
              </w:rPr>
              <w:t>102 095</w:t>
            </w:r>
          </w:p>
        </w:tc>
        <w:tc>
          <w:tcPr>
            <w:tcW w:w="960" w:type="dxa"/>
            <w:vAlign w:val="center"/>
          </w:tcPr>
          <w:p>
            <w:pPr>
              <w:jc w:val="center"/>
              <w:rPr>
                <w:noProof/>
                <w:color w:val="000000"/>
                <w:sz w:val="20"/>
                <w:szCs w:val="22"/>
              </w:rPr>
            </w:pPr>
            <w:r>
              <w:rPr>
                <w:noProof/>
                <w:color w:val="000000"/>
                <w:sz w:val="20"/>
              </w:rPr>
              <w:t>15 462</w:t>
            </w:r>
          </w:p>
        </w:tc>
        <w:tc>
          <w:tcPr>
            <w:tcW w:w="960" w:type="dxa"/>
            <w:vAlign w:val="center"/>
          </w:tcPr>
          <w:p>
            <w:pPr>
              <w:jc w:val="center"/>
              <w:rPr>
                <w:noProof/>
                <w:color w:val="000000"/>
                <w:sz w:val="20"/>
                <w:szCs w:val="22"/>
              </w:rPr>
            </w:pPr>
            <w:r>
              <w:rPr>
                <w:noProof/>
                <w:color w:val="000000"/>
                <w:sz w:val="20"/>
              </w:rPr>
              <w:t>14 273</w:t>
            </w:r>
          </w:p>
        </w:tc>
        <w:tc>
          <w:tcPr>
            <w:tcW w:w="960" w:type="dxa"/>
            <w:vAlign w:val="center"/>
          </w:tcPr>
          <w:p>
            <w:pPr>
              <w:jc w:val="center"/>
              <w:rPr>
                <w:noProof/>
                <w:color w:val="000000"/>
                <w:sz w:val="20"/>
                <w:szCs w:val="22"/>
              </w:rPr>
            </w:pPr>
            <w:r>
              <w:rPr>
                <w:noProof/>
                <w:color w:val="000000"/>
                <w:sz w:val="20"/>
              </w:rPr>
              <w:t>10 147</w:t>
            </w:r>
          </w:p>
        </w:tc>
        <w:tc>
          <w:tcPr>
            <w:tcW w:w="960" w:type="dxa"/>
            <w:vAlign w:val="center"/>
          </w:tcPr>
          <w:p>
            <w:pPr>
              <w:jc w:val="center"/>
              <w:rPr>
                <w:noProof/>
                <w:color w:val="000000"/>
                <w:sz w:val="20"/>
                <w:szCs w:val="22"/>
              </w:rPr>
            </w:pPr>
            <w:r>
              <w:rPr>
                <w:noProof/>
                <w:color w:val="000000"/>
                <w:sz w:val="20"/>
              </w:rPr>
              <w:t>33 019*</w:t>
            </w:r>
          </w:p>
        </w:tc>
        <w:tc>
          <w:tcPr>
            <w:tcW w:w="960" w:type="dxa"/>
            <w:vAlign w:val="center"/>
          </w:tcPr>
          <w:p>
            <w:pPr>
              <w:jc w:val="center"/>
              <w:rPr>
                <w:noProof/>
                <w:color w:val="000000"/>
                <w:sz w:val="20"/>
                <w:szCs w:val="22"/>
              </w:rPr>
            </w:pPr>
            <w:r>
              <w:rPr>
                <w:noProof/>
                <w:color w:val="000000"/>
                <w:sz w:val="20"/>
              </w:rPr>
              <w:t>29 610*</w:t>
            </w:r>
          </w:p>
        </w:tc>
        <w:tc>
          <w:tcPr>
            <w:tcW w:w="960" w:type="dxa"/>
            <w:vAlign w:val="center"/>
          </w:tcPr>
          <w:p>
            <w:pPr>
              <w:jc w:val="center"/>
              <w:rPr>
                <w:noProof/>
                <w:color w:val="000000"/>
                <w:sz w:val="20"/>
                <w:szCs w:val="22"/>
              </w:rPr>
            </w:pPr>
            <w:r>
              <w:rPr>
                <w:noProof/>
                <w:color w:val="000000"/>
                <w:sz w:val="20"/>
              </w:rPr>
              <w:t>6 023*</w:t>
            </w:r>
          </w:p>
        </w:tc>
        <w:tc>
          <w:tcPr>
            <w:tcW w:w="960" w:type="dxa"/>
            <w:vAlign w:val="center"/>
          </w:tcPr>
          <w:p>
            <w:pPr>
              <w:jc w:val="center"/>
              <w:rPr>
                <w:noProof/>
                <w:color w:val="000000"/>
                <w:sz w:val="20"/>
                <w:szCs w:val="22"/>
              </w:rPr>
            </w:pPr>
            <w:r>
              <w:rPr>
                <w:noProof/>
                <w:color w:val="000000"/>
                <w:sz w:val="20"/>
              </w:rPr>
              <w:t>32 100</w:t>
            </w:r>
          </w:p>
        </w:tc>
        <w:tc>
          <w:tcPr>
            <w:tcW w:w="960" w:type="dxa"/>
            <w:vAlign w:val="center"/>
          </w:tcPr>
          <w:p>
            <w:pPr>
              <w:jc w:val="center"/>
              <w:rPr>
                <w:noProof/>
                <w:color w:val="000000"/>
                <w:sz w:val="20"/>
                <w:szCs w:val="22"/>
              </w:rPr>
            </w:pPr>
            <w:r>
              <w:rPr>
                <w:noProof/>
                <w:color w:val="000000"/>
                <w:sz w:val="20"/>
              </w:rPr>
              <w:t>220 463*</w:t>
            </w:r>
          </w:p>
        </w:tc>
      </w:tr>
      <w:tr>
        <w:trPr>
          <w:trHeight w:val="397"/>
        </w:trPr>
        <w:tc>
          <w:tcPr>
            <w:tcW w:w="960" w:type="dxa"/>
            <w:vAlign w:val="center"/>
          </w:tcPr>
          <w:p>
            <w:pPr>
              <w:jc w:val="center"/>
              <w:rPr>
                <w:b/>
                <w:bCs/>
                <w:noProof/>
                <w:color w:val="000000"/>
                <w:sz w:val="20"/>
                <w:szCs w:val="22"/>
              </w:rPr>
            </w:pPr>
            <w:r>
              <w:rPr>
                <w:b/>
                <w:noProof/>
                <w:color w:val="000000"/>
                <w:sz w:val="20"/>
              </w:rPr>
              <w:t>DE</w:t>
            </w:r>
          </w:p>
        </w:tc>
        <w:tc>
          <w:tcPr>
            <w:tcW w:w="960" w:type="dxa"/>
            <w:vAlign w:val="center"/>
          </w:tcPr>
          <w:p>
            <w:pPr>
              <w:jc w:val="center"/>
              <w:rPr>
                <w:b/>
                <w:bCs/>
                <w:noProof/>
                <w:color w:val="000000"/>
                <w:sz w:val="20"/>
                <w:szCs w:val="22"/>
              </w:rPr>
            </w:pPr>
            <w:r>
              <w:rPr>
                <w:b/>
                <w:noProof/>
                <w:color w:val="000000"/>
                <w:sz w:val="20"/>
              </w:rPr>
              <w:t>EL</w:t>
            </w:r>
          </w:p>
        </w:tc>
        <w:tc>
          <w:tcPr>
            <w:tcW w:w="960" w:type="dxa"/>
            <w:vAlign w:val="center"/>
          </w:tcPr>
          <w:p>
            <w:pPr>
              <w:jc w:val="center"/>
              <w:rPr>
                <w:b/>
                <w:bCs/>
                <w:noProof/>
                <w:color w:val="000000"/>
                <w:sz w:val="20"/>
                <w:szCs w:val="22"/>
              </w:rPr>
            </w:pPr>
            <w:r>
              <w:rPr>
                <w:b/>
                <w:noProof/>
                <w:color w:val="000000"/>
                <w:sz w:val="20"/>
              </w:rPr>
              <w:t>HU</w:t>
            </w:r>
          </w:p>
        </w:tc>
        <w:tc>
          <w:tcPr>
            <w:tcW w:w="960" w:type="dxa"/>
            <w:vAlign w:val="center"/>
          </w:tcPr>
          <w:p>
            <w:pPr>
              <w:jc w:val="center"/>
              <w:rPr>
                <w:b/>
                <w:bCs/>
                <w:noProof/>
                <w:color w:val="000000"/>
                <w:sz w:val="20"/>
                <w:szCs w:val="22"/>
              </w:rPr>
            </w:pPr>
            <w:r>
              <w:rPr>
                <w:b/>
                <w:noProof/>
                <w:color w:val="000000"/>
                <w:sz w:val="20"/>
              </w:rPr>
              <w:t>IE</w:t>
            </w:r>
          </w:p>
        </w:tc>
        <w:tc>
          <w:tcPr>
            <w:tcW w:w="960" w:type="dxa"/>
            <w:vAlign w:val="center"/>
          </w:tcPr>
          <w:p>
            <w:pPr>
              <w:jc w:val="center"/>
              <w:rPr>
                <w:b/>
                <w:bCs/>
                <w:noProof/>
                <w:color w:val="000000"/>
                <w:sz w:val="20"/>
                <w:szCs w:val="22"/>
              </w:rPr>
            </w:pPr>
            <w:r>
              <w:rPr>
                <w:b/>
                <w:noProof/>
                <w:color w:val="000000"/>
                <w:sz w:val="20"/>
              </w:rPr>
              <w:t>IT</w:t>
            </w:r>
          </w:p>
        </w:tc>
        <w:tc>
          <w:tcPr>
            <w:tcW w:w="960" w:type="dxa"/>
            <w:vAlign w:val="center"/>
          </w:tcPr>
          <w:p>
            <w:pPr>
              <w:jc w:val="center"/>
              <w:rPr>
                <w:b/>
                <w:bCs/>
                <w:noProof/>
                <w:color w:val="000000"/>
                <w:sz w:val="20"/>
                <w:szCs w:val="22"/>
              </w:rPr>
            </w:pPr>
            <w:r>
              <w:rPr>
                <w:b/>
                <w:noProof/>
                <w:color w:val="000000"/>
                <w:sz w:val="20"/>
              </w:rPr>
              <w:t>LV</w:t>
            </w:r>
          </w:p>
        </w:tc>
        <w:tc>
          <w:tcPr>
            <w:tcW w:w="960" w:type="dxa"/>
            <w:vAlign w:val="center"/>
          </w:tcPr>
          <w:p>
            <w:pPr>
              <w:jc w:val="center"/>
              <w:rPr>
                <w:b/>
                <w:bCs/>
                <w:noProof/>
                <w:color w:val="000000"/>
                <w:sz w:val="20"/>
                <w:szCs w:val="22"/>
              </w:rPr>
            </w:pPr>
            <w:r>
              <w:rPr>
                <w:b/>
                <w:noProof/>
                <w:color w:val="000000"/>
                <w:sz w:val="20"/>
              </w:rPr>
              <w:t>LT</w:t>
            </w:r>
          </w:p>
        </w:tc>
        <w:tc>
          <w:tcPr>
            <w:tcW w:w="960" w:type="dxa"/>
            <w:vAlign w:val="center"/>
          </w:tcPr>
          <w:p>
            <w:pPr>
              <w:jc w:val="center"/>
              <w:rPr>
                <w:b/>
                <w:bCs/>
                <w:noProof/>
                <w:color w:val="000000"/>
                <w:sz w:val="20"/>
                <w:szCs w:val="22"/>
              </w:rPr>
            </w:pPr>
            <w:r>
              <w:rPr>
                <w:b/>
                <w:noProof/>
                <w:color w:val="000000"/>
                <w:sz w:val="20"/>
              </w:rPr>
              <w:t>LU</w:t>
            </w:r>
          </w:p>
        </w:tc>
        <w:tc>
          <w:tcPr>
            <w:tcW w:w="960" w:type="dxa"/>
            <w:vAlign w:val="center"/>
          </w:tcPr>
          <w:p>
            <w:pPr>
              <w:jc w:val="center"/>
              <w:rPr>
                <w:b/>
                <w:bCs/>
                <w:noProof/>
                <w:color w:val="000000"/>
                <w:sz w:val="20"/>
                <w:szCs w:val="22"/>
              </w:rPr>
            </w:pPr>
            <w:r>
              <w:rPr>
                <w:b/>
                <w:noProof/>
                <w:color w:val="000000"/>
                <w:sz w:val="20"/>
              </w:rPr>
              <w:t>MT</w:t>
            </w:r>
          </w:p>
        </w:tc>
        <w:tc>
          <w:tcPr>
            <w:tcW w:w="960" w:type="dxa"/>
            <w:vAlign w:val="center"/>
          </w:tcPr>
          <w:p>
            <w:pPr>
              <w:jc w:val="center"/>
              <w:rPr>
                <w:b/>
                <w:bCs/>
                <w:noProof/>
                <w:color w:val="000000"/>
                <w:sz w:val="20"/>
                <w:szCs w:val="22"/>
              </w:rPr>
            </w:pPr>
            <w:r>
              <w:rPr>
                <w:b/>
                <w:noProof/>
                <w:color w:val="000000"/>
                <w:sz w:val="20"/>
              </w:rPr>
              <w:t>NL</w:t>
            </w:r>
          </w:p>
        </w:tc>
      </w:tr>
      <w:tr>
        <w:trPr>
          <w:trHeight w:val="397"/>
        </w:trPr>
        <w:tc>
          <w:tcPr>
            <w:tcW w:w="960" w:type="dxa"/>
            <w:vAlign w:val="center"/>
          </w:tcPr>
          <w:p>
            <w:pPr>
              <w:jc w:val="center"/>
              <w:rPr>
                <w:noProof/>
                <w:color w:val="000000"/>
                <w:sz w:val="20"/>
                <w:szCs w:val="22"/>
              </w:rPr>
            </w:pPr>
            <w:r>
              <w:rPr>
                <w:noProof/>
                <w:color w:val="000000"/>
                <w:sz w:val="20"/>
              </w:rPr>
              <w:t>2 202 500</w:t>
            </w:r>
          </w:p>
        </w:tc>
        <w:tc>
          <w:tcPr>
            <w:tcW w:w="960" w:type="dxa"/>
            <w:vAlign w:val="center"/>
          </w:tcPr>
          <w:p>
            <w:pPr>
              <w:jc w:val="center"/>
              <w:rPr>
                <w:noProof/>
                <w:color w:val="000000"/>
                <w:sz w:val="20"/>
                <w:szCs w:val="22"/>
              </w:rPr>
            </w:pPr>
            <w:r>
              <w:rPr>
                <w:noProof/>
                <w:color w:val="000000"/>
                <w:sz w:val="20"/>
              </w:rPr>
              <w:t>89 243</w:t>
            </w:r>
          </w:p>
        </w:tc>
        <w:tc>
          <w:tcPr>
            <w:tcW w:w="960" w:type="dxa"/>
            <w:vAlign w:val="center"/>
          </w:tcPr>
          <w:p>
            <w:pPr>
              <w:jc w:val="center"/>
              <w:rPr>
                <w:noProof/>
                <w:color w:val="000000"/>
                <w:sz w:val="20"/>
                <w:szCs w:val="22"/>
              </w:rPr>
            </w:pPr>
            <w:r>
              <w:rPr>
                <w:noProof/>
                <w:color w:val="000000"/>
                <w:sz w:val="20"/>
              </w:rPr>
              <w:t>97 026</w:t>
            </w:r>
          </w:p>
        </w:tc>
        <w:tc>
          <w:tcPr>
            <w:tcW w:w="960" w:type="dxa"/>
            <w:vAlign w:val="center"/>
          </w:tcPr>
          <w:p>
            <w:pPr>
              <w:jc w:val="center"/>
              <w:rPr>
                <w:noProof/>
                <w:color w:val="000000"/>
                <w:sz w:val="20"/>
                <w:szCs w:val="22"/>
              </w:rPr>
            </w:pPr>
            <w:r>
              <w:rPr>
                <w:noProof/>
                <w:color w:val="000000"/>
                <w:sz w:val="20"/>
              </w:rPr>
              <w:t>23 822</w:t>
            </w:r>
          </w:p>
        </w:tc>
        <w:tc>
          <w:tcPr>
            <w:tcW w:w="960" w:type="dxa"/>
            <w:vAlign w:val="center"/>
          </w:tcPr>
          <w:p>
            <w:pPr>
              <w:jc w:val="center"/>
              <w:rPr>
                <w:noProof/>
                <w:color w:val="000000"/>
                <w:sz w:val="20"/>
                <w:szCs w:val="22"/>
              </w:rPr>
            </w:pPr>
            <w:r>
              <w:rPr>
                <w:noProof/>
                <w:color w:val="000000"/>
                <w:sz w:val="20"/>
              </w:rPr>
              <w:t>1 450 862</w:t>
            </w:r>
          </w:p>
        </w:tc>
        <w:tc>
          <w:tcPr>
            <w:tcW w:w="960" w:type="dxa"/>
            <w:vAlign w:val="center"/>
          </w:tcPr>
          <w:p>
            <w:pPr>
              <w:jc w:val="center"/>
              <w:rPr>
                <w:noProof/>
                <w:color w:val="000000"/>
                <w:sz w:val="20"/>
                <w:szCs w:val="22"/>
              </w:rPr>
            </w:pPr>
            <w:r>
              <w:rPr>
                <w:noProof/>
                <w:color w:val="000000"/>
                <w:sz w:val="20"/>
              </w:rPr>
              <w:t>13 889</w:t>
            </w:r>
          </w:p>
        </w:tc>
        <w:tc>
          <w:tcPr>
            <w:tcW w:w="960" w:type="dxa"/>
            <w:vAlign w:val="center"/>
          </w:tcPr>
          <w:p>
            <w:pPr>
              <w:jc w:val="center"/>
              <w:rPr>
                <w:noProof/>
                <w:color w:val="000000"/>
                <w:sz w:val="20"/>
                <w:szCs w:val="22"/>
              </w:rPr>
            </w:pPr>
            <w:r>
              <w:rPr>
                <w:noProof/>
                <w:color w:val="000000"/>
                <w:sz w:val="20"/>
              </w:rPr>
              <w:t>30 286</w:t>
            </w:r>
          </w:p>
        </w:tc>
        <w:tc>
          <w:tcPr>
            <w:tcW w:w="960" w:type="dxa"/>
            <w:vAlign w:val="center"/>
          </w:tcPr>
          <w:p>
            <w:pPr>
              <w:jc w:val="center"/>
              <w:rPr>
                <w:noProof/>
                <w:color w:val="000000"/>
                <w:sz w:val="20"/>
                <w:szCs w:val="22"/>
              </w:rPr>
            </w:pPr>
            <w:r>
              <w:rPr>
                <w:noProof/>
                <w:color w:val="000000"/>
                <w:sz w:val="20"/>
              </w:rPr>
              <w:t>18 034</w:t>
            </w:r>
          </w:p>
        </w:tc>
        <w:tc>
          <w:tcPr>
            <w:tcW w:w="960" w:type="dxa"/>
            <w:vAlign w:val="center"/>
          </w:tcPr>
          <w:p>
            <w:pPr>
              <w:jc w:val="center"/>
              <w:rPr>
                <w:noProof/>
                <w:color w:val="000000"/>
                <w:sz w:val="20"/>
                <w:szCs w:val="22"/>
              </w:rPr>
            </w:pPr>
            <w:r>
              <w:rPr>
                <w:noProof/>
                <w:color w:val="000000"/>
                <w:sz w:val="20"/>
              </w:rPr>
              <w:t>26 899</w:t>
            </w:r>
          </w:p>
        </w:tc>
        <w:tc>
          <w:tcPr>
            <w:tcW w:w="960" w:type="dxa"/>
            <w:vAlign w:val="center"/>
          </w:tcPr>
          <w:p>
            <w:pPr>
              <w:jc w:val="center"/>
              <w:rPr>
                <w:noProof/>
                <w:color w:val="000000"/>
                <w:sz w:val="20"/>
                <w:szCs w:val="22"/>
              </w:rPr>
            </w:pPr>
            <w:r>
              <w:rPr>
                <w:noProof/>
                <w:color w:val="000000"/>
                <w:sz w:val="20"/>
              </w:rPr>
              <w:t>98 403</w:t>
            </w:r>
          </w:p>
        </w:tc>
      </w:tr>
      <w:tr>
        <w:trPr>
          <w:trHeight w:val="397"/>
        </w:trPr>
        <w:tc>
          <w:tcPr>
            <w:tcW w:w="960" w:type="dxa"/>
            <w:vAlign w:val="center"/>
          </w:tcPr>
          <w:p>
            <w:pPr>
              <w:jc w:val="center"/>
              <w:rPr>
                <w:b/>
                <w:bCs/>
                <w:noProof/>
                <w:color w:val="000000"/>
                <w:sz w:val="20"/>
                <w:szCs w:val="22"/>
              </w:rPr>
            </w:pPr>
            <w:r>
              <w:rPr>
                <w:b/>
                <w:noProof/>
                <w:color w:val="000000"/>
                <w:sz w:val="20"/>
              </w:rPr>
              <w:t>PL</w:t>
            </w:r>
          </w:p>
        </w:tc>
        <w:tc>
          <w:tcPr>
            <w:tcW w:w="960" w:type="dxa"/>
            <w:vAlign w:val="center"/>
          </w:tcPr>
          <w:p>
            <w:pPr>
              <w:jc w:val="center"/>
              <w:rPr>
                <w:b/>
                <w:bCs/>
                <w:noProof/>
                <w:color w:val="000000"/>
                <w:sz w:val="20"/>
                <w:szCs w:val="22"/>
              </w:rPr>
            </w:pPr>
            <w:r>
              <w:rPr>
                <w:b/>
                <w:noProof/>
                <w:color w:val="000000"/>
                <w:sz w:val="20"/>
              </w:rPr>
              <w:t>PT</w:t>
            </w:r>
          </w:p>
        </w:tc>
        <w:tc>
          <w:tcPr>
            <w:tcW w:w="960" w:type="dxa"/>
            <w:vAlign w:val="center"/>
          </w:tcPr>
          <w:p>
            <w:pPr>
              <w:jc w:val="center"/>
              <w:rPr>
                <w:b/>
                <w:bCs/>
                <w:noProof/>
                <w:color w:val="000000"/>
                <w:sz w:val="20"/>
                <w:szCs w:val="22"/>
              </w:rPr>
            </w:pPr>
            <w:r>
              <w:rPr>
                <w:b/>
                <w:noProof/>
                <w:color w:val="000000"/>
                <w:sz w:val="20"/>
              </w:rPr>
              <w:t>RO</w:t>
            </w:r>
          </w:p>
        </w:tc>
        <w:tc>
          <w:tcPr>
            <w:tcW w:w="960" w:type="dxa"/>
            <w:vAlign w:val="center"/>
          </w:tcPr>
          <w:p>
            <w:pPr>
              <w:jc w:val="center"/>
              <w:rPr>
                <w:b/>
                <w:bCs/>
                <w:noProof/>
                <w:color w:val="000000"/>
                <w:sz w:val="20"/>
                <w:szCs w:val="22"/>
              </w:rPr>
            </w:pPr>
            <w:r>
              <w:rPr>
                <w:b/>
                <w:noProof/>
                <w:color w:val="000000"/>
                <w:sz w:val="20"/>
              </w:rPr>
              <w:t>SK</w:t>
            </w:r>
          </w:p>
        </w:tc>
        <w:tc>
          <w:tcPr>
            <w:tcW w:w="960" w:type="dxa"/>
            <w:vAlign w:val="center"/>
          </w:tcPr>
          <w:p>
            <w:pPr>
              <w:jc w:val="center"/>
              <w:rPr>
                <w:b/>
                <w:bCs/>
                <w:noProof/>
                <w:color w:val="000000"/>
                <w:sz w:val="20"/>
                <w:szCs w:val="22"/>
              </w:rPr>
            </w:pPr>
            <w:r>
              <w:rPr>
                <w:b/>
                <w:noProof/>
                <w:color w:val="000000"/>
                <w:sz w:val="20"/>
              </w:rPr>
              <w:t>SI</w:t>
            </w:r>
          </w:p>
        </w:tc>
        <w:tc>
          <w:tcPr>
            <w:tcW w:w="960" w:type="dxa"/>
            <w:vAlign w:val="center"/>
          </w:tcPr>
          <w:p>
            <w:pPr>
              <w:jc w:val="center"/>
              <w:rPr>
                <w:b/>
                <w:bCs/>
                <w:noProof/>
                <w:color w:val="000000"/>
                <w:sz w:val="20"/>
                <w:szCs w:val="22"/>
              </w:rPr>
            </w:pPr>
            <w:r>
              <w:rPr>
                <w:b/>
                <w:noProof/>
                <w:color w:val="000000"/>
                <w:sz w:val="20"/>
              </w:rPr>
              <w:t>ES</w:t>
            </w:r>
          </w:p>
        </w:tc>
        <w:tc>
          <w:tcPr>
            <w:tcW w:w="960" w:type="dxa"/>
            <w:vAlign w:val="center"/>
          </w:tcPr>
          <w:p>
            <w:pPr>
              <w:jc w:val="center"/>
              <w:rPr>
                <w:b/>
                <w:bCs/>
                <w:noProof/>
                <w:color w:val="000000"/>
                <w:sz w:val="20"/>
                <w:szCs w:val="22"/>
              </w:rPr>
            </w:pPr>
            <w:r>
              <w:rPr>
                <w:b/>
                <w:noProof/>
                <w:color w:val="000000"/>
                <w:sz w:val="20"/>
              </w:rPr>
              <w:t>SE</w:t>
            </w:r>
          </w:p>
        </w:tc>
        <w:tc>
          <w:tcPr>
            <w:tcW w:w="960" w:type="dxa"/>
            <w:vAlign w:val="center"/>
          </w:tcPr>
          <w:p>
            <w:pPr>
              <w:jc w:val="center"/>
              <w:rPr>
                <w:b/>
                <w:bCs/>
                <w:noProof/>
                <w:color w:val="000000"/>
                <w:sz w:val="20"/>
                <w:szCs w:val="22"/>
              </w:rPr>
            </w:pPr>
            <w:r>
              <w:rPr>
                <w:b/>
                <w:noProof/>
                <w:color w:val="000000"/>
                <w:sz w:val="20"/>
              </w:rPr>
              <w:t>UK</w:t>
            </w:r>
          </w:p>
        </w:tc>
        <w:tc>
          <w:tcPr>
            <w:tcW w:w="960"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r>
        <w:trPr>
          <w:trHeight w:val="397"/>
        </w:trPr>
        <w:tc>
          <w:tcPr>
            <w:tcW w:w="960" w:type="dxa"/>
            <w:vAlign w:val="center"/>
          </w:tcPr>
          <w:p>
            <w:pPr>
              <w:jc w:val="center"/>
              <w:rPr>
                <w:noProof/>
                <w:color w:val="000000"/>
                <w:sz w:val="20"/>
                <w:szCs w:val="22"/>
              </w:rPr>
            </w:pPr>
            <w:r>
              <w:rPr>
                <w:noProof/>
                <w:color w:val="000000"/>
                <w:sz w:val="20"/>
              </w:rPr>
              <w:t>285 857</w:t>
            </w:r>
          </w:p>
        </w:tc>
        <w:tc>
          <w:tcPr>
            <w:tcW w:w="960" w:type="dxa"/>
            <w:vAlign w:val="center"/>
          </w:tcPr>
          <w:p>
            <w:pPr>
              <w:jc w:val="center"/>
              <w:rPr>
                <w:noProof/>
                <w:color w:val="000000"/>
                <w:sz w:val="20"/>
                <w:szCs w:val="22"/>
              </w:rPr>
            </w:pPr>
            <w:r>
              <w:rPr>
                <w:noProof/>
                <w:color w:val="000000"/>
                <w:sz w:val="20"/>
              </w:rPr>
              <w:t>98 823*</w:t>
            </w:r>
          </w:p>
        </w:tc>
        <w:tc>
          <w:tcPr>
            <w:tcW w:w="960" w:type="dxa"/>
            <w:vAlign w:val="center"/>
          </w:tcPr>
          <w:p>
            <w:pPr>
              <w:jc w:val="center"/>
              <w:rPr>
                <w:noProof/>
                <w:color w:val="000000"/>
                <w:sz w:val="20"/>
                <w:szCs w:val="22"/>
              </w:rPr>
            </w:pPr>
            <w:r>
              <w:rPr>
                <w:noProof/>
                <w:color w:val="000000"/>
                <w:sz w:val="20"/>
              </w:rPr>
              <w:t>116 907*</w:t>
            </w:r>
          </w:p>
        </w:tc>
        <w:tc>
          <w:tcPr>
            <w:tcW w:w="960" w:type="dxa"/>
            <w:vAlign w:val="center"/>
          </w:tcPr>
          <w:p>
            <w:pPr>
              <w:rPr>
                <w:noProof/>
                <w:color w:val="000000"/>
                <w:sz w:val="20"/>
                <w:szCs w:val="22"/>
              </w:rPr>
            </w:pPr>
            <w:r>
              <w:rPr>
                <w:noProof/>
                <w:color w:val="000000"/>
                <w:sz w:val="20"/>
              </w:rPr>
              <w:t>67 211*</w:t>
            </w:r>
          </w:p>
        </w:tc>
        <w:tc>
          <w:tcPr>
            <w:tcW w:w="960" w:type="dxa"/>
            <w:vAlign w:val="center"/>
          </w:tcPr>
          <w:p>
            <w:pPr>
              <w:jc w:val="center"/>
              <w:rPr>
                <w:noProof/>
                <w:color w:val="000000"/>
                <w:sz w:val="20"/>
                <w:szCs w:val="22"/>
              </w:rPr>
            </w:pPr>
            <w:r>
              <w:rPr>
                <w:noProof/>
                <w:color w:val="000000"/>
                <w:sz w:val="20"/>
              </w:rPr>
              <w:t>43 272</w:t>
            </w:r>
          </w:p>
        </w:tc>
        <w:tc>
          <w:tcPr>
            <w:tcW w:w="960" w:type="dxa"/>
            <w:vAlign w:val="center"/>
          </w:tcPr>
          <w:p>
            <w:pPr>
              <w:jc w:val="center"/>
              <w:rPr>
                <w:noProof/>
                <w:color w:val="000000"/>
                <w:sz w:val="20"/>
                <w:szCs w:val="22"/>
              </w:rPr>
            </w:pPr>
            <w:r>
              <w:rPr>
                <w:noProof/>
                <w:color w:val="000000"/>
                <w:sz w:val="20"/>
              </w:rPr>
              <w:t>322 429</w:t>
            </w:r>
          </w:p>
        </w:tc>
        <w:tc>
          <w:tcPr>
            <w:tcW w:w="960" w:type="dxa"/>
            <w:vAlign w:val="center"/>
          </w:tcPr>
          <w:p>
            <w:pPr>
              <w:jc w:val="center"/>
              <w:rPr>
                <w:noProof/>
                <w:color w:val="000000"/>
                <w:sz w:val="20"/>
                <w:szCs w:val="22"/>
              </w:rPr>
            </w:pPr>
            <w:r>
              <w:rPr>
                <w:noProof/>
                <w:color w:val="000000"/>
                <w:sz w:val="20"/>
              </w:rPr>
              <w:t>33 831</w:t>
            </w:r>
          </w:p>
        </w:tc>
        <w:tc>
          <w:tcPr>
            <w:tcW w:w="960" w:type="dxa"/>
            <w:vAlign w:val="center"/>
          </w:tcPr>
          <w:p>
            <w:pPr>
              <w:rPr>
                <w:noProof/>
                <w:color w:val="000000"/>
                <w:sz w:val="20"/>
                <w:szCs w:val="22"/>
              </w:rPr>
            </w:pPr>
            <w:r>
              <w:rPr>
                <w:noProof/>
                <w:color w:val="000000"/>
                <w:sz w:val="20"/>
              </w:rPr>
              <w:t>147 376*</w:t>
            </w:r>
          </w:p>
        </w:tc>
        <w:tc>
          <w:tcPr>
            <w:tcW w:w="960"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bl>
    <w:p>
      <w:pPr>
        <w:pStyle w:val="ListParagraph"/>
        <w:spacing w:before="0" w:after="0"/>
        <w:ind w:left="357"/>
        <w:contextualSpacing w:val="0"/>
        <w:rPr>
          <w:rFonts w:ascii="Times New Roman" w:hAnsi="Times New Roman"/>
          <w:noProof/>
          <w:color w:val="auto"/>
          <w:sz w:val="24"/>
          <w:szCs w:val="24"/>
        </w:rPr>
      </w:pPr>
      <w:r>
        <w:rPr>
          <w:rFonts w:ascii="Times New Roman" w:hAnsi="Times New Roman"/>
          <w:noProof/>
          <w:color w:val="auto"/>
          <w:sz w:val="24"/>
        </w:rPr>
        <w:t>*</w:t>
      </w:r>
      <w:r>
        <w:rPr>
          <w:rFonts w:ascii="Times New Roman" w:hAnsi="Times New Roman"/>
          <w:i/>
          <w:noProof/>
          <w:color w:val="auto"/>
          <w:sz w:val="24"/>
        </w:rPr>
        <w:t xml:space="preserve"> Numărul total de declarații de susținere, inclusiv din certificatele primite după data de prezentare a inițiativei în cauză către Comisie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Dispozițiile privind verificarea declarațiilor de susținere au fost concepute astfel încât să lase statelor membre o anumită flexibilitate de a putea folosi procedurile existente la nivel național pentru instrumente similare, limitând, prin urmare, sarcina administrativă. Acest fapt a condus la o situație în care datele solicitate semnatarilor și sfera procesului de verificare diferă de la un stat membru la altul. Cu toate acestea, studiul efectuat recent privind cerințele în materie de date a concluzionat că abordarea actuală privind verificarea, astfel cum este prevăzută în regulament, este bine concepută, în comparație cu instrumente similare la nivel regional și național. Până în prezent nu a fost raportat niciun caz de fraudă semnificativ.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De asemenea, trebuie remarcat faptul că lipsa unui termen-limită pentru prezentarea unei inițiative reușite în atenția Comisiei poate crea confuzie și insecuritate pentru cetățenii care și-au oferit susținerea, dar și pentru instituțiile UE, în ceea ce privește acțiunile subsecvente ca urmare a inițiativelor reușite. Propunerea Comisiei abordează această chestiune prin stabilirea unui termen-limită pentru prezentarea unei inițiative.</w:t>
      </w:r>
    </w:p>
    <w:p>
      <w:pPr>
        <w:spacing w:after="120" w:line="288" w:lineRule="auto"/>
        <w:ind w:left="1080"/>
        <w:rPr>
          <w:b/>
          <w:i/>
          <w:noProof/>
        </w:rPr>
      </w:pPr>
      <w:r>
        <w:rPr>
          <w:b/>
          <w:i/>
          <w:noProof/>
        </w:rPr>
        <w:t>Examinarea și acțiunile subsecvente întreprinse de către Comisie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această fază, organizatorii sunt invitați la o reuniune cu Comisia și are loc o audiere publică la Parlamentul European. Rezultatul acestei etape de examinare de trei luni este adoptarea unei comunicări, în care Comisia explică acțiunile pe care intenționează să le întreprindă, dacă este cazul, și motivele sale (articolul 10).</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Inițiativa „Interzicerea glifosatului și protecția oamenilor și mediului de pesticide toxice” a invitat Comisia Europeană </w:t>
      </w:r>
      <w:r>
        <w:rPr>
          <w:rFonts w:ascii="Times New Roman" w:hAnsi="Times New Roman"/>
          <w:i/>
          <w:noProof/>
          <w:sz w:val="24"/>
        </w:rPr>
        <w:t>„să propună statelor membre interzicerea glifosatului, reforma procedurii de aprobare a pesticidelor și introducerea unor obiective obligatorii de reducere a utilizării pesticidelor în întreaga UE”</w:t>
      </w:r>
      <w:r>
        <w:rPr>
          <w:rFonts w:ascii="Times New Roman" w:hAnsi="Times New Roman"/>
          <w:noProof/>
          <w:sz w:val="24"/>
        </w:rPr>
        <w:t>. Comisia i-a primit pe reprezentanții organizatorilor la 23 octombrie 2017 și a fost reprezentată de prim-vicepreședintele Timmermans și de comisarul pentru sănătate și siguranță alimentară, Vytenis Andriukaitis. La 20 noiembrie 2017 a avut loc la Parlamentul European o audiere publică, la care a participat comisarul Andriukaitis.</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Comisia a adoptat, la 12 decembrie 2017, o comunicare în care a stabilit măsurile pe care intenționează să le întreprindă. Deși nu va adopta o propunere care să interzică erbicidele pe bază de glifosat întrucât decizia de a reînnoi aprobarea glifosatului pentru o perioadă de 5 ani este pe deplin justificată din punct de vedere științific și juridic, până în mai 2018 Comisia va prezenta o propunere legislativă, în special în vederea îmbunătățirii transparenței evaluărilor științifice și a procesului decizional. De asemenea, Comisia își va consolida eforturile pentru reducerea continuă și măsurabilă a riscurilor generate de utilizarea pesticidelor.</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Ceea ce urmează este o actualizare a inițiativelor prezentate Comisiei înainte de adoptarea raportului precedent privind inițiativa cetățenească europeană la 31 martie 2015.</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Inițiativa „Stop vivisection” (care a fost prezentată Comisiei la 3 martie 2015) a invitat Comisia </w:t>
      </w:r>
      <w:r>
        <w:rPr>
          <w:rFonts w:ascii="Times New Roman" w:hAnsi="Times New Roman"/>
          <w:i/>
          <w:noProof/>
          <w:sz w:val="24"/>
        </w:rPr>
        <w:t>„să abroge Directiva 2010/63/UE privind protecția animalelor utilizate în scopuri științifice și să prezinte o nouă propunere care să elimine experimentele pe animale și să le înlocuiască cu folosirea obligatorie – în cadrul cercetării biomedicale și toxicologice – a datelor cu relevanță directă pentru specia umană”</w:t>
      </w:r>
      <w:r>
        <w:rPr>
          <w:rFonts w:ascii="Times New Roman" w:hAnsi="Times New Roman"/>
          <w:noProof/>
          <w:sz w:val="24"/>
        </w:rPr>
        <w:t>. La 11 mai 2015 a fost organizată o reuniune; Comisia a fost reprezentată de vicepreședintele Katainen și de înalți funcționari din departamentele în cauză. În aceeași zi la Parlamentul European a fost organizată o audiere publică, în cursul căreia, pentru prima dată, au fost invitați să ia cuvântul experți externi. Comisia a fost reprezentată de vicepreședintele Katainen.</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La 3 iunie 2015 Comisia a adoptat o comunicare în care sunt anunțate acțiuni în patru direcții; și anume accelerarea realizării de progrese în ceea ce privește înlocuirea, reducerea și îmbunătățirea utilizării animalelor, prin intermediul schimbului de cunoștințe; dezvoltarea, validarea și aplicarea de noi abordări alternative la testele pe animale; asigurarea respectării principiului înlocuirii, reducerii și îmbunătățirii utilizării animalelor și alinierea legislației sectoriale relevante; angajarea într-un dialog cu comunitatea științifică.</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Comisia a organizat o conferință științifică la Bruxelles, în perioada 6-7 decembrie 2016, pentru a evalua progresele înregistrate în ceea ce privește acțiunile subsecvente inițiativei și pentru a discuta despre modalitățile de valorificare a progreselor de ultimă oră înregistrate în cercetarea biomedicală și în alte domenii de cercetare, în privința dezvoltării unor abordări valabile din punct de vedere științific care să nu implice animale</w:t>
      </w:r>
      <w:r>
        <w:rPr>
          <w:rStyle w:val="FootnoteReference"/>
          <w:rFonts w:ascii="Times New Roman" w:hAnsi="Times New Roman"/>
          <w:noProof/>
          <w:sz w:val="24"/>
        </w:rPr>
        <w:footnoteReference w:id="19"/>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De asemenea, este de remarcat faptul că, în decizia luată în urma unei plângeri depuse la Ombudsman de organizatorii inițiativei „Stop vivisection”, s-a ajuns la concluzia că în gestionarea acestei inițiative Comisia nu a dat dovadă de administrare defectuoasă (aprilie 2017)</w:t>
      </w:r>
      <w:r>
        <w:rPr>
          <w:rStyle w:val="FootnoteReference"/>
          <w:rFonts w:ascii="Times New Roman" w:hAnsi="Times New Roman"/>
          <w:noProof/>
          <w:sz w:val="24"/>
        </w:rPr>
        <w:footnoteReference w:id="20"/>
      </w:r>
      <w:r>
        <w:rPr>
          <w:rFonts w:ascii="Times New Roman" w:hAnsi="Times New Roman"/>
          <w:noProof/>
          <w:sz w:val="24"/>
        </w:rPr>
        <w: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ceea ce privește inițiativa „Unul dintre noi”, la care Comisia a răspuns că din punctul său de vedere cadrul juridic existent este adecvat, organizatorii au sesizat Tribunalul UE în vederea anulării comunicării Comisiei adoptate ca răspuns la această inițiativă. Procedura în fața Tribunalului este pendinte</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21"/>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ceea ce privește inițiativa „Apa și salubritatea reprezintă un drept al omului! Apa este un bun public și nu o marfă!”, au fost întreprinse mai multe acțiuni subsecvente de la adoptarea comunicării Comisiei în martie 2014</w:t>
      </w:r>
      <w:r>
        <w:rPr>
          <w:rStyle w:val="FootnoteReference"/>
          <w:rFonts w:ascii="Times New Roman" w:hAnsi="Times New Roman"/>
          <w:noProof/>
          <w:sz w:val="24"/>
        </w:rPr>
        <w:footnoteReference w:id="22"/>
      </w:r>
      <w:r>
        <w:rPr>
          <w:rFonts w:ascii="Times New Roman" w:hAnsi="Times New Roman"/>
          <w:noProof/>
          <w:sz w:val="24"/>
        </w:rPr>
        <w:t>. Este de remarcat contribuția inițiativei la menținerea „apei și a salubrității” ca domeniu prioritar esențial pentru cadrul de dezvoltare al UE ulterior anului 2015</w:t>
      </w:r>
      <w:r>
        <w:rPr>
          <w:rStyle w:val="FootnoteReference"/>
          <w:rFonts w:ascii="Times New Roman" w:hAnsi="Times New Roman"/>
          <w:noProof/>
          <w:sz w:val="24"/>
        </w:rPr>
        <w:footnoteReference w:id="23"/>
      </w:r>
      <w:r>
        <w:rPr>
          <w:rFonts w:ascii="Times New Roman" w:hAnsi="Times New Roman"/>
          <w:noProof/>
          <w:sz w:val="24"/>
        </w:rPr>
        <w:t xml:space="preserve"> și, apoi, în lista obiectivelor de dezvoltare durabilă din Agenda 2030 în acest domeniu a Organizației Națiunilor Unite</w:t>
      </w:r>
      <w:r>
        <w:rPr>
          <w:rStyle w:val="FootnoteReference"/>
          <w:rFonts w:ascii="Times New Roman" w:hAnsi="Times New Roman"/>
          <w:noProof/>
          <w:sz w:val="24"/>
        </w:rPr>
        <w:footnoteReference w:id="24"/>
      </w:r>
      <w:r>
        <w:rPr>
          <w:rFonts w:ascii="Times New Roman" w:hAnsi="Times New Roman"/>
          <w:noProof/>
          <w:sz w:val="24"/>
        </w:rPr>
        <w:t>. În plus, la 1 februarie 2018 Comisia a adoptat o propunere de revizuire a Directivei privind apa potabilă</w:t>
      </w:r>
      <w:r>
        <w:rPr>
          <w:rStyle w:val="FootnoteReference"/>
          <w:rFonts w:ascii="Times New Roman" w:hAnsi="Times New Roman"/>
          <w:noProof/>
          <w:sz w:val="24"/>
        </w:rPr>
        <w:footnoteReference w:id="25"/>
      </w:r>
      <w:r>
        <w:rPr>
          <w:rFonts w:ascii="Times New Roman" w:hAnsi="Times New Roman"/>
          <w:noProof/>
          <w:sz w:val="24"/>
        </w:rPr>
        <w:t>, care, ca răspuns la această inițiativă, prevede, printre altele, obligația statelor membre de a se asigura că grupurile vulnerabile și marginalizate au acces la apă. Pilonul european al drepturilor sociale proclamat de Parlamentul European, Consiliu și Comisie la 17 noiembrie 2017</w:t>
      </w:r>
      <w:r>
        <w:rPr>
          <w:rStyle w:val="FootnoteReference"/>
          <w:rFonts w:ascii="Times New Roman" w:hAnsi="Times New Roman"/>
          <w:noProof/>
          <w:sz w:val="24"/>
        </w:rPr>
        <w:footnoteReference w:id="26"/>
      </w:r>
      <w:r>
        <w:rPr>
          <w:rFonts w:ascii="Times New Roman" w:hAnsi="Times New Roman"/>
          <w:noProof/>
          <w:sz w:val="24"/>
        </w:rPr>
        <w:t xml:space="preserve"> include, de asemenea, principiul conform căruia orice persoană are dreptul de acces la servicii esențiale de bună calitate, inclusiv la apă și salubritate (principiul 20 – Accesul la servicii esențiale).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propunerea de revizuire a Regulamentului privind inițiativa cetățenească, Comisia a inclus o serie de îmbunătățiri, în special transmiterea inițiativei, atunci când aceasta este primită, către Parlamentul European, Consiliu, Comitetul Economic și Social European și Comitetul Regiunilor, organizarea la Parlamentul European a unei audieri publice cu un caracter mai incluziv pentru a asigura o reprezentare echilibrată a tuturor părților interesate vizate de inițiativă și prelungirea fazei de examinare de la trei la cinci luni pentru a aloca mai mult timp pentru dezbatere și pentru ca aceasta să contribuie la răspunsul Comisiei.</w:t>
      </w:r>
    </w:p>
    <w:p>
      <w:pPr>
        <w:spacing w:after="120" w:line="288" w:lineRule="auto"/>
        <w:ind w:left="1080"/>
        <w:rPr>
          <w:b/>
          <w:i/>
          <w:noProof/>
        </w:rPr>
      </w:pPr>
      <w:r>
        <w:rPr>
          <w:b/>
          <w:i/>
          <w:noProof/>
        </w:rPr>
        <w:t>Transparență – finanțare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 conformitate cu articolul 9, organizatorii trebuie să furnizeze informații cu privire la sursele de finanțare care depășesc 500 EUR pe an și per sponsor. Aceste informații sunt publicate în registrul ICE.</w:t>
      </w:r>
    </w:p>
    <w:p>
      <w:pPr>
        <w:pStyle w:val="ListParagraph"/>
        <w:spacing w:before="0" w:line="288" w:lineRule="auto"/>
        <w:ind w:left="357"/>
        <w:contextualSpacing w:val="0"/>
        <w:rPr>
          <w:rFonts w:ascii="Times New Roman" w:hAnsi="Times New Roman"/>
          <w:noProof/>
          <w:color w:val="FF0000"/>
          <w:sz w:val="24"/>
          <w:szCs w:val="24"/>
          <w:highlight w:val="yellow"/>
        </w:rPr>
      </w:pPr>
      <w:r>
        <w:rPr>
          <w:rFonts w:ascii="Times New Roman" w:hAnsi="Times New Roman"/>
          <w:i/>
          <w:noProof/>
          <w:sz w:val="24"/>
        </w:rPr>
        <w:t xml:space="preserve">Prezentare generală a sponsorizărilor pentru inițiativele înregistrate începând din aprilie 2015: </w:t>
      </w:r>
    </w:p>
    <w:tbl>
      <w:tblPr>
        <w:tblStyle w:val="TableGrid"/>
        <w:tblW w:w="0" w:type="auto"/>
        <w:tblInd w:w="357" w:type="dxa"/>
        <w:tblLook w:val="04A0" w:firstRow="1" w:lastRow="0" w:firstColumn="1" w:lastColumn="0" w:noHBand="0" w:noVBand="1"/>
      </w:tblPr>
      <w:tblGrid>
        <w:gridCol w:w="2217"/>
        <w:gridCol w:w="2236"/>
        <w:gridCol w:w="2239"/>
        <w:gridCol w:w="2239"/>
      </w:tblGrid>
      <w:tr>
        <w:tc>
          <w:tcPr>
            <w:tcW w:w="2303" w:type="dxa"/>
            <w:shd w:val="clear" w:color="auto" w:fill="B6DDE8"/>
          </w:tcPr>
          <w:p>
            <w:pPr>
              <w:pStyle w:val="ListParagraph"/>
              <w:spacing w:line="288" w:lineRule="auto"/>
              <w:ind w:left="0"/>
              <w:contextualSpacing w:val="0"/>
              <w:rPr>
                <w:rFonts w:ascii="Times New Roman" w:hAnsi="Times New Roman"/>
                <w:noProof/>
                <w:szCs w:val="24"/>
              </w:rPr>
            </w:pP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Nicio sursă de finanțare</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Valoarea totală a finanțării sub 10 000 EUR</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Valoarea totală a finanțării peste 10 000 EUR</w:t>
            </w:r>
          </w:p>
        </w:tc>
      </w:tr>
      <w:tr>
        <w:tc>
          <w:tcPr>
            <w:tcW w:w="2303" w:type="dxa"/>
          </w:tcPr>
          <w:p>
            <w:pPr>
              <w:pStyle w:val="ListParagraph"/>
              <w:spacing w:line="288" w:lineRule="auto"/>
              <w:ind w:left="0"/>
              <w:contextualSpacing w:val="0"/>
              <w:rPr>
                <w:rFonts w:ascii="Times New Roman" w:hAnsi="Times New Roman"/>
                <w:noProof/>
                <w:szCs w:val="24"/>
              </w:rPr>
            </w:pPr>
            <w:r>
              <w:rPr>
                <w:rFonts w:ascii="Times New Roman" w:hAnsi="Times New Roman"/>
                <w:noProof/>
              </w:rPr>
              <w:t>Numărul de inițiative</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8</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2</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7</w:t>
            </w:r>
          </w:p>
        </w:tc>
      </w:tr>
    </w:tbl>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szCs w:val="24"/>
        </w:rPr>
        <w:br/>
      </w:r>
      <w:r>
        <w:rPr>
          <w:rFonts w:ascii="Times New Roman" w:hAnsi="Times New Roman"/>
          <w:noProof/>
          <w:sz w:val="24"/>
        </w:rPr>
        <w:t>Susținerea și finanțarea declarate pentru inițiativa „Interzicerea glifosatului și protecția oamenilor și mediului de pesticide toxice” se ridică la 328 399 EUR, ceea ce reprezintă cea mai mare sumă alocată până în prezent pentru o inițiativă cetățenească reușită.</w:t>
      </w:r>
    </w:p>
    <w:p>
      <w:pPr>
        <w:spacing w:after="120" w:line="288" w:lineRule="auto"/>
        <w:ind w:left="1080"/>
        <w:rPr>
          <w:b/>
          <w:i/>
          <w:noProof/>
        </w:rPr>
      </w:pPr>
      <w:r>
        <w:rPr>
          <w:b/>
          <w:i/>
          <w:noProof/>
        </w:rPr>
        <w:t>Susținerea și sensibilizarea</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Punctul de contact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În conformitate cu articolul 4 alineatul (1), este disponibil un punct de contact, care este găzduit de centrul de contact Europe Direct. Începând din aprilie 2015, punctul de contact a tratat 257 de cereri de informații din partea cetățenilor. </w:t>
      </w:r>
    </w:p>
    <w:p>
      <w:pPr>
        <w:pStyle w:val="ListParagraph"/>
        <w:spacing w:before="0" w:line="288" w:lineRule="auto"/>
        <w:ind w:left="357"/>
        <w:contextualSpacing w:val="0"/>
        <w:rPr>
          <w:rFonts w:ascii="Times New Roman" w:hAnsi="Times New Roman"/>
          <w:noProof/>
          <w:sz w:val="24"/>
          <w:szCs w:val="24"/>
        </w:rPr>
      </w:pPr>
      <w:r>
        <w:rPr>
          <w:noProof/>
          <w:lang w:val="en-US" w:eastAsia="en-US" w:bidi="ar-SA"/>
        </w:rPr>
        <w:drawing>
          <wp:inline distT="0" distB="0" distL="0" distR="0">
            <wp:extent cx="5686425" cy="50101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Întrebările sunt redirecționate către Comisie atunci când centrul de contact Europe Direct nu poate răspunde direct, de exemplu atunci când întrebările se referă la respectarea sau nu a criteriilor de înregistrare de către o posibilă inițiativă, pentru care sunt furnizate răspunsuri cu caracter informal, fără a aduce atingere răspunsului oficial transmis de Comisie în urma unei eventuale cereri de înregistrare. Începând din aprilie 2015, au fost redirecționate către Comisie 66 de întrebări.</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Contul de organizator</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De îndată ce o inițiativă este înregistrată oficial, Comisia răspunde la întrebările organizatorilor direct prin intermediul contului lor special de pe site-ul web al ICE. Răspunsurile sunt furnizate și prin e-mail și telefon, în permanență.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Asistența informatică</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Comisia oferă sprijin în ceea ce privește utilizarea software-ului său de colectare online, precum și găzduirea sistemelor de colectare online pe serverele sale: în ultimii trei ani au fost tratate aproape 300 de cereri cu privire la aceste aspecte. De asemenea, s-a acordat asistență utilizând platforma Joinup, care permite accesul părților interesate la informații cu privire la ultimele evoluții.</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Sprijinul pentru traducere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Traducerea inițiativelor intră în responsabilitatea organizatorilor și a fost un proces greoi, încă de la început. Începând din 2015, sprijinul oferit de Comitetul Economic și Social European organizatorilor cu privire la traduceri a fost binevenit și a contribuit în mod semnificativ la îmbunătățirea situației. Astfel cum se specifică în propunerea sa pentru un nou regulament, Comisia intenționează să asigure traducerea conținutului inițiativelor și a început deja furnizarea acestor traduceri organizatorilor începând din 2018. </w:t>
      </w:r>
    </w:p>
    <w:p>
      <w:pPr>
        <w:spacing w:after="120" w:line="288" w:lineRule="auto"/>
        <w:ind w:left="357"/>
        <w:rPr>
          <w:i/>
          <w:noProof/>
        </w:rPr>
      </w:pPr>
      <w:r>
        <w:rPr>
          <w:i/>
          <w:noProof/>
        </w:rPr>
        <w:t>Altele</w:t>
      </w:r>
    </w:p>
    <w:p>
      <w:pPr>
        <w:spacing w:after="120" w:line="288" w:lineRule="auto"/>
        <w:ind w:left="360"/>
        <w:jc w:val="both"/>
        <w:rPr>
          <w:noProof/>
        </w:rPr>
      </w:pPr>
      <w:r>
        <w:rPr>
          <w:noProof/>
        </w:rPr>
        <w:t xml:space="preserve">Un alt element nou și important al propunerii este crearea unei platforme de colaborare online pentru a sprijini schimbul de bune practici între persoanele care se ocupă de ICE, în special prin intermediul unui forum de discuții și al altor instrumente și mecanisme de sprijin și de formare. În cadrul unui proiect-pilot al Parlamentului European, Comisia a inițiat deja crearea unei astfel de platforme, care urmează a fi testată și dezvoltată în continuare până la punerea la dispoziție a unei versiuni complete în temeiul noului regulament. Prima versiune a platformei este planificată să devină publică în aprilie 2018. </w:t>
      </w:r>
    </w:p>
    <w:p>
      <w:pPr>
        <w:spacing w:after="120" w:line="288" w:lineRule="auto"/>
        <w:ind w:left="360"/>
        <w:jc w:val="both"/>
        <w:rPr>
          <w:noProof/>
        </w:rPr>
      </w:pPr>
      <w:r>
        <w:rPr>
          <w:noProof/>
        </w:rPr>
        <w:t xml:space="preserve">Lansarea platformei colaborative va coincide, de asemenea, cu debutul unei campanii de comunicare cu privire la inițiativa cetățenească în general, care va include utilizarea unor instrumente și produse specifice pentru a sprijini vizibilitatea instrumentului, promovarea prin intermediul platformelor de comunicare socială care vizează publicul general, precum și organizarea de evenimente în statele membre, axate pe potențialii multiplicatori de opinie. </w:t>
      </w:r>
    </w:p>
    <w:p>
      <w:pPr>
        <w:pStyle w:val="ListParagraph"/>
        <w:spacing w:before="0" w:line="288" w:lineRule="auto"/>
        <w:ind w:left="0"/>
        <w:contextualSpacing w:val="0"/>
        <w:rPr>
          <w:rFonts w:ascii="Times New Roman" w:hAnsi="Times New Roman"/>
          <w:noProof/>
          <w:sz w:val="24"/>
        </w:rPr>
      </w:pPr>
    </w:p>
    <w:p>
      <w:pPr>
        <w:pBdr>
          <w:bottom w:val="single" w:sz="4" w:space="1" w:color="auto"/>
        </w:pBdr>
        <w:spacing w:after="120" w:line="288" w:lineRule="auto"/>
        <w:ind w:left="363"/>
        <w:rPr>
          <w:smallCaps/>
          <w:noProof/>
          <w:sz w:val="28"/>
        </w:rPr>
      </w:pPr>
      <w:r>
        <w:rPr>
          <w:b/>
          <w:smallCaps/>
          <w:noProof/>
          <w:sz w:val="28"/>
        </w:rPr>
        <w:t>Concluzie</w:t>
      </w:r>
    </w:p>
    <w:p>
      <w:pPr>
        <w:spacing w:after="120" w:line="288" w:lineRule="auto"/>
        <w:ind w:left="363"/>
        <w:jc w:val="both"/>
        <w:rPr>
          <w:noProof/>
        </w:rPr>
      </w:pPr>
      <w:r>
        <w:rPr>
          <w:noProof/>
          <w:color w:val="FF0000"/>
        </w:rPr>
        <w:br/>
      </w:r>
      <w:r>
        <w:rPr>
          <w:noProof/>
        </w:rPr>
        <w:t>Pe baza contribuțiilor din partea instituțiilor UE, a organelor și a părților interesate, Comisia a evaluat în detaliu obstacolele rămase și le-a abordat în propunerea sa de regulament din 13 septembrie 2017. Revizuirea va aduce o simplificare cuprinzătoare și îmbunătățiri pentru cetățeni și organizatori în toate etapele succesive ale ciclului ICE. Aceasta va contribui la atingerea întregului potențial al ICE ca instrument de stimulare a dezbaterii și a participării cetățenilor la nivel european și la aducerea UE mai aproape de cetățenii săi, în concordanță cu prioritatea nr. 10 a Comisiei („O Uniune a schimbărilor democratice”).</w:t>
      </w:r>
    </w:p>
    <w:p>
      <w:pPr>
        <w:spacing w:after="120" w:line="288" w:lineRule="auto"/>
        <w:ind w:left="363"/>
        <w:jc w:val="both"/>
        <w:rPr>
          <w:noProof/>
        </w:rPr>
      </w:pPr>
      <w:r>
        <w:rPr>
          <w:noProof/>
        </w:rPr>
        <w:t>Parlamentul European și Consiliul discută în prezent propunerea și cele trei instituții s-au angajat în cadrul Declarației comune să îi acorde un tratament prioritar în procesul legislativ pentru a se asigura progrese substanțiale și, în măsura posibilităților, finalizarea procesului legislativ înainte de alegerile europene din 2019. Comisia îndeamnă ca propunerea să fie adoptată până la sfârșitul anului 2018, astfel încât aceasta să poată intra în vigoare în ianuarie 2020 și să aducă beneficii semnificative cât mai curând posibil pentru democrație și participarea cetățenilor în UE.</w:t>
      </w:r>
    </w:p>
    <w:p>
      <w:pPr>
        <w:spacing w:after="120" w:line="288" w:lineRule="auto"/>
        <w:ind w:left="363"/>
        <w:jc w:val="both"/>
        <w:rPr>
          <w:noProof/>
        </w:rPr>
      </w:pPr>
      <w:r>
        <w:rPr>
          <w:noProof/>
        </w:rPr>
        <w:t>Între timp, Comisia continuă să depună eforturi pentru a îmbunătăți funcționarea ICE în cadrul juridic existent. O primă versiune a platformei colaborative online va fi lansată în aprilie 2018, iar Comisia își va intensifica activitățile de comunicare și de sensibilizare privind instrumentul ICE prin intermediul unei campanii de comunicare care va începe în 2018.</w:t>
      </w:r>
    </w:p>
    <w:p>
      <w:pPr>
        <w:spacing w:after="120" w:line="288" w:lineRule="auto"/>
        <w:ind w:left="363"/>
        <w:jc w:val="both"/>
        <w:rPr>
          <w:noProof/>
        </w:rPr>
      </w:pPr>
      <w:r>
        <w:rPr>
          <w:noProof/>
        </w:rPr>
        <w:t xml:space="preserve">Comisia va continua să întreprindă acțiuni subsecvente ca urmare a inițiativelor reușite ori de câte ori este necesar și, atunci când decide să nu ia astfel de măsuri, va fi deschisă cu privire la motivele detaliate care au stat la baza acestei decizii, în conformitate cu cele 10 priorități politice. Comisia s-a angajat să întreprindă acțiuni subsecvente în cazul a trei din cele patru inițiative reușite și a anunțat sau a adoptat propuneri legislative pentru două dintre ele. </w:t>
      </w:r>
    </w:p>
    <w:p>
      <w:pPr>
        <w:spacing w:after="120" w:line="288" w:lineRule="auto"/>
        <w:ind w:left="363"/>
        <w:jc w:val="both"/>
        <w:rPr>
          <w:noProof/>
        </w:rPr>
      </w:pPr>
      <w:r>
        <w:rPr>
          <w:noProof/>
        </w:rPr>
        <w:t>Instrumentul ICE, așa cum demonstrează cele 9 milioane de declarații de susținere colectate de diferitele inițiative până în prezent, stimulează participarea cetățenilor de pe întregul continent și contribuie la apariția unor dezbateri paneuropene și la participarea la viața democratică a UE. Prin implicarea directă a cetățenilor și prin posibilitatea oferită acestora de a-și exprima ideile cu privire la chestiunile importante pentru ei, ICE aduce o valoare adăugată în procesul legislativ al UE și contribuie la apropierea cetățenilor de Uniunea Europeană.</w:t>
      </w:r>
    </w:p>
    <w:p>
      <w:pPr>
        <w:spacing w:after="120" w:line="288" w:lineRule="auto"/>
        <w:jc w:val="both"/>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1781"/>
      <w:docPartObj>
        <w:docPartGallery w:val="Page Numbers (Bottom of Page)"/>
        <w:docPartUnique/>
      </w:docPartObj>
    </w:sdtPr>
    <w:sdtContent>
      <w:p>
        <w:pPr>
          <w:pStyle w:val="Footer"/>
          <w:jc w:val="center"/>
        </w:pPr>
        <w:r>
          <w:fldChar w:fldCharType="begin"/>
        </w:r>
        <w:r>
          <w:instrText>PAGE   \* MERGEFORMAT</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120" w:line="288" w:lineRule="auto"/>
        <w:jc w:val="both"/>
      </w:pPr>
      <w:r>
        <w:rPr>
          <w:rStyle w:val="FootnoteReference"/>
        </w:rPr>
        <w:footnoteRef/>
      </w:r>
      <w:r>
        <w:t xml:space="preserve"> Articolul 11 alineatul (4) din Tratatul privind Uniunea Europeană și articolul 24 din Tratatul privind funcționarea Uniunii Europene.</w:t>
      </w:r>
    </w:p>
  </w:footnote>
  <w:footnote w:id="3">
    <w:p>
      <w:pPr>
        <w:pStyle w:val="FootnoteText"/>
        <w:spacing w:after="120" w:line="288" w:lineRule="auto"/>
        <w:jc w:val="both"/>
      </w:pPr>
      <w:r>
        <w:rPr>
          <w:rStyle w:val="FootnoteReference"/>
        </w:rPr>
        <w:footnoteRef/>
      </w:r>
      <w:r>
        <w:t xml:space="preserve"> Regulamentul (UE) nr. 211/2011 adoptat de Parlamentul European și Consiliu în februarie 2011. Acest regulament este completat de Regulamentul de punere în aplicare (UE) nr. 1179/2011 al Comisiei din 17 noiembrie 2011 privind specificațiile tehnice pentru sistemele de colectare online. </w:t>
      </w:r>
    </w:p>
  </w:footnote>
  <w:footnote w:id="4">
    <w:p>
      <w:pPr>
        <w:pStyle w:val="FootnoteText"/>
        <w:spacing w:after="120" w:line="288" w:lineRule="auto"/>
        <w:jc w:val="both"/>
      </w:pPr>
      <w:r>
        <w:rPr>
          <w:rStyle w:val="FootnoteReference"/>
        </w:rPr>
        <w:footnoteRef/>
      </w:r>
      <w:r>
        <w:t xml:space="preserve"> </w:t>
      </w:r>
      <w:hyperlink r:id="rId1">
        <w:r>
          <w:rPr>
            <w:rStyle w:val="Hyperlink"/>
          </w:rPr>
          <w:t>Raport privind aplicarea Regulamentului (UE) nr. 211/2011 privind inițiativa cetățenească – 31 martie 2015</w:t>
        </w:r>
      </w:hyperlink>
      <w:r>
        <w:t>.</w:t>
      </w:r>
    </w:p>
  </w:footnote>
  <w:footnote w:id="5">
    <w:p>
      <w:pPr>
        <w:pStyle w:val="FootnoteText"/>
        <w:spacing w:after="120" w:line="288" w:lineRule="auto"/>
        <w:jc w:val="both"/>
      </w:pPr>
      <w:r>
        <w:rPr>
          <w:rStyle w:val="FootnoteReference"/>
        </w:rPr>
        <w:footnoteRef/>
      </w:r>
      <w:r>
        <w:t xml:space="preserve"> </w:t>
      </w:r>
      <w:hyperlink r:id="rId2">
        <w:r>
          <w:rPr>
            <w:rStyle w:val="Hyperlink"/>
          </w:rPr>
          <w:t>Rezoluția Parlamentului European din 28 octombrie 2015 referitoare la inițiativa cetățenească europeană</w:t>
        </w:r>
      </w:hyperlink>
      <w:r>
        <w:t>.</w:t>
      </w:r>
    </w:p>
  </w:footnote>
  <w:footnote w:id="6">
    <w:p>
      <w:pPr>
        <w:pStyle w:val="FootnoteText"/>
      </w:pPr>
      <w:r>
        <w:rPr>
          <w:rStyle w:val="FootnoteReference"/>
        </w:rPr>
        <w:footnoteRef/>
      </w:r>
      <w:r>
        <w:t xml:space="preserve"> COM(2017) 482 – 13.9.2017.</w:t>
      </w:r>
    </w:p>
  </w:footnote>
  <w:footnote w:id="7">
    <w:p>
      <w:pPr>
        <w:pStyle w:val="FootnoteText"/>
        <w:spacing w:after="120" w:line="288" w:lineRule="auto"/>
      </w:pPr>
      <w:r>
        <w:rPr>
          <w:rStyle w:val="FootnoteReference"/>
        </w:rPr>
        <w:footnoteRef/>
      </w:r>
      <w:r>
        <w:t xml:space="preserve"> Documentul de lucru al serviciilor Comisiei este disponibil pe </w:t>
      </w:r>
      <w:hyperlink r:id="rId3">
        <w:r>
          <w:rPr>
            <w:rStyle w:val="Hyperlink"/>
          </w:rPr>
          <w:t>pagina dedicată revizuirii</w:t>
        </w:r>
      </w:hyperlink>
      <w:r>
        <w:t xml:space="preserve"> de pe site-ul ICE.</w:t>
      </w:r>
    </w:p>
  </w:footnote>
  <w:footnote w:id="8">
    <w:p>
      <w:pPr>
        <w:pStyle w:val="FootnoteText"/>
        <w:spacing w:after="120" w:line="288" w:lineRule="auto"/>
        <w:jc w:val="both"/>
      </w:pPr>
      <w:r>
        <w:rPr>
          <w:rStyle w:val="FootnoteReference"/>
        </w:rPr>
        <w:footnoteRef/>
      </w:r>
      <w:r>
        <w:t xml:space="preserve"> Pe lângă studiul publicat în iunie 2015 privind efectele pe care Regulamentul privind inițiativa cetățenească le are în domeniul TIC, Comisia a mai comandat alte trei studii referitoare la cerințele privind datele solicitate semnatarilor, la utilizarea identificării electronice (eID) și la sistemele de colectare online și specificațiile tehnice în conformitate cu Regulamentul (UE) nr. 211/2011 privind ICE și cu Regulamentul de punere în aplicare (UE) nr. 1179/2011. Aceste studii sunt disponibile pe </w:t>
      </w:r>
      <w:hyperlink r:id="rId4">
        <w:r>
          <w:rPr>
            <w:rStyle w:val="Hyperlink"/>
          </w:rPr>
          <w:t>pagina dedicată revizuirii de pe site-ul ICE</w:t>
        </w:r>
      </w:hyperlink>
      <w:r>
        <w:t xml:space="preserve">. </w:t>
      </w:r>
    </w:p>
  </w:footnote>
  <w:footnote w:id="9">
    <w:p>
      <w:pPr>
        <w:pStyle w:val="FootnoteText"/>
        <w:spacing w:after="120" w:line="288" w:lineRule="auto"/>
        <w:rPr>
          <w:lang w:val="fr-BE"/>
        </w:rPr>
      </w:pPr>
      <w:r>
        <w:rPr>
          <w:rStyle w:val="FootnoteReference"/>
        </w:rPr>
        <w:footnoteRef/>
      </w:r>
      <w:r>
        <w:t xml:space="preserve"> Cauzele T-754/14, T-361/14, T-44/14, T-529/13, T-450/12, T-646/13.</w:t>
      </w:r>
    </w:p>
  </w:footnote>
  <w:footnote w:id="10">
    <w:p>
      <w:pPr>
        <w:pStyle w:val="FootnoteText"/>
        <w:spacing w:after="120" w:line="288" w:lineRule="auto"/>
        <w:jc w:val="both"/>
        <w:rPr>
          <w:lang w:val="fr-BE"/>
        </w:rPr>
      </w:pPr>
      <w:r>
        <w:rPr>
          <w:rStyle w:val="FootnoteReference"/>
        </w:rPr>
        <w:footnoteRef/>
      </w:r>
      <w:r>
        <w:t xml:space="preserve"> Cauzele T-450/12, T 44/14, T 529/13, T 361/14.</w:t>
      </w:r>
    </w:p>
  </w:footnote>
  <w:footnote w:id="11">
    <w:p>
      <w:pPr>
        <w:pStyle w:val="FootnoteText"/>
        <w:spacing w:after="120" w:line="288" w:lineRule="auto"/>
      </w:pPr>
      <w:r>
        <w:rPr>
          <w:rStyle w:val="FootnoteReference"/>
        </w:rPr>
        <w:footnoteRef/>
      </w:r>
      <w:r>
        <w:t xml:space="preserve"> Cauzele C-589/15, C-420/16.</w:t>
      </w:r>
    </w:p>
  </w:footnote>
  <w:footnote w:id="12">
    <w:p>
      <w:pPr>
        <w:pStyle w:val="FootnoteText"/>
        <w:spacing w:after="120" w:line="288" w:lineRule="auto"/>
        <w:jc w:val="both"/>
      </w:pPr>
      <w:r>
        <w:rPr>
          <w:rStyle w:val="FootnoteReference"/>
        </w:rPr>
        <w:footnoteRef/>
      </w:r>
      <w:r>
        <w:t xml:space="preserve"> Cauzele T-646/13, T-754/14.</w:t>
      </w:r>
    </w:p>
  </w:footnote>
  <w:footnote w:id="13">
    <w:p>
      <w:pPr>
        <w:pStyle w:val="FootnoteText"/>
        <w:spacing w:after="120" w:line="288" w:lineRule="auto"/>
      </w:pPr>
      <w:r>
        <w:rPr>
          <w:rStyle w:val="FootnoteReference"/>
        </w:rPr>
        <w:footnoteRef/>
      </w:r>
      <w:r>
        <w:t xml:space="preserve"> Cauza T-391/17.</w:t>
      </w:r>
    </w:p>
  </w:footnote>
  <w:footnote w:id="14">
    <w:p>
      <w:pPr>
        <w:pStyle w:val="FootnoteText"/>
        <w:spacing w:after="120" w:line="288" w:lineRule="auto"/>
        <w:jc w:val="both"/>
        <w:rPr>
          <w:highlight w:val="yellow"/>
        </w:rPr>
      </w:pPr>
      <w:r>
        <w:rPr>
          <w:rStyle w:val="FootnoteReference"/>
        </w:rPr>
        <w:footnoteRef/>
      </w:r>
      <w:r>
        <w:t xml:space="preserve"> Cifrele referitoare la colectarea declarațiilor de susținere sunt disponibile numai pentru inițiativele prezentate, deoarece acestea sunt singurele cifre oficiale puse la dispoziția Comisiei și a statelor membre. </w:t>
      </w:r>
    </w:p>
  </w:footnote>
  <w:footnote w:id="15">
    <w:p>
      <w:pPr>
        <w:pStyle w:val="FootnoteText"/>
        <w:spacing w:after="120" w:line="288" w:lineRule="auto"/>
        <w:jc w:val="both"/>
      </w:pPr>
      <w:r>
        <w:rPr>
          <w:rStyle w:val="FootnoteReference"/>
        </w:rPr>
        <w:footnoteRef/>
      </w:r>
      <w:r>
        <w:t xml:space="preserve"> În 2013 s-a efectuat un studiu pentru a identifica elementele care nu ar respecta cele mai bune practici în materie de accesibilitate. În momentul punerii în aplicare în 2017 a noului concept de îmbunătățire a experienței utilizatorului, folosirea celor mai bune practici privind accesibilitatea a fost inclusă în partea vizibilă pentru utilizatori a aplicației (</w:t>
      </w:r>
      <w:r>
        <w:rPr>
          <w:i/>
        </w:rPr>
        <w:t>front-end</w:t>
      </w:r>
      <w:r>
        <w:t>). Sunt în derulare activități suplimentare privind accesibilitatea.</w:t>
      </w:r>
    </w:p>
  </w:footnote>
  <w:footnote w:id="16">
    <w:p>
      <w:pPr>
        <w:pStyle w:val="FootnoteText"/>
        <w:spacing w:after="120" w:line="288" w:lineRule="auto"/>
        <w:jc w:val="both"/>
      </w:pPr>
      <w:r>
        <w:rPr>
          <w:rStyle w:val="FootnoteReference"/>
        </w:rPr>
        <w:footnoteRef/>
      </w:r>
      <w:r>
        <w:t xml:space="preserve"> Trebuie remarcat faptul că inițiativa „Interzicerea glifosatului și protecția oamenilor și mediului de pesticide toxice” a reușit să colecteze numărul necesar de declarații de susținere în numai circa 5 luni. </w:t>
      </w:r>
    </w:p>
  </w:footnote>
  <w:footnote w:id="17">
    <w:p>
      <w:pPr>
        <w:pStyle w:val="FootnoteText"/>
        <w:spacing w:after="120" w:line="288" w:lineRule="auto"/>
      </w:pPr>
      <w:r>
        <w:rPr>
          <w:rStyle w:val="FootnoteReference"/>
        </w:rPr>
        <w:footnoteRef/>
      </w:r>
      <w:r>
        <w:t xml:space="preserve"> Decizia în cazul 1086/2017/PMC.</w:t>
      </w:r>
    </w:p>
  </w:footnote>
  <w:footnote w:id="18">
    <w:p>
      <w:pPr>
        <w:pStyle w:val="FootnoteText"/>
        <w:spacing w:after="120" w:line="288" w:lineRule="auto"/>
        <w:jc w:val="both"/>
      </w:pPr>
      <w:r>
        <w:rPr>
          <w:rStyle w:val="FootnoteReference"/>
        </w:rPr>
        <w:footnoteRef/>
      </w:r>
      <w:r>
        <w:t xml:space="preserve"> Distribuirea semnatarilor în funcție de țară poate fi consultată la adresa: </w:t>
      </w:r>
      <w:hyperlink r:id="rId5">
        <w:r>
          <w:rPr>
            <w:rStyle w:val="Hyperlink"/>
          </w:rPr>
          <w:t>http://ec.europa.eu/citizens-initiative/public/initiatives/successful/details/2017/000002</w:t>
        </w:r>
      </w:hyperlink>
      <w:r>
        <w:t>.</w:t>
      </w:r>
    </w:p>
  </w:footnote>
  <w:footnote w:id="19">
    <w:p>
      <w:pPr>
        <w:pStyle w:val="FootnoteText"/>
        <w:spacing w:after="120" w:line="288" w:lineRule="auto"/>
      </w:pPr>
      <w:r>
        <w:rPr>
          <w:rStyle w:val="FootnoteReference"/>
        </w:rPr>
        <w:footnoteRef/>
      </w:r>
      <w:r>
        <w:t xml:space="preserve"> Detalii suplimentare privind acțiunile subsecvente sunt disponibile pe </w:t>
      </w:r>
      <w:hyperlink r:id="rId6">
        <w:r>
          <w:rPr>
            <w:rStyle w:val="Hyperlink"/>
          </w:rPr>
          <w:t>pagina dedicată</w:t>
        </w:r>
      </w:hyperlink>
      <w:r>
        <w:t xml:space="preserve"> din registrul ICE.</w:t>
      </w:r>
    </w:p>
  </w:footnote>
  <w:footnote w:id="20">
    <w:p>
      <w:pPr>
        <w:pStyle w:val="FootnoteText"/>
        <w:spacing w:after="120" w:line="288" w:lineRule="auto"/>
      </w:pPr>
      <w:r>
        <w:rPr>
          <w:rStyle w:val="FootnoteReference"/>
        </w:rPr>
        <w:footnoteRef/>
      </w:r>
      <w:r>
        <w:t xml:space="preserve"> Cazul 1609/2016/JAS.</w:t>
      </w:r>
    </w:p>
  </w:footnote>
  <w:footnote w:id="21">
    <w:p>
      <w:pPr>
        <w:pStyle w:val="FootnoteText"/>
        <w:spacing w:after="120" w:line="288" w:lineRule="auto"/>
      </w:pPr>
      <w:r>
        <w:rPr>
          <w:rStyle w:val="FootnoteReference"/>
        </w:rPr>
        <w:footnoteRef/>
      </w:r>
      <w:r>
        <w:t xml:space="preserve"> Cauza T-561/14. </w:t>
      </w:r>
    </w:p>
  </w:footnote>
  <w:footnote w:id="22">
    <w:p>
      <w:pPr>
        <w:pStyle w:val="FootnoteText"/>
        <w:spacing w:after="120" w:line="288" w:lineRule="auto"/>
      </w:pPr>
      <w:r>
        <w:rPr>
          <w:rStyle w:val="FootnoteReference"/>
        </w:rPr>
        <w:footnoteRef/>
      </w:r>
      <w:r>
        <w:t xml:space="preserve"> A se vedea </w:t>
      </w:r>
      <w:hyperlink r:id="rId7">
        <w:r>
          <w:rPr>
            <w:rStyle w:val="Hyperlink"/>
          </w:rPr>
          <w:t>pagina cu acțiunile subsecvente</w:t>
        </w:r>
      </w:hyperlink>
      <w:r>
        <w:t xml:space="preserve"> din registrul ICE.</w:t>
      </w:r>
    </w:p>
  </w:footnote>
  <w:footnote w:id="23">
    <w:p>
      <w:pPr>
        <w:pStyle w:val="FootnoteText"/>
        <w:spacing w:after="120" w:line="288" w:lineRule="auto"/>
      </w:pPr>
      <w:r>
        <w:rPr>
          <w:rStyle w:val="FootnoteReference"/>
        </w:rPr>
        <w:footnoteRef/>
      </w:r>
      <w:r>
        <w:t xml:space="preserve"> Comunicarea „O viață decentă pentru toți: de la viziune la acțiune colectivă” din 2 iunie 2014, COM(2014) 335.</w:t>
      </w:r>
    </w:p>
  </w:footnote>
  <w:footnote w:id="24">
    <w:p>
      <w:pPr>
        <w:pStyle w:val="FootnoteText"/>
        <w:spacing w:after="120" w:line="288" w:lineRule="auto"/>
      </w:pPr>
      <w:r>
        <w:rPr>
          <w:rStyle w:val="FootnoteReference"/>
        </w:rPr>
        <w:footnoteRef/>
      </w:r>
      <w:r>
        <w:t xml:space="preserve"> https://sustainabledevelopment.un.org/post2015/transformingourworld.</w:t>
      </w:r>
    </w:p>
  </w:footnote>
  <w:footnote w:id="25">
    <w:p>
      <w:pPr>
        <w:pStyle w:val="FootnoteText"/>
        <w:spacing w:after="120" w:line="288" w:lineRule="auto"/>
        <w:rPr>
          <w:lang w:val="pt-PT"/>
        </w:rPr>
      </w:pPr>
      <w:r>
        <w:rPr>
          <w:rStyle w:val="FootnoteReference"/>
        </w:rPr>
        <w:footnoteRef/>
      </w:r>
      <w:r>
        <w:t xml:space="preserve"> COM(2017) 753 – 1.2.2018</w:t>
      </w:r>
    </w:p>
  </w:footnote>
  <w:footnote w:id="26">
    <w:p>
      <w:pPr>
        <w:pStyle w:val="FootnoteText"/>
        <w:spacing w:after="120" w:line="288" w:lineRule="auto"/>
        <w:rPr>
          <w:lang w:val="pt-PT"/>
        </w:rPr>
      </w:pPr>
      <w:r>
        <w:rPr>
          <w:rStyle w:val="FootnoteReference"/>
        </w:rPr>
        <w:footnoteRef/>
      </w:r>
      <w:r>
        <w:t xml:space="preserve"> </w:t>
      </w:r>
      <w:hyperlink r:id="rId8">
        <w:r>
          <w:rPr>
            <w:rStyle w:val="Hyperlink"/>
          </w:rPr>
          <w:t>https://ec.europa.eu/commission/sites/beta-political/files/social-summit-european-pillar-social-rights-booklet_ro.pdf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9865B7C"/>
    <w:multiLevelType w:val="hybridMultilevel"/>
    <w:tmpl w:val="841A4D1E"/>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F791B9D"/>
    <w:multiLevelType w:val="hybridMultilevel"/>
    <w:tmpl w:val="7B8E8026"/>
    <w:lvl w:ilvl="0" w:tplc="E14E0A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714DF5"/>
    <w:multiLevelType w:val="hybridMultilevel"/>
    <w:tmpl w:val="7DE088CA"/>
    <w:lvl w:ilvl="0" w:tplc="1AA488C4">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E823B2"/>
    <w:multiLevelType w:val="multilevel"/>
    <w:tmpl w:val="4B6265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E175D89"/>
    <w:multiLevelType w:val="hybridMultilevel"/>
    <w:tmpl w:val="3A505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3D5BEA"/>
    <w:multiLevelType w:val="hybridMultilevel"/>
    <w:tmpl w:val="9254222E"/>
    <w:lvl w:ilvl="0" w:tplc="5C5A5E50">
      <w:start w:val="3"/>
      <w:numFmt w:val="bullet"/>
      <w:lvlText w:val="-"/>
      <w:lvlJc w:val="left"/>
      <w:pPr>
        <w:ind w:left="717" w:hanging="360"/>
      </w:pPr>
      <w:rPr>
        <w:rFonts w:ascii="Times New Roman" w:eastAsia="Calibri" w:hAnsi="Times New Roman" w:cs="Times New Roman"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6">
    <w:nsid w:val="4F873681"/>
    <w:multiLevelType w:val="hybridMultilevel"/>
    <w:tmpl w:val="8DC68C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491390"/>
    <w:multiLevelType w:val="multilevel"/>
    <w:tmpl w:val="4B9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C4C52"/>
    <w:multiLevelType w:val="hybridMultilevel"/>
    <w:tmpl w:val="5096E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9F9362E"/>
    <w:multiLevelType w:val="hybridMultilevel"/>
    <w:tmpl w:val="9BC42384"/>
    <w:lvl w:ilvl="0" w:tplc="39B8B96E">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D639E5"/>
    <w:multiLevelType w:val="hybridMultilevel"/>
    <w:tmpl w:val="FC4A3554"/>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0"/>
  </w:num>
  <w:num w:numId="4">
    <w:abstractNumId w:val="1"/>
  </w:num>
  <w:num w:numId="5">
    <w:abstractNumId w:val="4"/>
  </w:num>
  <w:num w:numId="6">
    <w:abstractNumId w:val="2"/>
  </w:num>
  <w:num w:numId="7">
    <w:abstractNumId w:val="7"/>
  </w:num>
  <w:num w:numId="8">
    <w:abstractNumId w:val="5"/>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19EE1C2-1C1A-4B3E-BAC5-0ACD42168437"/>
    <w:docVar w:name="LW_COVERPAGE_TYPE" w:val="1"/>
    <w:docVar w:name="LW_CROSSREFERENCE" w:val="&lt;UNUSED&gt;"/>
    <w:docVar w:name="LW_DocType" w:val="NORMAL"/>
    <w:docVar w:name="LW_EMISSION" w:val="28.3.2018"/>
    <w:docVar w:name="LW_EMISSION_ISODATE" w:val="2018-03-28"/>
    <w:docVar w:name="LW_EMISSION_LOCATION" w:val="BRX"/>
    <w:docVar w:name="LW_EMISSION_PREFIX" w:val="Bruxelles, "/>
    <w:docVar w:name="LW_EMISSION_SUFFIX" w:val="&lt;EMPTY&gt;"/>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8) 1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aport referitor la aplicarea Regulamentului (UE) nr. 211/2011 privind ini\u539?iativa cet\u259?\u539?eneasc\u259?"/>
    <w:docVar w:name="LW_TYPE.DOC.CP" w:val="RAPORT AL COMISIEI C\u258?TRE PARLAMENTUL EUROPEAN \u536?I CONSILIU"/>
  </w:docVar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ro-RO"/>
    </w:rPr>
  </w:style>
  <w:style w:type="character" w:customStyle="1" w:styleId="Heading3Char">
    <w:name w:val="Heading 3 Char"/>
    <w:link w:val="Heading3"/>
    <w:uiPriority w:val="9"/>
    <w:rPr>
      <w:rFonts w:ascii="Arial" w:eastAsiaTheme="majorEastAsia" w:hAnsi="Arial" w:cs="Arial"/>
      <w:b/>
      <w:bCs/>
      <w:sz w:val="26"/>
      <w:szCs w:val="26"/>
      <w:lang w:val="ro-RO"/>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ro-RO"/>
    </w:rPr>
  </w:style>
  <w:style w:type="character" w:customStyle="1" w:styleId="Heading2Char">
    <w:name w:val="Heading 2 Char"/>
    <w:link w:val="Heading2"/>
    <w:uiPriority w:val="9"/>
    <w:rPr>
      <w:rFonts w:ascii="Arial" w:hAnsi="Arial" w:cs="Arial"/>
      <w:b/>
      <w:bCs/>
      <w:i/>
      <w:iCs/>
      <w:sz w:val="28"/>
      <w:szCs w:val="28"/>
      <w:lang w:val="ro-RO"/>
    </w:rPr>
  </w:style>
  <w:style w:type="character" w:customStyle="1" w:styleId="Heading4Char">
    <w:name w:val="Heading 4 Char"/>
    <w:link w:val="Heading4"/>
    <w:uiPriority w:val="9"/>
    <w:rPr>
      <w:b/>
      <w:bCs/>
      <w:sz w:val="18"/>
      <w:szCs w:val="18"/>
      <w:lang w:val="ro-RO"/>
    </w:rPr>
  </w:style>
  <w:style w:type="character" w:customStyle="1" w:styleId="Heading5Char">
    <w:name w:val="Heading 5 Char"/>
    <w:link w:val="Heading5"/>
    <w:uiPriority w:val="9"/>
    <w:rPr>
      <w:b/>
      <w:bCs/>
      <w:i/>
      <w:iCs/>
      <w:sz w:val="26"/>
      <w:szCs w:val="26"/>
      <w:lang w:val="ro-RO"/>
    </w:rPr>
  </w:style>
  <w:style w:type="character" w:customStyle="1" w:styleId="Heading7Char">
    <w:name w:val="Heading 7 Char"/>
    <w:link w:val="Heading7"/>
    <w:uiPriority w:val="9"/>
    <w:rPr>
      <w:sz w:val="24"/>
      <w:szCs w:val="24"/>
      <w:lang w:val="ro-RO"/>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ro-RO"/>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ro-RO"/>
    </w:rPr>
  </w:style>
  <w:style w:type="character" w:customStyle="1" w:styleId="Heading3Char">
    <w:name w:val="Heading 3 Char"/>
    <w:link w:val="Heading3"/>
    <w:uiPriority w:val="9"/>
    <w:rPr>
      <w:rFonts w:ascii="Arial" w:eastAsiaTheme="majorEastAsia" w:hAnsi="Arial" w:cs="Arial"/>
      <w:b/>
      <w:bCs/>
      <w:sz w:val="26"/>
      <w:szCs w:val="26"/>
      <w:lang w:val="ro-RO"/>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ro-RO"/>
    </w:rPr>
  </w:style>
  <w:style w:type="character" w:customStyle="1" w:styleId="Heading2Char">
    <w:name w:val="Heading 2 Char"/>
    <w:link w:val="Heading2"/>
    <w:uiPriority w:val="9"/>
    <w:rPr>
      <w:rFonts w:ascii="Arial" w:hAnsi="Arial" w:cs="Arial"/>
      <w:b/>
      <w:bCs/>
      <w:i/>
      <w:iCs/>
      <w:sz w:val="28"/>
      <w:szCs w:val="28"/>
      <w:lang w:val="ro-RO"/>
    </w:rPr>
  </w:style>
  <w:style w:type="character" w:customStyle="1" w:styleId="Heading4Char">
    <w:name w:val="Heading 4 Char"/>
    <w:link w:val="Heading4"/>
    <w:uiPriority w:val="9"/>
    <w:rPr>
      <w:b/>
      <w:bCs/>
      <w:sz w:val="18"/>
      <w:szCs w:val="18"/>
      <w:lang w:val="ro-RO"/>
    </w:rPr>
  </w:style>
  <w:style w:type="character" w:customStyle="1" w:styleId="Heading5Char">
    <w:name w:val="Heading 5 Char"/>
    <w:link w:val="Heading5"/>
    <w:uiPriority w:val="9"/>
    <w:rPr>
      <w:b/>
      <w:bCs/>
      <w:i/>
      <w:iCs/>
      <w:sz w:val="26"/>
      <w:szCs w:val="26"/>
      <w:lang w:val="ro-RO"/>
    </w:rPr>
  </w:style>
  <w:style w:type="character" w:customStyle="1" w:styleId="Heading7Char">
    <w:name w:val="Heading 7 Char"/>
    <w:link w:val="Heading7"/>
    <w:uiPriority w:val="9"/>
    <w:rPr>
      <w:sz w:val="24"/>
      <w:szCs w:val="24"/>
      <w:lang w:val="ro-RO"/>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ro-RO"/>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4548">
      <w:bodyDiv w:val="1"/>
      <w:marLeft w:val="0"/>
      <w:marRight w:val="0"/>
      <w:marTop w:val="0"/>
      <w:marBottom w:val="0"/>
      <w:divBdr>
        <w:top w:val="none" w:sz="0" w:space="0" w:color="auto"/>
        <w:left w:val="none" w:sz="0" w:space="0" w:color="auto"/>
        <w:bottom w:val="none" w:sz="0" w:space="0" w:color="auto"/>
        <w:right w:val="none" w:sz="0" w:space="0" w:color="auto"/>
      </w:divBdr>
    </w:div>
    <w:div w:id="1460565700">
      <w:bodyDiv w:val="1"/>
      <w:marLeft w:val="0"/>
      <w:marRight w:val="0"/>
      <w:marTop w:val="0"/>
      <w:marBottom w:val="0"/>
      <w:divBdr>
        <w:top w:val="none" w:sz="0" w:space="0" w:color="auto"/>
        <w:left w:val="none" w:sz="0" w:space="0" w:color="auto"/>
        <w:bottom w:val="none" w:sz="0" w:space="0" w:color="auto"/>
        <w:right w:val="none" w:sz="0" w:space="0" w:color="auto"/>
      </w:divBdr>
      <w:divsChild>
        <w:div w:id="1688672186">
          <w:marLeft w:val="0"/>
          <w:marRight w:val="0"/>
          <w:marTop w:val="100"/>
          <w:marBottom w:val="100"/>
          <w:divBdr>
            <w:top w:val="none" w:sz="0" w:space="0" w:color="auto"/>
            <w:left w:val="none" w:sz="0" w:space="0" w:color="auto"/>
            <w:bottom w:val="none" w:sz="0" w:space="0" w:color="auto"/>
            <w:right w:val="none" w:sz="0" w:space="0" w:color="auto"/>
          </w:divBdr>
        </w:div>
      </w:divsChild>
    </w:div>
    <w:div w:id="1701012819">
      <w:bodyDiv w:val="1"/>
      <w:marLeft w:val="0"/>
      <w:marRight w:val="0"/>
      <w:marTop w:val="0"/>
      <w:marBottom w:val="0"/>
      <w:divBdr>
        <w:top w:val="none" w:sz="0" w:space="0" w:color="auto"/>
        <w:left w:val="none" w:sz="0" w:space="0" w:color="auto"/>
        <w:bottom w:val="none" w:sz="0" w:space="0" w:color="auto"/>
        <w:right w:val="none" w:sz="0" w:space="0" w:color="auto"/>
      </w:divBdr>
    </w:div>
    <w:div w:id="18372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hart" Target="charts/chart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sites/beta-political/files/social-summit-european-pillar-social-rights-booklet_ro.pdf" TargetMode="External"/><Relationship Id="rId3" Type="http://schemas.openxmlformats.org/officeDocument/2006/relationships/hyperlink" Target="http://ec.europa.eu/citizens-initiative/public/regulation-review?lg=ro" TargetMode="External"/><Relationship Id="rId7" Type="http://schemas.openxmlformats.org/officeDocument/2006/relationships/hyperlink" Target="http://ec.europa.eu/citizens-initiative/public/initiatives/successful/details/follow-up/2012/000003/ro" TargetMode="External"/><Relationship Id="rId2" Type="http://schemas.openxmlformats.org/officeDocument/2006/relationships/hyperlink" Target="http://www.europarl.europa.eu/sides/getDoc.do?pubRef=-//EP//TEXT+TA+P8-TA-2015-0382+0+DOC+XML+V0//RO" TargetMode="External"/><Relationship Id="rId1" Type="http://schemas.openxmlformats.org/officeDocument/2006/relationships/hyperlink" Target="http://ec.europa.eu/transparency/regdoc/rep/1/2015/RO/1-2015-145-RO-F1-1.PDF" TargetMode="External"/><Relationship Id="rId6" Type="http://schemas.openxmlformats.org/officeDocument/2006/relationships/hyperlink" Target="http://ec.europa.eu/citizens-initiative/public/initiatives/successful/details/follow-up/2012/000007/ro" TargetMode="External"/><Relationship Id="rId5" Type="http://schemas.openxmlformats.org/officeDocument/2006/relationships/hyperlink" Target="http://ec.europa.eu/citizens-initiative/public/initiatives/successful/details/2017/000002" TargetMode="External"/><Relationship Id="rId4" Type="http://schemas.openxmlformats.org/officeDocument/2006/relationships/hyperlink" Target="http://ec.europa.eu/citizens-initiative/public/regulation-review?lg=r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ossiers.dgt.cec.eu.int\dossiers\SG\SG-2018-80116\SG-2018-80116-01-00-RO-SRC-01.2018032121230946036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chemeClr val="bg1"/>
                </a:solidFill>
              </a:rPr>
              <a:t>1.4.2015-31.3.2018</a:t>
            </a:r>
          </a:p>
        </c:rich>
      </c:tx>
      <c:layout>
        <c:manualLayout>
          <c:xMode val="edge"/>
          <c:yMode val="edge"/>
          <c:x val="0.39490997563675156"/>
          <c:y val="1.0993843447669306E-2"/>
        </c:manualLayout>
      </c:layout>
      <c:overlay val="0"/>
    </c:title>
    <c:autoTitleDeleted val="0"/>
    <c:plotArea>
      <c:layout/>
      <c:pieChart>
        <c:varyColors val="1"/>
        <c:ser>
          <c:idx val="0"/>
          <c:order val="0"/>
          <c:tx>
            <c:strRef>
              <c:f>'[SG-2018-80116-01-00-RO-SRC-01.201803212123094603698.XLSX]EDCC'!$B$2</c:f>
              <c:strCache>
                <c:ptCount val="1"/>
                <c:pt idx="0">
                  <c:v>1.4.2015-31.3.2018</c:v>
                </c:pt>
              </c:strCache>
            </c:strRef>
          </c:tx>
          <c:dLbls>
            <c:showLegendKey val="0"/>
            <c:showVal val="1"/>
            <c:showCatName val="0"/>
            <c:showSerName val="0"/>
            <c:showPercent val="0"/>
            <c:showBubbleSize val="0"/>
            <c:showLeaderLines val="1"/>
          </c:dLbls>
          <c:cat>
            <c:strRef>
              <c:f>'[SG-2018-80116-01-00-RO-SRC-01.201803212123094603698.XLSX]EDCC'!$A$3:$A$9</c:f>
              <c:strCache>
                <c:ptCount val="7"/>
                <c:pt idx="0">
                  <c:v>Întrebări sau observații generale ori procedurale</c:v>
                </c:pt>
                <c:pt idx="1">
                  <c:v>Întrebări din partea unor (potențiali) semnatari (de ex., cum să semneze pe suport de hârtie/online, cum să verifice dacă și-au exprimat deja susținerea, preocupări legate de securitatea site-urilor)</c:v>
                </c:pt>
                <c:pt idx="2">
                  <c:v>Întrebări despre anumite inițiative (de ex., stadiul în care se află, numărul de semnatari, observații în favoarea inițiativelor sau împotriva acestora)</c:v>
                </c:pt>
                <c:pt idx="3">
                  <c:v>Întrebări despre instrumentele informatice (software și registru) și structura sistemelor de colectare online</c:v>
                </c:pt>
                <c:pt idx="4">
                  <c:v>Domeniul de aplicare al instrumentului (de ex., tipuri posibile de solicitări prin intermediul ICE, întrebări despre competențele UE)</c:v>
                </c:pt>
                <c:pt idx="5">
                  <c:v>Întrebări/Plângeri din partea cetățenilor care nu își pot exprima susținerea (de ex., persoanele excluse de regulament sau care nu dețin un document de identitate valabil, astfel cum se solicită)</c:v>
                </c:pt>
                <c:pt idx="6">
                  <c:v>Întrebări legate de comunicare (jurnaliști, studenți, reutilizarea informațiilor și drepturi de autor)</c:v>
                </c:pt>
              </c:strCache>
            </c:strRef>
          </c:cat>
          <c:val>
            <c:numRef>
              <c:f>'[SG-2018-80116-01-00-RO-SRC-01.201803212123094603698.XLSX]EDCC'!$B$3:$B$9</c:f>
              <c:numCache>
                <c:formatCode>General</c:formatCode>
                <c:ptCount val="7"/>
                <c:pt idx="0">
                  <c:v>108</c:v>
                </c:pt>
                <c:pt idx="1">
                  <c:v>18</c:v>
                </c:pt>
                <c:pt idx="2">
                  <c:v>75</c:v>
                </c:pt>
                <c:pt idx="3">
                  <c:v>17</c:v>
                </c:pt>
                <c:pt idx="4">
                  <c:v>4</c:v>
                </c:pt>
                <c:pt idx="5">
                  <c:v>20</c:v>
                </c:pt>
                <c:pt idx="6">
                  <c:v>15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403970860426365"/>
          <c:y val="3.0952380952380953E-2"/>
          <c:w val="0.45427698422119345"/>
          <c:h val="0.96904771518944743"/>
        </c:manualLayout>
      </c:layout>
      <c:overlay val="0"/>
      <c:txPr>
        <a:bodyPr/>
        <a:lstStyle/>
        <a:p>
          <a:pPr>
            <a:defRPr sz="95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4D892FFD85EAD428F5A6C78042D4AA0" ma:contentTypeVersion="0" ma:contentTypeDescription="Create a new document in this library." ma:contentTypeScope="" ma:versionID="b7d8bd21ef1a817dc5271b9514ccbeb0">
  <xsd:schema xmlns:xsd="http://www.w3.org/2001/XMLSchema" xmlns:xs="http://www.w3.org/2001/XMLSchema" xmlns:p="http://schemas.microsoft.com/office/2006/metadata/properties" xmlns:ns2="http://schemas.microsoft.com/sharepoint/v3/fields" xmlns:ns3="e81ff51d-fcd0-41d4-a5a6-2c57b0adf1b8" targetNamespace="http://schemas.microsoft.com/office/2006/metadata/properties" ma:root="true" ma:fieldsID="d3b3f912893618d032bc0dbd2befb0a9" ns2:_="" ns3:_="">
    <xsd:import namespace="http://schemas.microsoft.com/sharepoint/v3/fields"/>
    <xsd:import namespace="e81ff51d-fcd0-41d4-a5a6-2c57b0adf1b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1ff51d-fcd0-41d4-a5a6-2c57b0adf1b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e81ff51d-fcd0-41d4-a5a6-2c57b0adf1b8">Not Started</EC_Collab_Status>
    <_Status xmlns="http://schemas.microsoft.com/sharepoint/v3/fields">Not Started</_Status>
    <EC_Collab_DocumentLanguage xmlns="e81ff51d-fcd0-41d4-a5a6-2c57b0adf1b8">EN</EC_Collab_DocumentLanguage>
    <EC_Collab_Reference xmlns="e81ff51d-fcd0-41d4-a5a6-2c57b0adf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87E4-B3C3-4481-9735-ACE0914D0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1ff51d-fcd0-41d4-a5a6-2c57b0ad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BEDB4-6F4D-49AA-928C-A367C41FBDFB}">
  <ds:schemaRefs>
    <ds:schemaRef ds:uri="http://schemas.microsoft.com/sharepoint/v3/contenttype/forms"/>
  </ds:schemaRefs>
</ds:datastoreItem>
</file>

<file path=customXml/itemProps3.xml><?xml version="1.0" encoding="utf-8"?>
<ds:datastoreItem xmlns:ds="http://schemas.openxmlformats.org/officeDocument/2006/customXml" ds:itemID="{F012236A-9ECD-452A-B110-9E5505EAFBE6}">
  <ds:schemaRefs>
    <ds:schemaRef ds:uri="http://schemas.microsoft.com/office/2006/documentManagement/types"/>
    <ds:schemaRef ds:uri="http://schemas.microsoft.com/sharepoint/v3/field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e81ff51d-fcd0-41d4-a5a6-2c57b0adf1b8"/>
    <ds:schemaRef ds:uri="http://purl.org/dc/elements/1.1/"/>
  </ds:schemaRefs>
</ds:datastoreItem>
</file>

<file path=customXml/itemProps4.xml><?xml version="1.0" encoding="utf-8"?>
<ds:datastoreItem xmlns:ds="http://schemas.openxmlformats.org/officeDocument/2006/customXml" ds:itemID="{0D02EA03-43FD-4A82-A857-6C43C31D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5182</Words>
  <Characters>30005</Characters>
  <Application>Microsoft Office Word</Application>
  <DocSecurity>0</DocSecurity>
  <Lines>545</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cp:lastPrinted>2018-02-01T12:53:00Z</cp:lastPrinted>
  <dcterms:created xsi:type="dcterms:W3CDTF">2018-03-23T15:57:00Z</dcterms:created>
  <dcterms:modified xsi:type="dcterms:W3CDTF">2018-03-27T08:42:00Z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0x010100258AA79CEB83498886A3A086811232500054D892FFD85EAD428F5A6C78042D4AA0</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name="OP_sanitized" fmtid="{D5CDD505-2E9C-101B-9397-08002B2CF9AE}" pid="7">
    <vt:lpwstr>True</vt:lpwstr>
  </property>
</Properties>
</file>