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4DC89CBA-58A4-48E7-952B-7542E0441D1B" style="width:450.75pt;height:321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both"/>
        <w:rPr>
          <w:rFonts w:ascii="Times New Roman" w:hAnsi="Times New Roman" w:cs="Times New Roman"/>
          <w:noProof/>
          <w:sz w:val="24"/>
          <w:szCs w:val="24"/>
        </w:rPr>
      </w:pPr>
      <w:bookmarkStart w:id="1" w:name="_GoBack"/>
      <w:bookmarkEnd w:id="1"/>
      <w:r>
        <w:rPr>
          <w:rFonts w:ascii="Times New Roman" w:hAnsi="Times New Roman"/>
          <w:noProof/>
          <w:sz w:val="24"/>
        </w:rPr>
        <w:lastRenderedPageBreak/>
        <w:t>1. INTRODUCERE</w:t>
      </w:r>
    </w:p>
    <w:p>
      <w:pPr>
        <w:jc w:val="both"/>
        <w:rPr>
          <w:rFonts w:ascii="Times New Roman" w:hAnsi="Times New Roman" w:cs="Times New Roman"/>
          <w:noProof/>
          <w:sz w:val="24"/>
          <w:szCs w:val="24"/>
        </w:rPr>
      </w:pPr>
      <w:r>
        <w:rPr>
          <w:rFonts w:ascii="Times New Roman" w:hAnsi="Times New Roman"/>
          <w:noProof/>
          <w:sz w:val="24"/>
        </w:rPr>
        <w:t>Directiva 2013/30/UE</w:t>
      </w:r>
      <w:r>
        <w:rPr>
          <w:rStyle w:val="FootnoteReference"/>
          <w:rFonts w:ascii="Times New Roman" w:hAnsi="Times New Roman"/>
          <w:noProof/>
          <w:sz w:val="24"/>
        </w:rPr>
        <w:footnoteReference w:id="1"/>
      </w:r>
      <w:r>
        <w:rPr>
          <w:rFonts w:ascii="Times New Roman" w:hAnsi="Times New Roman"/>
          <w:noProof/>
          <w:sz w:val="24"/>
        </w:rPr>
        <w:t xml:space="preserve"> a Parlamentului European și a Consiliului din 12 iunie 2013 privind siguranța operațiunilor petroliere și gaziere offshore și de modificare a Directivei 2004/35/CE („Directiva privind siguranța activităților offshore”) urmărește să atingă un nivel înalt de siguranță pentru efectuarea acestor operațiuni. Sănătatea lucrătorilor, mediul înconjurător, activele implicate în activități offshore și alte activități economice precum pescuitul și turismul beneficiază de pe urma realizării în condiții de siguranță a operațiunilor offshore. Dispozițiile directivei, astfel cum au fost puse în aplicare de statele membre, vor contribui la evitarea accidentelor majore, la reducerea numărului de incidente și la o monitorizare eficace a urmărilor accidentelor și incidentelor în scopul atenuării consecințelor acestora. </w:t>
      </w:r>
    </w:p>
    <w:p>
      <w:pPr>
        <w:jc w:val="both"/>
        <w:rPr>
          <w:rFonts w:ascii="Times New Roman" w:hAnsi="Times New Roman" w:cs="Times New Roman"/>
          <w:noProof/>
          <w:sz w:val="24"/>
          <w:szCs w:val="24"/>
        </w:rPr>
      </w:pPr>
      <w:r>
        <w:rPr>
          <w:rFonts w:ascii="Times New Roman" w:hAnsi="Times New Roman"/>
          <w:noProof/>
          <w:sz w:val="24"/>
        </w:rPr>
        <w:t>Directiva împuternicește Comisia să adopte acte delegate (a se vedea articolele 35 și 36) în vederea adaptării anexelor I, II, VI și VII în sensul includerii unor informații suplimentare care ar putea deveni necesare în lumina progreselor tehnice. Aceste anexe stabilesc</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Informațiile care trebuie incluse în documentele transmise autorităților competente, de exemplu cele prin care se solicită aprobarea pentru operațiunile petroliere și gaziere offshore (anexa I)</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Informațiile care trebuie incluse în rapoartele privind operațiunile la sondă (anexa II)</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Informațiile privind prioritățile de cooperare între operatori și proprietari și autoritățile competente (de exemplu, standarde, orientări privind cele mai bune practici, anexa VI)</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Informațiile care trebuie incluse în planurile externe de intervenție în caz de urgență (anexa VII)</w:t>
      </w:r>
    </w:p>
    <w:p>
      <w:pPr>
        <w:jc w:val="both"/>
        <w:rPr>
          <w:rFonts w:ascii="Times New Roman" w:hAnsi="Times New Roman" w:cs="Times New Roman"/>
          <w:noProof/>
          <w:sz w:val="24"/>
          <w:szCs w:val="24"/>
        </w:rPr>
      </w:pPr>
      <w:r>
        <w:rPr>
          <w:rFonts w:ascii="Times New Roman" w:hAnsi="Times New Roman"/>
          <w:noProof/>
          <w:sz w:val="24"/>
        </w:rPr>
        <w:t>2. TEMEIUL JURIDIC</w:t>
      </w:r>
    </w:p>
    <w:p>
      <w:pPr>
        <w:jc w:val="both"/>
        <w:rPr>
          <w:rFonts w:ascii="Times New Roman" w:hAnsi="Times New Roman" w:cs="Times New Roman"/>
          <w:noProof/>
          <w:sz w:val="24"/>
          <w:szCs w:val="24"/>
        </w:rPr>
      </w:pPr>
      <w:r>
        <w:rPr>
          <w:rFonts w:ascii="Times New Roman" w:hAnsi="Times New Roman"/>
          <w:noProof/>
          <w:sz w:val="24"/>
        </w:rPr>
        <w:t>Obligația de a transmite prezentul raport este prevăzută la articolul 36 alineatul (2) din Directiva 2013/30/UE. În temeiul acestei dispoziții, competența de a adopta acte delegate este conferită Comisiei pentru o perioadă de cinci ani începând de la 18 iulie 2013. Comisia trebuie să pregătească un raport privind delegarea de competențe cel târziu cu nouă luni înainte de încheierea perioadei de cinci ani. Delegarea de competențe se reînnoiește automat pentru perioade de timp identice, cu excepția cazului în care Parlamentul European sau Consiliul se opune unei astfel de prelungiri.</w:t>
      </w:r>
    </w:p>
    <w:p>
      <w:pPr>
        <w:jc w:val="both"/>
        <w:rPr>
          <w:rFonts w:ascii="Times New Roman" w:hAnsi="Times New Roman" w:cs="Times New Roman"/>
          <w:noProof/>
          <w:sz w:val="24"/>
          <w:szCs w:val="24"/>
        </w:rPr>
      </w:pPr>
      <w:r>
        <w:rPr>
          <w:rFonts w:ascii="Times New Roman" w:hAnsi="Times New Roman"/>
          <w:noProof/>
          <w:sz w:val="24"/>
        </w:rPr>
        <w:t>3. EXERCITAREA DELEGĂRII</w:t>
      </w:r>
    </w:p>
    <w:p>
      <w:pPr>
        <w:jc w:val="both"/>
        <w:rPr>
          <w:rFonts w:ascii="Times New Roman" w:hAnsi="Times New Roman" w:cs="Times New Roman"/>
          <w:noProof/>
          <w:sz w:val="24"/>
          <w:szCs w:val="24"/>
        </w:rPr>
      </w:pPr>
      <w:r>
        <w:rPr>
          <w:rFonts w:ascii="Times New Roman" w:hAnsi="Times New Roman"/>
          <w:noProof/>
          <w:sz w:val="24"/>
        </w:rPr>
        <w:t xml:space="preserve">Conform Directivei privind siguranța activităților offshore, această competență a fost considerată necesară pentru a include informații suplimentare în cadrul anexelor I, II, VI și VII în lumina progreselor tehnice. </w:t>
      </w:r>
    </w:p>
    <w:p>
      <w:pPr>
        <w:jc w:val="both"/>
        <w:rPr>
          <w:rFonts w:ascii="Times New Roman" w:hAnsi="Times New Roman" w:cs="Times New Roman"/>
          <w:noProof/>
          <w:sz w:val="24"/>
          <w:szCs w:val="24"/>
        </w:rPr>
      </w:pPr>
      <w:r>
        <w:rPr>
          <w:rFonts w:ascii="Times New Roman" w:hAnsi="Times New Roman"/>
          <w:noProof/>
          <w:sz w:val="24"/>
        </w:rPr>
        <w:t xml:space="preserve">Până în prezent, având în vedere faptul că Directiva privind siguranța activităților offshore a intrat în vigoare la 19 iulie 2013, că statele membre trebuiau să pună în aplicare directiva până </w:t>
      </w:r>
      <w:r>
        <w:rPr>
          <w:rFonts w:ascii="Times New Roman" w:hAnsi="Times New Roman"/>
          <w:noProof/>
          <w:sz w:val="24"/>
        </w:rPr>
        <w:lastRenderedPageBreak/>
        <w:t>la 19 iulie 2015 și că există perioade de tranziție care amână aplicarea directivei pentru anumite instalații până la 19 iulie 2018 [articolul 42 alineatul (2)], Comisia nu a considerat încă necesar sau adecvat să adapteze anexele I, II, VI sau VII la progresele tehnice.</w:t>
      </w:r>
    </w:p>
    <w:p>
      <w:pPr>
        <w:jc w:val="both"/>
        <w:rPr>
          <w:rFonts w:ascii="Times New Roman" w:hAnsi="Times New Roman" w:cs="Times New Roman"/>
          <w:noProof/>
          <w:sz w:val="24"/>
          <w:szCs w:val="24"/>
        </w:rPr>
      </w:pPr>
      <w:r>
        <w:rPr>
          <w:rFonts w:ascii="Times New Roman" w:hAnsi="Times New Roman"/>
          <w:noProof/>
          <w:sz w:val="24"/>
        </w:rPr>
        <w:t>4. PRELUNGIREA PERIOADEI DE DELEGARE A COMPETENȚELOR</w:t>
      </w:r>
    </w:p>
    <w:p>
      <w:pPr>
        <w:jc w:val="both"/>
        <w:rPr>
          <w:rFonts w:ascii="Times New Roman" w:hAnsi="Times New Roman" w:cs="Times New Roman"/>
          <w:noProof/>
          <w:sz w:val="24"/>
          <w:szCs w:val="24"/>
        </w:rPr>
      </w:pPr>
      <w:r>
        <w:rPr>
          <w:rFonts w:ascii="Times New Roman" w:hAnsi="Times New Roman"/>
          <w:noProof/>
          <w:sz w:val="24"/>
        </w:rPr>
        <w:t>Având în vedere evoluțiile tehnice dinamice din sectorul offshore și faptul că a trecut puțin timp pentru a putea acumula experiență practică în ceea ce privește aplicarea anexelor menționate mai sus, parțial ca urmare a aplicării de perioade de tranziție, Comisia consideră necesară prelungirea cu cinci ani a delegării de competențe.</w:t>
      </w:r>
    </w:p>
    <w:p>
      <w:pPr>
        <w:jc w:val="both"/>
        <w:rPr>
          <w:rFonts w:ascii="Times New Roman" w:hAnsi="Times New Roman" w:cs="Times New Roman"/>
          <w:noProof/>
          <w:sz w:val="24"/>
          <w:szCs w:val="24"/>
        </w:rPr>
      </w:pPr>
      <w:r>
        <w:rPr>
          <w:rFonts w:ascii="Times New Roman" w:hAnsi="Times New Roman"/>
          <w:noProof/>
          <w:sz w:val="24"/>
        </w:rPr>
        <w:t>5. CONCLUZII</w:t>
      </w:r>
    </w:p>
    <w:p>
      <w:pPr>
        <w:jc w:val="both"/>
        <w:rPr>
          <w:rFonts w:ascii="Times New Roman" w:hAnsi="Times New Roman" w:cs="Times New Roman"/>
          <w:noProof/>
          <w:sz w:val="24"/>
          <w:szCs w:val="24"/>
        </w:rPr>
      </w:pPr>
      <w:r>
        <w:rPr>
          <w:rFonts w:ascii="Times New Roman" w:hAnsi="Times New Roman"/>
          <w:noProof/>
          <w:sz w:val="24"/>
        </w:rPr>
        <w:t>În ultimii cinci ani, Comisia nu și-a exercitat competențele delegate care îi sunt conferite în temeiul Directivei 2013/30/UE, dar consideră că este necesară prelungirea delegării de competențe din motivele menționate mai sus. Prin intermediul prezentului raport, Comisia respectă obligația de raportare prevăzută de Directiva privind siguranța operațiunilor petroliere și gaziere offshore [articolul 36 alineatul (2)] și invită Parlamentul European și Consiliul să ia act de acesta.</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62571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JO L 178, 28.6.2013, p.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1449B"/>
    <w:multiLevelType w:val="hybridMultilevel"/>
    <w:tmpl w:val="77F09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DC89CBA-58A4-48E7-952B-7542E0441D1B"/>
    <w:docVar w:name="LW_COVERPAGE_TYPE" w:val="1"/>
    <w:docVar w:name="LW_CROSSREFERENCE" w:val="&lt;UNUSED&gt;"/>
    <w:docVar w:name="LW_DocType" w:val="NORMAL"/>
    <w:docVar w:name="LW_EMISSION" w:val="8.11.2017"/>
    <w:docVar w:name="LW_EMISSION_ISODATE" w:val="2017-11-08"/>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7) 6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privind exercitarea competen\u539?ei de a adopta acte delegate, conferit\u259? Comisiei în temeiul Directivei 2013/30/UE privind siguran\u539?a opera\u539?iunilor petroliere \u537?i gaziere offshore_x000b_Directiva 2013/30/UE "/>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lang w:eastAsia="en-US" w:bidi="ar-SA"/>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lang w:eastAsia="en-US" w:bidi="ar-SA"/>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383F2-6491-4D0C-B13D-81E1589F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553</Words>
  <Characters>3337</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2017-09-19T13:32:00Z</dcterms:created>
  <dcterms:modified xsi:type="dcterms:W3CDTF">2017-10-30T10:42:00Z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