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D1CA797772448A3BE2FA60D53F526FE" style="width:449.85pt;height:320.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smallCaps/>
          <w:noProof/>
          <w:sz w:val="24"/>
          <w:szCs w:val="20"/>
        </w:rPr>
      </w:pPr>
      <w:bookmarkStart w:id="1" w:name="_GoBack"/>
      <w:bookmarkEnd w:id="1"/>
      <w:r>
        <w:rPr>
          <w:rFonts w:ascii="Times New Roman" w:hAnsi="Times New Roman"/>
          <w:b/>
          <w:smallCaps/>
          <w:noProof/>
          <w:sz w:val="24"/>
          <w:szCs w:val="20"/>
        </w:rPr>
        <w:lastRenderedPageBreak/>
        <w:t>Rezumat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Acesta este</w:t>
      </w:r>
      <w:r>
        <w:rPr>
          <w:rFonts w:ascii="Times New Roman" w:hAnsi="Times New Roman"/>
          <w:b/>
          <w:noProof/>
          <w:sz w:val="24"/>
          <w:szCs w:val="24"/>
        </w:rPr>
        <w:t xml:space="preserve"> </w:t>
      </w:r>
      <w:r>
        <w:rPr>
          <w:rFonts w:ascii="Times New Roman" w:hAnsi="Times New Roman"/>
          <w:noProof/>
          <w:sz w:val="24"/>
          <w:szCs w:val="24"/>
        </w:rPr>
        <w:t>un</w:t>
      </w:r>
      <w:r>
        <w:rPr>
          <w:rFonts w:ascii="Times New Roman" w:hAnsi="Times New Roman"/>
          <w:b/>
          <w:noProof/>
          <w:sz w:val="24"/>
          <w:szCs w:val="24"/>
        </w:rPr>
        <w:t xml:space="preserve"> raport al Comisiei către Consiliu </w:t>
      </w:r>
      <w:r>
        <w:rPr>
          <w:rFonts w:ascii="Times New Roman" w:hAnsi="Times New Roman"/>
          <w:noProof/>
          <w:sz w:val="24"/>
          <w:szCs w:val="24"/>
        </w:rPr>
        <w:t>privind</w:t>
      </w:r>
      <w:r>
        <w:rPr>
          <w:rFonts w:ascii="Times New Roman" w:hAnsi="Times New Roman"/>
          <w:b/>
          <w:noProof/>
          <w:sz w:val="24"/>
          <w:szCs w:val="24"/>
        </w:rPr>
        <w:t xml:space="preserve"> </w:t>
      </w:r>
      <w:r>
        <w:rPr>
          <w:rFonts w:ascii="Times New Roman" w:hAnsi="Times New Roman"/>
          <w:noProof/>
          <w:sz w:val="24"/>
          <w:szCs w:val="24"/>
        </w:rPr>
        <w:t>utilizarea mecanismului Uniunii de asistență financiară pe termen mediu pentru balanțele de plăți ale statelor membre în temeiul Regulamentului (CE) nr. 332/2002</w:t>
      </w:r>
      <w:r>
        <w:rPr>
          <w:rStyle w:val="FootnoteReference"/>
          <w:rFonts w:ascii="Times New Roman" w:eastAsia="Times New Roman" w:hAnsi="Times New Roman" w:cs="Times New Roman"/>
          <w:noProof/>
          <w:sz w:val="24"/>
          <w:szCs w:val="24"/>
        </w:rPr>
        <w:footnoteReference w:id="1"/>
      </w:r>
      <w:r>
        <w:rPr>
          <w:rFonts w:ascii="Times New Roman" w:hAnsi="Times New Roman"/>
          <w:noProof/>
          <w:sz w:val="24"/>
          <w:szCs w:val="24"/>
        </w:rPr>
        <w:t xml:space="preserve"> al Consiliului din 18 februarie 2002 (denumit în continuare „Regulamentul BoP” sau „instrumentul BoP”). Pe baza prezentului raport întocmit de Comisie și ținând seama de avizul Comitetului economic și financiar (CEF), Consiliul trebuie să examineze în ce măsură instrumentul în cauză mai corespunde, prin structură, modalități și prin plafonul pentru împrumuturile care pot fi acordate în cadrul instrumentului, obiectivelor care au stat la baza constituirii acestuia.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Începând din 2012, </w:t>
      </w:r>
      <w:r>
        <w:rPr>
          <w:rFonts w:ascii="Times New Roman" w:hAnsi="Times New Roman"/>
          <w:b/>
          <w:noProof/>
          <w:sz w:val="24"/>
          <w:szCs w:val="24"/>
        </w:rPr>
        <w:t>România</w:t>
      </w:r>
      <w:r>
        <w:rPr>
          <w:rFonts w:ascii="Times New Roman" w:hAnsi="Times New Roman"/>
          <w:noProof/>
          <w:sz w:val="24"/>
          <w:szCs w:val="24"/>
        </w:rPr>
        <w:t xml:space="preserve"> a solicitat și a primit asistență financiară preventivă în cadrul instrumentului. </w:t>
      </w:r>
      <w:r>
        <w:rPr>
          <w:rFonts w:ascii="Times New Roman" w:hAnsi="Times New Roman"/>
          <w:b/>
          <w:noProof/>
          <w:sz w:val="24"/>
          <w:szCs w:val="24"/>
        </w:rPr>
        <w:t>Ungaria</w:t>
      </w:r>
      <w:r>
        <w:rPr>
          <w:rFonts w:ascii="Times New Roman" w:hAnsi="Times New Roman"/>
          <w:noProof/>
          <w:sz w:val="24"/>
          <w:szCs w:val="24"/>
        </w:rPr>
        <w:t xml:space="preserve"> și-a rambursat împrumutul în aprilie 2016,</w:t>
      </w:r>
      <w:r>
        <w:rPr>
          <w:rFonts w:ascii="Times New Roman" w:hAnsi="Times New Roman"/>
          <w:b/>
          <w:noProof/>
          <w:sz w:val="24"/>
          <w:szCs w:val="24"/>
        </w:rPr>
        <w:t xml:space="preserve"> </w:t>
      </w:r>
      <w:r>
        <w:rPr>
          <w:rFonts w:ascii="Times New Roman" w:hAnsi="Times New Roman"/>
          <w:noProof/>
          <w:sz w:val="24"/>
          <w:szCs w:val="24"/>
        </w:rPr>
        <w:t xml:space="preserve">în timp ce </w:t>
      </w:r>
      <w:r>
        <w:rPr>
          <w:rFonts w:ascii="Times New Roman" w:hAnsi="Times New Roman"/>
          <w:b/>
          <w:noProof/>
          <w:sz w:val="24"/>
          <w:szCs w:val="24"/>
        </w:rPr>
        <w:t>Letonia</w:t>
      </w:r>
      <w:r>
        <w:rPr>
          <w:rFonts w:ascii="Times New Roman" w:hAnsi="Times New Roman"/>
          <w:noProof/>
          <w:sz w:val="24"/>
          <w:szCs w:val="24"/>
        </w:rPr>
        <w:t xml:space="preserve"> mai are de rambursat 0,7 miliarde EUR din împrumut. Aceste state membre beneficiare și-au ameliorat rapid sustenabilitatea balanței de plăți, ceea ce le-a permis să redobândească accesul la finanțarea bazată pe piață.</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Comisia evaluează instrumentul după cum urmează:</w:t>
      </w:r>
    </w:p>
    <w:p>
      <w:pPr>
        <w:numPr>
          <w:ilvl w:val="0"/>
          <w:numId w:val="1"/>
        </w:numPr>
        <w:suppressAutoHyphens/>
        <w:spacing w:before="120" w:after="120" w:line="240" w:lineRule="auto"/>
        <w:ind w:left="426" w:hanging="426"/>
        <w:jc w:val="both"/>
        <w:rPr>
          <w:rFonts w:ascii="Times New Roman" w:eastAsia="Times New Roman" w:hAnsi="Times New Roman" w:cs="Times New Roman"/>
          <w:noProof/>
          <w:sz w:val="24"/>
          <w:szCs w:val="24"/>
        </w:rPr>
      </w:pPr>
      <w:r>
        <w:rPr>
          <w:rFonts w:ascii="Times New Roman" w:hAnsi="Times New Roman"/>
          <w:noProof/>
          <w:sz w:val="24"/>
          <w:szCs w:val="24"/>
        </w:rPr>
        <w:t xml:space="preserve">De la ultima revizuire din mai 2009, </w:t>
      </w:r>
      <w:r>
        <w:rPr>
          <w:rFonts w:ascii="Times New Roman" w:hAnsi="Times New Roman"/>
          <w:b/>
          <w:noProof/>
          <w:sz w:val="24"/>
          <w:szCs w:val="24"/>
        </w:rPr>
        <w:t>instrumentul și-a dovedit eficacitatea</w:t>
      </w:r>
      <w:r>
        <w:rPr>
          <w:rFonts w:ascii="Times New Roman" w:hAnsi="Times New Roman"/>
          <w:noProof/>
          <w:sz w:val="24"/>
          <w:szCs w:val="24"/>
        </w:rPr>
        <w:t>, având în vedere faptul că statele membre beneficiare și-au ameliorat rapid sustenabilitatea balanței de plăți și au redobândit repede accesul la finanțarea bazată pe piață.</w:t>
      </w:r>
    </w:p>
    <w:p>
      <w:pPr>
        <w:numPr>
          <w:ilvl w:val="0"/>
          <w:numId w:val="1"/>
        </w:numPr>
        <w:suppressAutoHyphens/>
        <w:spacing w:before="120" w:after="120" w:line="240" w:lineRule="auto"/>
        <w:ind w:left="426" w:hanging="426"/>
        <w:jc w:val="both"/>
        <w:rPr>
          <w:rFonts w:ascii="Times New Roman" w:eastAsia="Times New Roman" w:hAnsi="Times New Roman" w:cs="Times New Roman"/>
          <w:noProof/>
          <w:sz w:val="24"/>
          <w:szCs w:val="24"/>
        </w:rPr>
      </w:pPr>
      <w:r>
        <w:rPr>
          <w:rFonts w:ascii="Times New Roman" w:hAnsi="Times New Roman"/>
          <w:b/>
          <w:noProof/>
          <w:sz w:val="24"/>
          <w:szCs w:val="24"/>
        </w:rPr>
        <w:t>Ridicându-se în prezent la 50 de miliarde EUR,</w:t>
      </w:r>
      <w:r>
        <w:rPr>
          <w:rFonts w:ascii="Times New Roman" w:hAnsi="Times New Roman"/>
          <w:noProof/>
          <w:sz w:val="24"/>
          <w:szCs w:val="24"/>
        </w:rPr>
        <w:t xml:space="preserve"> </w:t>
      </w:r>
      <w:r>
        <w:rPr>
          <w:rFonts w:ascii="Times New Roman" w:hAnsi="Times New Roman"/>
          <w:b/>
          <w:noProof/>
          <w:sz w:val="24"/>
          <w:szCs w:val="24"/>
        </w:rPr>
        <w:t>plafonul</w:t>
      </w:r>
      <w:r>
        <w:rPr>
          <w:rFonts w:ascii="Times New Roman" w:hAnsi="Times New Roman"/>
          <w:noProof/>
          <w:sz w:val="24"/>
          <w:szCs w:val="24"/>
        </w:rPr>
        <w:t xml:space="preserve"> pentru împrumuturile care pot fi acordate (în ceea ce privește principalul) și pentru liniile de credit din cadrul instrumentului </w:t>
      </w:r>
      <w:r>
        <w:rPr>
          <w:rFonts w:ascii="Times New Roman" w:hAnsi="Times New Roman"/>
          <w:b/>
          <w:noProof/>
          <w:sz w:val="24"/>
          <w:szCs w:val="24"/>
        </w:rPr>
        <w:t>pare a fi adecvat</w:t>
      </w:r>
      <w:r>
        <w:rPr>
          <w:rFonts w:ascii="Times New Roman" w:hAnsi="Times New Roman"/>
          <w:noProof/>
          <w:sz w:val="24"/>
          <w:szCs w:val="24"/>
        </w:rPr>
        <w:t>.</w:t>
      </w:r>
    </w:p>
    <w:p>
      <w:pPr>
        <w:numPr>
          <w:ilvl w:val="0"/>
          <w:numId w:val="1"/>
        </w:numPr>
        <w:suppressAutoHyphens/>
        <w:spacing w:before="120" w:after="120" w:line="240" w:lineRule="auto"/>
        <w:ind w:left="426" w:hanging="426"/>
        <w:jc w:val="both"/>
        <w:rPr>
          <w:rFonts w:ascii="Times New Roman" w:eastAsia="Times New Roman" w:hAnsi="Times New Roman" w:cs="Times New Roman"/>
          <w:noProof/>
          <w:sz w:val="24"/>
          <w:szCs w:val="24"/>
        </w:rPr>
      </w:pPr>
      <w:r>
        <w:rPr>
          <w:rFonts w:ascii="Times New Roman" w:hAnsi="Times New Roman"/>
          <w:b/>
          <w:noProof/>
          <w:sz w:val="24"/>
          <w:szCs w:val="24"/>
        </w:rPr>
        <w:t xml:space="preserve">Modificările sugerate în propunerea Comisiei privind un nou regulament al Consiliului </w:t>
      </w:r>
      <w:r>
        <w:rPr>
          <w:rFonts w:ascii="Times New Roman" w:hAnsi="Times New Roman"/>
          <w:noProof/>
          <w:sz w:val="24"/>
          <w:szCs w:val="24"/>
        </w:rPr>
        <w:t>[COM(2012) 336 final] rămân atât necesare, cât și adecvate: ar trebui introduse modificări ale cadrului de reglementare și aceleași norme privind împrumuturile ca cele prevăzute în Regulamentul (UE) nr. 407/2010</w:t>
      </w:r>
      <w:r>
        <w:rPr>
          <w:rStyle w:val="FootnoteReference"/>
          <w:noProof/>
        </w:rPr>
        <w:footnoteReference w:id="2"/>
      </w:r>
      <w:r>
        <w:rPr>
          <w:rFonts w:ascii="Times New Roman" w:hAnsi="Times New Roman"/>
          <w:noProof/>
          <w:sz w:val="24"/>
          <w:szCs w:val="24"/>
        </w:rPr>
        <w:t xml:space="preserve"> din 11 mai 2010 de instituire a unui mecanism european de stabilizare financiară și ar trebui clarificată utilizarea liniilor de credit. În plus, ar trebui clarificat faptul că instrumentul poate fi utilizat pentru finanțarea recapitalizării (indirecte) a instituțiilor de credit și că </w:t>
      </w:r>
      <w:r>
        <w:rPr>
          <w:rFonts w:ascii="Times New Roman" w:hAnsi="Times New Roman"/>
          <w:noProof/>
          <w:sz w:val="24"/>
          <w:szCs w:val="20"/>
        </w:rPr>
        <w:t>este posibilă ajustarea condițiilor de politică în primul rând pentru a aborda aceste probleme.</w:t>
      </w:r>
    </w:p>
    <w:p>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szCs w:val="20"/>
        </w:rPr>
        <w:t>Introducere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În temeiul Regulamentului BoP, instrumentul BoP a fost creat pentru a furniza sprijin financiar pe termen mediu din partea Uniunii statelor membre care nu au adoptat moneda euro </w:t>
      </w:r>
      <w:r>
        <w:rPr>
          <w:rStyle w:val="FootnoteReference"/>
          <w:noProof/>
        </w:rPr>
        <w:footnoteReference w:id="3"/>
      </w:r>
      <w:r>
        <w:rPr>
          <w:rFonts w:ascii="Times New Roman" w:hAnsi="Times New Roman"/>
          <w:noProof/>
          <w:sz w:val="24"/>
          <w:szCs w:val="24"/>
        </w:rPr>
        <w:t>(state membre care beneficiază de o derogare) și care întâmpină sau care sunt amenințate de dificultăți în ceea ce privește balanța de plăți. Această asistență financiară ia forma fie a unui împrumut din partea UE, fie a unei linii de credit. În plus, conform Regulamentului BoP, Consiliul trebuie să examineze periodic măsura în care instrumentul mai corespunde, prin structură, modalități și plafoane, obiectivelor care au stat la baza constituirii sale. Examinarea Consiliului ar trebui realizată pe baza unui raport al Comisiei și după emiterea avizului CEF.</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Pe baza celei mai recente evaluări pe care a efectuat-o, Comisa a prezentat, la 22 iunie 2012, o propunere [COM(2012) 336 final] de modificare a Regulamentului BoP. Cu toate acestea, membrii Consiliului nu au reușit să convină asupra unei poziții comune din cauza obiecțiilor ridicate de un stat membru.</w:t>
      </w:r>
    </w:p>
    <w:p>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smallCaps/>
          <w:noProof/>
          <w:sz w:val="24"/>
          <w:szCs w:val="20"/>
          <w:u w:val="single"/>
        </w:rPr>
      </w:pPr>
      <w:r>
        <w:rPr>
          <w:rFonts w:ascii="Times New Roman" w:hAnsi="Times New Roman"/>
          <w:b/>
          <w:smallCaps/>
          <w:noProof/>
          <w:sz w:val="24"/>
          <w:szCs w:val="20"/>
        </w:rPr>
        <w:t>Situația actuală și pertinența instrumentului BoP</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Începând din 2012, </w:t>
      </w:r>
      <w:r>
        <w:rPr>
          <w:rFonts w:ascii="Times New Roman" w:hAnsi="Times New Roman"/>
          <w:b/>
          <w:noProof/>
          <w:sz w:val="24"/>
          <w:szCs w:val="24"/>
        </w:rPr>
        <w:t>România</w:t>
      </w:r>
      <w:r>
        <w:rPr>
          <w:rFonts w:ascii="Times New Roman" w:hAnsi="Times New Roman"/>
          <w:noProof/>
          <w:sz w:val="24"/>
          <w:szCs w:val="24"/>
        </w:rPr>
        <w:t xml:space="preserve"> a solicitat și a primit asistență în cadrul instrumentului. Asistența a fost convenită în mod oficial în octombrie 2013 și a expirat în septembrie 2015. Ea a funcționat în paralel cu un acord stand-by (SBA) al Fondului Monetar Internațional (FMI). Ca și în cazul acordului care acoperă perioada 2011-2013, asistența disponibilă pentru perioada 2013-2015 a fost considerată preventivă și nu a fost utilizată.</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Asistența preventivă acordată de UE s-a ridicat la 2 miliarde EUR, iar FMI a contribuit cu până la 1,75 miliarde DST (aproximativ 2 miliarde EUR), pe baza unui SBA încheiat tot în scop preventiv. Obiectivul programului de ajustare sprijinit a fost de a ajuta România să își consolideze stabilitatea macroeconomică, bugetară și financiară și, astfel, să își sporească reziliența și potențialul de creștere ale economiei sale; să își amelioreze capacitatea administrativă; să realizeze reforma administrației fiscale; să îmbunătățească gestionarea finanțelor publice și să restructureze întreprinderile de stat.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Ungaria</w:t>
      </w:r>
      <w:r>
        <w:rPr>
          <w:rFonts w:ascii="Times New Roman" w:hAnsi="Times New Roman"/>
          <w:noProof/>
          <w:sz w:val="24"/>
          <w:szCs w:val="24"/>
        </w:rPr>
        <w:t xml:space="preserve"> și-a rambursat în întregime împrumutul în aprilie 2016,</w:t>
      </w:r>
      <w:r>
        <w:rPr>
          <w:rFonts w:ascii="Times New Roman" w:hAnsi="Times New Roman"/>
          <w:b/>
          <w:noProof/>
          <w:sz w:val="24"/>
          <w:szCs w:val="24"/>
        </w:rPr>
        <w:t xml:space="preserve"> </w:t>
      </w:r>
      <w:r>
        <w:rPr>
          <w:rFonts w:ascii="Times New Roman" w:hAnsi="Times New Roman"/>
          <w:noProof/>
          <w:sz w:val="24"/>
          <w:szCs w:val="24"/>
        </w:rPr>
        <w:t xml:space="preserve">în timp ce </w:t>
      </w:r>
      <w:r>
        <w:rPr>
          <w:rFonts w:ascii="Times New Roman" w:hAnsi="Times New Roman"/>
          <w:b/>
          <w:noProof/>
          <w:sz w:val="24"/>
          <w:szCs w:val="24"/>
        </w:rPr>
        <w:t>Letonia</w:t>
      </w:r>
      <w:r>
        <w:rPr>
          <w:rFonts w:ascii="Times New Roman" w:hAnsi="Times New Roman"/>
          <w:noProof/>
          <w:sz w:val="24"/>
          <w:szCs w:val="24"/>
        </w:rPr>
        <w:t xml:space="preserve"> mai are de rambursat 0,7 miliarde EUR din împrumut. Asistența preventivă pentru </w:t>
      </w:r>
      <w:r>
        <w:rPr>
          <w:rFonts w:ascii="Times New Roman" w:hAnsi="Times New Roman"/>
          <w:b/>
          <w:noProof/>
          <w:sz w:val="24"/>
          <w:szCs w:val="24"/>
        </w:rPr>
        <w:t>România</w:t>
      </w:r>
      <w:r>
        <w:rPr>
          <w:rFonts w:ascii="Times New Roman" w:hAnsi="Times New Roman"/>
          <w:noProof/>
          <w:sz w:val="24"/>
          <w:szCs w:val="24"/>
        </w:rPr>
        <w:t>, care a urmat după două mecanisme anterioare (dintre care unul pe bază preventivă) a demonstrat adaptabilitatea instrumentului. România mai avea încă 3,5 miliarde EUR de rambursat din sprijinul nepreventiv plătit în perioada 2010-2011.</w:t>
      </w:r>
    </w:p>
    <w:p>
      <w:pPr>
        <w:keepNext/>
        <w:spacing w:before="120"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 xml:space="preserve">Tabel </w:t>
      </w:r>
      <w:r>
        <w:rPr>
          <w:rFonts w:ascii="Times New Roman" w:eastAsia="Times New Roman" w:hAnsi="Times New Roman" w:cs="Times New Roman"/>
          <w:b/>
          <w:noProof/>
          <w:sz w:val="24"/>
          <w:szCs w:val="20"/>
        </w:rPr>
        <w:fldChar w:fldCharType="begin"/>
      </w:r>
      <w:r>
        <w:rPr>
          <w:rFonts w:ascii="Times New Roman" w:eastAsia="Times New Roman" w:hAnsi="Times New Roman" w:cs="Times New Roman"/>
          <w:b/>
          <w:noProof/>
          <w:sz w:val="24"/>
          <w:szCs w:val="20"/>
        </w:rPr>
        <w:instrText xml:space="preserve"> SEQ Table \* ARABIC </w:instrText>
      </w:r>
      <w:r>
        <w:rPr>
          <w:rFonts w:ascii="Times New Roman" w:eastAsia="Times New Roman" w:hAnsi="Times New Roman" w:cs="Times New Roman"/>
          <w:b/>
          <w:noProof/>
          <w:sz w:val="24"/>
          <w:szCs w:val="20"/>
        </w:rPr>
        <w:fldChar w:fldCharType="separate"/>
      </w:r>
      <w:r>
        <w:rPr>
          <w:rFonts w:ascii="Times New Roman" w:eastAsia="Times New Roman" w:hAnsi="Times New Roman" w:cs="Times New Roman"/>
          <w:b/>
          <w:noProof/>
          <w:sz w:val="24"/>
          <w:szCs w:val="20"/>
        </w:rPr>
        <w:t>1</w:t>
      </w:r>
      <w:r>
        <w:rPr>
          <w:rFonts w:ascii="Times New Roman" w:eastAsia="Times New Roman" w:hAnsi="Times New Roman" w:cs="Times New Roman"/>
          <w:b/>
          <w:noProof/>
          <w:sz w:val="24"/>
          <w:szCs w:val="20"/>
        </w:rPr>
        <w:fldChar w:fldCharType="end"/>
      </w:r>
      <w:r>
        <w:rPr>
          <w:rFonts w:ascii="Times New Roman" w:hAnsi="Times New Roman"/>
          <w:b/>
          <w:noProof/>
          <w:sz w:val="24"/>
          <w:szCs w:val="20"/>
        </w:rPr>
        <w:t>: Obligații de rambursare reziduale în cadrul instrumentului BoP (situația din august 2017)</w:t>
      </w:r>
    </w:p>
    <w:tbl>
      <w:tblPr>
        <w:tblW w:w="8668" w:type="dxa"/>
        <w:tblInd w:w="93" w:type="dxa"/>
        <w:tblLook w:val="04A0" w:firstRow="1" w:lastRow="0" w:firstColumn="1" w:lastColumn="0" w:noHBand="0" w:noVBand="1"/>
      </w:tblPr>
      <w:tblGrid>
        <w:gridCol w:w="2000"/>
        <w:gridCol w:w="1834"/>
        <w:gridCol w:w="1678"/>
        <w:gridCol w:w="1478"/>
        <w:gridCol w:w="1678"/>
      </w:tblGrid>
      <w:tr>
        <w:trPr>
          <w:trHeight w:val="586"/>
        </w:trPr>
        <w:tc>
          <w:tcPr>
            <w:tcW w:w="2000" w:type="dxa"/>
            <w:tcBorders>
              <w:top w:val="single" w:sz="4" w:space="0" w:color="auto"/>
              <w:left w:val="single" w:sz="4" w:space="0" w:color="auto"/>
              <w:bottom w:val="nil"/>
              <w:right w:val="single" w:sz="4" w:space="0" w:color="auto"/>
            </w:tcBorders>
            <w:shd w:val="clear" w:color="auto" w:fill="auto"/>
            <w:vAlign w:val="center"/>
            <w:hideMark/>
          </w:tcPr>
          <w:p>
            <w:pPr>
              <w:spacing w:after="0" w:line="240" w:lineRule="auto"/>
              <w:jc w:val="center"/>
              <w:rPr>
                <w:rFonts w:ascii="Calibri" w:eastAsia="Times New Roman" w:hAnsi="Calibri" w:cs="Times New Roman"/>
                <w:b/>
                <w:bCs/>
                <w:i/>
                <w:iCs/>
                <w:noProof/>
                <w:color w:val="000000"/>
              </w:rPr>
            </w:pPr>
            <w:r>
              <w:rPr>
                <w:rFonts w:ascii="Calibri" w:hAnsi="Calibri"/>
                <w:b/>
                <w:bCs/>
                <w:i/>
                <w:iCs/>
                <w:noProof/>
                <w:color w:val="000000"/>
              </w:rPr>
              <w:t>Anul</w:t>
            </w:r>
          </w:p>
        </w:tc>
        <w:tc>
          <w:tcPr>
            <w:tcW w:w="1834" w:type="dxa"/>
            <w:tcBorders>
              <w:top w:val="single" w:sz="4" w:space="0" w:color="auto"/>
              <w:left w:val="nil"/>
              <w:bottom w:val="nil"/>
              <w:right w:val="single" w:sz="4" w:space="0" w:color="auto"/>
            </w:tcBorders>
            <w:shd w:val="clear" w:color="auto" w:fill="auto"/>
            <w:vAlign w:val="center"/>
            <w:hideMark/>
          </w:tcPr>
          <w:p>
            <w:pPr>
              <w:spacing w:after="0" w:line="240" w:lineRule="auto"/>
              <w:jc w:val="center"/>
              <w:rPr>
                <w:rFonts w:ascii="Calibri" w:eastAsia="Times New Roman" w:hAnsi="Calibri" w:cs="Times New Roman"/>
                <w:b/>
                <w:bCs/>
                <w:i/>
                <w:iCs/>
                <w:noProof/>
                <w:color w:val="000000"/>
              </w:rPr>
            </w:pPr>
            <w:r>
              <w:rPr>
                <w:rFonts w:ascii="Calibri" w:hAnsi="Calibri"/>
                <w:b/>
                <w:bCs/>
                <w:i/>
                <w:iCs/>
                <w:noProof/>
                <w:color w:val="000000"/>
              </w:rPr>
              <w:t>Țara</w:t>
            </w:r>
          </w:p>
        </w:tc>
        <w:tc>
          <w:tcPr>
            <w:tcW w:w="1678" w:type="dxa"/>
            <w:tcBorders>
              <w:top w:val="single" w:sz="4" w:space="0" w:color="auto"/>
              <w:left w:val="nil"/>
              <w:bottom w:val="nil"/>
              <w:right w:val="single" w:sz="4" w:space="0" w:color="auto"/>
            </w:tcBorders>
            <w:shd w:val="clear" w:color="auto" w:fill="auto"/>
            <w:vAlign w:val="center"/>
            <w:hideMark/>
          </w:tcPr>
          <w:p>
            <w:pPr>
              <w:spacing w:after="0" w:line="240" w:lineRule="auto"/>
              <w:jc w:val="center"/>
              <w:rPr>
                <w:rFonts w:ascii="Calibri" w:eastAsia="Times New Roman" w:hAnsi="Calibri" w:cs="Times New Roman"/>
                <w:b/>
                <w:bCs/>
                <w:i/>
                <w:iCs/>
                <w:noProof/>
                <w:color w:val="000000"/>
              </w:rPr>
            </w:pPr>
            <w:r>
              <w:rPr>
                <w:rFonts w:ascii="Calibri" w:hAnsi="Calibri"/>
                <w:b/>
                <w:bCs/>
                <w:i/>
                <w:iCs/>
                <w:noProof/>
                <w:color w:val="000000"/>
              </w:rPr>
              <w:t xml:space="preserve">Rambursarea </w:t>
            </w:r>
            <w:r>
              <w:rPr>
                <w:rFonts w:ascii="Calibri" w:hAnsi="Calibri"/>
                <w:b/>
                <w:bCs/>
                <w:i/>
                <w:iCs/>
                <w:noProof/>
                <w:color w:val="000000"/>
              </w:rPr>
              <w:br/>
              <w:t>capitalului</w:t>
            </w:r>
          </w:p>
        </w:tc>
        <w:tc>
          <w:tcPr>
            <w:tcW w:w="1478" w:type="dxa"/>
            <w:tcBorders>
              <w:top w:val="single" w:sz="4" w:space="0" w:color="auto"/>
              <w:left w:val="nil"/>
              <w:bottom w:val="nil"/>
              <w:right w:val="single" w:sz="4" w:space="0" w:color="auto"/>
            </w:tcBorders>
            <w:shd w:val="clear" w:color="auto" w:fill="auto"/>
            <w:vAlign w:val="center"/>
            <w:hideMark/>
          </w:tcPr>
          <w:p>
            <w:pPr>
              <w:spacing w:after="0" w:line="240" w:lineRule="auto"/>
              <w:jc w:val="center"/>
              <w:rPr>
                <w:rFonts w:ascii="Calibri" w:eastAsia="Times New Roman" w:hAnsi="Calibri" w:cs="Times New Roman"/>
                <w:b/>
                <w:bCs/>
                <w:i/>
                <w:iCs/>
                <w:noProof/>
                <w:color w:val="000000"/>
              </w:rPr>
            </w:pPr>
            <w:r>
              <w:rPr>
                <w:rFonts w:ascii="Calibri" w:hAnsi="Calibri"/>
                <w:b/>
                <w:bCs/>
                <w:i/>
                <w:iCs/>
                <w:noProof/>
                <w:color w:val="000000"/>
              </w:rPr>
              <w:t xml:space="preserve">Plata </w:t>
            </w:r>
            <w:r>
              <w:rPr>
                <w:rFonts w:ascii="Calibri" w:hAnsi="Calibri"/>
                <w:b/>
                <w:bCs/>
                <w:i/>
                <w:iCs/>
                <w:noProof/>
                <w:color w:val="000000"/>
              </w:rPr>
              <w:br/>
              <w:t>dobânzilor</w:t>
            </w:r>
          </w:p>
        </w:tc>
        <w:tc>
          <w:tcPr>
            <w:tcW w:w="1678" w:type="dxa"/>
            <w:tcBorders>
              <w:top w:val="single" w:sz="4" w:space="0" w:color="auto"/>
              <w:left w:val="nil"/>
              <w:bottom w:val="nil"/>
              <w:right w:val="single" w:sz="4" w:space="0" w:color="auto"/>
            </w:tcBorders>
            <w:shd w:val="clear" w:color="auto" w:fill="auto"/>
            <w:vAlign w:val="center"/>
            <w:hideMark/>
          </w:tcPr>
          <w:p>
            <w:pPr>
              <w:spacing w:after="0" w:line="240" w:lineRule="auto"/>
              <w:jc w:val="center"/>
              <w:rPr>
                <w:rFonts w:ascii="Calibri" w:eastAsia="Times New Roman" w:hAnsi="Calibri" w:cs="Times New Roman"/>
                <w:b/>
                <w:bCs/>
                <w:i/>
                <w:iCs/>
                <w:noProof/>
                <w:color w:val="000000"/>
              </w:rPr>
            </w:pPr>
            <w:r>
              <w:rPr>
                <w:rFonts w:ascii="Calibri" w:hAnsi="Calibri"/>
                <w:b/>
                <w:bCs/>
                <w:i/>
                <w:iCs/>
                <w:noProof/>
                <w:color w:val="000000"/>
              </w:rPr>
              <w:t>Total general</w:t>
            </w:r>
          </w:p>
        </w:tc>
      </w:tr>
      <w:tr>
        <w:trPr>
          <w:trHeight w:val="293"/>
        </w:trPr>
        <w:tc>
          <w:tcPr>
            <w:tcW w:w="20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after="0" w:line="240" w:lineRule="auto"/>
              <w:jc w:val="center"/>
              <w:rPr>
                <w:rFonts w:ascii="Calibri" w:eastAsia="Times New Roman" w:hAnsi="Calibri" w:cs="Times New Roman"/>
                <w:noProof/>
                <w:color w:val="000000"/>
              </w:rPr>
            </w:pPr>
            <w:r>
              <w:rPr>
                <w:rFonts w:ascii="Calibri" w:hAnsi="Calibri"/>
                <w:noProof/>
                <w:color w:val="000000"/>
              </w:rPr>
              <w:t>2017</w:t>
            </w:r>
          </w:p>
        </w:tc>
        <w:tc>
          <w:tcPr>
            <w:tcW w:w="1834" w:type="dxa"/>
            <w:tcBorders>
              <w:top w:val="single" w:sz="4" w:space="0" w:color="000000"/>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Letonia</w:t>
            </w:r>
          </w:p>
        </w:tc>
        <w:tc>
          <w:tcPr>
            <w:tcW w:w="1678"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 </w:t>
            </w:r>
          </w:p>
        </w:tc>
        <w:tc>
          <w:tcPr>
            <w:tcW w:w="14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c>
          <w:tcPr>
            <w:tcW w:w="1678" w:type="dxa"/>
            <w:tcBorders>
              <w:top w:val="single" w:sz="4" w:space="0" w:color="000000"/>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r>
      <w:tr>
        <w:trPr>
          <w:trHeight w:val="293"/>
        </w:trPr>
        <w:tc>
          <w:tcPr>
            <w:tcW w:w="2000" w:type="dxa"/>
            <w:vMerge/>
            <w:tcBorders>
              <w:top w:val="single" w:sz="4" w:space="0" w:color="000000"/>
              <w:left w:val="single" w:sz="4" w:space="0" w:color="000000"/>
              <w:bottom w:val="single" w:sz="4" w:space="0" w:color="000000"/>
              <w:right w:val="single" w:sz="4" w:space="0" w:color="000000"/>
            </w:tcBorders>
            <w:vAlign w:val="center"/>
            <w:hideMark/>
          </w:tcPr>
          <w:p>
            <w:pPr>
              <w:spacing w:after="0" w:line="240" w:lineRule="auto"/>
              <w:rPr>
                <w:rFonts w:ascii="Calibri" w:eastAsia="Times New Roman" w:hAnsi="Calibri" w:cs="Times New Roman"/>
                <w:noProof/>
                <w:color w:val="000000"/>
                <w:lang w:eastAsia="en-GB"/>
              </w:rPr>
            </w:pPr>
          </w:p>
        </w:tc>
        <w:tc>
          <w:tcPr>
            <w:tcW w:w="1834"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România</w:t>
            </w:r>
          </w:p>
        </w:tc>
        <w:tc>
          <w:tcPr>
            <w:tcW w:w="1678" w:type="dxa"/>
            <w:tcBorders>
              <w:top w:val="nil"/>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1 150</w:t>
            </w:r>
          </w:p>
        </w:tc>
        <w:tc>
          <w:tcPr>
            <w:tcW w:w="1478" w:type="dxa"/>
            <w:tcBorders>
              <w:top w:val="nil"/>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32</w:t>
            </w:r>
          </w:p>
        </w:tc>
        <w:tc>
          <w:tcPr>
            <w:tcW w:w="1678" w:type="dxa"/>
            <w:tcBorders>
              <w:top w:val="nil"/>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1 182</w:t>
            </w:r>
          </w:p>
        </w:tc>
      </w:tr>
      <w:tr>
        <w:trPr>
          <w:trHeight w:val="293"/>
        </w:trPr>
        <w:tc>
          <w:tcPr>
            <w:tcW w:w="20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pPr>
              <w:spacing w:after="0" w:line="240" w:lineRule="auto"/>
              <w:jc w:val="center"/>
              <w:rPr>
                <w:rFonts w:ascii="Calibri" w:eastAsia="Times New Roman" w:hAnsi="Calibri" w:cs="Times New Roman"/>
                <w:noProof/>
                <w:color w:val="000000"/>
              </w:rPr>
            </w:pPr>
            <w:r>
              <w:rPr>
                <w:rFonts w:ascii="Calibri" w:hAnsi="Calibri"/>
                <w:noProof/>
                <w:color w:val="000000"/>
              </w:rPr>
              <w:t>2018</w:t>
            </w:r>
          </w:p>
        </w:tc>
        <w:tc>
          <w:tcPr>
            <w:tcW w:w="1834" w:type="dxa"/>
            <w:tcBorders>
              <w:top w:val="single" w:sz="4" w:space="0" w:color="000000"/>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Letonia</w:t>
            </w:r>
          </w:p>
        </w:tc>
        <w:tc>
          <w:tcPr>
            <w:tcW w:w="1678"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 </w:t>
            </w:r>
          </w:p>
        </w:tc>
        <w:tc>
          <w:tcPr>
            <w:tcW w:w="14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23</w:t>
            </w:r>
          </w:p>
        </w:tc>
        <w:tc>
          <w:tcPr>
            <w:tcW w:w="1678" w:type="dxa"/>
            <w:tcBorders>
              <w:top w:val="single" w:sz="4" w:space="0" w:color="000000"/>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23</w:t>
            </w:r>
          </w:p>
        </w:tc>
      </w:tr>
      <w:tr>
        <w:trPr>
          <w:trHeight w:val="293"/>
        </w:trPr>
        <w:tc>
          <w:tcPr>
            <w:tcW w:w="2000" w:type="dxa"/>
            <w:vMerge/>
            <w:tcBorders>
              <w:top w:val="nil"/>
              <w:left w:val="single" w:sz="4" w:space="0" w:color="000000"/>
              <w:bottom w:val="single" w:sz="4" w:space="0" w:color="000000"/>
              <w:right w:val="single" w:sz="4" w:space="0" w:color="000000"/>
            </w:tcBorders>
            <w:vAlign w:val="center"/>
            <w:hideMark/>
          </w:tcPr>
          <w:p>
            <w:pPr>
              <w:spacing w:after="0" w:line="240" w:lineRule="auto"/>
              <w:rPr>
                <w:rFonts w:ascii="Calibri" w:eastAsia="Times New Roman" w:hAnsi="Calibri" w:cs="Times New Roman"/>
                <w:noProof/>
                <w:color w:val="000000"/>
                <w:lang w:eastAsia="en-GB"/>
              </w:rPr>
            </w:pPr>
          </w:p>
        </w:tc>
        <w:tc>
          <w:tcPr>
            <w:tcW w:w="1834"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România</w:t>
            </w:r>
          </w:p>
        </w:tc>
        <w:tc>
          <w:tcPr>
            <w:tcW w:w="1678" w:type="dxa"/>
            <w:tcBorders>
              <w:top w:val="nil"/>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1 350</w:t>
            </w:r>
          </w:p>
        </w:tc>
        <w:tc>
          <w:tcPr>
            <w:tcW w:w="1478" w:type="dxa"/>
            <w:tcBorders>
              <w:top w:val="nil"/>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77</w:t>
            </w:r>
          </w:p>
        </w:tc>
        <w:tc>
          <w:tcPr>
            <w:tcW w:w="1678" w:type="dxa"/>
            <w:tcBorders>
              <w:top w:val="nil"/>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1 427</w:t>
            </w:r>
          </w:p>
        </w:tc>
      </w:tr>
      <w:tr>
        <w:trPr>
          <w:trHeight w:val="293"/>
        </w:trPr>
        <w:tc>
          <w:tcPr>
            <w:tcW w:w="20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pPr>
              <w:spacing w:after="0" w:line="240" w:lineRule="auto"/>
              <w:jc w:val="center"/>
              <w:rPr>
                <w:rFonts w:ascii="Calibri" w:eastAsia="Times New Roman" w:hAnsi="Calibri" w:cs="Times New Roman"/>
                <w:noProof/>
                <w:color w:val="000000"/>
              </w:rPr>
            </w:pPr>
            <w:r>
              <w:rPr>
                <w:rFonts w:ascii="Calibri" w:hAnsi="Calibri"/>
                <w:noProof/>
                <w:color w:val="000000"/>
              </w:rPr>
              <w:t>2019</w:t>
            </w:r>
          </w:p>
        </w:tc>
        <w:tc>
          <w:tcPr>
            <w:tcW w:w="1834" w:type="dxa"/>
            <w:tcBorders>
              <w:top w:val="single" w:sz="4" w:space="0" w:color="000000"/>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Letonia</w:t>
            </w:r>
          </w:p>
        </w:tc>
        <w:tc>
          <w:tcPr>
            <w:tcW w:w="16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500</w:t>
            </w:r>
          </w:p>
        </w:tc>
        <w:tc>
          <w:tcPr>
            <w:tcW w:w="14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23</w:t>
            </w:r>
          </w:p>
        </w:tc>
        <w:tc>
          <w:tcPr>
            <w:tcW w:w="1678" w:type="dxa"/>
            <w:tcBorders>
              <w:top w:val="single" w:sz="4" w:space="0" w:color="000000"/>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523</w:t>
            </w:r>
          </w:p>
        </w:tc>
      </w:tr>
      <w:tr>
        <w:trPr>
          <w:trHeight w:val="293"/>
        </w:trPr>
        <w:tc>
          <w:tcPr>
            <w:tcW w:w="2000" w:type="dxa"/>
            <w:vMerge/>
            <w:tcBorders>
              <w:top w:val="nil"/>
              <w:left w:val="single" w:sz="4" w:space="0" w:color="000000"/>
              <w:bottom w:val="single" w:sz="4" w:space="0" w:color="000000"/>
              <w:right w:val="single" w:sz="4" w:space="0" w:color="000000"/>
            </w:tcBorders>
            <w:vAlign w:val="center"/>
            <w:hideMark/>
          </w:tcPr>
          <w:p>
            <w:pPr>
              <w:spacing w:after="0" w:line="240" w:lineRule="auto"/>
              <w:rPr>
                <w:rFonts w:ascii="Calibri" w:eastAsia="Times New Roman" w:hAnsi="Calibri" w:cs="Times New Roman"/>
                <w:noProof/>
                <w:color w:val="000000"/>
                <w:lang w:eastAsia="en-GB"/>
              </w:rPr>
            </w:pPr>
          </w:p>
        </w:tc>
        <w:tc>
          <w:tcPr>
            <w:tcW w:w="1834"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România</w:t>
            </w:r>
          </w:p>
        </w:tc>
        <w:tc>
          <w:tcPr>
            <w:tcW w:w="1678" w:type="dxa"/>
            <w:tcBorders>
              <w:top w:val="nil"/>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1 000</w:t>
            </w:r>
          </w:p>
        </w:tc>
        <w:tc>
          <w:tcPr>
            <w:tcW w:w="1478" w:type="dxa"/>
            <w:tcBorders>
              <w:top w:val="nil"/>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34</w:t>
            </w:r>
          </w:p>
        </w:tc>
        <w:tc>
          <w:tcPr>
            <w:tcW w:w="1678" w:type="dxa"/>
            <w:tcBorders>
              <w:top w:val="nil"/>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1 034</w:t>
            </w:r>
          </w:p>
        </w:tc>
      </w:tr>
      <w:tr>
        <w:trPr>
          <w:trHeight w:val="293"/>
        </w:trPr>
        <w:tc>
          <w:tcPr>
            <w:tcW w:w="2000" w:type="dxa"/>
            <w:tcBorders>
              <w:top w:val="nil"/>
              <w:left w:val="single" w:sz="4" w:space="0" w:color="000000"/>
              <w:bottom w:val="nil"/>
              <w:right w:val="nil"/>
            </w:tcBorders>
            <w:shd w:val="clear" w:color="auto" w:fill="auto"/>
            <w:noWrap/>
            <w:vAlign w:val="center"/>
            <w:hideMark/>
          </w:tcPr>
          <w:p>
            <w:pPr>
              <w:spacing w:after="0" w:line="240" w:lineRule="auto"/>
              <w:jc w:val="center"/>
              <w:rPr>
                <w:rFonts w:ascii="Calibri" w:eastAsia="Times New Roman" w:hAnsi="Calibri" w:cs="Times New Roman"/>
                <w:noProof/>
                <w:color w:val="000000"/>
              </w:rPr>
            </w:pPr>
            <w:r>
              <w:rPr>
                <w:rFonts w:ascii="Calibri" w:hAnsi="Calibri"/>
                <w:noProof/>
                <w:color w:val="000000"/>
              </w:rPr>
              <w:t>2020</w:t>
            </w:r>
          </w:p>
        </w:tc>
        <w:tc>
          <w:tcPr>
            <w:tcW w:w="1834"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Letonia</w:t>
            </w:r>
          </w:p>
        </w:tc>
        <w:tc>
          <w:tcPr>
            <w:tcW w:w="1678"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 </w:t>
            </w:r>
          </w:p>
        </w:tc>
        <w:tc>
          <w:tcPr>
            <w:tcW w:w="14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c>
          <w:tcPr>
            <w:tcW w:w="1678" w:type="dxa"/>
            <w:tcBorders>
              <w:top w:val="single" w:sz="4" w:space="0" w:color="000000"/>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r>
      <w:tr>
        <w:trPr>
          <w:trHeight w:val="293"/>
        </w:trPr>
        <w:tc>
          <w:tcPr>
            <w:tcW w:w="2000" w:type="dxa"/>
            <w:tcBorders>
              <w:top w:val="single" w:sz="4" w:space="0" w:color="000000"/>
              <w:left w:val="single" w:sz="4" w:space="0" w:color="000000"/>
              <w:bottom w:val="nil"/>
              <w:right w:val="nil"/>
            </w:tcBorders>
            <w:shd w:val="clear" w:color="auto" w:fill="auto"/>
            <w:noWrap/>
            <w:vAlign w:val="center"/>
            <w:hideMark/>
          </w:tcPr>
          <w:p>
            <w:pPr>
              <w:spacing w:after="0" w:line="240" w:lineRule="auto"/>
              <w:jc w:val="center"/>
              <w:rPr>
                <w:rFonts w:ascii="Calibri" w:eastAsia="Times New Roman" w:hAnsi="Calibri" w:cs="Times New Roman"/>
                <w:noProof/>
                <w:color w:val="000000"/>
              </w:rPr>
            </w:pPr>
            <w:r>
              <w:rPr>
                <w:rFonts w:ascii="Calibri" w:hAnsi="Calibri"/>
                <w:noProof/>
                <w:color w:val="000000"/>
              </w:rPr>
              <w:t>2021</w:t>
            </w:r>
          </w:p>
        </w:tc>
        <w:tc>
          <w:tcPr>
            <w:tcW w:w="1834"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Letonia</w:t>
            </w:r>
          </w:p>
        </w:tc>
        <w:tc>
          <w:tcPr>
            <w:tcW w:w="1678"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 </w:t>
            </w:r>
          </w:p>
        </w:tc>
        <w:tc>
          <w:tcPr>
            <w:tcW w:w="14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c>
          <w:tcPr>
            <w:tcW w:w="1678" w:type="dxa"/>
            <w:tcBorders>
              <w:top w:val="single" w:sz="4" w:space="0" w:color="000000"/>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r>
      <w:tr>
        <w:trPr>
          <w:trHeight w:val="293"/>
        </w:trPr>
        <w:tc>
          <w:tcPr>
            <w:tcW w:w="2000" w:type="dxa"/>
            <w:tcBorders>
              <w:top w:val="single" w:sz="4" w:space="0" w:color="000000"/>
              <w:left w:val="single" w:sz="4" w:space="0" w:color="000000"/>
              <w:bottom w:val="nil"/>
              <w:right w:val="nil"/>
            </w:tcBorders>
            <w:shd w:val="clear" w:color="auto" w:fill="auto"/>
            <w:noWrap/>
            <w:vAlign w:val="center"/>
            <w:hideMark/>
          </w:tcPr>
          <w:p>
            <w:pPr>
              <w:spacing w:after="0" w:line="240" w:lineRule="auto"/>
              <w:jc w:val="center"/>
              <w:rPr>
                <w:rFonts w:ascii="Calibri" w:eastAsia="Times New Roman" w:hAnsi="Calibri" w:cs="Times New Roman"/>
                <w:noProof/>
                <w:color w:val="000000"/>
              </w:rPr>
            </w:pPr>
            <w:r>
              <w:rPr>
                <w:rFonts w:ascii="Calibri" w:hAnsi="Calibri"/>
                <w:noProof/>
                <w:color w:val="000000"/>
              </w:rPr>
              <w:t>2022</w:t>
            </w:r>
          </w:p>
        </w:tc>
        <w:tc>
          <w:tcPr>
            <w:tcW w:w="1834"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Letonia</w:t>
            </w:r>
          </w:p>
        </w:tc>
        <w:tc>
          <w:tcPr>
            <w:tcW w:w="1678"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 </w:t>
            </w:r>
          </w:p>
        </w:tc>
        <w:tc>
          <w:tcPr>
            <w:tcW w:w="14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c>
          <w:tcPr>
            <w:tcW w:w="1678" w:type="dxa"/>
            <w:tcBorders>
              <w:top w:val="single" w:sz="4" w:space="0" w:color="000000"/>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r>
      <w:tr>
        <w:trPr>
          <w:trHeight w:val="293"/>
        </w:trPr>
        <w:tc>
          <w:tcPr>
            <w:tcW w:w="2000" w:type="dxa"/>
            <w:tcBorders>
              <w:top w:val="single" w:sz="4" w:space="0" w:color="000000"/>
              <w:left w:val="single" w:sz="4" w:space="0" w:color="000000"/>
              <w:bottom w:val="nil"/>
              <w:right w:val="nil"/>
            </w:tcBorders>
            <w:shd w:val="clear" w:color="auto" w:fill="auto"/>
            <w:noWrap/>
            <w:vAlign w:val="center"/>
            <w:hideMark/>
          </w:tcPr>
          <w:p>
            <w:pPr>
              <w:spacing w:after="0" w:line="240" w:lineRule="auto"/>
              <w:jc w:val="center"/>
              <w:rPr>
                <w:rFonts w:ascii="Calibri" w:eastAsia="Times New Roman" w:hAnsi="Calibri" w:cs="Times New Roman"/>
                <w:noProof/>
                <w:color w:val="000000"/>
              </w:rPr>
            </w:pPr>
            <w:r>
              <w:rPr>
                <w:rFonts w:ascii="Calibri" w:hAnsi="Calibri"/>
                <w:noProof/>
                <w:color w:val="000000"/>
              </w:rPr>
              <w:t>2023</w:t>
            </w:r>
          </w:p>
        </w:tc>
        <w:tc>
          <w:tcPr>
            <w:tcW w:w="1834"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Letonia</w:t>
            </w:r>
          </w:p>
        </w:tc>
        <w:tc>
          <w:tcPr>
            <w:tcW w:w="1678"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 </w:t>
            </w:r>
          </w:p>
        </w:tc>
        <w:tc>
          <w:tcPr>
            <w:tcW w:w="14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c>
          <w:tcPr>
            <w:tcW w:w="1678" w:type="dxa"/>
            <w:tcBorders>
              <w:top w:val="single" w:sz="4" w:space="0" w:color="000000"/>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r>
      <w:tr>
        <w:trPr>
          <w:trHeight w:val="293"/>
        </w:trPr>
        <w:tc>
          <w:tcPr>
            <w:tcW w:w="2000" w:type="dxa"/>
            <w:tcBorders>
              <w:top w:val="single" w:sz="4" w:space="0" w:color="000000"/>
              <w:left w:val="single" w:sz="4" w:space="0" w:color="000000"/>
              <w:bottom w:val="nil"/>
              <w:right w:val="nil"/>
            </w:tcBorders>
            <w:shd w:val="clear" w:color="auto" w:fill="auto"/>
            <w:noWrap/>
            <w:vAlign w:val="center"/>
            <w:hideMark/>
          </w:tcPr>
          <w:p>
            <w:pPr>
              <w:spacing w:after="0" w:line="240" w:lineRule="auto"/>
              <w:jc w:val="center"/>
              <w:rPr>
                <w:rFonts w:ascii="Calibri" w:eastAsia="Times New Roman" w:hAnsi="Calibri" w:cs="Times New Roman"/>
                <w:noProof/>
                <w:color w:val="000000"/>
              </w:rPr>
            </w:pPr>
            <w:r>
              <w:rPr>
                <w:rFonts w:ascii="Calibri" w:hAnsi="Calibri"/>
                <w:noProof/>
                <w:color w:val="000000"/>
              </w:rPr>
              <w:t>2024</w:t>
            </w:r>
          </w:p>
        </w:tc>
        <w:tc>
          <w:tcPr>
            <w:tcW w:w="1834"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Letonia</w:t>
            </w:r>
          </w:p>
        </w:tc>
        <w:tc>
          <w:tcPr>
            <w:tcW w:w="1678"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 </w:t>
            </w:r>
          </w:p>
        </w:tc>
        <w:tc>
          <w:tcPr>
            <w:tcW w:w="14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c>
          <w:tcPr>
            <w:tcW w:w="1678" w:type="dxa"/>
            <w:tcBorders>
              <w:top w:val="single" w:sz="4" w:space="0" w:color="000000"/>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r>
      <w:tr>
        <w:trPr>
          <w:trHeight w:val="293"/>
        </w:trPr>
        <w:tc>
          <w:tcPr>
            <w:tcW w:w="2000" w:type="dxa"/>
            <w:tcBorders>
              <w:top w:val="single" w:sz="4" w:space="0" w:color="000000"/>
              <w:left w:val="single" w:sz="4" w:space="0" w:color="000000"/>
              <w:bottom w:val="nil"/>
              <w:right w:val="nil"/>
            </w:tcBorders>
            <w:shd w:val="clear" w:color="auto" w:fill="auto"/>
            <w:noWrap/>
            <w:vAlign w:val="center"/>
            <w:hideMark/>
          </w:tcPr>
          <w:p>
            <w:pPr>
              <w:spacing w:after="0" w:line="240" w:lineRule="auto"/>
              <w:jc w:val="center"/>
              <w:rPr>
                <w:rFonts w:ascii="Calibri" w:eastAsia="Times New Roman" w:hAnsi="Calibri" w:cs="Times New Roman"/>
                <w:noProof/>
                <w:color w:val="000000"/>
              </w:rPr>
            </w:pPr>
            <w:r>
              <w:rPr>
                <w:rFonts w:ascii="Calibri" w:hAnsi="Calibri"/>
                <w:noProof/>
                <w:color w:val="000000"/>
              </w:rPr>
              <w:t>2025</w:t>
            </w:r>
          </w:p>
        </w:tc>
        <w:tc>
          <w:tcPr>
            <w:tcW w:w="1834" w:type="dxa"/>
            <w:tcBorders>
              <w:top w:val="single" w:sz="4" w:space="0" w:color="000000"/>
              <w:left w:val="single" w:sz="4" w:space="0" w:color="000000"/>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rPr>
            </w:pPr>
            <w:r>
              <w:rPr>
                <w:rFonts w:ascii="Calibri" w:hAnsi="Calibri"/>
                <w:noProof/>
                <w:color w:val="000000"/>
              </w:rPr>
              <w:t>Letonia</w:t>
            </w:r>
          </w:p>
        </w:tc>
        <w:tc>
          <w:tcPr>
            <w:tcW w:w="16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200</w:t>
            </w:r>
          </w:p>
        </w:tc>
        <w:tc>
          <w:tcPr>
            <w:tcW w:w="1478" w:type="dxa"/>
            <w:tcBorders>
              <w:top w:val="single" w:sz="4" w:space="0" w:color="000000"/>
              <w:left w:val="single" w:sz="4" w:space="0" w:color="000000"/>
              <w:bottom w:val="nil"/>
              <w:right w:val="nil"/>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6</w:t>
            </w:r>
          </w:p>
        </w:tc>
        <w:tc>
          <w:tcPr>
            <w:tcW w:w="1678" w:type="dxa"/>
            <w:tcBorders>
              <w:top w:val="single" w:sz="4" w:space="0" w:color="000000"/>
              <w:left w:val="single" w:sz="4" w:space="0" w:color="000000"/>
              <w:bottom w:val="nil"/>
              <w:right w:val="single" w:sz="4" w:space="0" w:color="000000"/>
            </w:tcBorders>
            <w:shd w:val="clear" w:color="auto" w:fill="auto"/>
            <w:noWrap/>
            <w:vAlign w:val="bottom"/>
            <w:hideMark/>
          </w:tcPr>
          <w:p>
            <w:pPr>
              <w:spacing w:after="0" w:line="240" w:lineRule="auto"/>
              <w:jc w:val="right"/>
              <w:rPr>
                <w:rFonts w:ascii="Calibri" w:eastAsia="Times New Roman" w:hAnsi="Calibri" w:cs="Times New Roman"/>
                <w:noProof/>
                <w:color w:val="000000"/>
              </w:rPr>
            </w:pPr>
            <w:r>
              <w:rPr>
                <w:rFonts w:ascii="Calibri" w:hAnsi="Calibri"/>
                <w:noProof/>
                <w:color w:val="000000"/>
              </w:rPr>
              <w:t>206</w:t>
            </w:r>
          </w:p>
        </w:tc>
      </w:tr>
      <w:tr>
        <w:trPr>
          <w:trHeight w:val="293"/>
        </w:trPr>
        <w:tc>
          <w:tcPr>
            <w:tcW w:w="3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pPr>
              <w:spacing w:after="0" w:line="240" w:lineRule="auto"/>
              <w:jc w:val="center"/>
              <w:rPr>
                <w:rFonts w:ascii="Calibri" w:eastAsia="Times New Roman" w:hAnsi="Calibri" w:cs="Times New Roman"/>
                <w:b/>
                <w:bCs/>
                <w:noProof/>
                <w:color w:val="000000"/>
              </w:rPr>
            </w:pPr>
            <w:r>
              <w:rPr>
                <w:rFonts w:ascii="Calibri" w:hAnsi="Calibri"/>
                <w:b/>
                <w:bCs/>
                <w:noProof/>
                <w:color w:val="000000"/>
              </w:rPr>
              <w:t>Total general</w:t>
            </w:r>
          </w:p>
        </w:tc>
        <w:tc>
          <w:tcPr>
            <w:tcW w:w="1678" w:type="dxa"/>
            <w:tcBorders>
              <w:top w:val="single" w:sz="4" w:space="0" w:color="000000"/>
              <w:left w:val="nil"/>
              <w:bottom w:val="single" w:sz="4" w:space="0" w:color="000000"/>
              <w:right w:val="nil"/>
            </w:tcBorders>
            <w:shd w:val="clear" w:color="auto" w:fill="auto"/>
            <w:noWrap/>
            <w:vAlign w:val="bottom"/>
            <w:hideMark/>
          </w:tcPr>
          <w:p>
            <w:pPr>
              <w:spacing w:after="0" w:line="240" w:lineRule="auto"/>
              <w:jc w:val="right"/>
              <w:rPr>
                <w:rFonts w:ascii="Calibri" w:eastAsia="Times New Roman" w:hAnsi="Calibri" w:cs="Times New Roman"/>
                <w:b/>
                <w:bCs/>
                <w:noProof/>
                <w:color w:val="000000"/>
              </w:rPr>
            </w:pPr>
            <w:r>
              <w:rPr>
                <w:rFonts w:ascii="Calibri" w:hAnsi="Calibri"/>
                <w:b/>
                <w:bCs/>
                <w:noProof/>
                <w:color w:val="000000"/>
              </w:rPr>
              <w:t>4 200</w:t>
            </w:r>
          </w:p>
        </w:tc>
        <w:tc>
          <w:tcPr>
            <w:tcW w:w="1478" w:type="dxa"/>
            <w:tcBorders>
              <w:top w:val="single" w:sz="4" w:space="0" w:color="000000"/>
              <w:left w:val="single" w:sz="4" w:space="0" w:color="000000"/>
              <w:bottom w:val="single" w:sz="4" w:space="0" w:color="000000"/>
              <w:right w:val="nil"/>
            </w:tcBorders>
            <w:shd w:val="clear" w:color="auto" w:fill="auto"/>
            <w:noWrap/>
            <w:vAlign w:val="bottom"/>
            <w:hideMark/>
          </w:tcPr>
          <w:p>
            <w:pPr>
              <w:spacing w:after="0" w:line="240" w:lineRule="auto"/>
              <w:jc w:val="right"/>
              <w:rPr>
                <w:rFonts w:ascii="Calibri" w:eastAsia="Times New Roman" w:hAnsi="Calibri" w:cs="Times New Roman"/>
                <w:b/>
                <w:bCs/>
                <w:noProof/>
                <w:color w:val="000000"/>
              </w:rPr>
            </w:pPr>
            <w:r>
              <w:rPr>
                <w:rFonts w:ascii="Calibri" w:hAnsi="Calibri"/>
                <w:b/>
                <w:bCs/>
                <w:noProof/>
                <w:color w:val="000000"/>
              </w:rPr>
              <w:t>231</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Times New Roman"/>
                <w:b/>
                <w:bCs/>
                <w:noProof/>
                <w:color w:val="000000"/>
              </w:rPr>
            </w:pPr>
            <w:r>
              <w:rPr>
                <w:rFonts w:ascii="Calibri" w:hAnsi="Calibri"/>
                <w:b/>
                <w:bCs/>
                <w:noProof/>
                <w:color w:val="000000"/>
              </w:rPr>
              <w:t>4 431</w:t>
            </w:r>
          </w:p>
        </w:tc>
      </w:tr>
    </w:tbl>
    <w:p>
      <w:pPr>
        <w:spacing w:after="120" w:line="240" w:lineRule="auto"/>
        <w:jc w:val="right"/>
        <w:rPr>
          <w:rFonts w:eastAsia="Times New Roman" w:cs="Times New Roman"/>
          <w:noProof/>
        </w:rPr>
      </w:pPr>
      <w:r>
        <w:rPr>
          <w:noProof/>
        </w:rPr>
        <w:t>În milioane EUR</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În acest context, capacitatea restantă a instrumentului se ridică în prezent la 45,8 miliarde EUR. Până acum, nu s-a primit nicio cerere de sprijin suplimentar</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În general, toți beneficiarii menționați anterior și-au ameliorat rapid sustenabilitatea balanței de plăți și, prin urmare, au redobândit accesul la finanțarea bazată pe piață. În concluzie, instrumentul și-a îndeplinit rolul cu eficacitate.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În același timp, în perioada 2010-2013, setul de instrumente internaționale de asistență financiară a fost extins pentru a include instrumente mai flexibile și mai preventive. În zona euro, Mecanismul european de stabilitate (MES) dispune de un set de instrumente cuprinzător menit să satisfacă necesarul în materie de finanțare al membrilor săi. În Uniune, Mecanismul european de stabilizare financiară (MESF), care este în mare parte similar, în ceea ce privește procedurile, cu instrumentul BoP, a introdus un cadru mai flexibil pentru operațiunile de acordare și de solicitare de împrumuturi în scopuri macrofinanciare. În schimb, instrumentul BoP nu a suferit nicio modificare suplimentară.</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În consecință, s-a propus clarificarea normelor privind liniile de credit din Regulamentul BoP, precum și alinierea normelor privind operațiunile de acordare și de solicitare de împrumuturi la cele, mai flexibile, aplicabile Mecanismului european de stabilizare financiară (MESF).</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În plus, cadrul de supraveghere multilaterală a fost consolidat prin adoptarea pachetului privind guvernanța economică și a pachetului privind supravegherea și monitorizarea bugetare. Regulamentul (UE) 472/2013</w:t>
      </w:r>
      <w:r>
        <w:rPr>
          <w:rStyle w:val="FootnoteReference"/>
          <w:noProof/>
        </w:rPr>
        <w:footnoteReference w:id="4"/>
      </w:r>
      <w:r>
        <w:rPr>
          <w:rFonts w:ascii="Times New Roman" w:hAnsi="Times New Roman"/>
          <w:noProof/>
          <w:sz w:val="24"/>
          <w:szCs w:val="24"/>
        </w:rPr>
        <w:t xml:space="preserve"> privind consolidarea supravegherii economice și bugetare, în special, conține o serie de dispoziții vizând evitarea duplicării obligațiilor de raportare pentru țările din zona euro care primesc asistență financiară, printr-o suspendare a procedurii privind dezechilibrele macroeconomice (PDM) și a anumitor controale și obligații din cadrul semestrului european, precum și prin monitorizarea acestor țări în temeiul mecanismelor lor financiare nu al componentei preventive a Pactului de stabilitate și de creștere (PSC). În plus, Regulamentul 472/2013 stabilește, de asemenea, un cadru foarte clar pentru supravegherea țărilor din zona euro după încheierea asistenței financiare („supraveghere ulterioară aplicării programului”). S-a propus introducerea unor dispoziții similare pentru statele membre din afara zonei euro care primesc sprijin prin intermediul instrumentului BoP.</w:t>
      </w:r>
    </w:p>
    <w:p>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szCs w:val="20"/>
        </w:rPr>
        <w:t>Conținutul propunerii legislative și situația actuală</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La 22 iunie 2012, Comisia a prezentat o propunere legislativă, COM(2012) 336 final, de revizuire a instrumentului BoP. Aceasta nu vizează însă modificarea Regulamentului BoP, ci elaborarea unui nou regulament care să-l anuleze și să îl înlocuiască pe cel existent. Propunerea conține următoarele modificări principale ale instrumentului BoP:</w:t>
      </w:r>
    </w:p>
    <w:p>
      <w:pPr>
        <w:numPr>
          <w:ilvl w:val="0"/>
          <w:numId w:val="2"/>
        </w:numPr>
        <w:autoSpaceDE w:val="0"/>
        <w:autoSpaceDN w:val="0"/>
        <w:adjustRightInd w:val="0"/>
        <w:spacing w:before="120" w:after="120" w:line="240" w:lineRule="auto"/>
        <w:ind w:left="284" w:hanging="284"/>
        <w:jc w:val="both"/>
        <w:rPr>
          <w:rFonts w:ascii="Times New Roman" w:eastAsia="Times New Roman" w:hAnsi="Times New Roman" w:cs="Times New Roman"/>
          <w:noProof/>
          <w:sz w:val="24"/>
          <w:szCs w:val="20"/>
        </w:rPr>
      </w:pPr>
      <w:r>
        <w:rPr>
          <w:rFonts w:ascii="Times New Roman" w:hAnsi="Times New Roman"/>
          <w:noProof/>
          <w:sz w:val="24"/>
          <w:szCs w:val="20"/>
          <w:u w:val="single"/>
        </w:rPr>
        <w:t>Un set de instrumente mai flexibile:</w:t>
      </w:r>
      <w:r>
        <w:rPr>
          <w:rFonts w:ascii="Times New Roman" w:hAnsi="Times New Roman"/>
          <w:noProof/>
          <w:sz w:val="24"/>
          <w:szCs w:val="20"/>
        </w:rPr>
        <w:t xml:space="preserve"> un instrument special privind liniile de credit poate lua forma unei linii de credit condiționate cu scop preventiv (</w:t>
      </w:r>
      <w:r>
        <w:rPr>
          <w:rFonts w:ascii="Times New Roman" w:hAnsi="Times New Roman"/>
          <w:i/>
          <w:noProof/>
          <w:sz w:val="24"/>
          <w:szCs w:val="20"/>
        </w:rPr>
        <w:t>precautionary conditioned credit line</w:t>
      </w:r>
      <w:r>
        <w:rPr>
          <w:rFonts w:ascii="Times New Roman" w:hAnsi="Times New Roman"/>
          <w:noProof/>
          <w:sz w:val="24"/>
          <w:szCs w:val="20"/>
        </w:rPr>
        <w:t>, PCCL), care este o linie de credit bazată pe condiții de eligibilitate, sau a unei linii de credit cu condiții mai stricte (</w:t>
      </w:r>
      <w:r>
        <w:rPr>
          <w:rFonts w:ascii="Times New Roman" w:hAnsi="Times New Roman"/>
          <w:i/>
          <w:noProof/>
          <w:sz w:val="24"/>
          <w:szCs w:val="20"/>
        </w:rPr>
        <w:t>enhanced conditions credit line</w:t>
      </w:r>
      <w:r>
        <w:rPr>
          <w:rFonts w:ascii="Times New Roman" w:hAnsi="Times New Roman"/>
          <w:noProof/>
          <w:sz w:val="24"/>
          <w:szCs w:val="20"/>
        </w:rPr>
        <w:t>, ECCL), care este o linie de credit bazată pe o combinație de condiții de eligibilitate și noi măsuri strategice. Accesul la PCCL trebuie rezervat pentru statele membre a căror situație financiară și economică este încă fundamental solidă și care îndeplinesc un set convenit de criterii de eligibilitate. Accesul la ECCL trebuie deschis pentru statele membre care nu sunt eligibile pentru accesarea PCCL, dar a căror situație economică și financiară generală este în continuare solidă. Acestea trebuie să adopte măsuri corective.</w:t>
      </w:r>
    </w:p>
    <w:p>
      <w:pPr>
        <w:numPr>
          <w:ilvl w:val="0"/>
          <w:numId w:val="2"/>
        </w:numPr>
        <w:spacing w:before="120" w:after="120" w:line="240" w:lineRule="auto"/>
        <w:ind w:left="284" w:hanging="284"/>
        <w:jc w:val="both"/>
        <w:rPr>
          <w:rFonts w:ascii="Times New Roman" w:eastAsia="Times New Roman" w:hAnsi="Times New Roman" w:cs="Times New Roman"/>
          <w:noProof/>
          <w:sz w:val="24"/>
          <w:szCs w:val="20"/>
        </w:rPr>
      </w:pPr>
      <w:r>
        <w:rPr>
          <w:rFonts w:ascii="Times New Roman" w:hAnsi="Times New Roman"/>
          <w:noProof/>
          <w:sz w:val="24"/>
          <w:szCs w:val="20"/>
          <w:u w:val="single"/>
        </w:rPr>
        <w:t>O mai mare transparență și responsabilitate:</w:t>
      </w:r>
      <w:r>
        <w:rPr>
          <w:rFonts w:ascii="Times New Roman" w:hAnsi="Times New Roman"/>
          <w:noProof/>
          <w:sz w:val="24"/>
          <w:szCs w:val="20"/>
        </w:rPr>
        <w:t xml:space="preserve"> comisia de specialitate a Parlamentului European poate oferi statului membru în cauză ocazia de a participa la un schimb de opinii cu privire la progresele realizate în ceea ce privește punerea în aplicare a programului de ajustare. Reprezentanții Comisiei pot fi invitați de către parlamentul național al statului membru în cauză să participe la un schimb de opinii cu privire la progresele realizate în ceea ce privește punerea în aplicare a programului de ajustare macroeconomică.</w:t>
      </w:r>
    </w:p>
    <w:p>
      <w:pPr>
        <w:numPr>
          <w:ilvl w:val="0"/>
          <w:numId w:val="2"/>
        </w:numPr>
        <w:autoSpaceDE w:val="0"/>
        <w:autoSpaceDN w:val="0"/>
        <w:adjustRightInd w:val="0"/>
        <w:spacing w:before="120" w:after="120" w:line="240" w:lineRule="auto"/>
        <w:ind w:left="284" w:hanging="284"/>
        <w:jc w:val="both"/>
        <w:rPr>
          <w:rFonts w:ascii="Times New Roman" w:eastAsia="Times New Roman" w:hAnsi="Times New Roman" w:cs="Times New Roman"/>
          <w:noProof/>
          <w:sz w:val="24"/>
          <w:szCs w:val="20"/>
        </w:rPr>
      </w:pPr>
      <w:r>
        <w:rPr>
          <w:rFonts w:ascii="Times New Roman" w:hAnsi="Times New Roman"/>
          <w:noProof/>
          <w:sz w:val="24"/>
          <w:szCs w:val="20"/>
          <w:u w:val="single"/>
        </w:rPr>
        <w:t>Supraveghere mai strictă:</w:t>
      </w:r>
      <w:r>
        <w:rPr>
          <w:rFonts w:ascii="Times New Roman" w:hAnsi="Times New Roman"/>
          <w:noProof/>
          <w:sz w:val="24"/>
          <w:szCs w:val="20"/>
        </w:rPr>
        <w:t xml:space="preserve"> care să constea într-un acces mai larg al Comisiei la informațiile necesare pentru o monitorizare atentă a situației economice, bugetare și financiare a statului membru în cauză și pentru întocmirea unui raport periodic. Un stat membru care face obiectul unei supravegheri mai stricte trebuie să adopte măsuri care vizează remedierea potențialelor surse de dificultăți economice.</w:t>
      </w:r>
    </w:p>
    <w:p>
      <w:pPr>
        <w:numPr>
          <w:ilvl w:val="0"/>
          <w:numId w:val="2"/>
        </w:numPr>
        <w:autoSpaceDE w:val="0"/>
        <w:autoSpaceDN w:val="0"/>
        <w:adjustRightInd w:val="0"/>
        <w:spacing w:before="120" w:after="120" w:line="240" w:lineRule="auto"/>
        <w:ind w:left="284" w:hanging="284"/>
        <w:jc w:val="both"/>
        <w:rPr>
          <w:rFonts w:ascii="Times New Roman" w:eastAsia="Times New Roman" w:hAnsi="Times New Roman" w:cs="Times New Roman"/>
          <w:noProof/>
          <w:sz w:val="24"/>
          <w:szCs w:val="20"/>
        </w:rPr>
      </w:pPr>
      <w:r>
        <w:rPr>
          <w:rFonts w:ascii="Times New Roman" w:hAnsi="Times New Roman"/>
          <w:noProof/>
          <w:sz w:val="24"/>
          <w:szCs w:val="20"/>
          <w:u w:val="single"/>
        </w:rPr>
        <w:t>Raționalizarea procedurilor de supraveghere:</w:t>
      </w:r>
      <w:r>
        <w:rPr>
          <w:rFonts w:ascii="Times New Roman" w:hAnsi="Times New Roman"/>
          <w:noProof/>
          <w:sz w:val="24"/>
          <w:szCs w:val="20"/>
        </w:rPr>
        <w:t xml:space="preserve"> prin înlocuirea unei serii de măsuri de monitorizare din cadrul componentei preventive a PSC și al semestrului european cu programul de ajustare macroeconomică și monitorizarea acestuia. În mod similar, regulamentul revizuit prevede, de asemenea, suspendarea PDM în cazul în care un stat membru face obiectul unui program de ajustare macroeconomică și impune instituirea unei supravegheri post-asistență în cazul statelor membre care au rambursat mai puțin de 75% din asistența financiară primită.</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Pe lângă aceste modificări propuse de Comisie, Parlamentul European a solicitat includerea posibilității de a acorda împrumuturi statelor membre din afara zonei euro pentru recapitalizarea instituțiilor financiare (instrumentul privind recapitalizarea indirectă). Ca răspuns la această solicitare, Comisia a fost de acord să clarifice faptul că nevoile de finanțare care rezultă din necesitatea de a recapitaliza instituțiile financiare ar putea fi abordate prin intermediul instrumentului și că s-ar putea ajusta condiționalitatea necesară</w:t>
      </w:r>
      <w:r>
        <w:rPr>
          <w:rFonts w:ascii="Times New Roman" w:hAnsi="Times New Roman"/>
          <w:noProof/>
          <w:sz w:val="24"/>
          <w:szCs w:val="20"/>
        </w:rPr>
        <w:t xml:space="preserve"> pentru a soluționa în primul rând aceste probleme.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Consiliul a discutat ultima dată propunerea modificată a Comisiei în decembrie 2013, pentru a conveni asupra unei poziții comune. Propunerea s-a bucurat de un sprijin larg, cu excepția unui singur stat membru. De atunci, procesul legislativ a stagnat.</w:t>
      </w:r>
    </w:p>
    <w:p>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 xml:space="preserve">Concluzii și </w:t>
      </w:r>
      <w:r>
        <w:rPr>
          <w:rFonts w:ascii="Times New Roman" w:hAnsi="Times New Roman"/>
          <w:b/>
          <w:smallCaps/>
          <w:noProof/>
          <w:sz w:val="24"/>
          <w:szCs w:val="20"/>
        </w:rPr>
        <w:t>recomandări</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Începând din 2012, instrumentul BoP își îndeplinește rolul cu eficacitate, având în vedere faptul că cele mai recente state membre beneficiare și-au ameliorat cu succes poziția sustenabilă a balanței de plăți și au rambursat asistența la timp.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Plafonul de 50 de miliarde EUR pentru împrumuturile care pot fi acordate (în ceea ce privește principalul) pare adecvat. Nu este necesar să se revizuiască acest plafon, luând în considerare faptul că, în prezent, capacitata restantă a instrumentului se ridică la 45,8 miliarde EUR, în condițiile în care nu există cereri suplimentare.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Instrumentul s-a dovedit a fi deosebit de eficace în trecut și transmite un semnal puternic cu privire la faptul că Uniunea are atât dorința, cât și capacitatea de a-i sprijini pe toți membrii săi în perioadele dificile. Această concluzie are o valoare deosebită în contextul incertitudinilor actuale.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În același timp, a devenit evident că instrumentul BoP trebuia adaptat pentru a reflecta inovările instituționale care au avut loc de la ultima revizuire a acestuia, în principal în ceea ce privește zona euro. În acest scop, Comisia a prezentat propunerea COM(2012) 336 final, care se află încă în curs de examinare în cadrul Consiliului. Comisia propune finalizarea procesului legislativ deoarece acesta ameliorează procedura și, prin urmare, contribuie la crearea unor condiții de concurență echitabile între statele membre. În plus, Comisia consideră că mediul politic în schimbare reprezintă o oportunitate de a oferi un nou impuls propunerii.</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00902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rPr>
          <w:rFonts w:ascii="Times New Roman" w:hAnsi="Times New Roman"/>
        </w:rPr>
        <w:t>JO L 53, 23.2.2002, p. 1.</w:t>
      </w: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 L 118, 12.5.2010, p. 1.</w:t>
      </w:r>
    </w:p>
  </w:footnote>
  <w:footnote w:id="3">
    <w:p>
      <w:pPr>
        <w:pStyle w:val="FootnoteText"/>
        <w:jc w:val="both"/>
      </w:pPr>
      <w:r>
        <w:rPr>
          <w:rStyle w:val="FootnoteReference"/>
          <w:rFonts w:ascii="Times New Roman" w:hAnsi="Times New Roman" w:cs="Times New Roman"/>
        </w:rPr>
        <w:footnoteRef/>
      </w:r>
      <w:r>
        <w:rPr>
          <w:rFonts w:ascii="Times New Roman" w:hAnsi="Times New Roman"/>
        </w:rPr>
        <w:t xml:space="preserve"> În prezent, din această categorie fac parte nouă state membre: Bulgaria, Croația, Republica Cehă, Danemarca, Ungaria, Polonia, România, Suedia și Regatul Unit [în ceea ce-l privește pe acesta din urmă, protocolul 15 anexat la tratate prevede că articolele 143 și 144 din Tratatul privind funcționarea Uniunii Europene (TFUE) continuă să se aplice].</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Regulamentul (UE) nr. 472/2013 al Parlamentului European și al Consiliului din 21 mai 2013 privind consolidarea supravegherii economice și bugetare a statelor membre din zona euro care întâmpină sau care sunt amenințate de dificultăți grave în ceea ce privește stabilitatea lor financiară (JO L 140, 27.5.2013,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07B53"/>
    <w:multiLevelType w:val="hybridMultilevel"/>
    <w:tmpl w:val="68FA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066278"/>
    <w:multiLevelType w:val="hybridMultilevel"/>
    <w:tmpl w:val="BD28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D66DBF"/>
    <w:multiLevelType w:val="hybridMultilevel"/>
    <w:tmpl w:val="2CFE7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D1CA797772448A3BE2FA60D53F526FE"/>
    <w:docVar w:name="LW_CROSSREFERENCE" w:val="&lt;UNUSED&gt;"/>
    <w:docVar w:name="LW_DocType" w:val="NORMAL"/>
    <w:docVar w:name="LW_EMISSION" w:val="30.8.2017"/>
    <w:docVar w:name="LW_EMISSION_ISODATE" w:val="2017-08-30"/>
    <w:docVar w:name="LW_EMISSION_LOCATION" w:val="BRX"/>
    <w:docVar w:name="LW_EMISSION_PREFIX" w:val="Bruxelles, "/>
    <w:docVar w:name="LW_EMISSION_SUFFIX" w:val=" "/>
    <w:docVar w:name="LW_ID_DOCTYPE_NONLW" w:val="CP-004"/>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7) 459"/>
    <w:docVar w:name="LW_REF.INTERNE" w:val="&lt;UNUSED&gt;"/>
    <w:docVar w:name="LW_SOUS.TITRE.OBJ.CP" w:val="&lt;UNUSED&gt;"/>
    <w:docVar w:name="LW_SUPERTITRE" w:val="&lt;UNUSED&gt;"/>
    <w:docVar w:name="LW_TITRE.OBJ.CP" w:val="Raport privind utilizarea mecanismului Uniunii de asisten\u539?\u259? financiar\u259? pe termen mediu pentru balan\u539?ele de pl\u259?\u539?i ale statelor membre în temeiul articolului 10 din Regulamentul (CE) nr. 332/2002 al Consiliului"/>
    <w:docVar w:name="LW_TYPE.DOC.CP" w:val="RAPORT AL COMISIEI C\u258?TRE CONSILI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Footnote Reference Number,Footnote symbol"/>
    <w:rPr>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Footnote Reference Number,Footnote symbol"/>
    <w:rPr>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39EA-2696-43DE-99D5-C2E5F18F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1898</Words>
  <Characters>11071</Characters>
  <Application>Microsoft Office Word</Application>
  <DocSecurity>0</DocSecurity>
  <Lines>230</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dcterms:created xsi:type="dcterms:W3CDTF">2017-07-07T13:51:00Z</dcterms:created>
  <dcterms:modified xsi:type="dcterms:W3CDTF">2017-08-21T13:16:00Z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