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01301F26C5034681A4010C4A6D6B4625" style="width:450.35pt;height:3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rPr>
          <w:noProof/>
        </w:rPr>
      </w:pPr>
      <w:bookmarkStart w:id="1" w:name="_GoBack"/>
      <w:bookmarkEnd w:id="1"/>
      <w:r>
        <w:rPr>
          <w:noProof/>
        </w:rPr>
        <w:lastRenderedPageBreak/>
        <w:t>CUPRINS</w:t>
      </w:r>
    </w:p>
    <w:sdt>
      <w:sdtPr>
        <w:rPr>
          <w:rFonts w:asciiTheme="minorHAnsi" w:eastAsiaTheme="minorHAnsi" w:hAnsiTheme="minorHAnsi" w:cstheme="minorBidi"/>
          <w:b w:val="0"/>
          <w:bCs w:val="0"/>
          <w:noProof/>
          <w:color w:val="auto"/>
          <w:spacing w:val="-4"/>
          <w:sz w:val="22"/>
          <w:szCs w:val="22"/>
        </w:rPr>
        <w:id w:val="-1631860010"/>
        <w:docPartObj>
          <w:docPartGallery w:val="Table of Contents"/>
          <w:docPartUnique/>
        </w:docPartObj>
      </w:sdtPr>
      <w:sdtEndPr>
        <w:rPr>
          <w:rFonts w:asciiTheme="majorHAnsi" w:hAnsiTheme="majorHAnsi" w:cstheme="majorBidi"/>
          <w:b/>
          <w:bCs/>
        </w:rPr>
      </w:sdtEndPr>
      <w:sdtContent>
        <w:p>
          <w:pPr>
            <w:pStyle w:val="TOCHeading"/>
            <w:rPr>
              <w:noProof/>
            </w:rPr>
          </w:pPr>
        </w:p>
        <w:p>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75103655" w:history="1">
            <w:r>
              <w:rPr>
                <w:rStyle w:val="Hyperlink"/>
                <w:rFonts w:ascii="Times New Roman" w:hAnsi="Times New Roman"/>
              </w:rPr>
              <w:t>Rezumat</w:t>
            </w:r>
            <w:r>
              <w:rPr>
                <w:webHidden/>
              </w:rPr>
              <w:tab/>
            </w:r>
            <w:r>
              <w:rPr>
                <w:webHidden/>
              </w:rPr>
              <w:fldChar w:fldCharType="begin"/>
            </w:r>
            <w:r>
              <w:rPr>
                <w:webHidden/>
              </w:rPr>
              <w:instrText xml:space="preserve"> PAGEREF _Toc475103655 \h </w:instrText>
            </w:r>
            <w:r>
              <w:rPr>
                <w:webHidden/>
              </w:rPr>
            </w:r>
            <w:r>
              <w:rPr>
                <w:webHidden/>
              </w:rPr>
              <w:fldChar w:fldCharType="separate"/>
            </w:r>
            <w:r>
              <w:rPr>
                <w:webHidden/>
              </w:rPr>
              <w:t>3</w:t>
            </w:r>
            <w:r>
              <w:rPr>
                <w:webHidden/>
              </w:rPr>
              <w:fldChar w:fldCharType="end"/>
            </w:r>
          </w:hyperlink>
        </w:p>
        <w:p>
          <w:pPr>
            <w:pStyle w:val="TOC1"/>
            <w:rPr>
              <w:rFonts w:asciiTheme="minorHAnsi" w:eastAsiaTheme="minorEastAsia" w:hAnsiTheme="minorHAnsi" w:cstheme="minorBidi"/>
              <w:lang w:bidi="ar-SA"/>
            </w:rPr>
          </w:pPr>
          <w:hyperlink w:anchor="_Toc475103656" w:history="1">
            <w:r>
              <w:rPr>
                <w:rStyle w:val="Hyperlink"/>
                <w:rFonts w:ascii="Times New Roman" w:hAnsi="Times New Roman"/>
              </w:rPr>
              <w:t>1.</w:t>
            </w:r>
            <w:r>
              <w:rPr>
                <w:rFonts w:asciiTheme="minorHAnsi" w:eastAsiaTheme="minorEastAsia" w:hAnsiTheme="minorHAnsi" w:cstheme="minorBidi"/>
                <w:lang w:bidi="ar-SA"/>
              </w:rPr>
              <w:tab/>
            </w:r>
            <w:r>
              <w:rPr>
                <w:rStyle w:val="Hyperlink"/>
                <w:rFonts w:ascii="Times New Roman" w:hAnsi="Times New Roman"/>
              </w:rPr>
              <w:t>Introducere</w:t>
            </w:r>
            <w:r>
              <w:rPr>
                <w:webHidden/>
              </w:rPr>
              <w:tab/>
            </w:r>
            <w:r>
              <w:rPr>
                <w:webHidden/>
              </w:rPr>
              <w:fldChar w:fldCharType="begin"/>
            </w:r>
            <w:r>
              <w:rPr>
                <w:webHidden/>
              </w:rPr>
              <w:instrText xml:space="preserve"> PAGEREF _Toc475103656 \h </w:instrText>
            </w:r>
            <w:r>
              <w:rPr>
                <w:webHidden/>
              </w:rPr>
            </w:r>
            <w:r>
              <w:rPr>
                <w:webHidden/>
              </w:rPr>
              <w:fldChar w:fldCharType="separate"/>
            </w:r>
            <w:r>
              <w:rPr>
                <w:webHidden/>
              </w:rPr>
              <w:t>4</w:t>
            </w:r>
            <w:r>
              <w:rPr>
                <w:webHidden/>
              </w:rPr>
              <w:fldChar w:fldCharType="end"/>
            </w:r>
          </w:hyperlink>
        </w:p>
        <w:p>
          <w:pPr>
            <w:pStyle w:val="TOC1"/>
            <w:rPr>
              <w:rFonts w:asciiTheme="minorHAnsi" w:eastAsiaTheme="minorEastAsia" w:hAnsiTheme="minorHAnsi" w:cstheme="minorBidi"/>
              <w:lang w:bidi="ar-SA"/>
            </w:rPr>
          </w:pPr>
          <w:hyperlink w:anchor="_Toc475103657" w:history="1">
            <w:r>
              <w:rPr>
                <w:rStyle w:val="Hyperlink"/>
                <w:rFonts w:ascii="Times New Roman" w:hAnsi="Times New Roman"/>
              </w:rPr>
              <w:t>2.</w:t>
            </w:r>
            <w:r>
              <w:rPr>
                <w:rFonts w:asciiTheme="minorHAnsi" w:eastAsiaTheme="minorEastAsia" w:hAnsiTheme="minorHAnsi" w:cstheme="minorBidi"/>
                <w:lang w:bidi="ar-SA"/>
              </w:rPr>
              <w:tab/>
            </w:r>
            <w:r>
              <w:rPr>
                <w:rStyle w:val="Hyperlink"/>
                <w:rFonts w:ascii="Times New Roman" w:hAnsi="Times New Roman"/>
              </w:rPr>
              <w:t>Resurse disponibile pentru misiunile UE</w:t>
            </w:r>
            <w:r>
              <w:rPr>
                <w:webHidden/>
              </w:rPr>
              <w:tab/>
            </w:r>
            <w:r>
              <w:rPr>
                <w:webHidden/>
              </w:rPr>
              <w:fldChar w:fldCharType="begin"/>
            </w:r>
            <w:r>
              <w:rPr>
                <w:webHidden/>
              </w:rPr>
              <w:instrText xml:space="preserve"> PAGEREF _Toc475103657 \h </w:instrText>
            </w:r>
            <w:r>
              <w:rPr>
                <w:webHidden/>
              </w:rPr>
            </w:r>
            <w:r>
              <w:rPr>
                <w:webHidden/>
              </w:rPr>
              <w:fldChar w:fldCharType="separate"/>
            </w:r>
            <w:r>
              <w:rPr>
                <w:webHidden/>
              </w:rPr>
              <w:t>5</w:t>
            </w:r>
            <w:r>
              <w:rPr>
                <w:webHidden/>
              </w:rPr>
              <w:fldChar w:fldCharType="end"/>
            </w:r>
          </w:hyperlink>
        </w:p>
        <w:p>
          <w:pPr>
            <w:pStyle w:val="TOC1"/>
            <w:rPr>
              <w:rFonts w:asciiTheme="minorHAnsi" w:eastAsiaTheme="minorEastAsia" w:hAnsiTheme="minorHAnsi" w:cstheme="minorBidi"/>
              <w:lang w:bidi="ar-SA"/>
            </w:rPr>
          </w:pPr>
          <w:hyperlink w:anchor="_Toc475103658" w:history="1">
            <w:r>
              <w:rPr>
                <w:rStyle w:val="Hyperlink"/>
              </w:rPr>
              <w:t>3.</w:t>
            </w:r>
            <w:r>
              <w:rPr>
                <w:rFonts w:asciiTheme="minorHAnsi" w:eastAsiaTheme="minorEastAsia" w:hAnsiTheme="minorHAnsi" w:cstheme="minorBidi"/>
                <w:lang w:bidi="ar-SA"/>
              </w:rPr>
              <w:tab/>
            </w:r>
            <w:r>
              <w:rPr>
                <w:rStyle w:val="Hyperlink"/>
                <w:rFonts w:ascii="Times New Roman" w:hAnsi="Times New Roman"/>
              </w:rPr>
              <w:t>Lacune poten</w:t>
            </w:r>
            <w:r>
              <w:rPr>
                <w:rStyle w:val="Hyperlink"/>
                <w:rFonts w:ascii="Times New Roman" w:hAnsi="Times New Roman"/>
                <w:b w:val="0"/>
              </w:rPr>
              <w:t>ț</w:t>
            </w:r>
            <w:r>
              <w:rPr>
                <w:rStyle w:val="Hyperlink"/>
                <w:rFonts w:ascii="Times New Roman" w:hAnsi="Times New Roman"/>
              </w:rPr>
              <w:t>ial semnificative în ceea ce prive</w:t>
            </w:r>
            <w:r>
              <w:rPr>
                <w:rStyle w:val="Hyperlink"/>
                <w:rFonts w:ascii="Times New Roman" w:hAnsi="Times New Roman"/>
                <w:b w:val="0"/>
              </w:rPr>
              <w:t>ș</w:t>
            </w:r>
            <w:r>
              <w:rPr>
                <w:rStyle w:val="Hyperlink"/>
                <w:rFonts w:ascii="Times New Roman" w:hAnsi="Times New Roman"/>
              </w:rPr>
              <w:t>te capacitatea UE de a răspunde la dezastre</w:t>
            </w:r>
            <w:r>
              <w:rPr>
                <w:webHidden/>
              </w:rPr>
              <w:tab/>
            </w:r>
            <w:r>
              <w:rPr>
                <w:webHidden/>
              </w:rPr>
              <w:fldChar w:fldCharType="begin"/>
            </w:r>
            <w:r>
              <w:rPr>
                <w:webHidden/>
              </w:rPr>
              <w:instrText xml:space="preserve"> PAGEREF _Toc475103658 \h </w:instrText>
            </w:r>
            <w:r>
              <w:rPr>
                <w:webHidden/>
              </w:rPr>
            </w:r>
            <w:r>
              <w:rPr>
                <w:webHidden/>
              </w:rPr>
              <w:fldChar w:fldCharType="separate"/>
            </w:r>
            <w:r>
              <w:rPr>
                <w:webHidden/>
              </w:rPr>
              <w:t>5</w:t>
            </w:r>
            <w:r>
              <w:rPr>
                <w:webHidden/>
              </w:rPr>
              <w:fldChar w:fldCharType="end"/>
            </w:r>
          </w:hyperlink>
        </w:p>
        <w:p>
          <w:pPr>
            <w:pStyle w:val="TOC2"/>
            <w:tabs>
              <w:tab w:val="right" w:leader="dot" w:pos="9062"/>
            </w:tabs>
            <w:rPr>
              <w:rFonts w:asciiTheme="minorHAnsi" w:eastAsiaTheme="minorEastAsia" w:hAnsiTheme="minorHAnsi" w:cstheme="minorBidi"/>
              <w:noProof/>
              <w:lang w:bidi="ar-SA"/>
            </w:rPr>
          </w:pPr>
          <w:hyperlink w:anchor="_Toc475103659" w:history="1">
            <w:r>
              <w:rPr>
                <w:rStyle w:val="Hyperlink"/>
                <w:rFonts w:ascii="Times New Roman" w:hAnsi="Times New Roman"/>
                <w:b/>
                <w:noProof/>
              </w:rPr>
              <w:t>3.1 Avioane pentru stingerea incendiilor forestiere</w:t>
            </w:r>
            <w:r>
              <w:rPr>
                <w:noProof/>
                <w:webHidden/>
              </w:rPr>
              <w:tab/>
            </w:r>
            <w:r>
              <w:rPr>
                <w:noProof/>
                <w:webHidden/>
              </w:rPr>
              <w:fldChar w:fldCharType="begin"/>
            </w:r>
            <w:r>
              <w:rPr>
                <w:noProof/>
                <w:webHidden/>
              </w:rPr>
              <w:instrText xml:space="preserve"> PAGEREF _Toc475103659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lang w:bidi="ar-SA"/>
            </w:rPr>
          </w:pPr>
          <w:hyperlink w:anchor="_Toc475103660" w:history="1">
            <w:r>
              <w:rPr>
                <w:rStyle w:val="Hyperlink"/>
                <w:rFonts w:ascii="Times New Roman" w:hAnsi="Times New Roman"/>
                <w:b/>
                <w:noProof/>
              </w:rPr>
              <w:t>3.2</w:t>
            </w:r>
            <w:r>
              <w:rPr>
                <w:rFonts w:asciiTheme="minorHAnsi" w:eastAsiaTheme="minorEastAsia" w:hAnsiTheme="minorHAnsi" w:cstheme="minorBidi"/>
                <w:noProof/>
                <w:lang w:bidi="ar-SA"/>
              </w:rPr>
              <w:tab/>
            </w:r>
            <w:r>
              <w:rPr>
                <w:rStyle w:val="Hyperlink"/>
                <w:rFonts w:ascii="Times New Roman" w:hAnsi="Times New Roman"/>
                <w:b/>
                <w:noProof/>
              </w:rPr>
              <w:t>Adăposturi și asistență conexă</w:t>
            </w:r>
            <w:r>
              <w:rPr>
                <w:noProof/>
                <w:webHidden/>
              </w:rPr>
              <w:tab/>
            </w:r>
            <w:r>
              <w:rPr>
                <w:noProof/>
                <w:webHidden/>
              </w:rPr>
              <w:fldChar w:fldCharType="begin"/>
            </w:r>
            <w:r>
              <w:rPr>
                <w:noProof/>
                <w:webHidden/>
              </w:rPr>
              <w:instrText xml:space="preserve"> PAGEREF _Toc475103660 \h </w:instrText>
            </w:r>
            <w:r>
              <w:rPr>
                <w:noProof/>
                <w:webHidden/>
              </w:rPr>
            </w:r>
            <w:r>
              <w:rPr>
                <w:noProof/>
                <w:webHidden/>
              </w:rPr>
              <w:fldChar w:fldCharType="separate"/>
            </w:r>
            <w:r>
              <w:rPr>
                <w:noProof/>
                <w:webHidden/>
              </w:rPr>
              <w:t>6</w:t>
            </w:r>
            <w:r>
              <w:rPr>
                <w:noProof/>
                <w:webHidden/>
              </w:rPr>
              <w:fldChar w:fldCharType="end"/>
            </w:r>
          </w:hyperlink>
        </w:p>
        <w:p>
          <w:pPr>
            <w:pStyle w:val="TOC1"/>
            <w:rPr>
              <w:rFonts w:asciiTheme="minorHAnsi" w:eastAsiaTheme="minorEastAsia" w:hAnsiTheme="minorHAnsi" w:cstheme="minorBidi"/>
              <w:lang w:bidi="ar-SA"/>
            </w:rPr>
          </w:pPr>
          <w:hyperlink w:anchor="_Toc475103661" w:history="1">
            <w:r>
              <w:rPr>
                <w:rStyle w:val="Hyperlink"/>
                <w:rFonts w:ascii="Times New Roman" w:hAnsi="Times New Roman"/>
              </w:rPr>
              <w:t>4.</w:t>
            </w:r>
            <w:r>
              <w:rPr>
                <w:rFonts w:asciiTheme="minorHAnsi" w:eastAsiaTheme="minorEastAsia" w:hAnsiTheme="minorHAnsi" w:cstheme="minorBidi"/>
                <w:lang w:bidi="ar-SA"/>
              </w:rPr>
              <w:tab/>
            </w:r>
            <w:r>
              <w:rPr>
                <w:rStyle w:val="Hyperlink"/>
                <w:rFonts w:ascii="Times New Roman" w:hAnsi="Times New Roman"/>
              </w:rPr>
              <w:t>Tipuri de resurse care necesită o evaluare suplimentară</w:t>
            </w:r>
            <w:r>
              <w:rPr>
                <w:webHidden/>
              </w:rPr>
              <w:tab/>
            </w:r>
            <w:r>
              <w:rPr>
                <w:webHidden/>
              </w:rPr>
              <w:fldChar w:fldCharType="begin"/>
            </w:r>
            <w:r>
              <w:rPr>
                <w:webHidden/>
              </w:rPr>
              <w:instrText xml:space="preserve"> PAGEREF _Toc475103661 \h </w:instrText>
            </w:r>
            <w:r>
              <w:rPr>
                <w:webHidden/>
              </w:rPr>
            </w:r>
            <w:r>
              <w:rPr>
                <w:webHidden/>
              </w:rPr>
              <w:fldChar w:fldCharType="separate"/>
            </w:r>
            <w:r>
              <w:rPr>
                <w:webHidden/>
              </w:rPr>
              <w:t>7</w:t>
            </w:r>
            <w:r>
              <w:rPr>
                <w:webHidden/>
              </w:rPr>
              <w:fldChar w:fldCharType="end"/>
            </w:r>
          </w:hyperlink>
        </w:p>
        <w:p>
          <w:pPr>
            <w:pStyle w:val="TOC2"/>
            <w:tabs>
              <w:tab w:val="left" w:pos="880"/>
              <w:tab w:val="right" w:leader="dot" w:pos="9062"/>
            </w:tabs>
            <w:rPr>
              <w:rFonts w:asciiTheme="minorHAnsi" w:eastAsiaTheme="minorEastAsia" w:hAnsiTheme="minorHAnsi" w:cstheme="minorBidi"/>
              <w:noProof/>
              <w:lang w:bidi="ar-SA"/>
            </w:rPr>
          </w:pPr>
          <w:hyperlink w:anchor="_Toc475103662" w:history="1">
            <w:r>
              <w:rPr>
                <w:rStyle w:val="Hyperlink"/>
                <w:rFonts w:ascii="Times New Roman" w:hAnsi="Times New Roman"/>
                <w:b/>
                <w:noProof/>
              </w:rPr>
              <w:t>4.1</w:t>
            </w:r>
            <w:r>
              <w:rPr>
                <w:rFonts w:asciiTheme="minorHAnsi" w:eastAsiaTheme="minorEastAsia" w:hAnsiTheme="minorHAnsi" w:cstheme="minorBidi"/>
                <w:noProof/>
                <w:lang w:bidi="ar-SA"/>
              </w:rPr>
              <w:tab/>
            </w:r>
            <w:r>
              <w:rPr>
                <w:rStyle w:val="Hyperlink"/>
                <w:rFonts w:ascii="Times New Roman" w:hAnsi="Times New Roman"/>
                <w:b/>
                <w:noProof/>
              </w:rPr>
              <w:t>Resurse necesare în cazul dezastrelor chimice, biologice, radiologice și nucleare</w:t>
            </w:r>
            <w:r>
              <w:rPr>
                <w:noProof/>
                <w:webHidden/>
              </w:rPr>
              <w:tab/>
            </w:r>
            <w:r>
              <w:rPr>
                <w:noProof/>
                <w:webHidden/>
              </w:rPr>
              <w:fldChar w:fldCharType="begin"/>
            </w:r>
            <w:r>
              <w:rPr>
                <w:noProof/>
                <w:webHidden/>
              </w:rPr>
              <w:instrText xml:space="preserve"> PAGEREF _Toc475103662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lang w:bidi="ar-SA"/>
            </w:rPr>
          </w:pPr>
          <w:hyperlink w:anchor="_Toc475103663" w:history="1">
            <w:r>
              <w:rPr>
                <w:rStyle w:val="Hyperlink"/>
                <w:rFonts w:ascii="Times New Roman" w:hAnsi="Times New Roman"/>
                <w:b/>
                <w:noProof/>
              </w:rPr>
              <w:t>4.2</w:t>
            </w:r>
            <w:r>
              <w:rPr>
                <w:rFonts w:asciiTheme="minorHAnsi" w:eastAsiaTheme="minorEastAsia" w:hAnsiTheme="minorHAnsi" w:cstheme="minorBidi"/>
                <w:noProof/>
                <w:lang w:bidi="ar-SA"/>
              </w:rPr>
              <w:tab/>
            </w:r>
            <w:r>
              <w:rPr>
                <w:rStyle w:val="Hyperlink"/>
                <w:rFonts w:ascii="Times New Roman" w:hAnsi="Times New Roman"/>
                <w:b/>
                <w:noProof/>
              </w:rPr>
              <w:t>Corpul medical european</w:t>
            </w:r>
            <w:r>
              <w:rPr>
                <w:noProof/>
                <w:webHidden/>
              </w:rPr>
              <w:tab/>
            </w:r>
            <w:r>
              <w:rPr>
                <w:noProof/>
                <w:webHidden/>
              </w:rPr>
              <w:fldChar w:fldCharType="begin"/>
            </w:r>
            <w:r>
              <w:rPr>
                <w:noProof/>
                <w:webHidden/>
              </w:rPr>
              <w:instrText xml:space="preserve"> PAGEREF _Toc475103663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lang w:bidi="ar-SA"/>
            </w:rPr>
          </w:pPr>
          <w:hyperlink w:anchor="_Toc475103664" w:history="1">
            <w:r>
              <w:rPr>
                <w:rStyle w:val="Hyperlink"/>
                <w:rFonts w:ascii="Times New Roman" w:hAnsi="Times New Roman"/>
                <w:b/>
                <w:noProof/>
              </w:rPr>
              <w:t>4.3</w:t>
            </w:r>
            <w:r>
              <w:rPr>
                <w:rFonts w:asciiTheme="minorHAnsi" w:eastAsiaTheme="minorEastAsia" w:hAnsiTheme="minorHAnsi" w:cstheme="minorBidi"/>
                <w:noProof/>
                <w:lang w:bidi="ar-SA"/>
              </w:rPr>
              <w:tab/>
            </w:r>
            <w:r>
              <w:rPr>
                <w:rStyle w:val="Hyperlink"/>
                <w:rFonts w:ascii="Times New Roman" w:hAnsi="Times New Roman"/>
                <w:b/>
                <w:noProof/>
              </w:rPr>
              <w:t>Sisteme de aeronave pilotate de la distanță</w:t>
            </w:r>
            <w:r>
              <w:rPr>
                <w:noProof/>
                <w:webHidden/>
              </w:rPr>
              <w:tab/>
            </w:r>
            <w:r>
              <w:rPr>
                <w:noProof/>
                <w:webHidden/>
              </w:rPr>
              <w:fldChar w:fldCharType="begin"/>
            </w:r>
            <w:r>
              <w:rPr>
                <w:noProof/>
                <w:webHidden/>
              </w:rPr>
              <w:instrText xml:space="preserve"> PAGEREF _Toc475103664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lang w:bidi="ar-SA"/>
            </w:rPr>
          </w:pPr>
          <w:hyperlink w:anchor="_Toc475103665" w:history="1">
            <w:r>
              <w:rPr>
                <w:rStyle w:val="Hyperlink"/>
                <w:rFonts w:ascii="Cambria" w:hAnsi="Cambria"/>
                <w:b/>
                <w:noProof/>
              </w:rPr>
              <w:t>4.4</w:t>
            </w:r>
            <w:r>
              <w:rPr>
                <w:rFonts w:asciiTheme="minorHAnsi" w:eastAsiaTheme="minorEastAsia" w:hAnsiTheme="minorHAnsi" w:cstheme="minorBidi"/>
                <w:noProof/>
                <w:lang w:bidi="ar-SA"/>
              </w:rPr>
              <w:tab/>
            </w:r>
            <w:r>
              <w:rPr>
                <w:rStyle w:val="Hyperlink"/>
                <w:rFonts w:ascii="Times New Roman" w:hAnsi="Times New Roman"/>
                <w:b/>
                <w:noProof/>
              </w:rPr>
              <w:t>Echipe de comunicare</w:t>
            </w:r>
            <w:r>
              <w:rPr>
                <w:noProof/>
                <w:webHidden/>
              </w:rPr>
              <w:tab/>
            </w:r>
            <w:r>
              <w:rPr>
                <w:noProof/>
                <w:webHidden/>
              </w:rPr>
              <w:fldChar w:fldCharType="begin"/>
            </w:r>
            <w:r>
              <w:rPr>
                <w:noProof/>
                <w:webHidden/>
              </w:rPr>
              <w:instrText xml:space="preserve"> PAGEREF _Toc475103665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lang w:bidi="ar-SA"/>
            </w:rPr>
          </w:pPr>
          <w:hyperlink w:anchor="_Toc475103666" w:history="1">
            <w:r>
              <w:rPr>
                <w:rStyle w:val="Hyperlink"/>
                <w:rFonts w:ascii="Times New Roman" w:hAnsi="Times New Roman"/>
              </w:rPr>
              <w:t>5.</w:t>
            </w:r>
            <w:r>
              <w:rPr>
                <w:rFonts w:asciiTheme="minorHAnsi" w:eastAsiaTheme="minorEastAsia" w:hAnsiTheme="minorHAnsi" w:cstheme="minorBidi"/>
                <w:lang w:bidi="ar-SA"/>
              </w:rPr>
              <w:tab/>
            </w:r>
            <w:r>
              <w:rPr>
                <w:rStyle w:val="Hyperlink"/>
                <w:rFonts w:ascii="Times New Roman" w:hAnsi="Times New Roman"/>
              </w:rPr>
              <w:t>Concluzii</w:t>
            </w:r>
            <w:r>
              <w:rPr>
                <w:webHidden/>
              </w:rPr>
              <w:tab/>
            </w:r>
            <w:r>
              <w:rPr>
                <w:webHidden/>
              </w:rPr>
              <w:fldChar w:fldCharType="begin"/>
            </w:r>
            <w:r>
              <w:rPr>
                <w:webHidden/>
              </w:rPr>
              <w:instrText xml:space="preserve"> PAGEREF _Toc475103666 \h </w:instrText>
            </w:r>
            <w:r>
              <w:rPr>
                <w:webHidden/>
              </w:rPr>
            </w:r>
            <w:r>
              <w:rPr>
                <w:webHidden/>
              </w:rPr>
              <w:fldChar w:fldCharType="separate"/>
            </w:r>
            <w:r>
              <w:rPr>
                <w:webHidden/>
              </w:rPr>
              <w:t>8</w:t>
            </w:r>
            <w:r>
              <w:rPr>
                <w:webHidden/>
              </w:rPr>
              <w:fldChar w:fldCharType="end"/>
            </w:r>
          </w:hyperlink>
        </w:p>
        <w:p>
          <w:pPr>
            <w:pStyle w:val="TOC1"/>
            <w:rPr>
              <w:rFonts w:asciiTheme="minorHAnsi" w:eastAsiaTheme="minorEastAsia" w:hAnsiTheme="minorHAnsi" w:cstheme="minorBidi"/>
              <w:lang w:bidi="ar-SA"/>
            </w:rPr>
          </w:pPr>
          <w:hyperlink w:anchor="_Toc475103667" w:history="1">
            <w:r>
              <w:rPr>
                <w:rStyle w:val="Hyperlink"/>
                <w:rFonts w:ascii="Times New Roman" w:hAnsi="Times New Roman"/>
              </w:rPr>
              <w:t xml:space="preserve">Anexă – Prezentare generală a resurselor </w:t>
            </w:r>
            <w:r>
              <w:rPr>
                <w:rStyle w:val="Hyperlink"/>
                <w:rFonts w:ascii="Times New Roman" w:hAnsi="Times New Roman"/>
                <w:b w:val="0"/>
              </w:rPr>
              <w:t>ș</w:t>
            </w:r>
            <w:r>
              <w:rPr>
                <w:rStyle w:val="Hyperlink"/>
                <w:rFonts w:ascii="Times New Roman" w:hAnsi="Times New Roman"/>
              </w:rPr>
              <w:t>i lacunelor din cadrul EERC</w:t>
            </w:r>
            <w:r>
              <w:rPr>
                <w:webHidden/>
              </w:rPr>
              <w:tab/>
            </w:r>
            <w:r>
              <w:rPr>
                <w:webHidden/>
              </w:rPr>
              <w:fldChar w:fldCharType="begin"/>
            </w:r>
            <w:r>
              <w:rPr>
                <w:webHidden/>
              </w:rPr>
              <w:instrText xml:space="preserve"> PAGEREF _Toc475103667 \h </w:instrText>
            </w:r>
            <w:r>
              <w:rPr>
                <w:webHidden/>
              </w:rPr>
            </w:r>
            <w:r>
              <w:rPr>
                <w:webHidden/>
              </w:rPr>
              <w:fldChar w:fldCharType="separate"/>
            </w:r>
            <w:r>
              <w:rPr>
                <w:webHidden/>
              </w:rPr>
              <w:t>10</w:t>
            </w:r>
            <w:r>
              <w:rPr>
                <w:webHidden/>
              </w:rPr>
              <w:fldChar w:fldCharType="end"/>
            </w:r>
          </w:hyperlink>
        </w:p>
        <w:p>
          <w:pPr>
            <w:pStyle w:val="TOC1"/>
            <w:rPr>
              <w:rFonts w:eastAsiaTheme="minorEastAsia"/>
            </w:rPr>
          </w:pPr>
          <w:r>
            <w:fldChar w:fldCharType="end"/>
          </w:r>
        </w:p>
      </w:sdtContent>
    </w:sdt>
    <w:p>
      <w:pPr>
        <w:rPr>
          <w:noProof/>
        </w:rPr>
      </w:pP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pPr>
    </w:p>
    <w:p>
      <w:pPr>
        <w:keepNext/>
        <w:keepLines/>
        <w:spacing w:after="240" w:line="240" w:lineRule="auto"/>
        <w:outlineLvl w:val="0"/>
        <w:rPr>
          <w:rFonts w:ascii="Times New Roman" w:eastAsiaTheme="majorEastAsia" w:hAnsi="Times New Roman" w:cs="Times New Roman"/>
          <w:b/>
          <w:bCs/>
          <w:noProof/>
          <w:color w:val="365F91" w:themeColor="accent1" w:themeShade="BF"/>
          <w:sz w:val="28"/>
          <w:szCs w:val="28"/>
        </w:rPr>
      </w:pPr>
      <w:bookmarkStart w:id="2" w:name="_Toc473207359"/>
      <w:bookmarkStart w:id="3" w:name="_Toc473729924"/>
      <w:bookmarkStart w:id="4" w:name="_Toc475103655"/>
      <w:r>
        <w:rPr>
          <w:rFonts w:ascii="Times New Roman" w:eastAsiaTheme="majorEastAsia" w:hAnsi="Times New Roman"/>
          <w:b/>
          <w:noProof/>
          <w:color w:val="365F91" w:themeColor="accent1" w:themeShade="BF"/>
          <w:sz w:val="28"/>
        </w:rPr>
        <w:t>Rezumat</w:t>
      </w:r>
      <w:bookmarkEnd w:id="2"/>
      <w:bookmarkEnd w:id="3"/>
      <w:bookmarkEnd w:id="4"/>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Capacitatea europeană de răspuns în situații de urgență (EERC) a fost înființată pentru a ca UE să fie pregătită să răspundă la mai multe tipuri de dezastre potențiale. Aceasta cuprinde diverse resurse de protecție civilă pe care statele participante la mecanismul de protecție civilă al Uniunii le pun la dispoziție pentru operațiunile de răspuns în situații de urgență ale UE.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De la înființarea EERC, 16 state participante au alocat 77 de resurse (de exemplu, echipe de căutare și salvare, echipe medicale, sisteme de epurare a apei etc.) care sunt disponibile în prezent pentru operațiunile UE la nivel mondial. Multe dintre obiectivele EERC sau „obiectivele în materie de capacitate”, care sunt consacrate în legislația UE au fost, prin urmare, îndeplinite.</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În continuare există lacune sau deficiențe cu privire la resursele disponibile privind (1) avioanele pentru stingerea incendiilor forestiere și (2) adăposturile. În cazul în care sunt disponibile suficiente resurse de altă natură, acestea ar necesita o evaluare suplimentară. Evaluarea s-ar aplica (a) resurselor necesare în domeniul dezastrelor chimice, biologice, radiologice și nucleare; (b) spitalelor de campanie de mari dimensiuni și capacităților de evacuare medicală din cadrul Corpului medical european; (c) sistemelor de aeronave pilotate de la distanță și (d) echipelor de comunicare. Ar putea fi, de asemenea, necesară revizuirea unora dintre actualele obiective în materie de capacitate pentru a se ține seama de schimbările survenite cu privire la evaluările riscurilor și experiența operațională.</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Comisia invită statele participante să abordeze lacunele rămase în ceea ce privește EERC și să sprijine în mod activ procesul de revizuire și, eventual, să adapteze și/sau să completeze actualele obiective în materie de capacitate ale EERC în cursul anului 2017. </w:t>
      </w:r>
    </w:p>
    <w:p>
      <w:pPr>
        <w:spacing w:after="0" w:line="240" w:lineRule="auto"/>
        <w:rPr>
          <w:rFonts w:ascii="Times New Roman" w:eastAsia="Calibri" w:hAnsi="Times New Roman" w:cs="Times New Roman"/>
          <w:noProof/>
          <w:sz w:val="24"/>
          <w:szCs w:val="24"/>
        </w:rPr>
      </w:pPr>
      <w:r>
        <w:rPr>
          <w:noProof/>
        </w:rPr>
        <w:br w:type="page"/>
      </w:r>
    </w:p>
    <w:p>
      <w:pPr>
        <w:keepNext/>
        <w:keepLines/>
        <w:numPr>
          <w:ilvl w:val="0"/>
          <w:numId w:val="31"/>
        </w:numPr>
        <w:spacing w:after="240" w:line="240" w:lineRule="auto"/>
        <w:outlineLvl w:val="0"/>
        <w:rPr>
          <w:rFonts w:ascii="Times New Roman" w:eastAsiaTheme="majorEastAsia" w:hAnsi="Times New Roman" w:cs="Times New Roman"/>
          <w:b/>
          <w:bCs/>
          <w:noProof/>
          <w:color w:val="365F91" w:themeColor="accent1" w:themeShade="BF"/>
          <w:sz w:val="28"/>
          <w:szCs w:val="28"/>
        </w:rPr>
      </w:pPr>
      <w:bookmarkStart w:id="5" w:name="_Toc469920273"/>
      <w:bookmarkStart w:id="6" w:name="_Toc469920820"/>
      <w:bookmarkStart w:id="7" w:name="_Toc469928264"/>
      <w:bookmarkStart w:id="8" w:name="_Toc471298666"/>
      <w:bookmarkStart w:id="9" w:name="_Toc473207360"/>
      <w:bookmarkStart w:id="10" w:name="_Toc473729925"/>
      <w:bookmarkStart w:id="11" w:name="_Toc475103656"/>
      <w:r>
        <w:rPr>
          <w:rFonts w:ascii="Times New Roman" w:eastAsiaTheme="majorEastAsia" w:hAnsi="Times New Roman"/>
          <w:b/>
          <w:noProof/>
          <w:color w:val="365F91" w:themeColor="accent1" w:themeShade="BF"/>
          <w:sz w:val="28"/>
        </w:rPr>
        <w:t>Introducere</w:t>
      </w:r>
      <w:bookmarkEnd w:id="5"/>
      <w:bookmarkEnd w:id="6"/>
      <w:bookmarkEnd w:id="7"/>
      <w:bookmarkEnd w:id="8"/>
      <w:bookmarkEnd w:id="9"/>
      <w:bookmarkEnd w:id="10"/>
      <w:bookmarkEnd w:id="11"/>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Într-o lume cu riscuri din ce în ce mai mari, UE trebuie să fie pregătită să răspundă la mai multe tipuri de dezastre potențiale. Capacitatea europeană de răspuns în situații de urgență (EERC) a fost instituită în cadrul mecanismului de protecție civilă al Uniunii (UCPM) în 2013, cu scopul de a îmbunătăți nivelul de pregătire al sistemelor de protecție civilă în cadrul Uniunii</w:t>
      </w:r>
      <w:r>
        <w:rPr>
          <w:rFonts w:ascii="Times New Roman" w:hAnsi="Times New Roman"/>
          <w:noProof/>
          <w:sz w:val="24"/>
          <w:vertAlign w:val="superscript"/>
        </w:rPr>
        <w:footnoteReference w:id="1"/>
      </w:r>
      <w:r>
        <w:rPr>
          <w:rFonts w:ascii="Times New Roman" w:hAnsi="Times New Roman"/>
          <w:noProof/>
          <w:sz w:val="24"/>
        </w:rPr>
        <w:t xml:space="preserve">. Pentru prima dată, statele participante la UCPM pot pune la dispoziție o serie de mijloace de răspuns în situații de urgență pentru o mobilizare imediată în cadrul operațiunilor UE. Prin înregistrarea mijloacelor naționale în EERC, statele participante se angajează că acestea vor fi disponibile pentru operațiunile de răspuns ale UE, în urma unei cereri de asistență formulate prin intermediul Centrului de coordonare a răspunsului la situații de urgență al Comisiei.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EERC este una dintre principalele inovații din cadrul ultimei revizuiri a legislației UE în domeniul protecției civile. Aceasta a avut drept rezultat o tranziție de la un sistem de coordonare destul de reactiv și ad hoc, la o organizare a răspunsului UE în caz de dezastre mai previzibilă, mai bine planificată în avans și mai coerentă. În acest context, trebuie remarcat faptul că eficacitatea generală a mecanismului de protecție civilă al Uniunii, în special în ceea ce privește coordonarea răspunsului în caz de dezastre, au fost apreciată recent de Curtea de Conturi Europeană</w:t>
      </w:r>
      <w:r>
        <w:rPr>
          <w:rFonts w:ascii="Times New Roman" w:hAnsi="Times New Roman"/>
          <w:noProof/>
          <w:sz w:val="24"/>
          <w:vertAlign w:val="superscript"/>
        </w:rPr>
        <w:footnoteReference w:id="2"/>
      </w:r>
      <w:r>
        <w:rPr>
          <w:rFonts w:ascii="Times New Roman" w:hAnsi="Times New Roman"/>
          <w:noProof/>
          <w:sz w:val="24"/>
        </w:rPr>
        <w:t>.</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EERC a fost bine primită și s-a dezvoltat rapid de la lansarea sa în octombrie 2014. Începând din octombrie 2016, Belgia, Republica Cehă, Danemarca, Finlanda, Franța, Germania, Grecia, Italia, Luxemburg, Țările de Jos, Polonia, România, Slovacia, Slovenia, Spania și Suedia (adică 16 state participante la UCPM) au alocat resurse în materie de protecție civilă pentru EERC</w:t>
      </w:r>
      <w:r>
        <w:rPr>
          <w:rFonts w:ascii="Times New Roman" w:hAnsi="Times New Roman"/>
          <w:noProof/>
          <w:sz w:val="24"/>
          <w:vertAlign w:val="superscript"/>
        </w:rPr>
        <w:footnoteReference w:id="3"/>
      </w:r>
      <w:r>
        <w:rPr>
          <w:rFonts w:ascii="Times New Roman" w:hAnsi="Times New Roman"/>
          <w:noProof/>
          <w:sz w:val="24"/>
        </w:rPr>
        <w:t>. Pentru a se asigura că aceste resurse sunt de o înaltă calitate, Comisia gestionează un proces de certificare specific</w:t>
      </w:r>
      <w:r>
        <w:rPr>
          <w:rFonts w:ascii="Times New Roman" w:hAnsi="Times New Roman"/>
          <w:noProof/>
          <w:sz w:val="24"/>
          <w:vertAlign w:val="superscript"/>
        </w:rPr>
        <w:footnoteReference w:id="4"/>
      </w:r>
      <w:r>
        <w:rPr>
          <w:rFonts w:ascii="Times New Roman" w:hAnsi="Times New Roman"/>
          <w:noProof/>
          <w:sz w:val="24"/>
        </w:rPr>
        <w:t>. Tipurile și numărul principalelor capacități de răspuns care sunt necesare, ca cerință minimă, pentru ca EERC să poată funcționa eficient sunt denumite „obiective în materie de capacitate” ale EERC. Acestea au fost stabilite pe baza unor riscuri de dezastre identificate, iar adecvarea lor este evaluată periodic de Comisie și de statele participante</w:t>
      </w:r>
      <w:r>
        <w:rPr>
          <w:rFonts w:ascii="Times New Roman" w:hAnsi="Times New Roman"/>
          <w:noProof/>
          <w:sz w:val="24"/>
          <w:vertAlign w:val="superscript"/>
        </w:rPr>
        <w:footnoteReference w:id="5"/>
      </w:r>
      <w:r>
        <w:rPr>
          <w:rFonts w:ascii="Times New Roman" w:hAnsi="Times New Roman"/>
          <w:noProof/>
          <w:sz w:val="24"/>
        </w:rPr>
        <w:t xml:space="preserve">. Având în vedere că obiectivele în materie de capacitate sunt considerate obiective minime, în EERC pot fi înregistrate mai multe resurse.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Pentru ca UE să fie pregătită să facă față dezastrelor, trebuie să evalueze în mod critic capacitatea sa de răspuns. Prezentul raport analizează progresele înregistrate în vederea îndeplinirii obiectivelor EERC în materie de capacitate și evaluează semnificația lacunelor rămase în ceea ce privește capacitatea de răspuns. Pe lângă efectuarea unei simple comparații numerice a obiectivelor și realizărilor, prezentul raport se bazează, de asemenea, pe experiența dobândită în ultimii doi ani în cadrul mecanismului de protecție civilă al Uniunii. Această experiență indică faptul că se impune revizuirea sau adaptarea obiectivelor în materie de capacitate pe termen mediu. </w:t>
      </w:r>
    </w:p>
    <w:p>
      <w:pPr>
        <w:rPr>
          <w:noProof/>
        </w:rPr>
      </w:pPr>
      <w:r>
        <w:rPr>
          <w:noProof/>
        </w:rPr>
        <w:br w:type="page"/>
      </w:r>
    </w:p>
    <w:p>
      <w:pPr>
        <w:keepNext/>
        <w:keepLines/>
        <w:numPr>
          <w:ilvl w:val="0"/>
          <w:numId w:val="31"/>
        </w:numPr>
        <w:spacing w:after="240" w:line="240" w:lineRule="auto"/>
        <w:outlineLvl w:val="0"/>
        <w:rPr>
          <w:rFonts w:ascii="Times New Roman" w:eastAsiaTheme="majorEastAsia" w:hAnsi="Times New Roman" w:cs="Times New Roman"/>
          <w:b/>
          <w:bCs/>
          <w:noProof/>
          <w:color w:val="365F91" w:themeColor="accent1" w:themeShade="BF"/>
          <w:sz w:val="28"/>
          <w:szCs w:val="28"/>
        </w:rPr>
      </w:pPr>
      <w:bookmarkStart w:id="12" w:name="_Toc469920274"/>
      <w:bookmarkStart w:id="13" w:name="_Toc469920821"/>
      <w:bookmarkStart w:id="14" w:name="_Toc469928265"/>
      <w:bookmarkStart w:id="15" w:name="_Toc471298667"/>
      <w:bookmarkStart w:id="16" w:name="_Toc473207361"/>
      <w:bookmarkStart w:id="17" w:name="_Toc473729926"/>
      <w:bookmarkStart w:id="18" w:name="_Toc475103657"/>
      <w:r>
        <w:rPr>
          <w:rFonts w:ascii="Times New Roman" w:eastAsiaTheme="majorEastAsia" w:hAnsi="Times New Roman"/>
          <w:b/>
          <w:noProof/>
          <w:color w:val="365F91" w:themeColor="accent1" w:themeShade="BF"/>
          <w:sz w:val="28"/>
        </w:rPr>
        <w:t>Resurse disponibile pentru misiunile UE</w:t>
      </w:r>
      <w:bookmarkEnd w:id="12"/>
      <w:bookmarkEnd w:id="13"/>
      <w:bookmarkEnd w:id="14"/>
      <w:bookmarkEnd w:id="15"/>
      <w:bookmarkEnd w:id="16"/>
      <w:bookmarkEnd w:id="17"/>
      <w:bookmarkEnd w:id="18"/>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Între lansarea EERC în octombrie 2014 și data limită convenită în scopul prezentului raport (1 octombrie 2016), 16 state participante au alocat în total 77 de capacități de răspuns pentru EERC.</w:t>
      </w:r>
      <w:r>
        <w:rPr>
          <w:rFonts w:ascii="Times New Roman" w:hAnsi="Times New Roman"/>
          <w:noProof/>
          <w:sz w:val="24"/>
          <w:vertAlign w:val="superscript"/>
        </w:rPr>
        <w:footnoteReference w:id="6"/>
      </w:r>
      <w:r>
        <w:rPr>
          <w:rFonts w:ascii="Times New Roman" w:hAnsi="Times New Roman"/>
          <w:noProof/>
          <w:sz w:val="24"/>
        </w:rPr>
        <w:t xml:space="preserve"> Printre acestea se numără module de protecție civilă, echipe de asistență tehnică și de sprijin, precum și alte capacități de răspuns. Odată cu alocarea acestor resurse, multe dintre obiectivele în materie de capacitate ale EERC au fost îndeplinite. O descriere detaliată este prevăzută în anexă (coloanele 2-3).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Pentru a determina existența unor lacune în ceea ce privește capacitatea UE de a răspunde la dezastre în domeniile în care obiectivele EERC în materie de capacitate nu au fost (încă) îndeplinite, Comisia a invitat statele participante să identifice eventualele resurse suplimentare din afara EERC care pot fi disponibile imediat pentru misiunile UE. 27 de țări au furnizat informații</w:t>
      </w:r>
      <w:r>
        <w:rPr>
          <w:rFonts w:ascii="Times New Roman" w:hAnsi="Times New Roman"/>
          <w:noProof/>
          <w:sz w:val="24"/>
          <w:vertAlign w:val="superscript"/>
        </w:rPr>
        <w:footnoteReference w:id="7"/>
      </w:r>
      <w:r>
        <w:rPr>
          <w:rFonts w:ascii="Times New Roman" w:hAnsi="Times New Roman"/>
          <w:noProof/>
          <w:sz w:val="24"/>
        </w:rPr>
        <w:t xml:space="preserve">, iar în anexă (coloana 4) este prezentată o imagine de ansamblu detaliată.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Concluziile prezentului raport arată că, dacă există resurse disponibile în afara EERC pentru acoperirea lacunele din cadrul EERC, nu există nicio lacună în capacitatea generală de răspuns a UE. Cu toate acestea, trebuie remarcat faptul că resursele din afara EERC oferă mai puține garanții în ceea ce privește disponibilitatea și calitatea lor decât resursele înregistrate în EERC. Modulele înregistrate în EERC trebuie să fie disponibile pentru plecare/operațiuni în țara afectată într-un anumit număr de ore și trebuie să parcurgă un proces de certificare care include revizuirea documentelor, formare și exerciții. Nu se poate garanta același lucru pentru resursele din afara EERC. </w:t>
      </w:r>
    </w:p>
    <w:p>
      <w:pPr>
        <w:spacing w:after="240" w:line="240" w:lineRule="auto"/>
        <w:jc w:val="both"/>
        <w:rPr>
          <w:rFonts w:ascii="Times New Roman" w:eastAsia="Calibri" w:hAnsi="Times New Roman" w:cs="Times New Roman"/>
          <w:noProof/>
          <w:sz w:val="24"/>
          <w:szCs w:val="24"/>
        </w:rPr>
      </w:pPr>
    </w:p>
    <w:p>
      <w:pPr>
        <w:keepNext/>
        <w:keepLines/>
        <w:numPr>
          <w:ilvl w:val="0"/>
          <w:numId w:val="31"/>
        </w:numPr>
        <w:spacing w:after="240" w:line="240" w:lineRule="auto"/>
        <w:outlineLvl w:val="0"/>
        <w:rPr>
          <w:rFonts w:asciiTheme="majorHAnsi" w:eastAsiaTheme="majorEastAsia" w:hAnsiTheme="majorHAnsi" w:cstheme="majorBidi"/>
          <w:b/>
          <w:bCs/>
          <w:noProof/>
          <w:color w:val="365F91" w:themeColor="accent1" w:themeShade="BF"/>
          <w:sz w:val="28"/>
          <w:szCs w:val="28"/>
        </w:rPr>
      </w:pPr>
      <w:bookmarkStart w:id="19" w:name="_Toc471298668"/>
      <w:bookmarkStart w:id="20" w:name="_Toc473207362"/>
      <w:bookmarkStart w:id="21" w:name="_Toc473729927"/>
      <w:bookmarkStart w:id="22" w:name="_Toc475103658"/>
      <w:bookmarkStart w:id="23" w:name="_Toc469920275"/>
      <w:bookmarkStart w:id="24" w:name="_Toc469920822"/>
      <w:bookmarkStart w:id="25" w:name="_Toc469928266"/>
      <w:r>
        <w:rPr>
          <w:rFonts w:ascii="Times New Roman" w:eastAsiaTheme="majorEastAsia" w:hAnsi="Times New Roman"/>
          <w:b/>
          <w:noProof/>
          <w:color w:val="365F91" w:themeColor="accent1" w:themeShade="BF"/>
          <w:sz w:val="28"/>
        </w:rPr>
        <w:t>Lacune potențial semnificative în ceea ce privește capacitatea UE de a răspunde la dezastre</w:t>
      </w:r>
      <w:bookmarkEnd w:id="19"/>
      <w:bookmarkEnd w:id="20"/>
      <w:bookmarkEnd w:id="21"/>
      <w:bookmarkEnd w:id="22"/>
    </w:p>
    <w:bookmarkEnd w:id="23"/>
    <w:bookmarkEnd w:id="24"/>
    <w:bookmarkEnd w:id="25"/>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În primii doi ani de existență, EERC a fost utilizată cu succes pentru a răspunde crizei provocate de epidemia de Ebola în Africa de Vest (2014), incendiilor forestiere din Grecia (2015), incendiilor forestiere din Cipru, Franța și Portugalia (2016), cutremurului din Ecuador (2016), focarului de febră galbenă din Republica Democratică Congo (2016) și uraganului Matthew din Haiti (2016). Cu toate acestea, anumite deficiențe au devenit evidente. Comisia a identificat două lacune potențial semnificative: avioanele pentru stingerea incendiilor forestiere, precum și adăposturile și asistența conexă.</w:t>
      </w:r>
    </w:p>
    <w:p>
      <w:pPr>
        <w:keepNext/>
        <w:spacing w:after="240" w:line="240" w:lineRule="auto"/>
        <w:outlineLvl w:val="1"/>
        <w:rPr>
          <w:rFonts w:ascii="Times New Roman" w:eastAsia="Times New Roman" w:hAnsi="Times New Roman" w:cs="Times New Roman"/>
          <w:b/>
          <w:bCs/>
          <w:iCs/>
          <w:noProof/>
          <w:color w:val="365F91" w:themeColor="accent1" w:themeShade="BF"/>
          <w:sz w:val="24"/>
          <w:szCs w:val="28"/>
        </w:rPr>
      </w:pPr>
      <w:bookmarkStart w:id="26" w:name="_Toc475103659"/>
      <w:bookmarkStart w:id="27" w:name="_Toc469920823"/>
      <w:bookmarkStart w:id="28" w:name="_Toc469928267"/>
      <w:bookmarkStart w:id="29" w:name="_Toc471298669"/>
      <w:bookmarkStart w:id="30" w:name="_Toc473207363"/>
      <w:bookmarkStart w:id="31" w:name="_Toc473729928"/>
      <w:r>
        <w:rPr>
          <w:rFonts w:ascii="Times New Roman" w:hAnsi="Times New Roman"/>
          <w:b/>
          <w:noProof/>
          <w:color w:val="365F91" w:themeColor="accent1" w:themeShade="BF"/>
          <w:sz w:val="24"/>
        </w:rPr>
        <w:t>3.1 Avioane pentru stingerea incendiilor forestiere</w:t>
      </w:r>
      <w:bookmarkEnd w:id="26"/>
      <w:r>
        <w:rPr>
          <w:noProof/>
        </w:rPr>
        <w:tab/>
      </w:r>
      <w:bookmarkEnd w:id="27"/>
      <w:bookmarkEnd w:id="28"/>
      <w:bookmarkEnd w:id="29"/>
      <w:bookmarkEnd w:id="30"/>
      <w:bookmarkEnd w:id="31"/>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Riscul de incendii forestiere depinde de mulți factori, precum condițiile climatice, vegetația, practicile de management forestier etc. În cadrul UE, sudul și sud-estul Europei sunt în general cele mai expuse riscurilor, deși, în ultimii ani și alte regiuni au fost afectate (de exemplu, Västmanland, Suedia, 2014), iar numărul și amploarea incendiilor forestiere pot varia considerabil de la un an la altul, în funcție de condițiile meteorologice sezoniere.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 materie de capacitate pentru modulele privind combaterea incendiilor forestiere cu ajutorul avioanelor, obiectivul inițial al EERC a fost de două module. Franța a înregistrat ulterior un modul. În plus, Comisia a cofinanțat o aeronavă pentru stingerea incendiilor exploatată de Italia, considerată „capacitate de tampon” în sezonul incendiilor forestiere din 2016. Aceasta a însemnat că aeronava a făcut parte din EERC în vara anului 2016, iar Comisia a finanțat costurile sale de stand-by pentru a asigura disponibilitatea aeronavei în caz de dezastre majore. Ambele resurse s-au dovedit a fi deosebit de utile.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Cu toate acestea, evenimentele din vara anului 2016 și, în special, incendiile forestiere din Portugalia, au indicat necesitatea operațională și semnificația politică a deținerii mai multor avioane disponibile pentru stingerea incendiilor forestiere în cadrul EERC. Portugalia a solicitat asistență prin intermediul UCPM într-un moment în care întreaga flotă franceză de avioane pentru stingerea incendiilor forestiere (inclusiv singurul modul înregistrat în EERC) era scoasă din funcțiune din motive tehnice, iar aeronava tampon a EERC era mobilizată în Corsica. Deși aeronava tampon a EERC a fost redirecționată din Corsica către Portugalia, deficitul general de avioane pentru stingerea incendiilor prin intermediul UCPM a forțat Portugalia să accepte asistență din partea Marocului (două aeronave Canadair) și Rusiei (două aeronave Beriev).</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Prin urmare, modulele de stingere a incendiilor forestiere cu ajutorul avioanelor au fost identificate ca reprezentând o potențială lacună semnificativă, iar Comisia încurajează statele participante să ia măsuri pentru a o acoperi.</w:t>
      </w:r>
    </w:p>
    <w:p>
      <w:pPr>
        <w:keepNext/>
        <w:spacing w:after="240" w:line="240" w:lineRule="auto"/>
        <w:outlineLvl w:val="1"/>
        <w:rPr>
          <w:rFonts w:ascii="Times New Roman" w:eastAsia="Times New Roman" w:hAnsi="Times New Roman" w:cs="Times New Roman"/>
          <w:b/>
          <w:bCs/>
          <w:iCs/>
          <w:noProof/>
          <w:color w:val="365F91" w:themeColor="accent1" w:themeShade="BF"/>
          <w:sz w:val="24"/>
          <w:szCs w:val="28"/>
        </w:rPr>
      </w:pPr>
      <w:bookmarkStart w:id="32" w:name="_Toc469920824"/>
      <w:bookmarkStart w:id="33" w:name="_Toc469928268"/>
      <w:bookmarkStart w:id="34" w:name="_Toc471298670"/>
      <w:bookmarkStart w:id="35" w:name="_Toc473207364"/>
      <w:bookmarkStart w:id="36" w:name="_Toc473729929"/>
      <w:bookmarkStart w:id="37" w:name="_Toc475103660"/>
      <w:r>
        <w:rPr>
          <w:rFonts w:ascii="Times New Roman" w:hAnsi="Times New Roman"/>
          <w:b/>
          <w:noProof/>
          <w:color w:val="365F91" w:themeColor="accent1" w:themeShade="BF"/>
          <w:sz w:val="24"/>
        </w:rPr>
        <w:t>3.2</w:t>
      </w:r>
      <w:r>
        <w:rPr>
          <w:noProof/>
        </w:rPr>
        <w:tab/>
      </w:r>
      <w:r>
        <w:rPr>
          <w:rFonts w:ascii="Times New Roman" w:hAnsi="Times New Roman"/>
          <w:b/>
          <w:noProof/>
          <w:color w:val="365F91" w:themeColor="accent1" w:themeShade="BF"/>
          <w:sz w:val="24"/>
        </w:rPr>
        <w:t>Adăposturi și asistență conexă</w:t>
      </w:r>
      <w:bookmarkEnd w:id="32"/>
      <w:bookmarkEnd w:id="33"/>
      <w:bookmarkEnd w:id="34"/>
      <w:bookmarkEnd w:id="35"/>
      <w:bookmarkEnd w:id="36"/>
      <w:bookmarkEnd w:id="37"/>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Obiectivul EERC în materie de capacitate cu privire la adăposturi prevede existența a două tabere de urgență temporare și a 100 de unități cu o capacitate de adăpost suplimentară, precum și a încă 6 kituri pentru adăpostire. În prezent, nu există nicio tabără temporară pentru situații de urgență și numai o singură unitate cu o capacitate de adăpost suplimentară este înregistrată în EERC. De asemenea, se pare că, în afară de asistența asigurată în cadrul EERC, se acordă puțină asistență în ceea ce privește adăposturile (a se vedea anexa).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 plus, cu ocazia crizei refugiaților/migranților din Europa, s-a observat foarte repede că este dificil să se asigure adăpost atunci când toate statele participante sunt afectate în același timp. Stocurile guvernamentale au fost epuizate rapid și, în momentul de vârf al crizei, piața comercială europeană s-a confruntat cu o presiune puternică, ceea ce a dus la întârzieri semnificative în ceea ce privește furnizarea de containere și la creșterea prețurilor. Cooperarea cu forțele militare a adus doar soluții provizorii pe termen scurt.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Capacitatea de mobilizare rapidă a asistenței masive cu privire la adăposturi este esențială în numeroase scenarii care figurează în profilurile de risc ale statelor participante. Este posibil ca asistența voluntară reciprocă acordată ad hoc să nu fie cel mai eficace și eficient mod din punctul de vedere al costurilor pentru a asigura accesul la aceste capacități, în special atunci când acestea sunt solicitate concomitent de mai multe state participante.</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Prin urmare, Comisia a identificat o lacună potențial semnificativă privind asistența acordată în ceea ce privește adăposturile și asistența conexă și a invitat statele participante să inițieze discuții cu privire la cea mai bună modalitate de abordare a acesteia.</w:t>
      </w:r>
    </w:p>
    <w:p>
      <w:pPr>
        <w:spacing w:after="240" w:line="240" w:lineRule="auto"/>
        <w:jc w:val="both"/>
        <w:rPr>
          <w:rFonts w:ascii="Times New Roman" w:eastAsia="Calibri" w:hAnsi="Times New Roman" w:cs="Times New Roman"/>
          <w:noProof/>
          <w:sz w:val="24"/>
          <w:szCs w:val="24"/>
        </w:rPr>
      </w:pPr>
    </w:p>
    <w:p>
      <w:pPr>
        <w:keepNext/>
        <w:keepLines/>
        <w:numPr>
          <w:ilvl w:val="0"/>
          <w:numId w:val="31"/>
        </w:numPr>
        <w:spacing w:after="240" w:line="240" w:lineRule="auto"/>
        <w:outlineLvl w:val="0"/>
        <w:rPr>
          <w:rFonts w:ascii="Times New Roman" w:eastAsiaTheme="majorEastAsia" w:hAnsi="Times New Roman" w:cs="Times New Roman"/>
          <w:b/>
          <w:bCs/>
          <w:noProof/>
          <w:color w:val="365F91" w:themeColor="accent1" w:themeShade="BF"/>
          <w:sz w:val="28"/>
          <w:szCs w:val="28"/>
        </w:rPr>
      </w:pPr>
      <w:bookmarkStart w:id="38" w:name="_Toc471298671"/>
      <w:bookmarkStart w:id="39" w:name="_Toc473207365"/>
      <w:bookmarkStart w:id="40" w:name="_Toc473729930"/>
      <w:bookmarkStart w:id="41" w:name="_Toc475103661"/>
      <w:r>
        <w:rPr>
          <w:rFonts w:ascii="Times New Roman" w:eastAsiaTheme="majorEastAsia" w:hAnsi="Times New Roman" w:cs="Times New Roman"/>
          <w:b/>
          <w:noProof/>
          <w:color w:val="365F91" w:themeColor="accent1" w:themeShade="BF"/>
          <w:sz w:val="28"/>
        </w:rPr>
        <w:t>Tipuri de resurse care necesită o evaluare suplimentară</w:t>
      </w:r>
      <w:bookmarkEnd w:id="38"/>
      <w:bookmarkEnd w:id="39"/>
      <w:bookmarkEnd w:id="40"/>
      <w:bookmarkEnd w:id="41"/>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În anumite cazuri, ar fi necesară o evaluare suplimentară pentru a vedea dacă unele tipuri de resurse sunt disponibile în cantități suficiente. Este cazul resurselor necesare pentru dezastrele chimice, biologice, radiologice și nucleare (CBRN); al spitalelor de campanie de mari dimensiuni și al capacităților de evacuare medicală din cadrul Corpului medical european; al sistemelor de aeronave pilotate de la distanță și al echipelor de comunicare.</w:t>
      </w:r>
    </w:p>
    <w:p>
      <w:pPr>
        <w:keepNext/>
        <w:spacing w:after="240" w:line="240" w:lineRule="auto"/>
        <w:outlineLvl w:val="1"/>
        <w:rPr>
          <w:rFonts w:ascii="Times New Roman" w:eastAsia="Times New Roman" w:hAnsi="Times New Roman" w:cs="Times New Roman"/>
          <w:b/>
          <w:bCs/>
          <w:iCs/>
          <w:noProof/>
          <w:color w:val="365F91" w:themeColor="accent1" w:themeShade="BF"/>
          <w:sz w:val="24"/>
          <w:szCs w:val="28"/>
        </w:rPr>
      </w:pPr>
      <w:bookmarkStart w:id="42" w:name="_Toc469920826"/>
      <w:bookmarkStart w:id="43" w:name="_Toc469928270"/>
      <w:bookmarkStart w:id="44" w:name="_Toc471298672"/>
      <w:bookmarkStart w:id="45" w:name="_Toc473207366"/>
      <w:bookmarkStart w:id="46" w:name="_Toc473729931"/>
      <w:bookmarkStart w:id="47" w:name="_Toc475103662"/>
      <w:r>
        <w:rPr>
          <w:rFonts w:ascii="Times New Roman" w:hAnsi="Times New Roman"/>
          <w:b/>
          <w:noProof/>
          <w:color w:val="365F91" w:themeColor="accent1" w:themeShade="BF"/>
          <w:sz w:val="24"/>
        </w:rPr>
        <w:t>4.1</w:t>
      </w:r>
      <w:r>
        <w:rPr>
          <w:noProof/>
        </w:rPr>
        <w:tab/>
      </w:r>
      <w:r>
        <w:rPr>
          <w:rFonts w:ascii="Times New Roman" w:hAnsi="Times New Roman"/>
          <w:b/>
          <w:noProof/>
          <w:color w:val="365F91" w:themeColor="accent1" w:themeShade="BF"/>
          <w:sz w:val="24"/>
        </w:rPr>
        <w:t>Resurse necesare în cazul dezastrelor chimice, biologice, radiologice și nucleare</w:t>
      </w:r>
      <w:bookmarkEnd w:id="42"/>
      <w:bookmarkEnd w:id="43"/>
      <w:bookmarkEnd w:id="44"/>
      <w:bookmarkEnd w:id="45"/>
      <w:bookmarkEnd w:id="46"/>
      <w:bookmarkEnd w:id="47"/>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UE trebuie să dispună de instrumentele necesare pentru a face față dezastrelor chimice, biologice, radiologice și nucleare. Recenta escaladare a activităților teroriste în Europa și în jurul acesteia pot justifica o viitoare revizuire a obiectivelor în materie de capacitate în domeniul dezastrelor CBRN.</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 prezent, nu există o capacitate suficientă înregistrată în EERC pentru a susține o operațiune de căutare și salvare într-un mediu contaminat, nici pentru a răspunde incidentelor care necesită decontaminarea pacienților expuși la agenți CBRN. Cu toate acestea, statele participante au informat Comisia că există suficiente resurse disponibile în afara EERC.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Comisia invită statele participante să înregistreze în continuare aceste tipuri de active în EERC și să inițieze discuții privind gradul de adecvare al actualelor obiective în materie de capacitate. </w:t>
      </w:r>
    </w:p>
    <w:p>
      <w:pPr>
        <w:keepNext/>
        <w:spacing w:after="240" w:line="240" w:lineRule="auto"/>
        <w:outlineLvl w:val="1"/>
        <w:rPr>
          <w:rFonts w:ascii="Times New Roman" w:eastAsia="Times New Roman" w:hAnsi="Times New Roman" w:cs="Times New Roman"/>
          <w:b/>
          <w:bCs/>
          <w:iCs/>
          <w:noProof/>
          <w:color w:val="365F91" w:themeColor="accent1" w:themeShade="BF"/>
          <w:sz w:val="24"/>
          <w:szCs w:val="28"/>
        </w:rPr>
      </w:pPr>
      <w:bookmarkStart w:id="48" w:name="_Toc469920827"/>
      <w:bookmarkStart w:id="49" w:name="_Toc469928271"/>
      <w:bookmarkStart w:id="50" w:name="_Toc471298673"/>
      <w:bookmarkStart w:id="51" w:name="_Toc473207367"/>
      <w:bookmarkStart w:id="52" w:name="_Toc473729932"/>
      <w:bookmarkStart w:id="53" w:name="_Toc475103663"/>
      <w:r>
        <w:rPr>
          <w:rFonts w:ascii="Times New Roman" w:hAnsi="Times New Roman"/>
          <w:b/>
          <w:noProof/>
          <w:color w:val="365F91" w:themeColor="accent1" w:themeShade="BF"/>
          <w:sz w:val="24"/>
        </w:rPr>
        <w:t>4.2</w:t>
      </w:r>
      <w:r>
        <w:rPr>
          <w:noProof/>
        </w:rPr>
        <w:tab/>
      </w:r>
      <w:r>
        <w:rPr>
          <w:rFonts w:ascii="Times New Roman" w:hAnsi="Times New Roman"/>
          <w:b/>
          <w:noProof/>
          <w:color w:val="365F91" w:themeColor="accent1" w:themeShade="BF"/>
          <w:sz w:val="24"/>
        </w:rPr>
        <w:t>Corpul medical european</w:t>
      </w:r>
      <w:bookmarkEnd w:id="48"/>
      <w:bookmarkEnd w:id="49"/>
      <w:bookmarkEnd w:id="50"/>
      <w:bookmarkEnd w:id="51"/>
      <w:bookmarkEnd w:id="52"/>
      <w:bookmarkEnd w:id="53"/>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Criza provocată de epidemia de Ebola a fost un avertisment cu privire la necesitatea de a dezvolta în continuare capacitățile europene pentru abordarea focarelor de boli și a consecințelor dezastrelor asupra sănătății. Corpul medical european, care reunește toate echipele și modulele medicale și din domeniul sănătății publice în cadrul EERC, depune eforturi în acest sens.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Obiectivele în materie de capacitate ale Corpului medical european nu au fost încă definite suficient. De exemplu, încă nu există obiective clare în ceea ce privește echipele medicale de urgență, întrucât UE parcurge procesul de tranziție spre clasificarea echipelor medicale de urgență în tipurile 1, 2 și 3, conform standardelor Organizației Mondiale a Sănătății. Cu toate acestea, există indicii că statele participante s-ar putea confrunta cu lacune în materie de capacitate în ceea ce privește spitalele de campanie de mari dimensiuni (și anume, echipe medicale de urgență de tipul 3).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Pe lângă cele menționate mai sus, trebuie remarcat faptul că se pot înregistra costuri operaționale substanțiale, determinate de desfășurarea pe termen lung a unor importante capacități de răspuns, precum echipele medicale de urgență (de tipul 2 și 3), facilitățile pentru laboratoare mobile și capacitățile tehnice necesare asociate funcționării spitalelor de campanie. Aceste costuri nu sunt, în prezent, eligibile pentru cofinanțare din partea UE în cadrul mecanismului UCPM, și, prin urmare, unele state participante au ezitat să își înregistreze activele în EERC.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 ceea ce privește resursele pentru evacuarea medicală, sunt disponibile mai multe avioane și elicoptere în cadrul și în afara EERC. Cu toate acestea, riscul pe care îl prezintă evenimentele cu pierderi mari de vieți omenești evidențiază necesitatea unui număr mai mare de active disponibile. Diversitatea situațiilor în care ar putea fi necesare active de evacuare medicală impune, de asemenea, o revizuire a tipurilor de capacități de evacuare medicală definite în cadrul UCPM. Spre exemplu, sistemul de evacuare medicală pentru bolnavii de Ebola a fost elaborat în momentul de vârf al situației de urgență.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Prin urmare, Comisia invită statele participante să sprijine revizuirea cerințelor și a obiectivelor în materie de capacitate pentru modulele MEVAC</w:t>
      </w:r>
      <w:r>
        <w:rPr>
          <w:rFonts w:ascii="Times New Roman" w:hAnsi="Times New Roman"/>
          <w:noProof/>
          <w:sz w:val="24"/>
          <w:vertAlign w:val="superscript"/>
        </w:rPr>
        <w:footnoteReference w:id="8"/>
      </w:r>
      <w:r>
        <w:rPr>
          <w:rFonts w:ascii="Times New Roman" w:hAnsi="Times New Roman"/>
          <w:noProof/>
          <w:sz w:val="24"/>
        </w:rPr>
        <w:t xml:space="preserve"> și activele de evacuare medicală.</w:t>
      </w:r>
    </w:p>
    <w:p>
      <w:pPr>
        <w:keepNext/>
        <w:spacing w:after="240" w:line="240" w:lineRule="auto"/>
        <w:outlineLvl w:val="1"/>
        <w:rPr>
          <w:rFonts w:ascii="Times New Roman" w:eastAsia="Times New Roman" w:hAnsi="Times New Roman" w:cs="Times New Roman"/>
          <w:b/>
          <w:bCs/>
          <w:iCs/>
          <w:noProof/>
          <w:color w:val="365F91" w:themeColor="accent1" w:themeShade="BF"/>
          <w:sz w:val="24"/>
          <w:szCs w:val="28"/>
        </w:rPr>
      </w:pPr>
      <w:bookmarkStart w:id="54" w:name="_Toc469920825"/>
      <w:bookmarkStart w:id="55" w:name="_Toc469928269"/>
      <w:bookmarkStart w:id="56" w:name="_Toc471298674"/>
      <w:bookmarkStart w:id="57" w:name="_Toc473207368"/>
      <w:bookmarkStart w:id="58" w:name="_Toc473729933"/>
      <w:bookmarkStart w:id="59" w:name="_Toc475103664"/>
      <w:r>
        <w:rPr>
          <w:rFonts w:ascii="Times New Roman" w:hAnsi="Times New Roman"/>
          <w:b/>
          <w:noProof/>
          <w:color w:val="365F91" w:themeColor="accent1" w:themeShade="BF"/>
          <w:sz w:val="24"/>
        </w:rPr>
        <w:t>4.3</w:t>
      </w:r>
      <w:r>
        <w:rPr>
          <w:noProof/>
        </w:rPr>
        <w:tab/>
      </w:r>
      <w:r>
        <w:rPr>
          <w:rFonts w:ascii="Times New Roman" w:hAnsi="Times New Roman"/>
          <w:b/>
          <w:noProof/>
          <w:color w:val="365F91" w:themeColor="accent1" w:themeShade="BF"/>
          <w:sz w:val="24"/>
        </w:rPr>
        <w:t>Sisteme de aeronave pilotate de la distanță</w:t>
      </w:r>
      <w:bookmarkEnd w:id="54"/>
      <w:bookmarkEnd w:id="55"/>
      <w:bookmarkEnd w:id="56"/>
      <w:bookmarkEnd w:id="57"/>
      <w:bookmarkEnd w:id="58"/>
      <w:bookmarkEnd w:id="59"/>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Inovația tehnologică poate spori eficacitatea și eficiența operațiunilor de protecție civilă, inclusiv în cadrul UCPM. O asemenea inovație este reprezentată de drone, cunoscute, de asemenea, ca sisteme de aeronave pilotate de la distanță (RPAS). Unele state participante utilizează deja RPAS în operațiuni de protecție civilă interne și internaționale, însă, până în prezent, au existat doar puține cazuri în care RPAS au fost utilizate în cadrul misiunilor UCPM și nicio unitate RPAS nu a fost înregistrată în EERC. Printre altele, unitățile RPAS pot sprijini misiunile de evaluare, operațiunile de căutare și salvare, precum și combaterea incendiilor forestiere</w:t>
      </w:r>
      <w:r>
        <w:rPr>
          <w:rFonts w:ascii="Times New Roman" w:hAnsi="Times New Roman"/>
          <w:noProof/>
          <w:sz w:val="24"/>
          <w:vertAlign w:val="superscript"/>
        </w:rPr>
        <w:footnoteReference w:id="9"/>
      </w:r>
      <w:r>
        <w:rPr>
          <w:rFonts w:ascii="Times New Roman" w:hAnsi="Times New Roman"/>
          <w:noProof/>
          <w:sz w:val="24"/>
        </w:rPr>
        <w:t xml:space="preserve">. Pentru fiecare dintre aceste tipuri de misiune, unitățile RPAS trebuie să dețină capacități specifice și să respecte seturi distincte de criterii de calitate.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Prin urmare, Comisia invită statele participante să sprijine revizuirea denumirii „echipe cu vehicule aeriene fără pilot” și să reflecteze asupra oportunității concretizării acesteia într-o serie de module RPAS diferite cu obiective distincte în materie de capacitate. </w:t>
      </w:r>
    </w:p>
    <w:p>
      <w:pPr>
        <w:keepNext/>
        <w:spacing w:after="240"/>
        <w:outlineLvl w:val="1"/>
        <w:rPr>
          <w:rFonts w:ascii="Cambria" w:eastAsia="Times New Roman" w:hAnsi="Cambria" w:cs="Times New Roman"/>
          <w:b/>
          <w:bCs/>
          <w:iCs/>
          <w:noProof/>
          <w:color w:val="365F91" w:themeColor="accent1" w:themeShade="BF"/>
          <w:sz w:val="24"/>
          <w:szCs w:val="28"/>
        </w:rPr>
      </w:pPr>
      <w:bookmarkStart w:id="60" w:name="_Toc471298675"/>
      <w:bookmarkStart w:id="61" w:name="_Toc473207369"/>
      <w:bookmarkStart w:id="62" w:name="_Toc473729934"/>
      <w:bookmarkStart w:id="63" w:name="_Toc475103665"/>
      <w:r>
        <w:rPr>
          <w:rFonts w:ascii="Cambria" w:hAnsi="Cambria"/>
          <w:b/>
          <w:noProof/>
          <w:color w:val="365F91" w:themeColor="accent1" w:themeShade="BF"/>
          <w:sz w:val="24"/>
        </w:rPr>
        <w:t>4.4</w:t>
      </w:r>
      <w:r>
        <w:rPr>
          <w:noProof/>
        </w:rPr>
        <w:tab/>
      </w:r>
      <w:r>
        <w:rPr>
          <w:rFonts w:ascii="Times New Roman" w:hAnsi="Times New Roman" w:cs="Times New Roman"/>
          <w:b/>
          <w:noProof/>
          <w:color w:val="365F91" w:themeColor="accent1" w:themeShade="BF"/>
          <w:sz w:val="24"/>
        </w:rPr>
        <w:t>Echipe de comunicare</w:t>
      </w:r>
      <w:bookmarkEnd w:id="60"/>
      <w:bookmarkEnd w:id="61"/>
      <w:bookmarkEnd w:id="62"/>
      <w:bookmarkEnd w:id="63"/>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EERC prezintă o lacună numerică (-2) în ceea ce privește echipele sau platformele de comunicare care restabilesc rapid comunicațiile în zonele îndepărtate. Cu toate acestea, Comisia deține informații că unele state participante dispun de astfel de resurse, fără să fi indicat acest lucru în mod explicit în scopul prezentului raport. În consecință, ar fi necesare informații suplimentare în ceea ce privește disponibilitatea acestui tip de resursă.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Comisia invită statele participante fie să înregistreze activele suplimentare în EERC, fie să reflecteze asupra gradului de adecvare al acestui obiectiv în materie de capacitate.</w:t>
      </w:r>
    </w:p>
    <w:p>
      <w:pPr>
        <w:spacing w:after="240" w:line="240" w:lineRule="auto"/>
        <w:jc w:val="both"/>
        <w:rPr>
          <w:rFonts w:ascii="Times New Roman" w:eastAsia="Calibri" w:hAnsi="Times New Roman" w:cs="Times New Roman"/>
          <w:noProof/>
          <w:sz w:val="24"/>
          <w:szCs w:val="24"/>
        </w:rPr>
      </w:pPr>
    </w:p>
    <w:p>
      <w:pPr>
        <w:keepNext/>
        <w:keepLines/>
        <w:numPr>
          <w:ilvl w:val="0"/>
          <w:numId w:val="31"/>
        </w:numPr>
        <w:spacing w:after="240" w:line="240" w:lineRule="auto"/>
        <w:ind w:left="357" w:hanging="357"/>
        <w:outlineLvl w:val="0"/>
        <w:rPr>
          <w:rFonts w:ascii="Times New Roman" w:eastAsiaTheme="majorEastAsia" w:hAnsi="Times New Roman" w:cs="Times New Roman"/>
          <w:b/>
          <w:bCs/>
          <w:noProof/>
          <w:color w:val="365F91" w:themeColor="accent1" w:themeShade="BF"/>
          <w:sz w:val="28"/>
          <w:szCs w:val="28"/>
        </w:rPr>
      </w:pPr>
      <w:bookmarkStart w:id="64" w:name="_Toc469920276"/>
      <w:bookmarkStart w:id="65" w:name="_Toc469920828"/>
      <w:bookmarkStart w:id="66" w:name="_Toc469928272"/>
      <w:bookmarkStart w:id="67" w:name="_Toc471298676"/>
      <w:bookmarkStart w:id="68" w:name="_Toc473207370"/>
      <w:bookmarkStart w:id="69" w:name="_Toc473729935"/>
      <w:bookmarkStart w:id="70" w:name="_Toc475103666"/>
      <w:r>
        <w:rPr>
          <w:rFonts w:ascii="Times New Roman" w:eastAsiaTheme="majorEastAsia" w:hAnsi="Times New Roman"/>
          <w:b/>
          <w:noProof/>
          <w:color w:val="365F91" w:themeColor="accent1" w:themeShade="BF"/>
          <w:sz w:val="28"/>
        </w:rPr>
        <w:t>Concluzii</w:t>
      </w:r>
      <w:bookmarkEnd w:id="64"/>
      <w:bookmarkEnd w:id="65"/>
      <w:bookmarkEnd w:id="66"/>
      <w:bookmarkEnd w:id="67"/>
      <w:bookmarkEnd w:id="68"/>
      <w:bookmarkEnd w:id="69"/>
      <w:bookmarkEnd w:id="70"/>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S-au înregistrat progrese satisfăcătoare în ceea ce privește atingerea obiectivelor inițiale ale EERC în materie de capacitate, însă prezentul raport subliniază faptul că, în ceea ce privește capacitatea UE de a răspunde la dezastre, aceasta ar putea fi încă insuficientă cu privire la (1) combaterea incendiilor forestiere și (2) adăposturile și asistență conexă.</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 plus, este necesară o analiză mai aprofundată în anumite domenii pentru a se evalua dacă există lacune potențial semnificative în ceea ce privește capacitatea de răspuns a UE, sau dacă anumite obiective în materie de capacitate, astfel cum sunt definite în legislația actuală, trebuie să fie revizuite. Ar fi vorba de următoarele tipuri de resurse: (a) echipe de căutare și salvare în zonele urbane în condiții de tip CBRN, precum și echipe de decontaminare CBRN; (b) spitale de campanie și capacități de evacuare medicală; (c) sisteme de aeronave pilotate de la distanță și (d) echipe de comunicare.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Pentru a contribui la asigurarea disponibilității unui număr suficient de resurse-cheie, în 2017, Comisia a publicat încă o cerere de propuneri pentru capacități tampon. Aceasta acoperă capacități de răspuns în domenii precum stingerea incendiilor forestiere cu ajutorul avioanelor, capacități de adăpost, vehicule terestre fără pilot pentru dezastre CBRN, servicii medicale de urgență, sisteme aeriene pilotate de la distanță, precum și stoparea inundațiilor</w:t>
      </w:r>
      <w:r>
        <w:rPr>
          <w:rFonts w:ascii="Times New Roman" w:hAnsi="Times New Roman"/>
          <w:noProof/>
          <w:sz w:val="24"/>
          <w:vertAlign w:val="superscript"/>
        </w:rPr>
        <w:footnoteReference w:id="10"/>
      </w:r>
      <w:r>
        <w:rPr>
          <w:rFonts w:ascii="Times New Roman" w:hAnsi="Times New Roman"/>
          <w:noProof/>
          <w:sz w:val="24"/>
        </w:rPr>
        <w:t>.</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Comisia propune ca statele participante să abordeze lacunele rămase pentru care nu există o capacitate disponibilă la nivel național prin mai multe moduri, precum:</w:t>
      </w:r>
    </w:p>
    <w:p>
      <w:pPr>
        <w:numPr>
          <w:ilvl w:val="0"/>
          <w:numId w:val="32"/>
        </w:num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formarea unor consorții și dezvoltarea unor module comune; </w:t>
      </w:r>
    </w:p>
    <w:p>
      <w:pPr>
        <w:numPr>
          <w:ilvl w:val="0"/>
          <w:numId w:val="32"/>
        </w:num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analizarea unor acorduri contractuale care permit accesul la astfel de resurse; </w:t>
      </w:r>
    </w:p>
    <w:p>
      <w:pPr>
        <w:numPr>
          <w:ilvl w:val="0"/>
          <w:numId w:val="32"/>
        </w:num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stimularea în continuare a cercetării cu privire la acest subiect; </w:t>
      </w:r>
    </w:p>
    <w:p>
      <w:pPr>
        <w:numPr>
          <w:ilvl w:val="0"/>
          <w:numId w:val="32"/>
        </w:num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eliminarea lacunelor prin intermediul programelor de consolidare a capacității existente la nivel național și la nivelul UE</w:t>
      </w:r>
      <w:r>
        <w:rPr>
          <w:rFonts w:ascii="Times New Roman" w:hAnsi="Times New Roman"/>
          <w:noProof/>
          <w:sz w:val="24"/>
          <w:vertAlign w:val="superscript"/>
        </w:rPr>
        <w:footnoteReference w:id="11"/>
      </w:r>
      <w:r>
        <w:rPr>
          <w:rFonts w:ascii="Times New Roman" w:hAnsi="Times New Roman"/>
          <w:noProof/>
          <w:sz w:val="24"/>
        </w:rPr>
        <w:t>, de exemplu în cadrul fondurilor structurale ale UE.</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În final, evaluarea progreselor înregistrate și a lacunelor rămase în cadrul EERC este un proces continuu și dinamic. Obiectivele în materie de capacitate ale EERC trebuie revizuite cel puțin o dată la doi ani</w:t>
      </w:r>
      <w:r>
        <w:rPr>
          <w:rFonts w:ascii="Times New Roman" w:hAnsi="Times New Roman"/>
          <w:noProof/>
          <w:sz w:val="24"/>
          <w:vertAlign w:val="superscript"/>
        </w:rPr>
        <w:footnoteReference w:id="12"/>
      </w:r>
      <w:r>
        <w:rPr>
          <w:rFonts w:ascii="Times New Roman" w:hAnsi="Times New Roman"/>
          <w:noProof/>
          <w:sz w:val="24"/>
        </w:rPr>
        <w:t xml:space="preserve">, iar prima revizuire va începe deja în 2017. Revizuirea poate avea ca rezultat definirea unor noi obiective în materie de capacitate, pe baza evaluărilor riscurilor la nivel național, a experienței dobândite în urma dezastrelor recente, a tendințelor generale și a altor surse de informare adecvate. </w:t>
      </w:r>
    </w:p>
    <w:p>
      <w:pPr>
        <w:spacing w:after="240" w:line="240" w:lineRule="auto"/>
        <w:jc w:val="both"/>
        <w:rPr>
          <w:rFonts w:ascii="Times New Roman" w:eastAsia="Calibri" w:hAnsi="Times New Roman" w:cs="Times New Roman"/>
          <w:noProof/>
          <w:sz w:val="24"/>
          <w:szCs w:val="24"/>
        </w:rPr>
      </w:pPr>
    </w:p>
    <w:p>
      <w:pPr>
        <w:spacing w:after="240" w:line="240" w:lineRule="auto"/>
        <w:jc w:val="both"/>
        <w:rPr>
          <w:rFonts w:ascii="Times New Roman" w:eastAsia="Calibri" w:hAnsi="Times New Roman" w:cs="Times New Roman"/>
          <w:noProof/>
          <w:sz w:val="24"/>
          <w:szCs w:val="24"/>
        </w:rPr>
        <w:sectPr>
          <w:headerReference w:type="even" r:id="rId22"/>
          <w:headerReference w:type="default" r:id="rId23"/>
          <w:footerReference w:type="even" r:id="rId24"/>
          <w:footerReference w:type="default" r:id="rId25"/>
          <w:headerReference w:type="first" r:id="rId26"/>
          <w:footerReference w:type="first" r:id="rId27"/>
          <w:pgSz w:w="11906" w:h="16838"/>
          <w:pgMar w:top="709" w:right="1418" w:bottom="454" w:left="1418" w:header="709" w:footer="0" w:gutter="0"/>
          <w:cols w:space="720"/>
          <w:docGrid w:linePitch="360"/>
        </w:sectPr>
      </w:pPr>
    </w:p>
    <w:p>
      <w:pPr>
        <w:keepNext/>
        <w:keepLines/>
        <w:spacing w:after="240" w:line="240" w:lineRule="auto"/>
        <w:ind w:firstLine="426"/>
        <w:outlineLvl w:val="0"/>
        <w:rPr>
          <w:rFonts w:ascii="Times New Roman" w:eastAsiaTheme="majorEastAsia" w:hAnsi="Times New Roman" w:cs="Times New Roman"/>
          <w:b/>
          <w:bCs/>
          <w:noProof/>
          <w:color w:val="365F91" w:themeColor="accent1" w:themeShade="BF"/>
          <w:sz w:val="28"/>
          <w:szCs w:val="28"/>
        </w:rPr>
      </w:pPr>
      <w:bookmarkStart w:id="71" w:name="_Toc471298677"/>
      <w:bookmarkStart w:id="72" w:name="_Toc473207371"/>
      <w:bookmarkStart w:id="73" w:name="_Toc473729936"/>
      <w:bookmarkStart w:id="74" w:name="_Toc475103667"/>
      <w:r>
        <w:rPr>
          <w:rFonts w:ascii="Times New Roman" w:eastAsiaTheme="majorEastAsia" w:hAnsi="Times New Roman"/>
          <w:b/>
          <w:noProof/>
          <w:color w:val="365F91" w:themeColor="accent1" w:themeShade="BF"/>
          <w:sz w:val="28"/>
        </w:rPr>
        <w:t>Anexă – Prezentare generală a resurselor și lacunelor din cadrul EERC</w:t>
      </w:r>
      <w:bookmarkEnd w:id="71"/>
      <w:bookmarkEnd w:id="72"/>
      <w:bookmarkEnd w:id="73"/>
      <w:bookmarkEnd w:id="74"/>
    </w:p>
    <w:p>
      <w:pPr>
        <w:spacing w:after="240" w:line="240" w:lineRule="auto"/>
        <w:ind w:left="425"/>
        <w:jc w:val="both"/>
        <w:rPr>
          <w:rFonts w:ascii="Times New Roman" w:eastAsia="Calibri" w:hAnsi="Times New Roman" w:cs="Times New Roman"/>
          <w:noProof/>
          <w:sz w:val="24"/>
          <w:szCs w:val="24"/>
        </w:rPr>
      </w:pPr>
      <w:r>
        <w:rPr>
          <w:rFonts w:ascii="Times New Roman" w:hAnsi="Times New Roman"/>
          <w:noProof/>
          <w:sz w:val="24"/>
        </w:rPr>
        <w:t>În primele două coloane din tabel sunt enumerate „modulele”, „echipele de asistență tehnică și de sprijin” și „alte capacități de răspuns” și sunt incluse obiectivele în materie de capacitate pentru configurația de demarare a EERC, astfel cum este definită în anexa III la Decizia de punere în aplicare a Comisiei. De asemenea, tabelul conține o listă a componentelor Corpului medical european, care nu sunt incluse în mod oficial în EERC și pentru care nu au fost stabilite încă obiective în materie de capacitate. În a treia și, respectiv, a patra coloană sunt enumerate resursele care sunt în prezent înregistrate în EERC, precum și cele care nu sunt înregistrate în EERC, dar pe care statele participante le pot pune la dispoziție în timp util în cantitățile necesare, la locul necesar, în intervalul de timp necesar și pe perioada de timp necesară. Ultima coloană prezintă diferența dintre obiective și capacitatea totală la nivelul statelor participante și prezintă pe scurt relevanța lacunelor identificate. Aceasta stă la baza codificării cromatice cu verde (obiectiv atins), portocaliu (a se vedea observațiile specifice) și roșu (lacune potențial semnificative în materie de capacitate).</w:t>
      </w:r>
    </w:p>
    <w:tbl>
      <w:tblPr>
        <w:tblStyle w:val="TableGrid"/>
        <w:tblW w:w="0" w:type="auto"/>
        <w:tblInd w:w="1242" w:type="dxa"/>
        <w:tblLook w:val="04A0" w:firstRow="1" w:lastRow="0" w:firstColumn="1" w:lastColumn="0" w:noHBand="0" w:noVBand="1"/>
      </w:tblPr>
      <w:tblGrid>
        <w:gridCol w:w="993"/>
        <w:gridCol w:w="2648"/>
        <w:gridCol w:w="1049"/>
        <w:gridCol w:w="3107"/>
        <w:gridCol w:w="993"/>
        <w:gridCol w:w="4393"/>
      </w:tblGrid>
      <w:tr>
        <w:tc>
          <w:tcPr>
            <w:tcW w:w="993" w:type="dxa"/>
            <w:tcBorders>
              <w:right w:val="single" w:sz="4" w:space="0" w:color="auto"/>
            </w:tcBorders>
            <w:shd w:val="clear" w:color="auto" w:fill="CCFFCC"/>
          </w:tcPr>
          <w:p>
            <w:pPr>
              <w:spacing w:after="240"/>
              <w:jc w:val="both"/>
              <w:rPr>
                <w:rFonts w:ascii="Times New Roman" w:hAnsi="Times New Roman"/>
                <w:noProof/>
                <w:sz w:val="24"/>
                <w:szCs w:val="24"/>
              </w:rPr>
            </w:pPr>
          </w:p>
        </w:tc>
        <w:tc>
          <w:tcPr>
            <w:tcW w:w="2648" w:type="dxa"/>
            <w:tcBorders>
              <w:top w:val="nil"/>
              <w:left w:val="single" w:sz="4" w:space="0" w:color="auto"/>
              <w:bottom w:val="nil"/>
              <w:right w:val="single" w:sz="4" w:space="0" w:color="auto"/>
            </w:tcBorders>
          </w:tcPr>
          <w:p>
            <w:pPr>
              <w:spacing w:after="240"/>
              <w:jc w:val="both"/>
              <w:rPr>
                <w:rFonts w:ascii="Times New Roman" w:hAnsi="Times New Roman"/>
                <w:noProof/>
                <w:sz w:val="24"/>
                <w:szCs w:val="24"/>
              </w:rPr>
            </w:pPr>
            <w:r>
              <w:rPr>
                <w:rFonts w:ascii="Times New Roman" w:hAnsi="Times New Roman"/>
                <w:noProof/>
                <w:sz w:val="24"/>
              </w:rPr>
              <w:t>= obiectiv atins</w:t>
            </w:r>
          </w:p>
        </w:tc>
        <w:tc>
          <w:tcPr>
            <w:tcW w:w="1049" w:type="dxa"/>
            <w:tcBorders>
              <w:left w:val="single" w:sz="4" w:space="0" w:color="auto"/>
              <w:right w:val="single" w:sz="4" w:space="0" w:color="auto"/>
            </w:tcBorders>
            <w:shd w:val="clear" w:color="auto" w:fill="FFCC66"/>
          </w:tcPr>
          <w:p>
            <w:pPr>
              <w:spacing w:after="240"/>
              <w:jc w:val="both"/>
              <w:rPr>
                <w:rFonts w:ascii="Times New Roman" w:hAnsi="Times New Roman"/>
                <w:noProof/>
                <w:sz w:val="24"/>
                <w:szCs w:val="24"/>
              </w:rPr>
            </w:pPr>
          </w:p>
        </w:tc>
        <w:tc>
          <w:tcPr>
            <w:tcW w:w="3107" w:type="dxa"/>
            <w:tcBorders>
              <w:top w:val="nil"/>
              <w:left w:val="single" w:sz="4" w:space="0" w:color="auto"/>
              <w:bottom w:val="nil"/>
              <w:right w:val="single" w:sz="4" w:space="0" w:color="auto"/>
            </w:tcBorders>
          </w:tcPr>
          <w:p>
            <w:pPr>
              <w:spacing w:after="240"/>
              <w:jc w:val="both"/>
              <w:rPr>
                <w:rFonts w:ascii="Times New Roman" w:hAnsi="Times New Roman"/>
                <w:noProof/>
                <w:sz w:val="24"/>
                <w:szCs w:val="24"/>
              </w:rPr>
            </w:pPr>
            <w:r>
              <w:rPr>
                <w:rFonts w:ascii="Times New Roman" w:hAnsi="Times New Roman"/>
                <w:noProof/>
                <w:sz w:val="24"/>
              </w:rPr>
              <w:t>= a se vedea observațiile specifice</w:t>
            </w:r>
          </w:p>
        </w:tc>
        <w:tc>
          <w:tcPr>
            <w:tcW w:w="993" w:type="dxa"/>
            <w:tcBorders>
              <w:left w:val="single" w:sz="4" w:space="0" w:color="auto"/>
              <w:right w:val="single" w:sz="4" w:space="0" w:color="auto"/>
            </w:tcBorders>
            <w:shd w:val="clear" w:color="auto" w:fill="FF9999"/>
          </w:tcPr>
          <w:p>
            <w:pPr>
              <w:spacing w:after="240"/>
              <w:jc w:val="both"/>
              <w:rPr>
                <w:rFonts w:ascii="Times New Roman" w:hAnsi="Times New Roman"/>
                <w:noProof/>
                <w:sz w:val="24"/>
                <w:szCs w:val="24"/>
              </w:rPr>
            </w:pPr>
          </w:p>
        </w:tc>
        <w:tc>
          <w:tcPr>
            <w:tcW w:w="4393" w:type="dxa"/>
            <w:tcBorders>
              <w:top w:val="nil"/>
              <w:left w:val="single" w:sz="4" w:space="0" w:color="auto"/>
              <w:bottom w:val="nil"/>
              <w:right w:val="nil"/>
            </w:tcBorders>
          </w:tcPr>
          <w:p>
            <w:pPr>
              <w:spacing w:after="240"/>
              <w:jc w:val="both"/>
              <w:rPr>
                <w:rFonts w:ascii="Times New Roman" w:hAnsi="Times New Roman"/>
                <w:noProof/>
                <w:sz w:val="24"/>
                <w:szCs w:val="24"/>
              </w:rPr>
            </w:pPr>
            <w:r>
              <w:rPr>
                <w:rFonts w:ascii="Times New Roman" w:hAnsi="Times New Roman"/>
                <w:noProof/>
                <w:sz w:val="24"/>
              </w:rPr>
              <w:t>= lacune potențial semnificative în materie de capacitate</w:t>
            </w:r>
          </w:p>
        </w:tc>
      </w:tr>
    </w:tbl>
    <w:p>
      <w:pPr>
        <w:spacing w:after="120" w:line="240" w:lineRule="auto"/>
        <w:jc w:val="both"/>
        <w:rPr>
          <w:rFonts w:ascii="Times New Roman" w:eastAsia="Calibri" w:hAnsi="Times New Roman" w:cs="Times New Roman"/>
          <w:noProof/>
          <w:sz w:val="24"/>
          <w:szCs w:val="24"/>
        </w:rPr>
      </w:pP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992"/>
        <w:gridCol w:w="2410"/>
        <w:gridCol w:w="2409"/>
        <w:gridCol w:w="5103"/>
      </w:tblGrid>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jc w:val="center"/>
              <w:rPr>
                <w:rFonts w:ascii="Times New Roman" w:eastAsia="Calibri" w:hAnsi="Times New Roman" w:cs="Times New Roman"/>
                <w:noProof/>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3</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5</w:t>
            </w: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i/>
                <w:noProof/>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rPr>
                <w:rFonts w:ascii="Times New Roman" w:eastAsia="Calibri" w:hAnsi="Times New Roman" w:cs="Times New Roman"/>
                <w:i/>
                <w:noProof/>
                <w:sz w:val="24"/>
                <w:szCs w:val="24"/>
              </w:rPr>
            </w:pPr>
            <w:r>
              <w:rPr>
                <w:rFonts w:ascii="Times New Roman" w:hAnsi="Times New Roman"/>
                <w:i/>
                <w:noProof/>
                <w:sz w:val="24"/>
              </w:rPr>
              <w:t>Tip de resursă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spacing w:after="0" w:line="240" w:lineRule="auto"/>
              <w:rPr>
                <w:rFonts w:ascii="Times New Roman" w:eastAsia="Calibri" w:hAnsi="Times New Roman" w:cs="Times New Roman"/>
                <w:i/>
                <w:noProof/>
                <w:sz w:val="24"/>
                <w:szCs w:val="24"/>
              </w:rPr>
            </w:pPr>
            <w:r>
              <w:rPr>
                <w:rFonts w:ascii="Times New Roman" w:hAnsi="Times New Roman"/>
                <w:i/>
                <w:noProof/>
                <w:sz w:val="24"/>
              </w:rPr>
              <w:t>Obiectivul inițial</w:t>
            </w:r>
            <w:r>
              <w:rPr>
                <w:rFonts w:ascii="Times New Roman" w:hAnsi="Times New Roman"/>
                <w:i/>
                <w:noProof/>
                <w:sz w:val="24"/>
                <w:vertAlign w:val="superscript"/>
              </w:rPr>
              <w:footnoteReference w:id="13"/>
            </w:r>
            <w:r>
              <w:rPr>
                <w:rFonts w:ascii="Times New Roman" w:hAnsi="Times New Roman"/>
                <w:i/>
                <w:noProof/>
                <w:sz w:val="24"/>
              </w:rPr>
              <w:t xml:space="preserve"> al EERC</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rPr>
                <w:rFonts w:ascii="Times New Roman" w:eastAsia="Calibri" w:hAnsi="Times New Roman" w:cs="Times New Roman"/>
                <w:i/>
                <w:noProof/>
                <w:sz w:val="24"/>
                <w:szCs w:val="24"/>
              </w:rPr>
            </w:pPr>
            <w:r>
              <w:rPr>
                <w:rFonts w:ascii="Times New Roman" w:hAnsi="Times New Roman"/>
                <w:i/>
                <w:noProof/>
                <w:sz w:val="24"/>
              </w:rPr>
              <w:t>Resursele înregistrate (sau în curs de înregistrare) în EERC</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rPr>
                <w:rFonts w:ascii="Times New Roman" w:eastAsia="Calibri" w:hAnsi="Times New Roman" w:cs="Times New Roman"/>
                <w:i/>
                <w:noProof/>
                <w:sz w:val="24"/>
                <w:szCs w:val="24"/>
              </w:rPr>
            </w:pPr>
            <w:r>
              <w:rPr>
                <w:rFonts w:ascii="Times New Roman" w:hAnsi="Times New Roman"/>
                <w:i/>
                <w:noProof/>
                <w:sz w:val="24"/>
              </w:rPr>
              <w:t>Resursele care pot fi puse la dispoziție în afara EERC</w:t>
            </w:r>
            <w:r>
              <w:rPr>
                <w:rFonts w:ascii="Times New Roman" w:hAnsi="Times New Roman"/>
                <w:i/>
                <w:noProof/>
                <w:sz w:val="24"/>
                <w:vertAlign w:val="superscript"/>
              </w:rPr>
              <w:footnoteReference w:id="14"/>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spacing w:after="0" w:line="240" w:lineRule="auto"/>
              <w:rPr>
                <w:rFonts w:ascii="Times New Roman" w:eastAsia="Calibri" w:hAnsi="Times New Roman" w:cs="Times New Roman"/>
                <w:i/>
                <w:noProof/>
                <w:sz w:val="24"/>
                <w:szCs w:val="24"/>
              </w:rPr>
            </w:pPr>
            <w:r>
              <w:rPr>
                <w:rFonts w:ascii="Times New Roman" w:hAnsi="Times New Roman"/>
                <w:i/>
                <w:noProof/>
                <w:sz w:val="24"/>
              </w:rPr>
              <w:t>Evaluarea lacunelor potențial semnificative în materie de capacitate de răspuns</w:t>
            </w: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p>
        </w:tc>
        <w:tc>
          <w:tcPr>
            <w:tcW w:w="14316" w:type="dxa"/>
            <w:gridSpan w:val="5"/>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Module</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 de pompare de mare capacitate</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6</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BE x1; DE x3; DK x1; FR x2; IT x1; PL x2; SE x1; SK x1; RO x2</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x2; Baltic x1; BE x1; BG x1; CZ x1; DE x5; FR x2; HU x1; IT x1; SI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(+24)</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Operațiuni de căutare și de salvare în zonele urbane în condiții de dificultate medie (MUSAR) – 1 modul pentru vreme rece</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6</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FI x1; GR x2; IT x1; RO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x2; BE x1; BG x1; EE x1; ES x2; FR x5; HR x1; HU x2; IS x1; LI x1; SI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(+17)</w:t>
            </w:r>
            <w:r>
              <w:rPr>
                <w:rFonts w:ascii="Times New Roman" w:hAnsi="Times New Roman"/>
                <w:noProof/>
                <w:sz w:val="24"/>
                <w:vertAlign w:val="superscript"/>
              </w:rPr>
              <w:t xml:space="preserve"> </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 de operațiuni de căutare și de salvare în zonele urbane în condiții de dificultate mare (HUSAR)</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CZ x 1; DE x1; DK x1; FR x2; NL x1; PL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ES x1; FR x2;</w:t>
            </w:r>
            <w:r>
              <w:rPr>
                <w:rFonts w:ascii="Times New Roman" w:hAnsi="Times New Roman"/>
                <w:noProof/>
                <w:color w:val="FF0000"/>
                <w:sz w:val="24"/>
              </w:rPr>
              <w:t xml:space="preserve"> </w:t>
            </w:r>
            <w:r>
              <w:rPr>
                <w:rFonts w:ascii="Times New Roman" w:hAnsi="Times New Roman"/>
                <w:noProof/>
                <w:sz w:val="24"/>
              </w:rPr>
              <w:t>HU x1; IT x1; NL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(+8)</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4</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 de epurare a apei</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DE x1; DK x1; FR x2</w:t>
            </w: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BE x1; DE x2</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(+6)</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5</w:t>
            </w:r>
          </w:p>
        </w:tc>
        <w:tc>
          <w:tcPr>
            <w:tcW w:w="3402"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 de combatere aeriană a incendiilor forestiere cu ajutorul avioanelor</w:t>
            </w:r>
          </w:p>
        </w:tc>
        <w:tc>
          <w:tcPr>
            <w:tcW w:w="992"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FR x1</w:t>
            </w:r>
          </w:p>
        </w:tc>
        <w:tc>
          <w:tcPr>
            <w:tcW w:w="2409"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FR x1; IT x1</w:t>
            </w:r>
          </w:p>
        </w:tc>
        <w:tc>
          <w:tcPr>
            <w:tcW w:w="5103"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numerică (+ 1), cu toate acestea, au existat situații critice de penurie în sezonul incendiilor forestiere din 2016 – a se vedea observațiile de la punctul 3.1 de mai sus.</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6</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Post medical complex</w:t>
            </w:r>
          </w:p>
          <w:p>
            <w:pPr>
              <w:autoSpaceDE w:val="0"/>
              <w:autoSpaceDN w:val="0"/>
              <w:adjustRightInd w:val="0"/>
              <w:spacing w:after="0" w:line="240" w:lineRule="auto"/>
              <w:rPr>
                <w:rFonts w:ascii="Times New Roman" w:eastAsia="Calibri" w:hAnsi="Times New Roman" w:cs="Times New Roman"/>
                <w:noProo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CZ x1; RO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BE x1; ES x1; FR x8</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(+11)</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7</w:t>
            </w:r>
          </w:p>
        </w:tc>
        <w:tc>
          <w:tcPr>
            <w:tcW w:w="3402"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Tabără temporară pentru situații de urgență</w:t>
            </w:r>
          </w:p>
        </w:tc>
        <w:tc>
          <w:tcPr>
            <w:tcW w:w="992"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9999"/>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ES x1</w:t>
            </w:r>
          </w:p>
        </w:tc>
        <w:tc>
          <w:tcPr>
            <w:tcW w:w="5103"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 lacună, care este extrem de importantă într-o serie de scenarii – a se vedea punctul 3.2 de mai sus.</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8</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 de detectarea și prelevarea de probe de natură chimică, biologică, radiologică și nucleară (CBRN)</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 FR x2; IT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BE x1; CZ x1; ES x1; FR x8; LU x1; PL x2</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(+16)</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9</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 de combatere terestră a incendiilor forestiere</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FR x3; GR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BG x1; DK x1; ES x1; FR x3</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(+8)</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Combaterea terestră a incendiilor forestiere cu ajutorul vehiculelor</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FR x3</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x3; DK x1; ES x1; FR x13; PL x3</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(+22)</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Operațiuni de căutare și salvare în zonele urbane în condiții de risc chimic, bacteriologic, radiologic și nuclear (CBRNUSAR)</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x2; BG x1; DK x1; ES x1; FR x2</w:t>
            </w:r>
            <w:r>
              <w:rPr>
                <w:rFonts w:ascii="Times New Roman" w:hAnsi="Times New Roman"/>
                <w:noProof/>
                <w:sz w:val="24"/>
                <w:vertAlign w:val="superscript"/>
              </w:rPr>
              <w:footnoteReference w:id="15"/>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(+6)</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Post medical complex cu secție de chirurgie</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IT x1; RO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EE x1; IT x 3</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(+5)</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Modul de stopare a inundațiilor</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 FR x2; SE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x2; ES x1; FR x2</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Nicio lacună (+7)</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Salvarea victimelor inundațiilor cu ajutorul bărcilor</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CZ x1; FR x2</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x3; ES x1; FR x2; LU x1; SI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Nicio lacună (+8)</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Evacuarea medicală pe calea aerului a victimelor dezastrelor (MEVAC)</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DE x1; ES x1; FR x1; GR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numerică (+4); cu toate acestea punctul 10 din anexa II la Decizia nr. 2014/762/UE trebuie revizuit – a se vedea punctul 4.2 de mai sus.</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Spital de campanie</w:t>
            </w:r>
          </w:p>
        </w:tc>
        <w:tc>
          <w:tcPr>
            <w:tcW w:w="992"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w:t>
            </w:r>
            <w:r>
              <w:rPr>
                <w:rFonts w:ascii="Times New Roman" w:hAnsi="Times New Roman"/>
                <w:noProof/>
                <w:sz w:val="24"/>
                <w:vertAlign w:val="superscript"/>
              </w:rPr>
              <w:footnoteReference w:id="16"/>
            </w:r>
          </w:p>
        </w:tc>
        <w:tc>
          <w:tcPr>
            <w:tcW w:w="5103"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 lacună. Evoluții în cadrul Corpului medical european care trebuie luate în considerare – a se vedea punctul 4.2 de mai sus, precum și rândul 43.</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Combaterea aeriană a incendiilor forestiere cu ajutorul elicopterelor (FFFH)</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Lacune numerice de 2 active, însă cu un nivel scăzut de relevanță strategică: Modulele FFFH sunt mobilizate, de regulă, pentru acțiuni transfrontaliere pe distanțe scurte, în urma unor cereri bilaterale. Acestea nu sunt, în general, utilizate pentru a oferi asistență internațională în situația unor dezastre aflate la mare distanță.</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p>
        </w:tc>
        <w:tc>
          <w:tcPr>
            <w:tcW w:w="14316" w:type="dxa"/>
            <w:gridSpan w:val="5"/>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de asistență tehnică și de sprijin</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Echipă de asistență tehnică și de sprijin (TAST)</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 DE x1; FI x1; NL x1; SE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w:t>
            </w:r>
            <w:r>
              <w:rPr>
                <w:rFonts w:ascii="Times New Roman" w:hAnsi="Times New Roman"/>
                <w:noProof/>
                <w:color w:val="FF0000"/>
                <w:sz w:val="24"/>
              </w:rPr>
              <w:t xml:space="preserve"> </w:t>
            </w:r>
            <w:r>
              <w:rPr>
                <w:rFonts w:ascii="Times New Roman" w:hAnsi="Times New Roman"/>
                <w:noProof/>
                <w:sz w:val="24"/>
              </w:rPr>
              <w:t>DE x1; EE x1;</w:t>
            </w:r>
            <w:r>
              <w:rPr>
                <w:rFonts w:ascii="Times New Roman" w:hAnsi="Times New Roman"/>
                <w:noProof/>
                <w:color w:val="FF0000"/>
                <w:sz w:val="24"/>
              </w:rPr>
              <w:t xml:space="preserve"> </w:t>
            </w:r>
            <w:r>
              <w:rPr>
                <w:rFonts w:ascii="Times New Roman" w:hAnsi="Times New Roman"/>
                <w:noProof/>
                <w:sz w:val="24"/>
              </w:rPr>
              <w:t>IS x1;</w:t>
            </w:r>
            <w:r>
              <w:rPr>
                <w:rFonts w:ascii="Times New Roman" w:hAnsi="Times New Roman"/>
                <w:noProof/>
                <w:color w:val="FF0000"/>
                <w:sz w:val="24"/>
              </w:rPr>
              <w:t xml:space="preserve"> </w:t>
            </w:r>
            <w:r>
              <w:rPr>
                <w:rFonts w:ascii="Times New Roman" w:hAnsi="Times New Roman"/>
                <w:noProof/>
                <w:sz w:val="24"/>
              </w:rPr>
              <w:t>IT x1; LT/LV x1; LU x1; NO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(+11)</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p>
        </w:tc>
        <w:tc>
          <w:tcPr>
            <w:tcW w:w="14316" w:type="dxa"/>
            <w:gridSpan w:val="5"/>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Alte capacități de răspuns (enumerate în anexa III la Decizia de punere în aplicare a Comisiei)</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de căutare și de salvare montană</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ES x1; ME x1; SI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(+2)</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care desfășoară operațiuni de căutare și de salvare pe apă</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DK x1; ME x1; SI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(+2)</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care desfășoară operațiuni de căutare și de salvare în peșteri</w:t>
            </w:r>
          </w:p>
        </w:tc>
        <w:tc>
          <w:tcPr>
            <w:tcW w:w="992"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p>
            <w:pPr>
              <w:autoSpaceDE w:val="0"/>
              <w:autoSpaceDN w:val="0"/>
              <w:adjustRightInd w:val="0"/>
              <w:spacing w:after="0" w:line="240" w:lineRule="auto"/>
              <w:jc w:val="center"/>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SI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ME x1; SI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(+2)</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dotate cu echipamente specializate de căutare și de salvare, de exemplu cu roboți de căutare</w:t>
            </w:r>
          </w:p>
        </w:tc>
        <w:tc>
          <w:tcPr>
            <w:tcW w:w="992" w:type="dxa"/>
            <w:tcBorders>
              <w:top w:val="single" w:sz="4" w:space="0" w:color="auto"/>
              <w:left w:val="single" w:sz="4" w:space="0" w:color="auto"/>
              <w:bottom w:val="single" w:sz="4" w:space="0" w:color="auto"/>
              <w:right w:val="single" w:sz="4" w:space="0" w:color="auto"/>
            </w:tcBorders>
            <w:shd w:val="clear" w:color="auto" w:fill="FFCC66"/>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CC66"/>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w:t>
            </w:r>
            <w:r>
              <w:rPr>
                <w:rFonts w:ascii="Times New Roman" w:hAnsi="Times New Roman"/>
                <w:noProof/>
                <w:sz w:val="24"/>
                <w:vertAlign w:val="superscript"/>
              </w:rPr>
              <w:footnoteReference w:id="17"/>
            </w:r>
          </w:p>
        </w:tc>
        <w:tc>
          <w:tcPr>
            <w:tcW w:w="5103"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 lacună, a se vedea nota de subsol 12. Potențial semnificativă pentru operațiuni de căutare și de salvare complexe, inclusiv în condiții de tip CBRN – a se vedea punctul 4.1 de mai sus, precum și rândul 11.</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dotate cu vehicule aeriene fără pilot/Sisteme de aeronave pilotate de la distanță</w:t>
            </w:r>
          </w:p>
        </w:tc>
        <w:tc>
          <w:tcPr>
            <w:tcW w:w="992" w:type="dxa"/>
            <w:tcBorders>
              <w:top w:val="single" w:sz="4" w:space="0" w:color="auto"/>
              <w:left w:val="single" w:sz="4" w:space="0" w:color="auto"/>
              <w:bottom w:val="single" w:sz="4" w:space="0" w:color="auto"/>
              <w:right w:val="single" w:sz="4" w:space="0" w:color="auto"/>
            </w:tcBorders>
            <w:shd w:val="clear" w:color="auto" w:fill="FFCC66"/>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CC66"/>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w:t>
            </w:r>
            <w:r>
              <w:rPr>
                <w:rFonts w:ascii="Times New Roman" w:hAnsi="Times New Roman"/>
                <w:noProof/>
                <w:sz w:val="24"/>
                <w:vertAlign w:val="superscript"/>
              </w:rPr>
              <w:footnoteReference w:id="18"/>
            </w:r>
          </w:p>
        </w:tc>
        <w:tc>
          <w:tcPr>
            <w:tcW w:w="5103"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1 lacună, este nevoie de o evaluare suplimentară – a se vedea punctul 4.3 de mai sus.</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de intervenție în caz de incidente maritime</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NL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BE x1; FR x2</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(+2)</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specializate în inginerie structurală, care să efectueze evaluări ale daunelor și ale siguranței, ale clădirilor care trebuie să fie demolate/reparate, ale infrastructurii și care să efectueze consolidări pe termen scurt</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IT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ES x1; SI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(+2)</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Sprijin în materie de evacuare, inclusiv echipe care să gestioneze informațiile și să se ocupe de logistică</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DE x1; DK x1, GR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(+1)</w:t>
            </w:r>
          </w:p>
          <w:p>
            <w:pPr>
              <w:autoSpaceDE w:val="0"/>
              <w:autoSpaceDN w:val="0"/>
              <w:adjustRightInd w:val="0"/>
              <w:spacing w:after="0" w:line="240" w:lineRule="auto"/>
              <w:rPr>
                <w:rFonts w:ascii="Times New Roman" w:eastAsia="Calibri" w:hAnsi="Times New Roman" w:cs="Times New Roman"/>
                <w:noProof/>
                <w:sz w:val="24"/>
                <w:szCs w:val="24"/>
              </w:rPr>
            </w:pP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Combaterea incendiilor: echipe de consiliere/de evaluare</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DK x1; GR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(+1)</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de decontaminare CBRN</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 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 FR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(+1)</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Laboratoare mobile pentru urgențe în materie de mediu</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NL x1</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BE x1; DE x1; FR x2</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(+3)</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sau platforme de comunicare care să restabilească rapid comunicațiile în zonele îndepărtate</w:t>
            </w:r>
          </w:p>
        </w:tc>
        <w:tc>
          <w:tcPr>
            <w:tcW w:w="992" w:type="dxa"/>
            <w:tcBorders>
              <w:top w:val="single" w:sz="4" w:space="0" w:color="auto"/>
              <w:left w:val="single" w:sz="4" w:space="0" w:color="auto"/>
              <w:bottom w:val="single" w:sz="4" w:space="0" w:color="auto"/>
              <w:right w:val="single" w:sz="4" w:space="0" w:color="auto"/>
            </w:tcBorders>
            <w:shd w:val="clear" w:color="auto" w:fill="FFCC66"/>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CC66"/>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CC66"/>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2 lacune. Trebuie evaluată semnificația lacunelor – a se vedea punctul 4.4 de mai sus.</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Servicii distincte, pentru teritoriul Europei și pentru țările din afara acesteia, de evacuare medicală prin intermediul unei ambulanțe sub formă de avion cu reacție și de elicopter</w:t>
            </w:r>
          </w:p>
        </w:tc>
        <w:tc>
          <w:tcPr>
            <w:tcW w:w="992" w:type="dxa"/>
            <w:tcBorders>
              <w:top w:val="single" w:sz="4" w:space="0" w:color="auto"/>
              <w:left w:val="single" w:sz="4" w:space="0" w:color="auto"/>
              <w:bottom w:val="single" w:sz="4" w:space="0" w:color="auto"/>
              <w:right w:val="single" w:sz="4" w:space="0" w:color="auto"/>
            </w:tcBorders>
            <w:shd w:val="clear" w:color="auto" w:fill="FFCC66"/>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CC66"/>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LU x1; NL x1; SE x1</w:t>
            </w:r>
          </w:p>
        </w:tc>
        <w:tc>
          <w:tcPr>
            <w:tcW w:w="2409"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Elicoptere în Europa AT x1; ME x1</w:t>
            </w:r>
          </w:p>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Elicoptere și avioane, atât în Europa, cât și în afara ei: LU x1</w:t>
            </w:r>
          </w:p>
        </w:tc>
        <w:tc>
          <w:tcPr>
            <w:tcW w:w="5103"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Nicio lacună numerică (+ 4), însă există o deficiență potențial semnificativă pentru evenimente cu pierderi mari de vieți omenești în situații specifice. Cerințe generale care trebuie revizuite ținând seama de cerințele pentru modulele MEVAC – a se vedea punctul 4.2 de mai sus, precum și rândul 15.</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Capacitate de adăpost suplimentară: unități pentru 250 de persoane (50 de corturi), inclusiv unitate autosuficientă pentru personalul responsabil</w:t>
            </w:r>
          </w:p>
        </w:tc>
        <w:tc>
          <w:tcPr>
            <w:tcW w:w="992" w:type="dxa"/>
            <w:tcBorders>
              <w:top w:val="single" w:sz="4" w:space="0" w:color="auto"/>
              <w:left w:val="single" w:sz="4" w:space="0" w:color="auto"/>
              <w:bottom w:val="single" w:sz="4" w:space="0" w:color="auto"/>
              <w:right w:val="single" w:sz="4" w:space="0" w:color="auto"/>
            </w:tcBorders>
            <w:shd w:val="clear" w:color="auto" w:fill="FF9999"/>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100</w:t>
            </w:r>
          </w:p>
        </w:tc>
        <w:tc>
          <w:tcPr>
            <w:tcW w:w="2410"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SE x1</w:t>
            </w:r>
          </w:p>
        </w:tc>
        <w:tc>
          <w:tcPr>
            <w:tcW w:w="2409"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x5; BE x1</w:t>
            </w:r>
          </w:p>
        </w:tc>
        <w:tc>
          <w:tcPr>
            <w:tcW w:w="5103" w:type="dxa"/>
            <w:vMerge w:val="restart"/>
            <w:tcBorders>
              <w:top w:val="single" w:sz="4" w:space="0" w:color="auto"/>
              <w:left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p>
          <w:p>
            <w:pPr>
              <w:autoSpaceDE w:val="0"/>
              <w:autoSpaceDN w:val="0"/>
              <w:adjustRightInd w:val="0"/>
              <w:spacing w:after="0" w:line="240" w:lineRule="auto"/>
              <w:rPr>
                <w:rFonts w:ascii="Times New Roman" w:eastAsia="Calibri" w:hAnsi="Times New Roman" w:cs="Times New Roman"/>
                <w:noProof/>
                <w:sz w:val="24"/>
                <w:szCs w:val="24"/>
              </w:rPr>
            </w:pPr>
          </w:p>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Lacună potențial semnificativă, întrucât nu există capacitate suficientă disponibilă la nivelul statelor participante – a se vedea punctul 3.2 de mai sus, precum și rândul 7.</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Capacitate de adăpost suplimentară: unități pentru 2 500 de persoane (500 de corturi), existând posibilitatea procurării setului de instrumente la nivel local</w:t>
            </w:r>
          </w:p>
        </w:tc>
        <w:tc>
          <w:tcPr>
            <w:tcW w:w="992" w:type="dxa"/>
            <w:tcBorders>
              <w:top w:val="single" w:sz="4" w:space="0" w:color="auto"/>
              <w:left w:val="single" w:sz="4" w:space="0" w:color="auto"/>
              <w:bottom w:val="single" w:sz="4" w:space="0" w:color="auto"/>
              <w:right w:val="single" w:sz="4" w:space="0" w:color="auto"/>
            </w:tcBorders>
            <w:shd w:val="clear" w:color="auto" w:fill="FF9999"/>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6</w:t>
            </w:r>
          </w:p>
        </w:tc>
        <w:tc>
          <w:tcPr>
            <w:tcW w:w="2410" w:type="dxa"/>
            <w:tcBorders>
              <w:top w:val="single" w:sz="4" w:space="0" w:color="auto"/>
              <w:left w:val="single" w:sz="4" w:space="0" w:color="auto"/>
              <w:bottom w:val="single" w:sz="4" w:space="0" w:color="auto"/>
              <w:right w:val="single" w:sz="4" w:space="0" w:color="auto"/>
            </w:tcBorders>
            <w:shd w:val="clear" w:color="auto" w:fill="FF9999"/>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x1</w:t>
            </w:r>
          </w:p>
        </w:tc>
        <w:tc>
          <w:tcPr>
            <w:tcW w:w="5103" w:type="dxa"/>
            <w:vMerge/>
            <w:tcBorders>
              <w:left w:val="single" w:sz="4" w:space="0" w:color="auto"/>
              <w:bottom w:val="single" w:sz="4" w:space="0" w:color="auto"/>
              <w:right w:val="single" w:sz="4" w:space="0" w:color="auto"/>
            </w:tcBorders>
            <w:shd w:val="clear" w:color="auto" w:fill="FF9999"/>
            <w:hideMark/>
          </w:tcPr>
          <w:p>
            <w:pPr>
              <w:autoSpaceDE w:val="0"/>
              <w:autoSpaceDN w:val="0"/>
              <w:adjustRightInd w:val="0"/>
              <w:spacing w:after="0" w:line="240" w:lineRule="auto"/>
              <w:rPr>
                <w:rFonts w:ascii="Times New Roman" w:eastAsia="Calibri" w:hAnsi="Times New Roman" w:cs="Times New Roman"/>
                <w:noProof/>
                <w:sz w:val="24"/>
                <w:szCs w:val="24"/>
              </w:rPr>
            </w:pP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Pompe de apă cu o capacitate minimă de 800 l/min</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100</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x20; ME x5; NL</w:t>
            </w:r>
            <w:r>
              <w:rPr>
                <w:rFonts w:ascii="Times New Roman" w:hAnsi="Times New Roman"/>
                <w:noProof/>
                <w:sz w:val="24"/>
                <w:vertAlign w:val="superscript"/>
              </w:rPr>
              <w:footnoteReference w:id="19"/>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 xml:space="preserve">Lacună numerică de 75 de active, însă se consideră că numărul ridicat de module de pompare de mare capacitate și existența a două echipe extreme de pompare de mare capacitate în EERC compensează lipsa activelor înregistrate în această categorie. </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 xml:space="preserve">Generatoare electrice cu o capacitate de 5-150 kW </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100</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x20; DK x10; ME x5; SE x15; NL</w:t>
            </w:r>
            <w:r>
              <w:rPr>
                <w:rFonts w:ascii="Times New Roman" w:hAnsi="Times New Roman"/>
                <w:noProof/>
                <w:sz w:val="24"/>
                <w:vertAlign w:val="superscript"/>
              </w:rPr>
              <w:footnoteReference w:id="20"/>
            </w:r>
          </w:p>
        </w:tc>
        <w:tc>
          <w:tcPr>
            <w:tcW w:w="5103" w:type="dxa"/>
            <w:vMerge w:val="restart"/>
            <w:tcBorders>
              <w:top w:val="single" w:sz="4" w:space="0" w:color="auto"/>
              <w:left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Au fost identificate lacune numerice, însă există informații potrivit cărora statele participante dețin mai multe resurse disponibile decât cele indicate în scopul prezentului raport.</w:t>
            </w:r>
          </w:p>
        </w:tc>
      </w:tr>
      <w:t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 xml:space="preserve">Generatoare electrice cu o capacitate de peste 150 kW </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AT x5; DK x1</w:t>
            </w:r>
          </w:p>
        </w:tc>
        <w:tc>
          <w:tcPr>
            <w:tcW w:w="5103" w:type="dxa"/>
            <w:vMerge/>
            <w:tcBorders>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Capacități de combatere a poluării marine</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18"/>
                <w:szCs w:val="18"/>
              </w:rPr>
            </w:pPr>
            <w:r>
              <w:rPr>
                <w:rFonts w:ascii="Times New Roman" w:hAnsi="Times New Roman"/>
                <w:noProof/>
                <w:sz w:val="18"/>
              </w:rPr>
              <w:t>în funcție de necesități</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SE x1</w:t>
            </w:r>
            <w:r>
              <w:rPr>
                <w:rFonts w:ascii="Times New Roman" w:hAnsi="Times New Roman"/>
                <w:noProof/>
                <w:sz w:val="24"/>
                <w:vertAlign w:val="superscript"/>
              </w:rPr>
              <w:footnoteReference w:id="21"/>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p>
        </w:tc>
        <w:tc>
          <w:tcPr>
            <w:tcW w:w="14316" w:type="dxa"/>
            <w:gridSpan w:val="5"/>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Alte capacități de răspuns necesare pentru abordarea riscurilor identificate</w:t>
            </w: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HCP extrem (≥ 50,000 l/m)</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BE x1; NL x1</w:t>
            </w: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Serviciu de asistență tehnică TIC</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 xml:space="preserve">SE x 1 </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DK x1</w:t>
            </w: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Capacitate de inginerie permanentă</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 xml:space="preserve">DE x 1 </w:t>
            </w:r>
          </w:p>
        </w:tc>
        <w:tc>
          <w:tcPr>
            <w:tcW w:w="2409"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medicale de urgență (EMT) de tip 1</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medicale de urgență (EMT) de tip 2</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ES x1; FR x1; BE x1</w:t>
            </w: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Echipe medicale de urgență (EMT) de tip 3</w:t>
            </w:r>
          </w:p>
        </w:tc>
        <w:tc>
          <w:tcPr>
            <w:tcW w:w="992" w:type="dxa"/>
            <w:tcBorders>
              <w:top w:val="single" w:sz="4" w:space="0" w:color="auto"/>
              <w:left w:val="single" w:sz="4" w:space="0" w:color="auto"/>
              <w:bottom w:val="single" w:sz="4" w:space="0" w:color="auto"/>
              <w:right w:val="single" w:sz="4" w:space="0" w:color="auto"/>
            </w:tcBorders>
            <w:shd w:val="clear" w:color="auto" w:fill="FFCC66"/>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FFCC66"/>
          </w:tcPr>
          <w:p>
            <w:pPr>
              <w:autoSpaceDE w:val="0"/>
              <w:autoSpaceDN w:val="0"/>
              <w:adjustRightInd w:val="0"/>
              <w:spacing w:after="0" w:line="240" w:lineRule="auto"/>
              <w:rPr>
                <w:rFonts w:ascii="Times New Roman" w:eastAsia="Calibri"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CC66"/>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FFCC66"/>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Obiectiv care nu a fost încă stabilit – a se vedea punctul 4.2 de mai sus.</w:t>
            </w: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Spital de izolare pentru boli infecțioase</w:t>
            </w:r>
          </w:p>
        </w:tc>
        <w:tc>
          <w:tcPr>
            <w:tcW w:w="992" w:type="dxa"/>
            <w:tcBorders>
              <w:top w:val="single" w:sz="4" w:space="0" w:color="auto"/>
              <w:left w:val="single" w:sz="4" w:space="0" w:color="auto"/>
              <w:bottom w:val="single" w:sz="4" w:space="0" w:color="auto"/>
              <w:right w:val="single" w:sz="4" w:space="0" w:color="auto"/>
            </w:tcBorders>
            <w:shd w:val="clear" w:color="auto" w:fill="CCFFCC"/>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DE x1</w:t>
            </w: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r>
      <w:tr>
        <w:trPr>
          <w:cantSplit/>
          <w:trHeight w:val="54"/>
        </w:trPr>
        <w:tc>
          <w:tcPr>
            <w:tcW w:w="567"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Laboratoare mobile în domeniul biosiguranței</w:t>
            </w:r>
          </w:p>
        </w:tc>
        <w:tc>
          <w:tcPr>
            <w:tcW w:w="992" w:type="dxa"/>
            <w:tcBorders>
              <w:top w:val="single" w:sz="4" w:space="0" w:color="auto"/>
              <w:left w:val="single" w:sz="4" w:space="0" w:color="auto"/>
              <w:bottom w:val="single" w:sz="4" w:space="0" w:color="auto"/>
              <w:right w:val="single" w:sz="4" w:space="0" w:color="auto"/>
            </w:tcBorders>
            <w:shd w:val="clear" w:color="auto" w:fill="CCFFCC"/>
            <w:hideMark/>
          </w:tcPr>
          <w:p>
            <w:pPr>
              <w:spacing w:after="0" w:line="240" w:lineRule="auto"/>
              <w:rPr>
                <w:rFonts w:ascii="Times New Roman" w:eastAsia="Calibri" w:hAnsi="Times New Roman" w:cs="Times New Roman"/>
                <w:noProof/>
                <w:sz w:val="24"/>
                <w:szCs w:val="24"/>
              </w:rPr>
            </w:pPr>
            <w:r>
              <w:rPr>
                <w:rFonts w:ascii="Times New Roman" w:hAnsi="Times New Roman"/>
                <w:noProof/>
                <w:sz w:val="24"/>
              </w:rPr>
              <w:t>N/A</w:t>
            </w:r>
          </w:p>
        </w:tc>
        <w:tc>
          <w:tcPr>
            <w:tcW w:w="2410"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BE x1; DE x1</w:t>
            </w:r>
          </w:p>
        </w:tc>
        <w:tc>
          <w:tcPr>
            <w:tcW w:w="2409" w:type="dxa"/>
            <w:tcBorders>
              <w:top w:val="single" w:sz="4" w:space="0" w:color="auto"/>
              <w:left w:val="single" w:sz="4" w:space="0" w:color="auto"/>
              <w:bottom w:val="single" w:sz="4" w:space="0" w:color="auto"/>
              <w:right w:val="single" w:sz="4" w:space="0" w:color="auto"/>
            </w:tcBorders>
            <w:shd w:val="clear" w:color="auto" w:fill="CCFFCC"/>
          </w:tcPr>
          <w:p>
            <w:pPr>
              <w:autoSpaceDE w:val="0"/>
              <w:autoSpaceDN w:val="0"/>
              <w:adjustRightInd w:val="0"/>
              <w:spacing w:after="0" w:line="240" w:lineRule="auto"/>
              <w:rPr>
                <w:rFonts w:ascii="Times New Roman" w:eastAsia="Calibri" w:hAnsi="Times New Roman" w:cs="Times New Roman"/>
                <w:noProof/>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CCFFCC"/>
            <w:hideMark/>
          </w:tcPr>
          <w:p>
            <w:pPr>
              <w:autoSpaceDE w:val="0"/>
              <w:autoSpaceDN w:val="0"/>
              <w:adjustRightInd w:val="0"/>
              <w:spacing w:after="0" w:line="240" w:lineRule="auto"/>
              <w:rPr>
                <w:rFonts w:ascii="Times New Roman" w:eastAsia="Calibri" w:hAnsi="Times New Roman" w:cs="Times New Roman"/>
                <w:noProof/>
                <w:sz w:val="24"/>
                <w:szCs w:val="24"/>
              </w:rPr>
            </w:pPr>
          </w:p>
        </w:tc>
      </w:tr>
    </w:tbl>
    <w:p>
      <w:pPr>
        <w:autoSpaceDE w:val="0"/>
        <w:autoSpaceDN w:val="0"/>
        <w:adjustRightInd w:val="0"/>
        <w:spacing w:after="0" w:line="240" w:lineRule="auto"/>
        <w:rPr>
          <w:rFonts w:ascii="Times New Roman" w:eastAsia="Calibri" w:hAnsi="Times New Roman" w:cs="Times New Roman"/>
          <w:noProof/>
          <w:sz w:val="24"/>
          <w:szCs w:val="24"/>
        </w:rPr>
      </w:pPr>
    </w:p>
    <w:p>
      <w:pPr>
        <w:rPr>
          <w:noProof/>
        </w:rPr>
      </w:pPr>
    </w:p>
    <w:sectPr>
      <w:headerReference w:type="even" r:id="rId28"/>
      <w:headerReference w:type="default" r:id="rId29"/>
      <w:footerReference w:type="even" r:id="rId30"/>
      <w:footerReference w:type="default" r:id="rId31"/>
      <w:headerReference w:type="first" r:id="rId32"/>
      <w:footerReference w:type="first" r:id="rId33"/>
      <w:pgSz w:w="16838" w:h="11906" w:orient="landscape"/>
      <w:pgMar w:top="1134" w:right="1245" w:bottom="1418" w:left="45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240" w:after="240"/>
      <w:jc w:val="right"/>
      <w:rPr>
        <w:rFonts w:ascii="Times New Roman" w:hAnsi="Times New Roman"/>
        <w:sz w:val="20"/>
        <w:szCs w:val="20"/>
      </w:rPr>
    </w:pPr>
    <w:r>
      <w:rPr>
        <w:rFonts w:ascii="Times New Roman" w:hAnsi="Times New Roman"/>
        <w:sz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15</w:t>
    </w:r>
    <w:r>
      <w:rPr>
        <w:rFonts w:ascii="Times New Roman" w:hAnsi="Times New Roman"/>
        <w:noProof/>
        <w:sz w:val="20"/>
        <w:szCs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45976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240" w:after="240"/>
      <w:jc w:val="right"/>
      <w:rPr>
        <w:rFonts w:ascii="Times New Roman" w:hAnsi="Times New Roman"/>
        <w:sz w:val="20"/>
        <w:szCs w:val="20"/>
      </w:rPr>
    </w:pPr>
    <w:r>
      <w:rPr>
        <w:rFonts w:ascii="Times New Roman" w:hAnsi="Times New Roman"/>
        <w:sz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9</w:t>
    </w:r>
    <w:r>
      <w:rPr>
        <w:rFonts w:ascii="Times New Roman" w:hAnsi="Times New Roman"/>
        <w:noProof/>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Articolul 11 din Decizia nr. 1313/2013/UE a Parlamentului European și a Consiliului privind un mecanism de protecție civilă al Uniunii.</w:t>
      </w:r>
    </w:p>
  </w:footnote>
  <w:footnote w:id="2">
    <w:p>
      <w:pPr>
        <w:pStyle w:val="FootnoteText"/>
        <w:spacing w:after="0" w:line="240" w:lineRule="auto"/>
        <w:jc w:val="both"/>
      </w:pPr>
      <w:r>
        <w:rPr>
          <w:rStyle w:val="FootnoteReference"/>
        </w:rPr>
        <w:footnoteRef/>
      </w:r>
      <w:r>
        <w:t xml:space="preserve"> </w:t>
      </w:r>
      <w:r>
        <w:rPr>
          <w:rFonts w:ascii="Times New Roman" w:hAnsi="Times New Roman"/>
        </w:rPr>
        <w:t>A se vedea Raportul special nr. 33/2016 privind „Mecanismul de protecție civilă al Uniunii”, publicat la 18 ianuarie 2017.</w:t>
      </w:r>
    </w:p>
  </w:footnote>
  <w:footnote w:id="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 se vedea anexa pentru detalii.</w:t>
      </w:r>
    </w:p>
  </w:footnote>
  <w:footnote w:id="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Articolul 16 din Decizia de punere în aplicare nr. 2014/762/UE a Comisiei.</w:t>
      </w:r>
    </w:p>
  </w:footnote>
  <w:footnote w:id="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Articolul 14 din Decizia de punere în aplicare nr. 2014/762/UE a Comisiei.</w:t>
      </w:r>
    </w:p>
  </w:footnote>
  <w:footnote w:id="6">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Pentru a ține seama de întârzierile în ceea ce privește finalizarea înregistrării resurselor, prezentul raport consideră, de asemenea, ca fiind „înregistrate” acele resurse pentru care Comisia a primit o cerere de înregistrare în termenul stabilit, dar pentru care procesul de înregistrare nu a fost încă finalizat. Ipoteza de bază este că toate resursele vor fi, în cele din urmă, înregistrate, deși este posibil ca unele să necesite granturi de adaptare pentru a respecta criteriile de calitate prevăzute în anexa II la Decizia de punere în aplicare nr. 2014/762/UE a Comisiei. Resursele înregistrate în mod oficial reprezintă în prezent doar 20 % dintre cele 77 de resurse enumerate în anexă. Restul de 80 % reprezintă resurse pentru care a fost inițiat procesul de înregistrare. Resursele care au fost alocate printr-un angajament politic de către statele participante, dar pentru care nu a fost depus niciun formular de cerere până la 1 octombrie 2016, nu sunt luate în considerare în actualul proces de identificare a lacunelor, deoarece nu există informații disponibile privind aspectele tehnice, condițiile, calendarul și caracterul adecvat al acestora.</w:t>
      </w:r>
    </w:p>
  </w:footnote>
  <w:footnote w:id="7">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Austria, Belgia, Bulgaria, Croația, Republica Cehă, Danemarca, Estonia, Finlanda, Franța, Germania, Grecia, Ungaria, Islanda, Irlanda, Italia, Letonia, Lituania, Luxemburg, Malta, Muntenegru, Țările de Jos, Norvegia, Polonia, Slovenia, Spania, Suedia și Regatul Unit.</w:t>
      </w:r>
    </w:p>
  </w:footnote>
  <w:footnote w:id="8">
    <w:p>
      <w:pPr>
        <w:pStyle w:val="FootnoteText"/>
        <w:spacing w:after="0" w:line="240" w:lineRule="auto"/>
        <w:rPr>
          <w:rFonts w:ascii="Times New Roman" w:hAnsi="Times New Roman"/>
        </w:rPr>
      </w:pPr>
      <w:r>
        <w:rPr>
          <w:rStyle w:val="FootnoteReference"/>
        </w:rPr>
        <w:footnoteRef/>
      </w:r>
      <w:r>
        <w:t xml:space="preserve"> </w:t>
      </w:r>
      <w:r>
        <w:rPr>
          <w:rFonts w:ascii="Times New Roman" w:hAnsi="Times New Roman"/>
        </w:rPr>
        <w:t>Mevac: Evacuarea medicală pe calea aerului a victimelor dezastrelor.</w:t>
      </w:r>
    </w:p>
  </w:footnote>
  <w:footnote w:id="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În ianuarie 2016, Comisia a organizat un atelier de lucru cu experți privind utilizarea RPAS în operațiunile de protecție civilă. În cadrul acestui atelier de lucru s-a ajuns la concluzia că tehnologia RPAS s-ar putea dovedi utilă pentru sprijinirea diverselor misiuni de gestionare a dezastrelor. În iunie 2016, grupul de experți privind modulele de protecție civilă (înființat de Comitetul pentru protecție civilă) a concluzionat că există trei tipuri de misiune care reprezenta o prioritate pentru UCPM: RPAS pentru sprijinirea misiunilor de evaluare, RPAS pentru sprijinirea operațiunilor de căutare și salvare, precum și RPAS pentru sprijinirea combaterii incendiilor forestiere. De asemenea, grupul a convenit asupra unei liste de cerințe privind calitatea pentru unitățile RPAS care urmează să fie înregistrate în EERC.</w:t>
      </w:r>
    </w:p>
  </w:footnote>
  <w:footnote w:id="10">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Capacitatea de răspuns disponibilă pentru abordarea riscului de inundații în Europa este, în general, bună. Cu toate acestea, riscul de inundații trebuie examinat și prin prisma amplasării geografice și a categoriei de risc. În pofida disponibilității generale, capacitatea de a răspunde la inundații poate să nu fie efectiv disponibilă în anumite zone. În plus, nu există informații cu privire la disponibilitatea unui echipament mai sofisticat sau inovator pentru stoparea inundațiilor, cum ar fi sisteme bazate pe conducte sau sisteme bazate pe componente, care ar putea îmbunătăți capacitatea de răspuns a EERC. În ceea ce privește categoria de risc, ar trebui remarcat faptul că, în cazul viiturilor, există un timp de răspuns mai scurt decât în cazul inundațiilor provocate de revărsări ale cursurilor de apă. Aceasta îngreunează anticiparea lor și furnizarea de avertismente timpurii locuitorilor și echipelor de primă intervenție.</w:t>
      </w:r>
    </w:p>
  </w:footnote>
  <w:footnote w:id="11">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Trebuie remarcat faptul că finanțarea prin intermediul UCPM în vederea abordării lacunelor în materie de capacitate va fi limitată în continuare la finanțare de tip </w:t>
      </w:r>
      <w:r>
        <w:rPr>
          <w:rFonts w:ascii="Times New Roman" w:hAnsi="Times New Roman"/>
          <w:i/>
        </w:rPr>
        <w:t>seed</w:t>
      </w:r>
      <w:r>
        <w:rPr>
          <w:rFonts w:ascii="Times New Roman" w:hAnsi="Times New Roman"/>
        </w:rPr>
        <w:t xml:space="preserve"> de cel mult 20 % din costurile eligibile și este posibilă numai într-un număr foarte restrâns de cazuri (a se vedea articolul 21 alineatul (1) litera (j) din Decizia nr. 1313/2013/UE și articolul 22 din Decizia de punere în aplicare nr. 2014/762/UE a Comisiei).</w:t>
      </w:r>
    </w:p>
  </w:footnote>
  <w:footnote w:id="12">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Articolul 14 alineatul (2) din Decizia de punere în aplicare nr. 2014/762/UE a Comisiei.</w:t>
      </w:r>
    </w:p>
  </w:footnote>
  <w:footnote w:id="13">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Astfel cum este definit în Anexa III la Decizia de punere în aplicare nr. 2014/762/UE a Comisiei.</w:t>
      </w:r>
    </w:p>
  </w:footnote>
  <w:footnote w:id="1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De remarcat faptul că Regatul Unit poate să pună la dispoziție o serie de resurse pentru care nu a fost posibilă estimarea capacității naționale. Prin urmare, resursele nu sunt luate în considerare în scopul acestei analize. Aceasta include expertiză în domeniul combaterii incendiilor, capacități de căutare și salvare în zonele urbane, precum și echipamente specializate de căutare și salvare puse la dispoziție prin intermediul Serviciului de pompieri și de salvare din Regatul Unit și al partenerilor săi operaționali, capacități MEVAC disponibile prin intermediul forțelor armate ale Regatului Unit, o serie de capacități de răspuns maritim disponibile prin intermediul Agenției pentru navigație maritimă și pază de coastă din a Regatului Unit și al partenerilor săi operaționali, o expertiză amplă în domeniul ingineriei, disponibilă atât prin intermediul agențiilor din sectorul public (cum ar fi Consiliul executiv pentru sănătate și siguranță și Agenția de mediu), cât și prin intermediul sectorului privat. De asemenea, Departamentul pentru dezvoltare internațională al Regatului Unit deține stocuri pentru o capacitate mare de adăpost.</w:t>
      </w:r>
    </w:p>
  </w:footnote>
  <w:footnote w:id="1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Cele două module franceze HUSAR pot fi, de asemenea, mobilizate ca module CBRNUSAR. Cu toate acestea, modulele HUSAR nu au fost înregistrate ca module CBRNUSAR iar conformitatea lor cu criteriile de calitate respective nu poate fi astfel garantată în acest stadiu.</w:t>
      </w:r>
    </w:p>
  </w:footnote>
  <w:footnote w:id="16">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Capacitatea daneză constă într-un spital mobil modular/redimensionabil care poate funcționa ca post medical complex, post medical complex cu secție de chirurgie și ca spital de campanie. În scopul prezentei analize, capacitatea fost luată în calcul o singură dată ca spital de campanie.</w:t>
      </w:r>
    </w:p>
  </w:footnote>
  <w:footnote w:id="17">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Echipe dotate cu camere de căutare, camere termice, echipamente de căutare acustice și câini de salvare.</w:t>
      </w:r>
    </w:p>
  </w:footnote>
  <w:footnote w:id="18">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Echipa daneză este echipată cu un vehicul aerian fără pilot care poate să filmeze pe timp de zi și în condiții de vânt ușor.</w:t>
      </w:r>
    </w:p>
  </w:footnote>
  <w:footnote w:id="1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Țările de Jos pot pune la dispoziție pompe de apă cu o capacitate minimă de 800 l/min, de la caz la caz. Cu toate acestea, este imposibil să se facă o estimare cu privire la capacitatea națională, astfel că aceasta nu este luată în considerare în scopul prezentei analize.</w:t>
      </w:r>
    </w:p>
  </w:footnote>
  <w:footnote w:id="20">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De la caz la caz, Țările de Jos pot pune la dispoziție generatoare electrice cu o capacitate de 5-150 kW. Cu toate acestea, este imposibil să se facă o estimare cu privire la capacitatea națională, astfel că aceasta nu este luată în considerare în scopul prezentei analize.</w:t>
      </w:r>
    </w:p>
  </w:footnote>
  <w:footnote w:id="21">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Răspuns pe țărm.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B873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50EA2"/>
    <w:multiLevelType w:val="hybridMultilevel"/>
    <w:tmpl w:val="41B0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32294"/>
    <w:multiLevelType w:val="hybridMultilevel"/>
    <w:tmpl w:val="E8D2745A"/>
    <w:lvl w:ilvl="0" w:tplc="1D605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2E7794"/>
    <w:multiLevelType w:val="hybridMultilevel"/>
    <w:tmpl w:val="20EC5C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2C3445"/>
    <w:multiLevelType w:val="hybridMultilevel"/>
    <w:tmpl w:val="5D0614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44260F"/>
    <w:multiLevelType w:val="hybridMultilevel"/>
    <w:tmpl w:val="B0D2D7A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0DFB7615"/>
    <w:multiLevelType w:val="hybridMultilevel"/>
    <w:tmpl w:val="B572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3C6AC2"/>
    <w:multiLevelType w:val="hybridMultilevel"/>
    <w:tmpl w:val="A640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B97C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5D42F1"/>
    <w:multiLevelType w:val="hybridMultilevel"/>
    <w:tmpl w:val="93769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CA3795"/>
    <w:multiLevelType w:val="hybridMultilevel"/>
    <w:tmpl w:val="053A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E77057"/>
    <w:multiLevelType w:val="hybridMultilevel"/>
    <w:tmpl w:val="38E6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521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2340C9"/>
    <w:multiLevelType w:val="hybridMultilevel"/>
    <w:tmpl w:val="1D4C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2024D1"/>
    <w:multiLevelType w:val="hybridMultilevel"/>
    <w:tmpl w:val="3C02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AA4221"/>
    <w:multiLevelType w:val="hybridMultilevel"/>
    <w:tmpl w:val="4DBA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F93E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6C13E7E"/>
    <w:multiLevelType w:val="hybridMultilevel"/>
    <w:tmpl w:val="767E5E74"/>
    <w:lvl w:ilvl="0" w:tplc="1D605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7D2CBF"/>
    <w:multiLevelType w:val="hybridMultilevel"/>
    <w:tmpl w:val="9430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8D7530"/>
    <w:multiLevelType w:val="hybridMultilevel"/>
    <w:tmpl w:val="1D9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3E3F3D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631D00"/>
    <w:multiLevelType w:val="hybridMultilevel"/>
    <w:tmpl w:val="64F0D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B304704"/>
    <w:multiLevelType w:val="hybridMultilevel"/>
    <w:tmpl w:val="588A221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nsid w:val="4D4C1EC4"/>
    <w:multiLevelType w:val="hybridMultilevel"/>
    <w:tmpl w:val="0D96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A36D85"/>
    <w:multiLevelType w:val="hybridMultilevel"/>
    <w:tmpl w:val="C4B614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E90888"/>
    <w:multiLevelType w:val="multilevel"/>
    <w:tmpl w:val="179C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93E8F"/>
    <w:multiLevelType w:val="hybridMultilevel"/>
    <w:tmpl w:val="86E2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98219F"/>
    <w:multiLevelType w:val="hybridMultilevel"/>
    <w:tmpl w:val="FE92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075E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D960952"/>
    <w:multiLevelType w:val="hybridMultilevel"/>
    <w:tmpl w:val="784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4D649F"/>
    <w:multiLevelType w:val="hybridMultilevel"/>
    <w:tmpl w:val="C896D74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2">
    <w:nsid w:val="671012B5"/>
    <w:multiLevelType w:val="multilevel"/>
    <w:tmpl w:val="AC72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C5763B"/>
    <w:multiLevelType w:val="hybridMultilevel"/>
    <w:tmpl w:val="034E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4401D6"/>
    <w:multiLevelType w:val="hybridMultilevel"/>
    <w:tmpl w:val="49E4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FB7259"/>
    <w:multiLevelType w:val="hybridMultilevel"/>
    <w:tmpl w:val="6806288A"/>
    <w:lvl w:ilvl="0" w:tplc="1D605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EC2D3A"/>
    <w:multiLevelType w:val="hybridMultilevel"/>
    <w:tmpl w:val="7CBE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A00204"/>
    <w:multiLevelType w:val="hybridMultilevel"/>
    <w:tmpl w:val="1664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7"/>
  </w:num>
  <w:num w:numId="4">
    <w:abstractNumId w:val="9"/>
  </w:num>
  <w:num w:numId="5">
    <w:abstractNumId w:val="18"/>
  </w:num>
  <w:num w:numId="6">
    <w:abstractNumId w:val="24"/>
  </w:num>
  <w:num w:numId="7">
    <w:abstractNumId w:val="11"/>
  </w:num>
  <w:num w:numId="8">
    <w:abstractNumId w:val="14"/>
  </w:num>
  <w:num w:numId="9">
    <w:abstractNumId w:val="31"/>
  </w:num>
  <w:num w:numId="10">
    <w:abstractNumId w:val="6"/>
  </w:num>
  <w:num w:numId="11">
    <w:abstractNumId w:val="23"/>
  </w:num>
  <w:num w:numId="12">
    <w:abstractNumId w:val="2"/>
  </w:num>
  <w:num w:numId="13">
    <w:abstractNumId w:val="28"/>
  </w:num>
  <w:num w:numId="14">
    <w:abstractNumId w:val="1"/>
  </w:num>
  <w:num w:numId="15">
    <w:abstractNumId w:val="5"/>
  </w:num>
  <w:num w:numId="16">
    <w:abstractNumId w:val="10"/>
  </w:num>
  <w:num w:numId="17">
    <w:abstractNumId w:val="27"/>
  </w:num>
  <w:num w:numId="18">
    <w:abstractNumId w:val="33"/>
  </w:num>
  <w:num w:numId="19">
    <w:abstractNumId w:val="0"/>
  </w:num>
  <w:num w:numId="20">
    <w:abstractNumId w:val="34"/>
  </w:num>
  <w:num w:numId="21">
    <w:abstractNumId w:val="13"/>
  </w:num>
  <w:num w:numId="22">
    <w:abstractNumId w:val="30"/>
  </w:num>
  <w:num w:numId="23">
    <w:abstractNumId w:val="7"/>
  </w:num>
  <w:num w:numId="24">
    <w:abstractNumId w:val="3"/>
  </w:num>
  <w:num w:numId="25">
    <w:abstractNumId w:val="17"/>
  </w:num>
  <w:num w:numId="26">
    <w:abstractNumId w:val="35"/>
  </w:num>
  <w:num w:numId="27">
    <w:abstractNumId w:val="15"/>
  </w:num>
  <w:num w:numId="28">
    <w:abstractNumId w:val="19"/>
  </w:num>
  <w:num w:numId="29">
    <w:abstractNumId w:val="4"/>
  </w:num>
  <w:num w:numId="30">
    <w:abstractNumId w:val="29"/>
  </w:num>
  <w:num w:numId="31">
    <w:abstractNumId w:val="22"/>
  </w:num>
  <w:num w:numId="32">
    <w:abstractNumId w:val="36"/>
  </w:num>
  <w:num w:numId="33">
    <w:abstractNumId w:val="26"/>
  </w:num>
  <w:num w:numId="34">
    <w:abstractNumId w:val="32"/>
  </w:num>
  <w:num w:numId="35">
    <w:abstractNumId w:val="12"/>
  </w:num>
  <w:num w:numId="36">
    <w:abstractNumId w:val="8"/>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1301F26C5034681A4010C4A6D6B4625"/>
    <w:docVar w:name="LW_CROSSREFERENCE" w:val="&lt;UNUSED&gt;"/>
    <w:docVar w:name="LW_DocType" w:val="NORMAL"/>
    <w:docVar w:name="LW_EMISSION" w:val="17.2.2017"/>
    <w:docVar w:name="LW_EMISSION_ISODATE" w:val="2017-02-17"/>
    <w:docVar w:name="LW_EMISSION_LOCATION" w:val="BRX"/>
    <w:docVar w:name="LW_EMISSION_PREFIX" w:val="Bruxelles, "/>
    <w:docVar w:name="LW_EMISSION_SUFFIX" w:val=" "/>
    <w:docVar w:name="LW_ID_DOCTYPE_NONLW" w:val="CP-006"/>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7) 78"/>
    <w:docVar w:name="LW_REF.INTERNE" w:val="&lt;UNUSED&gt;"/>
    <w:docVar w:name="LW_SOUS.TITRE.OBJ.CP" w:val="&lt;UNUSED&gt;"/>
    <w:docVar w:name="LW_SUPERTITRE" w:val="&lt;UNUSED&gt;"/>
    <w:docVar w:name="LW_TITRE.OBJ.CP" w:val="privind progresele înregistrate \u537?i lacunele care persist\u259? în cadrul Capacit\u259?\u539?ii europene de r\u259?spuns în situa\u539?ii de urgen\u539?\u259?"/>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cs="Times New Roman"/>
      <w:b/>
      <w:bCs/>
      <w:iCs/>
      <w:color w:val="365F91" w:themeColor="accent1" w:themeShade="BF"/>
      <w:sz w:val="24"/>
      <w:szCs w:val="28"/>
    </w:rPr>
  </w:style>
  <w:style w:type="paragraph" w:styleId="Heading3">
    <w:name w:val="heading 3"/>
    <w:basedOn w:val="Normal"/>
    <w:next w:val="Normal"/>
    <w:link w:val="Heading3Char"/>
    <w:qFormat/>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Cambria" w:eastAsia="Times New Roman" w:hAnsi="Cambria" w:cs="Times New Roman"/>
      <w:b/>
      <w:bCs/>
      <w:iCs/>
      <w:color w:val="365F91" w:themeColor="accent1" w:themeShade="BF"/>
      <w:sz w:val="24"/>
      <w:szCs w:val="28"/>
    </w:rPr>
  </w:style>
  <w:style w:type="character" w:customStyle="1" w:styleId="Heading3Char">
    <w:name w:val="Heading 3 Char"/>
    <w:basedOn w:val="DefaultParagraphFont"/>
    <w:link w:val="Heading3"/>
    <w:rPr>
      <w:rFonts w:ascii="Arial" w:eastAsia="Times New Roman" w:hAnsi="Arial" w:cs="Arial"/>
      <w:b/>
      <w:bCs/>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style>
  <w:style w:type="table" w:styleId="TableGrid">
    <w:name w:val="Table Grid"/>
    <w:basedOn w:val="TableNormal"/>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unhideWhenUsed/>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ZCom">
    <w:name w:val="Z_Com"/>
    <w:basedOn w:val="Normal"/>
    <w:next w:val="Normal"/>
    <w:pPr>
      <w:widowControl w:val="0"/>
      <w:autoSpaceDE w:val="0"/>
      <w:autoSpaceDN w:val="0"/>
      <w:spacing w:after="0" w:line="240" w:lineRule="auto"/>
      <w:ind w:right="85"/>
      <w:jc w:val="both"/>
    </w:pPr>
    <w:rPr>
      <w:rFonts w:ascii="Arial" w:eastAsia="Times New Roman" w:hAnsi="Arial" w:cs="Arial"/>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ColorfulList-Accent11">
    <w:name w:val="Colorful List - Accent 11"/>
    <w:basedOn w:val="Normal"/>
    <w:uiPriority w:val="34"/>
    <w:qFormat/>
    <w:pPr>
      <w:spacing w:after="240" w:line="240" w:lineRule="auto"/>
      <w:ind w:left="720"/>
      <w:contextualSpacing/>
      <w:jc w:val="both"/>
    </w:pPr>
    <w:rPr>
      <w:rFonts w:ascii="Times New Roman" w:eastAsia="Times New Roman" w:hAnsi="Times New Roman" w:cs="Times New Roman"/>
      <w:sz w:val="24"/>
      <w:szCs w:val="20"/>
    </w:rPr>
  </w:style>
  <w:style w:type="paragraph" w:customStyle="1" w:styleId="ColorfulShading-Accent11">
    <w:name w:val="Colorful Shading - Accent 11"/>
    <w:hidden/>
    <w:uiPriority w:val="99"/>
    <w:semiHidden/>
    <w:pPr>
      <w:spacing w:after="0" w:line="240" w:lineRule="auto"/>
    </w:pPr>
    <w:rPr>
      <w:rFonts w:ascii="Calibri" w:eastAsia="Calibri" w:hAnsi="Calibri" w:cs="Times New Roman"/>
    </w:rPr>
  </w:style>
  <w:style w:type="paragraph" w:styleId="Caption">
    <w:name w:val="caption"/>
    <w:basedOn w:val="Normal"/>
    <w:next w:val="Normal"/>
    <w:uiPriority w:val="35"/>
    <w:qFormat/>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styleId="EndnoteText">
    <w:name w:val="endnote text"/>
    <w:basedOn w:val="Normal"/>
    <w:link w:val="EndnoteTextChar"/>
    <w:uiPriority w:val="99"/>
    <w:semiHidden/>
    <w:unhideWhenUse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tabs>
        <w:tab w:val="left" w:pos="440"/>
        <w:tab w:val="right" w:leader="dot" w:pos="9060"/>
      </w:tabs>
      <w:spacing w:after="120"/>
    </w:pPr>
    <w:rPr>
      <w:rFonts w:asciiTheme="majorHAnsi" w:eastAsiaTheme="majorEastAsia" w:hAnsiTheme="majorHAnsi" w:cstheme="majorBidi"/>
      <w:b/>
      <w:bCs/>
      <w:noProof/>
      <w:spacing w:val="-4"/>
    </w:rPr>
  </w:style>
  <w:style w:type="paragraph" w:styleId="TOC3">
    <w:name w:val="toc 3"/>
    <w:basedOn w:val="Normal"/>
    <w:next w:val="Normal"/>
    <w:autoRedefine/>
    <w:uiPriority w:val="39"/>
    <w:unhideWhenUsed/>
    <w:pPr>
      <w:spacing w:after="100"/>
      <w:ind w:left="440"/>
    </w:pPr>
    <w:rPr>
      <w:rFonts w:ascii="Calibri" w:eastAsia="Calibri" w:hAnsi="Calibri" w:cs="Times New Roman"/>
    </w:rPr>
  </w:style>
  <w:style w:type="paragraph" w:styleId="TOC2">
    <w:name w:val="toc 2"/>
    <w:basedOn w:val="Normal"/>
    <w:next w:val="Normal"/>
    <w:autoRedefine/>
    <w:uiPriority w:val="39"/>
    <w:unhideWhenUsed/>
    <w:pPr>
      <w:spacing w:after="100"/>
      <w:ind w:left="220"/>
    </w:pPr>
    <w:rPr>
      <w:rFonts w:ascii="Calibri" w:eastAsia="Calibri" w:hAnsi="Calibri" w:cs="Times New Roman"/>
    </w:rPr>
  </w:style>
  <w:style w:type="character" w:styleId="Strong">
    <w:name w:val="Strong"/>
    <w:basedOn w:val="DefaultParagraphFont"/>
    <w:uiPriority w:val="22"/>
    <w:qFormat/>
    <w:rPr>
      <w:b/>
      <w:bCs/>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cs="Times New Roman"/>
      <w:b/>
      <w:bCs/>
      <w:iCs/>
      <w:color w:val="365F91" w:themeColor="accent1" w:themeShade="BF"/>
      <w:sz w:val="24"/>
      <w:szCs w:val="28"/>
    </w:rPr>
  </w:style>
  <w:style w:type="paragraph" w:styleId="Heading3">
    <w:name w:val="heading 3"/>
    <w:basedOn w:val="Normal"/>
    <w:next w:val="Normal"/>
    <w:link w:val="Heading3Char"/>
    <w:qFormat/>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Cambria" w:eastAsia="Times New Roman" w:hAnsi="Cambria" w:cs="Times New Roman"/>
      <w:b/>
      <w:bCs/>
      <w:iCs/>
      <w:color w:val="365F91" w:themeColor="accent1" w:themeShade="BF"/>
      <w:sz w:val="24"/>
      <w:szCs w:val="28"/>
    </w:rPr>
  </w:style>
  <w:style w:type="character" w:customStyle="1" w:styleId="Heading3Char">
    <w:name w:val="Heading 3 Char"/>
    <w:basedOn w:val="DefaultParagraphFont"/>
    <w:link w:val="Heading3"/>
    <w:rPr>
      <w:rFonts w:ascii="Arial" w:eastAsia="Times New Roman" w:hAnsi="Arial" w:cs="Arial"/>
      <w:b/>
      <w:bCs/>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style>
  <w:style w:type="table" w:styleId="TableGrid">
    <w:name w:val="Table Grid"/>
    <w:basedOn w:val="TableNormal"/>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unhideWhenUsed/>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ZCom">
    <w:name w:val="Z_Com"/>
    <w:basedOn w:val="Normal"/>
    <w:next w:val="Normal"/>
    <w:pPr>
      <w:widowControl w:val="0"/>
      <w:autoSpaceDE w:val="0"/>
      <w:autoSpaceDN w:val="0"/>
      <w:spacing w:after="0" w:line="240" w:lineRule="auto"/>
      <w:ind w:right="85"/>
      <w:jc w:val="both"/>
    </w:pPr>
    <w:rPr>
      <w:rFonts w:ascii="Arial" w:eastAsia="Times New Roman" w:hAnsi="Arial" w:cs="Arial"/>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ColorfulList-Accent11">
    <w:name w:val="Colorful List - Accent 11"/>
    <w:basedOn w:val="Normal"/>
    <w:uiPriority w:val="34"/>
    <w:qFormat/>
    <w:pPr>
      <w:spacing w:after="240" w:line="240" w:lineRule="auto"/>
      <w:ind w:left="720"/>
      <w:contextualSpacing/>
      <w:jc w:val="both"/>
    </w:pPr>
    <w:rPr>
      <w:rFonts w:ascii="Times New Roman" w:eastAsia="Times New Roman" w:hAnsi="Times New Roman" w:cs="Times New Roman"/>
      <w:sz w:val="24"/>
      <w:szCs w:val="20"/>
    </w:rPr>
  </w:style>
  <w:style w:type="paragraph" w:customStyle="1" w:styleId="ColorfulShading-Accent11">
    <w:name w:val="Colorful Shading - Accent 11"/>
    <w:hidden/>
    <w:uiPriority w:val="99"/>
    <w:semiHidden/>
    <w:pPr>
      <w:spacing w:after="0" w:line="240" w:lineRule="auto"/>
    </w:pPr>
    <w:rPr>
      <w:rFonts w:ascii="Calibri" w:eastAsia="Calibri" w:hAnsi="Calibri" w:cs="Times New Roman"/>
    </w:rPr>
  </w:style>
  <w:style w:type="paragraph" w:styleId="Caption">
    <w:name w:val="caption"/>
    <w:basedOn w:val="Normal"/>
    <w:next w:val="Normal"/>
    <w:uiPriority w:val="35"/>
    <w:qFormat/>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styleId="EndnoteText">
    <w:name w:val="endnote text"/>
    <w:basedOn w:val="Normal"/>
    <w:link w:val="EndnoteTextChar"/>
    <w:uiPriority w:val="99"/>
    <w:semiHidden/>
    <w:unhideWhenUse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tabs>
        <w:tab w:val="left" w:pos="440"/>
        <w:tab w:val="right" w:leader="dot" w:pos="9060"/>
      </w:tabs>
      <w:spacing w:after="120"/>
    </w:pPr>
    <w:rPr>
      <w:rFonts w:asciiTheme="majorHAnsi" w:eastAsiaTheme="majorEastAsia" w:hAnsiTheme="majorHAnsi" w:cstheme="majorBidi"/>
      <w:b/>
      <w:bCs/>
      <w:noProof/>
      <w:spacing w:val="-4"/>
    </w:rPr>
  </w:style>
  <w:style w:type="paragraph" w:styleId="TOC3">
    <w:name w:val="toc 3"/>
    <w:basedOn w:val="Normal"/>
    <w:next w:val="Normal"/>
    <w:autoRedefine/>
    <w:uiPriority w:val="39"/>
    <w:unhideWhenUsed/>
    <w:pPr>
      <w:spacing w:after="100"/>
      <w:ind w:left="440"/>
    </w:pPr>
    <w:rPr>
      <w:rFonts w:ascii="Calibri" w:eastAsia="Calibri" w:hAnsi="Calibri" w:cs="Times New Roman"/>
    </w:rPr>
  </w:style>
  <w:style w:type="paragraph" w:styleId="TOC2">
    <w:name w:val="toc 2"/>
    <w:basedOn w:val="Normal"/>
    <w:next w:val="Normal"/>
    <w:autoRedefine/>
    <w:uiPriority w:val="39"/>
    <w:unhideWhenUsed/>
    <w:pPr>
      <w:spacing w:after="100"/>
      <w:ind w:left="220"/>
    </w:pPr>
    <w:rPr>
      <w:rFonts w:ascii="Calibri" w:eastAsia="Calibri" w:hAnsi="Calibri" w:cs="Times New Roman"/>
    </w:rPr>
  </w:style>
  <w:style w:type="character" w:styleId="Strong">
    <w:name w:val="Strong"/>
    <w:basedOn w:val="DefaultParagraphFont"/>
    <w:uiPriority w:val="22"/>
    <w:qFormat/>
    <w:rPr>
      <w:b/>
      <w:bCs/>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50D8-80E9-445B-9628-96AE65D3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4813</Words>
  <Characters>25560</Characters>
  <Application>Microsoft Office Word</Application>
  <DocSecurity>0</DocSecurity>
  <Lines>774</Lines>
  <Paragraphs>389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dcterms:created xsi:type="dcterms:W3CDTF">2017-02-01T15:30:00Z</dcterms:created>
  <dcterms:modified xsi:type="dcterms:W3CDTF">2017-02-23T08:14:00Z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