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71538250770C413682FDF134FC458308" style="width:451.55pt;height:379.5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rPr>
        <w:tab/>
        <w:t>Motivele și obiectivele propunerii</w:t>
      </w:r>
    </w:p>
    <w:p>
      <w:pPr>
        <w:pStyle w:val="Text1"/>
        <w:ind w:firstLine="1"/>
        <w:rPr>
          <w:noProof/>
        </w:rPr>
      </w:pPr>
      <w:r>
        <w:rPr>
          <w:noProof/>
        </w:rPr>
        <w:t xml:space="preserve">Criza financiară și economică persistentă exercită presiuni asupra resurselor financiare naționale, pe măsură ce statele membre urmăresc politicile de consolidare fiscală care se impun. În acest context, asigurarea punerii în aplicare în bune condiții a programelor sprijinite de fondurile structurale și de investiții europene (fondurile ESI) este deosebit de importantă pentru investițiile în creșterea economică și crearea de locuri de muncă. </w:t>
      </w:r>
    </w:p>
    <w:p>
      <w:pPr>
        <w:pStyle w:val="Text1"/>
        <w:rPr>
          <w:noProof/>
        </w:rPr>
      </w:pPr>
      <w:r>
        <w:rPr>
          <w:noProof/>
        </w:rPr>
        <w:t xml:space="preserve">Punerea în aplicare a programelor este adeseori dificilă, nu în ultimul rând din cauza problemelor în materie de lichidități generate de consolidarea fiscală. Acesta este mai ales cazul statelor membre care au fost cele mai afectate de criză și care au primit asistență financiară în cadrul unui program de ajustare. </w:t>
      </w:r>
    </w:p>
    <w:p>
      <w:pPr>
        <w:pStyle w:val="Text1"/>
        <w:rPr>
          <w:noProof/>
        </w:rPr>
      </w:pPr>
      <w:r>
        <w:rPr>
          <w:noProof/>
        </w:rPr>
        <w:t>Pentru a se asigura că statele membre în cauză continuă punerea în aplicare pe teren a programelor finanțate de fondurile ESI, precum și alocarea de fonduri pentru proiecte, articolul 24 din Regulamentul (UE) nr. 1303/2013 al Parlamentului European și al Consiliului din 17 decembrie 2013</w:t>
      </w:r>
      <w:r>
        <w:rPr>
          <w:rStyle w:val="FootnoteReference"/>
          <w:noProof/>
        </w:rPr>
        <w:footnoteReference w:id="1"/>
      </w:r>
      <w:r>
        <w:rPr>
          <w:noProof/>
        </w:rPr>
        <w:t xml:space="preserve"> permite Comisiei să facă plăți mărite („suplimentare”) între 1 ianuarie 2014 și 30 iunie 2016 către țările care au beneficiat de asistență financiară după 21 decembrie 2013.</w:t>
      </w:r>
    </w:p>
    <w:p>
      <w:pPr>
        <w:pStyle w:val="Text1"/>
        <w:rPr>
          <w:noProof/>
        </w:rPr>
      </w:pPr>
      <w:r>
        <w:rPr>
          <w:noProof/>
        </w:rPr>
        <w:t>Cinci țări au fost eligibile pentru plata suplimentară în perioada menționată anterior, și anume Cipru, Grecia, Irlanda, Portugalia și România.</w:t>
      </w:r>
    </w:p>
    <w:p>
      <w:pPr>
        <w:pStyle w:val="Text1"/>
        <w:rPr>
          <w:noProof/>
        </w:rPr>
      </w:pPr>
      <w:r>
        <w:rPr>
          <w:noProof/>
        </w:rPr>
        <w:t>În plus, articolul 120 din Regulamentul (UE) nr. 1303/2013 prevede că, de la 1 ianuarie 2014 până la 30 iunie 2017, rata maximă de cofinanțare la nivelul fiecărei priorități pentru toate programele operaționale sprijinite de FEDR și FSE în Cipru este de 85 % în loc de 50 % aplicabilă pentru regiunile mai dezvoltate</w:t>
      </w:r>
      <w:r>
        <w:rPr>
          <w:rStyle w:val="FootnoteReference"/>
          <w:noProof/>
        </w:rPr>
        <w:footnoteReference w:id="2"/>
      </w:r>
      <w:r>
        <w:rPr>
          <w:noProof/>
        </w:rPr>
        <w:t>. Această rată excepțională de cofinanțare a fost acordată Ciprului dată fiind situația fragilă a economiei sale. Sporind marja de manevră fiscală necesară pentru investițiile sprijinite de finanțarea politicii de coeziune, rata contribuie la concilierea unei perioade de necesități importante în materie de investiții publice, pe de o parte, cu eforturile susținute de consolidare fiscală, pe de altă parte.</w:t>
      </w:r>
    </w:p>
    <w:p>
      <w:pPr>
        <w:pStyle w:val="Text1"/>
        <w:rPr>
          <w:noProof/>
        </w:rPr>
      </w:pPr>
      <w:r>
        <w:rPr>
          <w:noProof/>
        </w:rPr>
        <w:t>Articolul 24 alineatul (3) și articolul 120 alineatul (3) din Regulamentul (UE) nr. 1303/2013 impun Comisiei să revizuiască aceste două dispoziții financiare și să prezinte, dacă este necesar, o propunere legislativă înainte de 30 iunie 2016 în vederea unei eventuale prelungiri a acestora.</w:t>
      </w:r>
    </w:p>
    <w:p>
      <w:pPr>
        <w:pStyle w:val="Text1"/>
        <w:rPr>
          <w:noProof/>
        </w:rPr>
      </w:pPr>
      <w:r>
        <w:rPr>
          <w:noProof/>
        </w:rPr>
        <w:t>Prezenta propunere ar permite Comisiei să continue să facă plăți mărite către orice stat membru care va beneficia de asistență financiară după 30 iunie 2016, pentru perioada în care acesta va fi în cadrul acestui mecanism de sprijin, fără a se modifica fondurile totale alocate din fondurile ESI în perioada 2014-2020. În plus, propunerea ar permite Ciprului să aplice rata maximă de cofinanțare de 85 % pentru Cipru până la închiderea programului.</w:t>
      </w:r>
    </w:p>
    <w:p>
      <w:pPr>
        <w:pStyle w:val="Text1"/>
        <w:rPr>
          <w:noProof/>
        </w:rPr>
      </w:pPr>
      <w:r>
        <w:rPr>
          <w:noProof/>
        </w:rPr>
        <w:t>Măsurile ar oferi resurse financiare suplimentare sau flexibilitatea bugetară necesară care să faciliteze punerea în aplicare pe teren a programelor finanțate din fondurile ESI.</w:t>
      </w:r>
    </w:p>
    <w:p>
      <w:pPr>
        <w:pStyle w:val="ManualHeading2"/>
        <w:rPr>
          <w:noProof/>
        </w:rPr>
      </w:pPr>
      <w:r>
        <w:rPr>
          <w:noProof/>
        </w:rPr>
        <w:tab/>
      </w:r>
      <w:r>
        <w:rPr>
          <w:noProof/>
          <w:color w:val="000000"/>
          <w:u w:color="000000"/>
          <w:bdr w:val="nil"/>
        </w:rPr>
        <w:t>Contextul general și dispozițiile în vigoare în domeniul politic al propunerii</w:t>
      </w:r>
    </w:p>
    <w:p>
      <w:pPr>
        <w:pStyle w:val="Text1"/>
        <w:rPr>
          <w:noProof/>
        </w:rPr>
      </w:pPr>
      <w:r>
        <w:rPr>
          <w:noProof/>
        </w:rPr>
        <w:t xml:space="preserve">Articolul 24 din Regulamentul (UE) nr. 1303/2013 prevede că, la cererea unui stat membru având dificultăți bugetare temporare, și anume țările care au primit asistență financiară în cadrul unui program de ajustare după 21 decembrie 2013, plățile intermediare pot fi mărite cu 10 puncte procentuale peste rata de cofinanțare aplicabilă fiecărei priorități pentru FEDR, FSE și Fondul de coeziune sau fiecărei măsuri pentru FEADR și FEPAM, cu condiția ca statul membru să prezinte o cerere corespunzătoare. Această dispoziție se aplică până la 30 iunie 2016. </w:t>
      </w:r>
    </w:p>
    <w:p>
      <w:pPr>
        <w:pStyle w:val="Text1"/>
        <w:rPr>
          <w:noProof/>
        </w:rPr>
      </w:pPr>
      <w:r>
        <w:rPr>
          <w:noProof/>
        </w:rPr>
        <w:t>Articolul 120 alineatul (3) din Regulamentul (UE) nr. 1303/2013 prevede că, de la 1 ianuarie 2014 până la 30 iunie 2017, rata maximă de cofinanțare la nivelul fiecărei priorități pentru toate programele operaționale sprijinite de FEDR și FSE în Cipru este de 85 % în loc de 50 % aplicabilă pentru regiunile mai dezvoltate.</w:t>
      </w:r>
    </w:p>
    <w:p>
      <w:pPr>
        <w:pStyle w:val="ManualHeading2"/>
        <w:rPr>
          <w:rFonts w:eastAsia="Arial Unicode MS"/>
          <w:noProof/>
        </w:rPr>
      </w:pPr>
      <w:r>
        <w:rPr>
          <w:noProof/>
        </w:rPr>
        <w:tab/>
        <w:t>Coerența cu alte politici ale Uniunii</w:t>
      </w:r>
    </w:p>
    <w:p>
      <w:pPr>
        <w:pStyle w:val="Text1"/>
        <w:rPr>
          <w:noProof/>
        </w:rPr>
      </w:pPr>
      <w:r>
        <w:rPr>
          <w:noProof/>
        </w:rPr>
        <w:t>Propunerea este conformă cu alte propuneri și inițiative adoptate de Comisia Europeană ca răspuns la criza financiară.</w:t>
      </w:r>
    </w:p>
    <w:p>
      <w:pPr>
        <w:pStyle w:val="ManualHeading1"/>
        <w:rPr>
          <w:noProof/>
        </w:rPr>
      </w:pPr>
      <w:r>
        <w:rPr>
          <w:noProof/>
        </w:rPr>
        <w:t>2.</w:t>
      </w:r>
      <w:r>
        <w:rPr>
          <w:noProof/>
        </w:rPr>
        <w:tab/>
        <w:t>TEMEIUL JURIDIC, SUBSIDIARITATEA ȘI PROPORȚIONALITATEA</w:t>
      </w:r>
    </w:p>
    <w:p>
      <w:pPr>
        <w:pStyle w:val="ManualHeading2"/>
        <w:rPr>
          <w:rFonts w:eastAsia="Arial Unicode MS"/>
          <w:noProof/>
          <w:u w:color="000000"/>
          <w:bdr w:val="nil"/>
        </w:rPr>
      </w:pPr>
      <w:r>
        <w:rPr>
          <w:noProof/>
        </w:rPr>
        <w:tab/>
        <w:t>Temei juridic</w:t>
      </w:r>
    </w:p>
    <w:p>
      <w:pPr>
        <w:pStyle w:val="Text1"/>
        <w:rPr>
          <w:noProof/>
        </w:rPr>
      </w:pPr>
      <w:r>
        <w:rPr>
          <w:noProof/>
        </w:rPr>
        <w:t>Regulamentul (UE) nr. 1303/2013 definește normele comune aplicabile fondurilor ESI. Pe baza principiului gestiunii partajate între Comisie și statele membre, acest regulament include dispoziții referitoare la procesul de programare, precum și norme pentru gestionarea, inclusiv financiară, a programelor, monitorizarea, controlul financiar și evaluarea proiectelor.</w:t>
      </w:r>
    </w:p>
    <w:p>
      <w:pPr>
        <w:pStyle w:val="Text1"/>
        <w:rPr>
          <w:noProof/>
        </w:rPr>
      </w:pPr>
      <w:r>
        <w:rPr>
          <w:noProof/>
        </w:rPr>
        <w:t>Articolul 24 alineatul (3) și articolul 120 alineatul (3) din Regulamentul (UE) nr. 1303/2013 impun Comisiei să revizuiască cele două dispoziții financiare menționate anterior și să prezinte, dacă este necesar, o propunere legislativă înainte de 30 iunie 2016, în vederea unei eventuale prelungiri a acestora.</w:t>
      </w:r>
    </w:p>
    <w:p>
      <w:pPr>
        <w:pStyle w:val="ManualHeading2"/>
        <w:rPr>
          <w:rFonts w:eastAsia="Arial Unicode MS"/>
          <w:noProof/>
          <w:u w:color="000000"/>
          <w:bdr w:val="nil"/>
        </w:rPr>
      </w:pPr>
      <w:r>
        <w:rPr>
          <w:noProof/>
        </w:rPr>
        <w:tab/>
        <w:t xml:space="preserve">Subsidiaritate (pentru competență neexclusivă) </w:t>
      </w:r>
    </w:p>
    <w:p>
      <w:pPr>
        <w:pStyle w:val="Text1"/>
        <w:rPr>
          <w:noProof/>
        </w:rPr>
      </w:pPr>
      <w:r>
        <w:rPr>
          <w:noProof/>
        </w:rPr>
        <w:t>Propunerea respectă principiul subsidiarității în măsura în care prevede acordarea în continuare de sprijin sporit, prin intermediul fondurilor ESI, pentru anumite state membre care se confruntă cu dificultăți grave, în special probleme în ceea ce privește creșterea lor economică și stabilitatea financiară, precum și cu o deteriorare a situației deficitului și datoriei lor, cauzată și de conjunctura economică și financiară internațională. În acest context, este necesar să se stabilească, la nivelul Uniunii Europene, un mecanism temporar care să permită Comisiei Europene majorarea rambursării pe baza cheltuielilor certificate în cadrul fondurilor ESI și să se furnizeze o rată de cofinanțare mai mare pentru toate programele operaționale sprijinite de FEDR și FSE în Cipru.</w:t>
      </w:r>
    </w:p>
    <w:p>
      <w:pPr>
        <w:pStyle w:val="ManualHeading2"/>
        <w:rPr>
          <w:rFonts w:eastAsia="Arial Unicode MS"/>
          <w:noProof/>
          <w:u w:color="000000"/>
          <w:bdr w:val="nil"/>
        </w:rPr>
      </w:pPr>
      <w:r>
        <w:rPr>
          <w:noProof/>
        </w:rPr>
        <w:tab/>
        <w:t>Proporționalitate</w:t>
      </w:r>
    </w:p>
    <w:p>
      <w:pPr>
        <w:pStyle w:val="Text1"/>
        <w:rPr>
          <w:noProof/>
        </w:rPr>
      </w:pPr>
      <w:r>
        <w:rPr>
          <w:noProof/>
        </w:rPr>
        <w:t>Propunerea respectă principiul proporționalității:</w:t>
      </w:r>
    </w:p>
    <w:p>
      <w:pPr>
        <w:pStyle w:val="Text1"/>
        <w:rPr>
          <w:noProof/>
        </w:rPr>
      </w:pPr>
      <w:r>
        <w:rPr>
          <w:noProof/>
        </w:rPr>
        <w:t xml:space="preserve">Prelungirea perioadei în care devin scadente plățile intermediare mărite este proporțională cu criza economică persistentă și cu celelalte eforturi întreprinse pentru a ajuta statele membre având dificultăți bugetare care beneficiază de asistență financiară în cadrul unui program de ajustare. </w:t>
      </w:r>
    </w:p>
    <w:p>
      <w:pPr>
        <w:pStyle w:val="Text1"/>
        <w:rPr>
          <w:noProof/>
        </w:rPr>
      </w:pPr>
      <w:r>
        <w:rPr>
          <w:noProof/>
        </w:rPr>
        <w:t>Prelungirea aplicării ratei de cofinanțare mărite pentru Cipru este proporțională cu situația fragilă a economiei cipriote. Sporind marja de manevră fiscală necesară pentru investiții, aceasta va contribui la concilierea unei perioade de necesități importante în materie de investiții publice în Cipru, pe de o parte, cu eforturile susținute de consolidare fiscală, pe de altă parte.</w:t>
      </w:r>
    </w:p>
    <w:p>
      <w:pPr>
        <w:pStyle w:val="ManualHeading2"/>
        <w:rPr>
          <w:rFonts w:eastAsia="Arial Unicode MS"/>
          <w:noProof/>
          <w:u w:color="000000"/>
          <w:bdr w:val="nil"/>
        </w:rPr>
      </w:pPr>
      <w:r>
        <w:rPr>
          <w:noProof/>
        </w:rPr>
        <w:tab/>
        <w:t>Alegerea instrumentului</w:t>
      </w:r>
    </w:p>
    <w:p>
      <w:pPr>
        <w:pStyle w:val="Text1"/>
        <w:rPr>
          <w:noProof/>
        </w:rPr>
      </w:pPr>
      <w:r>
        <w:rPr>
          <w:noProof/>
        </w:rPr>
        <w:t>Instrumentul propus: modificarea regulamentului în vigoare.</w:t>
      </w:r>
    </w:p>
    <w:p>
      <w:pPr>
        <w:pStyle w:val="Text1"/>
        <w:rPr>
          <w:noProof/>
        </w:rPr>
      </w:pPr>
      <w:r>
        <w:rPr>
          <w:noProof/>
        </w:rPr>
        <w:t>Comisia a studiat marja de manevră oferită de cadrul juridic și consideră că este necesar, prin prisma experienței dobândite până în prezent, să propună modificări la regulamentul general.</w:t>
      </w:r>
    </w:p>
    <w:p>
      <w:pPr>
        <w:pStyle w:val="ManualHeading1"/>
        <w:rPr>
          <w:noProof/>
        </w:rPr>
      </w:pPr>
      <w:r>
        <w:rPr>
          <w:noProof/>
        </w:rPr>
        <w:t>3.</w:t>
      </w:r>
      <w:r>
        <w:rPr>
          <w:noProof/>
        </w:rPr>
        <w:tab/>
        <w:t>REZULTATELE EVALUĂRILOR EX-POST, ALE CONSULTĂRILOR CU PĂRȚILE INTERESATE ȘI ALE EVALUĂRILOR IMPACTULUI</w:t>
      </w:r>
    </w:p>
    <w:p>
      <w:pPr>
        <w:pStyle w:val="ManualHeading2"/>
        <w:rPr>
          <w:rFonts w:eastAsia="Arial Unicode MS"/>
          <w:noProof/>
          <w:u w:color="000000"/>
          <w:bdr w:val="nil"/>
        </w:rPr>
      </w:pPr>
      <w:r>
        <w:rPr>
          <w:noProof/>
        </w:rPr>
        <w:tab/>
        <w:t>Evaluările ex-post/verificările adecvării legislației existente</w:t>
      </w:r>
    </w:p>
    <w:p>
      <w:pPr>
        <w:pStyle w:val="Text1"/>
        <w:rPr>
          <w:noProof/>
        </w:rPr>
      </w:pPr>
      <w:r>
        <w:rPr>
          <w:noProof/>
        </w:rPr>
        <w:t>Nu a existat nicio evaluare ex-post/nicio verificare a adecvării legislației existente.</w:t>
      </w:r>
    </w:p>
    <w:p>
      <w:pPr>
        <w:pStyle w:val="ManualHeading2"/>
        <w:rPr>
          <w:rFonts w:eastAsia="Arial Unicode MS"/>
          <w:noProof/>
          <w:u w:color="000000"/>
          <w:bdr w:val="nil"/>
        </w:rPr>
      </w:pPr>
      <w:r>
        <w:rPr>
          <w:noProof/>
        </w:rPr>
        <w:tab/>
        <w:t>Consultări cu părțile interesate</w:t>
      </w:r>
    </w:p>
    <w:p>
      <w:pPr>
        <w:pStyle w:val="Text1"/>
        <w:rPr>
          <w:noProof/>
        </w:rPr>
      </w:pPr>
      <w:r>
        <w:rPr>
          <w:noProof/>
        </w:rPr>
        <w:t>Nu s-a realizat nicio consultare a părților interesate externe.</w:t>
      </w:r>
    </w:p>
    <w:p>
      <w:pPr>
        <w:pStyle w:val="ManualHeading2"/>
        <w:rPr>
          <w:rFonts w:eastAsia="Arial Unicode MS"/>
          <w:noProof/>
          <w:u w:color="000000"/>
          <w:bdr w:val="nil"/>
        </w:rPr>
      </w:pPr>
      <w:r>
        <w:rPr>
          <w:noProof/>
        </w:rPr>
        <w:tab/>
        <w:t>Obținerea și utilizarea expertizei</w:t>
      </w:r>
    </w:p>
    <w:p>
      <w:pPr>
        <w:pStyle w:val="Text1"/>
        <w:rPr>
          <w:noProof/>
        </w:rPr>
      </w:pPr>
      <w:r>
        <w:rPr>
          <w:noProof/>
        </w:rPr>
        <w:t>Nu a fost necesar să se recurgă la expertiză externă.</w:t>
      </w:r>
    </w:p>
    <w:p>
      <w:pPr>
        <w:pStyle w:val="ManualHeading2"/>
        <w:rPr>
          <w:rFonts w:eastAsia="Arial Unicode MS"/>
          <w:noProof/>
          <w:u w:color="000000"/>
          <w:bdr w:val="nil"/>
        </w:rPr>
      </w:pPr>
      <w:r>
        <w:rPr>
          <w:noProof/>
        </w:rPr>
        <w:tab/>
        <w:t>Evaluarea impactului</w:t>
      </w:r>
    </w:p>
    <w:p>
      <w:pPr>
        <w:pStyle w:val="Text1"/>
        <w:rPr>
          <w:noProof/>
        </w:rPr>
      </w:pPr>
      <w:r>
        <w:rPr>
          <w:noProof/>
        </w:rPr>
        <w:t>Propunerea ar permite Comisiei să suplimenteze plățile către un stat membru în cadrul unui program de ajustare după 30 iunie 2016. Acesta ar acoperi perioada până la data de 30 iunie a anului următor anului calendaristic în care statul membru încetează să mai primească asistență financiară. Această abordare este în concordanță cu exercițiul financiar al fondurilor ESI, care acoperă perioada de la 1 iulie la 30 iunie. Abordarea ar prelungi perioada de eligibilitate până la maximum 18 luni.</w:t>
      </w:r>
    </w:p>
    <w:p>
      <w:pPr>
        <w:pStyle w:val="Text1"/>
        <w:rPr>
          <w:noProof/>
        </w:rPr>
      </w:pPr>
      <w:r>
        <w:rPr>
          <w:noProof/>
        </w:rPr>
        <w:t>Majorarea va fi un cuantum calculat prin suplimentarea cu zece puncte procentuale a ratelor de cofinanțare aplicabile priorităților (în cadrul FEDR, FSE și al Fondului de coeziune) sau măsurilor (în cadrul FEADR și al FEPAM) programelor în cazul cheltuielilor certificate declarate pe parcursul perioadei în cauză până la atingerea plafonului stabilit pentru plăți.</w:t>
      </w:r>
    </w:p>
    <w:p>
      <w:pPr>
        <w:pStyle w:val="Text1"/>
        <w:rPr>
          <w:noProof/>
        </w:rPr>
      </w:pPr>
      <w:r>
        <w:rPr>
          <w:noProof/>
        </w:rPr>
        <w:t>În plus, propunerea ar permite Comisiei să prelungească rata excepțională de cofinanțare de 85 % pentru FEDR și FSE în Cipru până la închiderea programului.</w:t>
      </w:r>
    </w:p>
    <w:p>
      <w:pPr>
        <w:pStyle w:val="Text1"/>
        <w:rPr>
          <w:noProof/>
        </w:rPr>
      </w:pPr>
      <w:r>
        <w:rPr>
          <w:noProof/>
        </w:rPr>
        <w:t>Sumele totale alocate din fonduri țărilor și programelor în cauză pentru perioada respectivă nu se vor modifica.</w:t>
      </w:r>
    </w:p>
    <w:p>
      <w:pPr>
        <w:pStyle w:val="ManualHeading2"/>
        <w:rPr>
          <w:rFonts w:eastAsia="Arial Unicode MS"/>
          <w:noProof/>
          <w:u w:color="000000"/>
          <w:bdr w:val="nil"/>
        </w:rPr>
      </w:pPr>
      <w:r>
        <w:rPr>
          <w:noProof/>
        </w:rPr>
        <w:tab/>
        <w:t>Adecvarea reglementărilor și simplificarea</w:t>
      </w:r>
    </w:p>
    <w:p>
      <w:pPr>
        <w:pStyle w:val="Text1"/>
        <w:rPr>
          <w:noProof/>
        </w:rPr>
      </w:pPr>
      <w:r>
        <w:rPr>
          <w:noProof/>
        </w:rPr>
        <w:t>Aceasta nu este o inițiativă în cadrul Programului privind o reglementare adecvată și funcțională (REFIT).</w:t>
      </w:r>
    </w:p>
    <w:p>
      <w:pPr>
        <w:pStyle w:val="ManualHeading2"/>
        <w:rPr>
          <w:rFonts w:eastAsia="Arial Unicode MS"/>
          <w:noProof/>
          <w:u w:color="000000"/>
          <w:bdr w:val="nil"/>
        </w:rPr>
      </w:pPr>
      <w:r>
        <w:rPr>
          <w:noProof/>
        </w:rPr>
        <w:tab/>
        <w:t>Drepturile fundamentale</w:t>
      </w:r>
    </w:p>
    <w:p>
      <w:pPr>
        <w:pStyle w:val="Text1"/>
        <w:rPr>
          <w:noProof/>
        </w:rPr>
      </w:pPr>
      <w:r>
        <w:rPr>
          <w:noProof/>
        </w:rPr>
        <w:t>Propunerea nu are consecințe asupra protecției drepturilor fundamentale.</w:t>
      </w:r>
    </w:p>
    <w:p>
      <w:pPr>
        <w:pStyle w:val="ManualHeading1"/>
        <w:rPr>
          <w:noProof/>
        </w:rPr>
      </w:pPr>
      <w:r>
        <w:rPr>
          <w:noProof/>
        </w:rPr>
        <w:t>4.</w:t>
      </w:r>
      <w:r>
        <w:rPr>
          <w:noProof/>
        </w:rPr>
        <w:tab/>
        <w:t>IMPLICAȚIILE BUGETARE</w:t>
      </w:r>
    </w:p>
    <w:p>
      <w:pPr>
        <w:pStyle w:val="Text1"/>
        <w:rPr>
          <w:noProof/>
        </w:rPr>
      </w:pPr>
      <w:r>
        <w:rPr>
          <w:noProof/>
        </w:rPr>
        <w:t>Nu există niciun impact asupra creditelor de angajament, deoarece nu se propune nicio modificare a cuantumurilor maxime ale finanțării din fondurile ESI prevăzute în programele operaționale pentru perioada de programare 2014-2020.</w:t>
      </w:r>
    </w:p>
    <w:p>
      <w:pPr>
        <w:pStyle w:val="Text1"/>
        <w:rPr>
          <w:noProof/>
        </w:rPr>
      </w:pPr>
      <w:r>
        <w:rPr>
          <w:noProof/>
        </w:rPr>
        <w:t>În ceea ce privește creditele de plată aferente prelungirii plății suplimentare în conformitate cu articolul 24, propunerea poate duce la creșterea sumelor rambursate statelor membre vizate. Creditele de plată suplimentare pentru prezenta propunere pot implica o creștere temporară a creditelor de plată, care ar fi compensată de o reducere a plăților la finalul ciclului de viață al programelor pentru perioada 2014-2020. Ar trebui să se remarce faptul că modificarea propusă nu presupune niciun fel de modificări ale plafoanelor anuale pentru angajamente și plăți din cadrul financiar multianual, care sunt prevăzute în anexa I la Regulamentul (UE) nr. 1311/2013.</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rPr>
        <w:tab/>
        <w:t>Planuri de punere în aplicare și măsuri de monitorizare, evaluare și raportare</w:t>
      </w:r>
    </w:p>
    <w:p>
      <w:pPr>
        <w:pStyle w:val="Text1"/>
        <w:rPr>
          <w:noProof/>
        </w:rPr>
      </w:pPr>
      <w:r>
        <w:rPr>
          <w:noProof/>
        </w:rPr>
        <w:t>Nu se aplică. Sistemele existente de distribuire a fondurilor ESI pot fi utilizate pentru a monitoriza punerea în aplicare a prezentei propuneri.</w:t>
      </w:r>
    </w:p>
    <w:p>
      <w:pPr>
        <w:pStyle w:val="ManualHeading2"/>
        <w:rPr>
          <w:rFonts w:eastAsia="Arial Unicode MS"/>
          <w:noProof/>
          <w:u w:color="000000"/>
          <w:bdr w:val="nil"/>
        </w:rPr>
      </w:pPr>
      <w:r>
        <w:rPr>
          <w:noProof/>
        </w:rPr>
        <w:tab/>
        <w:t>Documente explicative (pentru directive)</w:t>
      </w:r>
    </w:p>
    <w:p>
      <w:pPr>
        <w:pStyle w:val="Text1"/>
        <w:rPr>
          <w:noProof/>
        </w:rPr>
      </w:pPr>
      <w:r>
        <w:rPr>
          <w:noProof/>
        </w:rPr>
        <w:t>Nu se aplică.</w:t>
      </w:r>
    </w:p>
    <w:p>
      <w:pPr>
        <w:pStyle w:val="ManualHeading2"/>
        <w:rPr>
          <w:rFonts w:eastAsia="Arial Unicode MS"/>
          <w:noProof/>
          <w:u w:color="000000"/>
          <w:bdr w:val="nil"/>
        </w:rPr>
      </w:pPr>
      <w:r>
        <w:rPr>
          <w:noProof/>
        </w:rPr>
        <w:tab/>
        <w:t>Explicarea detaliată a dispozițiilor specifice ale propunerii</w:t>
      </w:r>
    </w:p>
    <w:p>
      <w:pPr>
        <w:pStyle w:val="Text1"/>
        <w:rPr>
          <w:noProof/>
        </w:rPr>
      </w:pPr>
      <w:r>
        <w:rPr>
          <w:noProof/>
        </w:rPr>
        <w:t>Având în vedere faptul că Grecia, Cipru, Irlanda, România și Portugalia au făcut obiectul unui program de ajustare după 21 decembrie 2013, astfel cum se definește la articolul 24 alineatul (1) din Regulamentul (UE) nr. 1303/2013, cinci țări au fost eligibile pentru suplimentarea cu 10 % a plăților intermediare realizate înainte de 30 iunie 2016. Între timp, programele de asistență financiară pentru Cipru, Irlanda, Portugalia și România au expirat. Aceasta înseamnă că Grecia este singura țară care face obiectul unui program de ajustare la 30 iunie 2016.</w:t>
      </w:r>
    </w:p>
    <w:p>
      <w:pPr>
        <w:pStyle w:val="Text1"/>
        <w:rPr>
          <w:noProof/>
        </w:rPr>
      </w:pPr>
      <w:r>
        <w:rPr>
          <w:noProof/>
        </w:rPr>
        <w:t>Nu pare să fie necesară o nouă revizuire a eligibilității pentru suplimentare în perioada 2014-2020, deoarece țările care fac obiectul programelor de ajustare trebuie să fie sigure de calendarul și nivelul plăților din partea UE.</w:t>
      </w:r>
    </w:p>
    <w:p>
      <w:pPr>
        <w:pStyle w:val="Text1"/>
        <w:rPr>
          <w:noProof/>
        </w:rPr>
      </w:pPr>
      <w:r>
        <w:rPr>
          <w:noProof/>
        </w:rPr>
        <w:t>Având în vedere că Cipru a semnat un program de ajustare cu UE în martie 2013, articolul 120 alineatul (3) din Regulamentul (UE) nr. 1303/2013 prevede o rată excepțională de cofinanțare de 85 % pentru toate programele operaționale sprijinite de FEDR și FSE în Cipru de la 1 ianuarie 2014 până la 30 iunie 2017.</w:t>
      </w:r>
    </w:p>
    <w:p>
      <w:pPr>
        <w:pStyle w:val="Text1"/>
        <w:rPr>
          <w:noProof/>
        </w:rPr>
      </w:pPr>
      <w:r>
        <w:rPr>
          <w:noProof/>
        </w:rPr>
        <w:t>Cipru a ieșit din programul său de ajustare la sfârșitul lunii martie 2016. Cu toate acestea, situația economică din Cipru este încă fragilă, fapt reflectat de creșterea lentă, scăderea investițiilor, rata ridicată a șomajului și sectorul financiar sub presiune.</w:t>
      </w:r>
    </w:p>
    <w:p>
      <w:pPr>
        <w:pStyle w:val="Text1"/>
        <w:rPr>
          <w:rFonts w:eastAsia="Arial Unicode MS"/>
          <w:noProof/>
        </w:rPr>
      </w:pPr>
      <w:r>
        <w:rPr>
          <w:noProof/>
        </w:rPr>
        <w:t xml:space="preserve">Pentru a reduce presiunea asupra bugetului național și pentru a accelera investițiile atât de necesare, se propune să se prelungească rata de cofinanțare de 85 % pentru toate programele operaționale sprijinite de FEDR și FSE în Cipru până la închiderea programului. </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2016/0193 (COD)</w:t>
      </w:r>
    </w:p>
    <w:p>
      <w:pPr>
        <w:pStyle w:val="Statut"/>
        <w:rPr>
          <w:noProof/>
        </w:rPr>
      </w:pPr>
      <w:r>
        <w:rPr>
          <w:noProof/>
        </w:rPr>
        <w:t>Propunere de</w:t>
      </w:r>
    </w:p>
    <w:p>
      <w:pPr>
        <w:pStyle w:val="Typedudocument"/>
        <w:rPr>
          <w:noProof/>
        </w:rPr>
      </w:pPr>
      <w:r>
        <w:rPr>
          <w:noProof/>
        </w:rPr>
        <w:t>REGULAMENT AL PARLAMENTULUI EUROPEAN ŞI AL CONSILIULUI</w:t>
      </w:r>
    </w:p>
    <w:p>
      <w:pPr>
        <w:pStyle w:val="Titreobjet"/>
        <w:rPr>
          <w:noProof/>
        </w:rPr>
      </w:pPr>
      <w:r>
        <w:rPr>
          <w:noProof/>
        </w:rPr>
        <w:t>de modificare a Regulamentului (UE) nr. 1303/2013 în ceea ce privește anumite dispoziții referitoare la gestiunea financiară pentru anumite state membre care se confruntă cu dificultăți grave sau sunt amenințate de astfel de dificultăți cu privire la stabilitatea lor financiară</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177,</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r>
        <w:rPr>
          <w:rStyle w:val="FootnoteReference"/>
          <w:noProof/>
        </w:rPr>
        <w:footnoteReference w:id="3"/>
      </w:r>
      <w:r>
        <w:rPr>
          <w:noProof/>
        </w:rPr>
        <w:t>,</w:t>
      </w:r>
    </w:p>
    <w:p>
      <w:pPr>
        <w:rPr>
          <w:noProof/>
        </w:rPr>
      </w:pPr>
      <w:r>
        <w:rPr>
          <w:noProof/>
        </w:rPr>
        <w:t>având în vedere avizul Comitetului Regiunilor</w:t>
      </w:r>
      <w:r>
        <w:rPr>
          <w:rStyle w:val="FootnoteReference"/>
          <w:noProof/>
        </w:rPr>
        <w:footnoteReference w:id="4"/>
      </w:r>
      <w:r>
        <w:rPr>
          <w:noProof/>
        </w:rPr>
        <w:t>,</w:t>
      </w:r>
    </w:p>
    <w:p>
      <w:pPr>
        <w:rPr>
          <w:noProof/>
        </w:rPr>
      </w:pPr>
      <w:r>
        <w:rPr>
          <w:noProof/>
        </w:rPr>
        <w:t>hotărând în conformitate cu procedura legislativă ordinară,</w:t>
      </w:r>
    </w:p>
    <w:p>
      <w:pPr>
        <w:rPr>
          <w:noProof/>
        </w:rPr>
      </w:pPr>
      <w:r>
        <w:rPr>
          <w:noProof/>
        </w:rPr>
        <w:t>întrucât:</w:t>
      </w:r>
    </w:p>
    <w:p>
      <w:pPr>
        <w:pStyle w:val="ManualConsidrant"/>
        <w:rPr>
          <w:noProof/>
        </w:rPr>
      </w:pPr>
      <w:r>
        <w:t>(1)</w:t>
      </w:r>
      <w:r>
        <w:tab/>
      </w:r>
      <w:r>
        <w:rPr>
          <w:noProof/>
        </w:rPr>
        <w:t>Articolul 24 alineatul (3) din Regulamentul (UE) nr. 1303/2013 prevede că Comisia trebuie să examineze mărirea plăților intermediare din fondurile ESI cu o sumă echivalentă cu zece puncte procentuale peste rata actuală de cofinanțare pentru fiecare prioritate/măsură, pentru statele membre care au făcut obiectul unui program de ajustare după 21 decembrie 2013 și care au solicitat să beneficieze de această măsură până la 30 iunie 2016, prevăzută de dispoziția respectivă, și să prezinte Parlamentului European și Consiliului un raport</w:t>
      </w:r>
      <w:r>
        <w:rPr>
          <w:rStyle w:val="FootnoteReference"/>
          <w:noProof/>
        </w:rPr>
        <w:footnoteReference w:id="5"/>
      </w:r>
      <w:r>
        <w:rPr>
          <w:noProof/>
        </w:rPr>
        <w:t xml:space="preserve"> cuprinzând evaluarea sa și, dacă este necesar, o propunere legislativă înainte de 30 iunie 2016.</w:t>
      </w:r>
    </w:p>
    <w:p>
      <w:pPr>
        <w:pStyle w:val="ManualConsidrant"/>
        <w:rPr>
          <w:noProof/>
        </w:rPr>
      </w:pPr>
      <w:r>
        <w:t>(2)</w:t>
      </w:r>
      <w:r>
        <w:tab/>
      </w:r>
      <w:r>
        <w:rPr>
          <w:noProof/>
        </w:rPr>
        <w:t>Cinci state membre au fost eligibile pentru o mărire a plății în conformitate cu articolul 24 din Regulamentul (UE) nr. 1303/2013, și anume România, Irlanda, Portugalia, Cipru și Grecia. România, Irlanda, Portugalia și Cipru și-au finalizat programele de ajustare economică. Numai Grecia face încă obiectul unui program de ajustare și beneficiază de asistență financiară conexă până în al treilea trimestru al anului 2018. Având în vedere faptul că Grecia se confruntă în continuare cu dificultăți grave în ceea ce privește stabilitatea sa financiară, ar trebui prelungită durata aplicării unei măriri a cuantumului plăților pentru statele membre care se confruntă cu dificultăți bugetare temporare.</w:t>
      </w:r>
    </w:p>
    <w:p>
      <w:pPr>
        <w:pStyle w:val="ManualConsidrant"/>
        <w:rPr>
          <w:noProof/>
        </w:rPr>
      </w:pPr>
      <w:r>
        <w:t>(3)</w:t>
      </w:r>
      <w:r>
        <w:tab/>
      </w:r>
      <w:r>
        <w:rPr>
          <w:noProof/>
        </w:rPr>
        <w:t>Cu toate acestea, posibilitatea unei măriri a plății ar trebui să se încheie la data de 30 iunie a anului următor anului calendaristic în care un anumit stat membru încetează să primească asistență financiară în cadrul unui program de ajustare.</w:t>
      </w:r>
    </w:p>
    <w:p>
      <w:pPr>
        <w:pStyle w:val="ManualConsidrant"/>
        <w:rPr>
          <w:noProof/>
        </w:rPr>
      </w:pPr>
      <w:r>
        <w:t>(4)</w:t>
      </w:r>
      <w:r>
        <w:tab/>
      </w:r>
      <w:r>
        <w:rPr>
          <w:noProof/>
        </w:rPr>
        <w:t>Articolul 120 alineatul (3) din Regulamentul (UE) nr. 1303/2013 prevede obligația Comisiei de a realiza o evaluare pentru a analiza motivele care justifică menținerea unei rate maxime de cofinanțare de 85 % la nivelul fiecărei priorități pentru toate programele operaționale sprijinite de FEDR și FSE în Cipru după 30 iunie 2017 și de a prezenta, dacă este cazul, o propunere legislativă înainte de 30 iunie 2016.</w:t>
      </w:r>
    </w:p>
    <w:p>
      <w:pPr>
        <w:pStyle w:val="ManualConsidrant"/>
        <w:rPr>
          <w:noProof/>
        </w:rPr>
      </w:pPr>
      <w:r>
        <w:t>(5)</w:t>
      </w:r>
      <w:r>
        <w:tab/>
      </w:r>
      <w:r>
        <w:rPr>
          <w:noProof/>
        </w:rPr>
        <w:t>Cipru a ieșit din programul său de ajustare în luna martie 2016. Cu toate acestea, situația economică din Cipru este încă fragilă, fapt reflectat de creșterea lentă, scăderea investițiilor, rata ridicată a șomajului și sectorul financiar sub presiune. Pentru a reduce presiunea asupra bugetului național și pentru a accelera investițiile atât de necesare, rata de cofinanțare de 85 % pentru toate programele operaționale sprijinite de FEDR și FSE în Cipru ar trebui să fie prelungită, prin urmare, până la închiderea programului.</w:t>
      </w:r>
    </w:p>
    <w:p>
      <w:pPr>
        <w:pStyle w:val="ManualConsidrant"/>
        <w:rPr>
          <w:noProof/>
        </w:rPr>
      </w:pPr>
      <w:r>
        <w:t>(6)</w:t>
      </w:r>
      <w:r>
        <w:tab/>
      </w:r>
      <w:r>
        <w:rPr>
          <w:noProof/>
        </w:rPr>
        <w:t xml:space="preserve">Pentru a permite aplicarea promptă a măsurilor prevăzute în prezentul regulament, acesta ar trebui să intre în vigoare în ziua următoare datei publicării în </w:t>
      </w:r>
      <w:r>
        <w:rPr>
          <w:i/>
          <w:noProof/>
        </w:rPr>
        <w:t>Jurnalul Oficial al Uniunii Europene</w:t>
      </w:r>
      <w:r>
        <w:rPr>
          <w:noProof/>
        </w:rPr>
        <w:t>,</w:t>
      </w:r>
    </w:p>
    <w:p>
      <w:pPr>
        <w:pStyle w:val="Formuledadoption"/>
        <w:rPr>
          <w:noProof/>
        </w:rPr>
      </w:pPr>
      <w:r>
        <w:rPr>
          <w:noProof/>
        </w:rPr>
        <w:t>ADOPTĂ PREZENTUL REGULAMENT:</w:t>
      </w:r>
    </w:p>
    <w:p>
      <w:pPr>
        <w:pStyle w:val="Titrearticle"/>
        <w:rPr>
          <w:noProof/>
        </w:rPr>
      </w:pPr>
      <w:r>
        <w:rPr>
          <w:noProof/>
        </w:rPr>
        <w:t>Articolul 1</w:t>
      </w:r>
    </w:p>
    <w:p>
      <w:pPr>
        <w:spacing w:before="0" w:after="200" w:line="276" w:lineRule="auto"/>
        <w:rPr>
          <w:noProof/>
        </w:rPr>
      </w:pPr>
      <w:r>
        <w:rPr>
          <w:noProof/>
        </w:rPr>
        <w:t>Regulamentul (UE) nr. 1303/2013 se modifică după cum urmează:</w:t>
      </w:r>
    </w:p>
    <w:p>
      <w:pPr>
        <w:pStyle w:val="ManualNumPar1"/>
        <w:rPr>
          <w:noProof/>
        </w:rPr>
      </w:pPr>
      <w:r>
        <w:t>1.</w:t>
      </w:r>
      <w:r>
        <w:tab/>
      </w:r>
      <w:r>
        <w:rPr>
          <w:noProof/>
        </w:rPr>
        <w:t>Articolul 24 se înlocuiește cu următorul text:</w:t>
      </w:r>
    </w:p>
    <w:p>
      <w:pPr>
        <w:pStyle w:val="Text1"/>
        <w:rPr>
          <w:noProof/>
        </w:rPr>
      </w:pPr>
      <w:r>
        <w:rPr>
          <w:noProof/>
        </w:rPr>
        <w:t>„</w:t>
      </w:r>
      <w:r>
        <w:rPr>
          <w:b/>
          <w:noProof/>
        </w:rPr>
        <w:t>Mărirea cuantumului plăților pentru un stat membru având dificultăți bugetare temporare</w:t>
      </w:r>
    </w:p>
    <w:p>
      <w:pPr>
        <w:pStyle w:val="Text1"/>
        <w:rPr>
          <w:noProof/>
        </w:rPr>
      </w:pPr>
      <w:r>
        <w:rPr>
          <w:noProof/>
        </w:rPr>
        <w:t xml:space="preserve">1. La cererea unui stat membru, plățile intermediare pot fi mărite cu 10 puncte procentuale peste rata de cofinanțare aplicabilă fiecărei priorități pentru FEDR, FSE și Fondul de coeziune sau fiecărei măsuri pentru FEADR și FEPAM. </w:t>
      </w:r>
    </w:p>
    <w:p>
      <w:pPr>
        <w:pStyle w:val="Text1"/>
        <w:rPr>
          <w:noProof/>
        </w:rPr>
      </w:pPr>
      <w:r>
        <w:rPr>
          <w:noProof/>
        </w:rPr>
        <w:t>În cazul în care un stat membru îndeplinește una dintre următoarele condiții după 21 decembrie 2013, rata de cofinanțare mărită, care nu poate depăși 100 %, se aplică cererilor sale de plată pentru perioada de până la 30 iunie 2016:</w:t>
      </w:r>
    </w:p>
    <w:p>
      <w:pPr>
        <w:pStyle w:val="Text1"/>
        <w:rPr>
          <w:noProof/>
        </w:rPr>
      </w:pPr>
      <w:r>
        <w:rPr>
          <w:noProof/>
        </w:rPr>
        <w:t>(a) dacă statul membru în cauză beneficiază de un împrumut din partea Uniunii în temeiul Regulamentului (UE) nr. 407/2010 al Consiliului;</w:t>
      </w:r>
    </w:p>
    <w:p>
      <w:pPr>
        <w:pStyle w:val="Text1"/>
        <w:rPr>
          <w:noProof/>
        </w:rPr>
      </w:pPr>
      <w:r>
        <w:rPr>
          <w:noProof/>
        </w:rPr>
        <w:t>(b) dacă statul membru în cauză beneficiază de asistență financiară pe termen mediu în conformitate cu Regulamentul (CE) nr. 332/2002, cu condiția implementării unui program de ajustare macroeconomică;</w:t>
      </w:r>
    </w:p>
    <w:p>
      <w:pPr>
        <w:pStyle w:val="Text1"/>
        <w:rPr>
          <w:noProof/>
        </w:rPr>
      </w:pPr>
      <w:r>
        <w:rPr>
          <w:noProof/>
        </w:rPr>
        <w:t>(c) dacă asistența financiară se pune la dispoziția statului membru în cauză, cu condiția implementării unui program de ajustare macroeconomică, astfel cum se specifică în Regulamentul (UE) nr. 472/2013.</w:t>
      </w:r>
    </w:p>
    <w:p>
      <w:pPr>
        <w:pStyle w:val="Text1"/>
        <w:rPr>
          <w:noProof/>
        </w:rPr>
      </w:pPr>
      <w:r>
        <w:rPr>
          <w:noProof/>
        </w:rPr>
        <w:t>În cazul în care un stat membru îndeplinește una dintre condițiile prevăzute la paragraful al doilea după 30 iunie 2016, rata de cofinanțare mărită se aplică cererilor sale de plată pentru perioada de până la 30 iunie a anului următor anului calendaristic în care se încheie asistența financiară aferentă.</w:t>
      </w:r>
    </w:p>
    <w:p>
      <w:pPr>
        <w:pStyle w:val="Text1"/>
        <w:rPr>
          <w:noProof/>
        </w:rPr>
      </w:pPr>
      <w:r>
        <w:rPr>
          <w:noProof/>
        </w:rPr>
        <w:t>Prezentul alineat nu se aplică programelor care fac obiectul Regulamentului CTE.</w:t>
      </w:r>
    </w:p>
    <w:p>
      <w:pPr>
        <w:pStyle w:val="Text1"/>
        <w:rPr>
          <w:noProof/>
        </w:rPr>
      </w:pPr>
      <w:r>
        <w:rPr>
          <w:noProof/>
        </w:rPr>
        <w:t>2. Fără a aduce atingere alineatului (1), sprijinul Uniunii prin plățile intermediare și prin plățile soldului final nu poate depăși cheltuielile publice sau suma maximă a sprijinului din partea fondurilor ESI pentru fiecare prioritate în cazul FEDR, FSE și Fondului de coeziune sau pentru fiecare măsură în cazul FEADR și FEPAM, astfel cum se prevede în decizia Comisiei de aprobare a programului, reținându-se valoarea cea mai mică.”;</w:t>
      </w:r>
    </w:p>
    <w:p>
      <w:pPr>
        <w:pStyle w:val="ManualNumPar1"/>
        <w:rPr>
          <w:noProof/>
        </w:rPr>
      </w:pPr>
      <w:r>
        <w:t>2.</w:t>
      </w:r>
      <w:r>
        <w:tab/>
      </w:r>
      <w:r>
        <w:rPr>
          <w:noProof/>
        </w:rPr>
        <w:t>Articolul 120 alineatul (3) se modifică după cum urmează:</w:t>
      </w:r>
    </w:p>
    <w:p>
      <w:pPr>
        <w:pStyle w:val="Text1"/>
        <w:rPr>
          <w:noProof/>
        </w:rPr>
      </w:pPr>
      <w:r>
        <w:rPr>
          <w:noProof/>
        </w:rPr>
        <w:t>Paragraful al doilea se înlocuiește cu următorul text:</w:t>
      </w:r>
    </w:p>
    <w:p>
      <w:pPr>
        <w:pStyle w:val="Text1"/>
        <w:rPr>
          <w:noProof/>
        </w:rPr>
      </w:pPr>
      <w:r>
        <w:rPr>
          <w:noProof/>
        </w:rPr>
        <w:t>„Pe parcursul perioadei cuprinse între 1 ianuarie 2014 și închiderea programului, rata de cofinanțare la nivelul fiecărei priorități pentru toate programele operaționale desfășurate în Cipru nu depășește 85 %.”.</w:t>
      </w:r>
    </w:p>
    <w:p>
      <w:pPr>
        <w:pStyle w:val="Titrearticle"/>
        <w:rPr>
          <w:noProof/>
        </w:rPr>
      </w:pPr>
      <w:r>
        <w:rPr>
          <w:noProof/>
        </w:rPr>
        <w:t>Articolul 2</w:t>
      </w:r>
    </w:p>
    <w:p>
      <w:pPr>
        <w:rPr>
          <w:noProof/>
        </w:rPr>
      </w:pPr>
      <w:r>
        <w:rPr>
          <w:noProof/>
        </w:rPr>
        <w:t xml:space="preserve">Prezentul regulament intră în vigoare în ziua următoare datei publicării în </w:t>
      </w:r>
      <w:r>
        <w:rPr>
          <w:i/>
          <w:noProof/>
        </w:rPr>
        <w:t>Jurnalul Oficial al Uniunii Europene</w:t>
      </w:r>
      <w:r>
        <w:rPr>
          <w:noProof/>
        </w:rPr>
        <w:t>.</w:t>
      </w:r>
    </w:p>
    <w:p>
      <w:pPr>
        <w:pStyle w:val="Applicationdirecte"/>
        <w:rPr>
          <w:noProof/>
        </w:rPr>
      </w:pPr>
      <w:r>
        <w:rPr>
          <w:noProof/>
        </w:rPr>
        <w:t>Prezentul regulament este obligatoriu în toate elementele sale și se aplică direct în toate statele membre.</w:t>
      </w:r>
    </w:p>
    <w:p>
      <w:pPr>
        <w:pStyle w:val="Fait"/>
        <w:rPr>
          <w:noProof/>
        </w:rPr>
      </w:pPr>
      <w:r>
        <w:rPr>
          <w:noProof/>
        </w:rPr>
        <w:t>Adoptat la Bruxelles,</w:t>
      </w:r>
    </w:p>
    <w:p>
      <w:pPr>
        <w:pStyle w:val="Institutionquisigne"/>
        <w:rPr>
          <w:noProof/>
        </w:rPr>
      </w:pPr>
      <w:r>
        <w:rPr>
          <w:noProof/>
        </w:rPr>
        <w:t>Pentru Parlamentul European</w:t>
      </w:r>
      <w:r>
        <w:rPr>
          <w:noProof/>
        </w:rPr>
        <w:tab/>
        <w:t>Pentru Consiliu</w:t>
      </w:r>
    </w:p>
    <w:p>
      <w:pPr>
        <w:pStyle w:val="Personnequisigne"/>
        <w:rPr>
          <w:b/>
          <w:noProof/>
          <w:u w:val="single"/>
        </w:rPr>
      </w:pPr>
      <w:r>
        <w:rPr>
          <w:noProof/>
        </w:rPr>
        <w:t>Președintele</w:t>
      </w:r>
      <w:r>
        <w:rPr>
          <w:noProof/>
        </w:rPr>
        <w:tab/>
        <w:t>Președintele</w:t>
      </w:r>
      <w:r>
        <w:rPr>
          <w:noProof/>
        </w:rPr>
        <w:br w:type="page"/>
      </w:r>
    </w:p>
    <w:p>
      <w:pPr>
        <w:pStyle w:val="Fichefinanciretitre"/>
        <w:rPr>
          <w:noProof/>
        </w:rPr>
      </w:pPr>
      <w:r>
        <w:rPr>
          <w:noProof/>
        </w:rPr>
        <w:t>FIȘĂ FINANCIARĂ LEGISLATIVĂ</w:t>
      </w:r>
    </w:p>
    <w:p>
      <w:pPr>
        <w:pStyle w:val="ManualHeading1"/>
        <w:rPr>
          <w:noProof/>
        </w:rPr>
      </w:pPr>
      <w:r>
        <w:rPr>
          <w:noProof/>
        </w:rPr>
        <w:t>1.</w:t>
      </w:r>
      <w:r>
        <w:rPr>
          <w:noProof/>
        </w:rPr>
        <w:tab/>
        <w:t>DENUMIREA PROPUNERII:</w:t>
      </w:r>
    </w:p>
    <w:p>
      <w:pPr>
        <w:pStyle w:val="Text1"/>
        <w:rPr>
          <w:noProof/>
        </w:rPr>
      </w:pPr>
      <w:r>
        <w:rPr>
          <w:noProof/>
        </w:rPr>
        <w:t>Propunere de regulament al Parlamentului European și al Consiliului de modificare a Regulamentului (UE) nr. 1303/2013 al Parlamentului European și al Consiliului în ceea ce privește anumite dispoziții referitoare la gestiunea financiară pentru anumite state membre care se confruntă cu dificultăți grave sau sunt amenințate de astfel de dificultăți cu privire la stabilitatea lor financiară.</w:t>
      </w:r>
    </w:p>
    <w:p>
      <w:pPr>
        <w:pStyle w:val="ManualHeading1"/>
        <w:rPr>
          <w:noProof/>
        </w:rPr>
      </w:pPr>
      <w:r>
        <w:rPr>
          <w:noProof/>
        </w:rPr>
        <w:t>2.</w:t>
      </w:r>
      <w:r>
        <w:rPr>
          <w:noProof/>
        </w:rPr>
        <w:tab/>
        <w:t>CADRU ABM / ABB</w:t>
      </w:r>
    </w:p>
    <w:p>
      <w:pPr>
        <w:pStyle w:val="Text1"/>
        <w:rPr>
          <w:noProof/>
        </w:rPr>
      </w:pPr>
      <w:r>
        <w:rPr>
          <w:noProof/>
        </w:rPr>
        <w:t>Domeniul (domeniile) de politică în cauză și activitatea (activitățile) asociată (asociate):</w:t>
      </w:r>
    </w:p>
    <w:p>
      <w:pPr>
        <w:pStyle w:val="Text1"/>
        <w:rPr>
          <w:noProof/>
        </w:rPr>
      </w:pPr>
      <w:r>
        <w:rPr>
          <w:noProof/>
        </w:rPr>
        <w:t>politica regională; activitatea ABB 13.03</w:t>
      </w:r>
    </w:p>
    <w:p>
      <w:pPr>
        <w:pStyle w:val="Text1"/>
        <w:rPr>
          <w:noProof/>
        </w:rPr>
      </w:pPr>
      <w:r>
        <w:rPr>
          <w:noProof/>
        </w:rPr>
        <w:t>ocuparea forței de muncă și afaceri sociale; activitatea ABB 04.02</w:t>
      </w:r>
    </w:p>
    <w:p>
      <w:pPr>
        <w:pStyle w:val="Text1"/>
        <w:rPr>
          <w:noProof/>
        </w:rPr>
      </w:pPr>
      <w:r>
        <w:rPr>
          <w:noProof/>
        </w:rPr>
        <w:t>Fondul de coeziune, activitatea ABB 13.04</w:t>
      </w:r>
    </w:p>
    <w:p>
      <w:pPr>
        <w:pStyle w:val="Text1"/>
        <w:rPr>
          <w:noProof/>
        </w:rPr>
      </w:pPr>
      <w:r>
        <w:rPr>
          <w:noProof/>
        </w:rPr>
        <w:t>dezvoltarea rurală, activitatea ABB 05.04</w:t>
      </w:r>
    </w:p>
    <w:p>
      <w:pPr>
        <w:pStyle w:val="Text1"/>
        <w:rPr>
          <w:noProof/>
          <w:highlight w:val="yellow"/>
        </w:rPr>
      </w:pPr>
      <w:r>
        <w:rPr>
          <w:noProof/>
        </w:rPr>
        <w:t>pescuit, activitatea ABB 11.06</w:t>
      </w:r>
    </w:p>
    <w:p>
      <w:pPr>
        <w:pStyle w:val="ManualHeading1"/>
        <w:rPr>
          <w:noProof/>
        </w:rPr>
      </w:pPr>
      <w:r>
        <w:rPr>
          <w:noProof/>
        </w:rPr>
        <w:t>3.</w:t>
      </w:r>
      <w:r>
        <w:rPr>
          <w:noProof/>
        </w:rPr>
        <w:tab/>
        <w:t>LINII BUGETARE</w:t>
      </w:r>
    </w:p>
    <w:p>
      <w:pPr>
        <w:pStyle w:val="ManualHeading2"/>
        <w:rPr>
          <w:noProof/>
        </w:rPr>
      </w:pPr>
      <w:r>
        <w:rPr>
          <w:noProof/>
        </w:rPr>
        <w:t>3.1.</w:t>
      </w:r>
      <w:r>
        <w:rPr>
          <w:noProof/>
        </w:rPr>
        <w:tab/>
        <w:t>Linii bugetare [linii operaționale și linii conexe de asistență tehnică și administrativă (foste linii BA)]:</w:t>
      </w:r>
    </w:p>
    <w:p>
      <w:pPr>
        <w:pStyle w:val="Text1"/>
        <w:rPr>
          <w:noProof/>
        </w:rPr>
      </w:pPr>
      <w:r>
        <w:rPr>
          <w:noProof/>
        </w:rPr>
        <w:t>Noua acțiune propusă se va pune în aplicare pe următoarele linii bugetare:</w:t>
      </w:r>
    </w:p>
    <w:p>
      <w:pPr>
        <w:pStyle w:val="ListBullet1"/>
        <w:rPr>
          <w:noProof/>
        </w:rPr>
      </w:pPr>
      <w:r>
        <w:rPr>
          <w:noProof/>
        </w:rPr>
        <w:t>13.036000 Regiuni mai puțin dezvoltate (FEDR)</w:t>
      </w:r>
    </w:p>
    <w:p>
      <w:pPr>
        <w:pStyle w:val="ListBullet1"/>
        <w:rPr>
          <w:noProof/>
        </w:rPr>
      </w:pPr>
      <w:r>
        <w:rPr>
          <w:noProof/>
        </w:rPr>
        <w:t>13.036100 Regiuni de tranziție (FEDR)</w:t>
      </w:r>
    </w:p>
    <w:p>
      <w:pPr>
        <w:pStyle w:val="ListBullet1"/>
        <w:rPr>
          <w:noProof/>
        </w:rPr>
      </w:pPr>
      <w:r>
        <w:rPr>
          <w:noProof/>
        </w:rPr>
        <w:t>13.036200 Regiuni mai dezvoltate (FEDR)</w:t>
      </w:r>
    </w:p>
    <w:p>
      <w:pPr>
        <w:pStyle w:val="ListBullet1"/>
        <w:rPr>
          <w:noProof/>
        </w:rPr>
      </w:pPr>
      <w:r>
        <w:rPr>
          <w:noProof/>
        </w:rPr>
        <w:t>13.036300 Alocare suplimentară pentru regiunile ultraperiferice și cu densitate redusă a populației (FEDR)</w:t>
      </w:r>
    </w:p>
    <w:p>
      <w:pPr>
        <w:pStyle w:val="ListBullet1"/>
        <w:rPr>
          <w:noProof/>
        </w:rPr>
      </w:pPr>
      <w:r>
        <w:rPr>
          <w:noProof/>
        </w:rPr>
        <w:t>13.046000 Fondul de coeziune</w:t>
      </w:r>
    </w:p>
    <w:p>
      <w:pPr>
        <w:pStyle w:val="ListBullet1"/>
        <w:rPr>
          <w:noProof/>
        </w:rPr>
      </w:pPr>
      <w:r>
        <w:rPr>
          <w:noProof/>
        </w:rPr>
        <w:t>04.026000 Regiuni mai puțin dezvoltate (FSE)</w:t>
      </w:r>
    </w:p>
    <w:p>
      <w:pPr>
        <w:pStyle w:val="ListBullet1"/>
        <w:rPr>
          <w:noProof/>
        </w:rPr>
      </w:pPr>
      <w:r>
        <w:rPr>
          <w:noProof/>
        </w:rPr>
        <w:t>04.026100 Regiuni de tranziție (FSE)</w:t>
      </w:r>
    </w:p>
    <w:p>
      <w:pPr>
        <w:pStyle w:val="ListBullet1"/>
        <w:rPr>
          <w:noProof/>
        </w:rPr>
      </w:pPr>
      <w:r>
        <w:rPr>
          <w:noProof/>
        </w:rPr>
        <w:t>04.026200 Regiuni mai dezvoltate (FSE)</w:t>
      </w:r>
    </w:p>
    <w:p>
      <w:pPr>
        <w:pStyle w:val="ListBullet1"/>
        <w:rPr>
          <w:noProof/>
        </w:rPr>
      </w:pPr>
      <w:r>
        <w:rPr>
          <w:noProof/>
        </w:rPr>
        <w:t>04.026400 Inițiativa privind ocuparea forței de muncă în rândul tinerilor (FSE)</w:t>
      </w:r>
    </w:p>
    <w:p>
      <w:pPr>
        <w:pStyle w:val="ListBullet1"/>
        <w:rPr>
          <w:noProof/>
        </w:rPr>
      </w:pPr>
      <w:r>
        <w:rPr>
          <w:noProof/>
        </w:rPr>
        <w:t>05.046001 Dezvoltare rurală (FEADR)</w:t>
      </w:r>
    </w:p>
    <w:p>
      <w:pPr>
        <w:pStyle w:val="ListBullet1"/>
        <w:rPr>
          <w:noProof/>
        </w:rPr>
      </w:pPr>
      <w:r>
        <w:rPr>
          <w:noProof/>
        </w:rPr>
        <w:t>11.066000 Pescuit și acvacultură (FEPAM)</w:t>
      </w:r>
    </w:p>
    <w:p>
      <w:pPr>
        <w:pStyle w:val="ManualHeading2"/>
        <w:rPr>
          <w:noProof/>
        </w:rPr>
      </w:pPr>
      <w:r>
        <w:rPr>
          <w:noProof/>
        </w:rPr>
        <w:t>3.2.</w:t>
      </w:r>
      <w:r>
        <w:rPr>
          <w:noProof/>
        </w:rPr>
        <w:tab/>
        <w:t>Durata acțiunii și a implicațiilor financiare:</w:t>
      </w:r>
    </w:p>
    <w:p>
      <w:pPr>
        <w:spacing w:after="240"/>
        <w:rPr>
          <w:noProof/>
        </w:rPr>
      </w:pPr>
      <w:r>
        <w:rPr>
          <w:noProof/>
        </w:rPr>
        <w:br w:type="page"/>
        <w:t>3.3.</w:t>
      </w:r>
      <w:r>
        <w:rPr>
          <w:noProof/>
        </w:rPr>
        <w:tab/>
        <w:t>Caracteristici bugetare: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4"/>
        <w:gridCol w:w="1678"/>
        <w:gridCol w:w="732"/>
        <w:gridCol w:w="988"/>
        <w:gridCol w:w="1452"/>
        <w:gridCol w:w="1580"/>
        <w:gridCol w:w="1302"/>
      </w:tblGrid>
      <w:tr>
        <w:trPr>
          <w:jc w:val="center"/>
        </w:trPr>
        <w:tc>
          <w:tcPr>
            <w:tcW w:w="1124" w:type="dxa"/>
            <w:vAlign w:val="center"/>
          </w:tcPr>
          <w:p>
            <w:pPr>
              <w:jc w:val="center"/>
              <w:rPr>
                <w:b/>
                <w:noProof/>
                <w:sz w:val="20"/>
                <w:szCs w:val="20"/>
              </w:rPr>
            </w:pPr>
            <w:r>
              <w:rPr>
                <w:b/>
                <w:noProof/>
                <w:sz w:val="20"/>
              </w:rPr>
              <w:t>Linia bugetară</w:t>
            </w:r>
          </w:p>
        </w:tc>
        <w:tc>
          <w:tcPr>
            <w:tcW w:w="2410" w:type="dxa"/>
            <w:gridSpan w:val="2"/>
            <w:vAlign w:val="center"/>
          </w:tcPr>
          <w:p>
            <w:pPr>
              <w:jc w:val="center"/>
              <w:rPr>
                <w:b/>
                <w:noProof/>
                <w:sz w:val="20"/>
                <w:szCs w:val="20"/>
              </w:rPr>
            </w:pPr>
            <w:r>
              <w:rPr>
                <w:b/>
                <w:noProof/>
                <w:sz w:val="20"/>
              </w:rPr>
              <w:t>Tipul cheltuielilor</w:t>
            </w:r>
          </w:p>
        </w:tc>
        <w:tc>
          <w:tcPr>
            <w:tcW w:w="988" w:type="dxa"/>
            <w:vAlign w:val="center"/>
          </w:tcPr>
          <w:p>
            <w:pPr>
              <w:jc w:val="center"/>
              <w:rPr>
                <w:b/>
                <w:noProof/>
                <w:sz w:val="20"/>
                <w:szCs w:val="20"/>
              </w:rPr>
            </w:pPr>
            <w:r>
              <w:rPr>
                <w:b/>
                <w:noProof/>
                <w:sz w:val="20"/>
              </w:rPr>
              <w:t>Nouă</w:t>
            </w:r>
          </w:p>
        </w:tc>
        <w:tc>
          <w:tcPr>
            <w:tcW w:w="1452" w:type="dxa"/>
            <w:vAlign w:val="center"/>
          </w:tcPr>
          <w:p>
            <w:pPr>
              <w:jc w:val="center"/>
              <w:rPr>
                <w:b/>
                <w:noProof/>
                <w:sz w:val="20"/>
                <w:szCs w:val="20"/>
              </w:rPr>
            </w:pPr>
            <w:r>
              <w:rPr>
                <w:b/>
                <w:noProof/>
                <w:sz w:val="20"/>
              </w:rPr>
              <w:t>Contribuție AELS</w:t>
            </w:r>
          </w:p>
        </w:tc>
        <w:tc>
          <w:tcPr>
            <w:tcW w:w="1580" w:type="dxa"/>
            <w:vAlign w:val="center"/>
          </w:tcPr>
          <w:p>
            <w:pPr>
              <w:jc w:val="center"/>
              <w:rPr>
                <w:b/>
                <w:noProof/>
                <w:sz w:val="20"/>
                <w:szCs w:val="20"/>
              </w:rPr>
            </w:pPr>
            <w:r>
              <w:rPr>
                <w:b/>
                <w:noProof/>
                <w:sz w:val="20"/>
              </w:rPr>
              <w:t>Contribuții din partea țărilor candidate</w:t>
            </w:r>
          </w:p>
        </w:tc>
        <w:tc>
          <w:tcPr>
            <w:tcW w:w="1302" w:type="dxa"/>
            <w:vAlign w:val="center"/>
          </w:tcPr>
          <w:p>
            <w:pPr>
              <w:jc w:val="center"/>
              <w:rPr>
                <w:b/>
                <w:noProof/>
                <w:sz w:val="20"/>
                <w:szCs w:val="20"/>
              </w:rPr>
            </w:pPr>
            <w:r>
              <w:rPr>
                <w:b/>
                <w:noProof/>
                <w:sz w:val="20"/>
              </w:rPr>
              <w:t>Rubrica PF</w:t>
            </w:r>
          </w:p>
        </w:tc>
      </w:tr>
      <w:tr>
        <w:trPr>
          <w:jc w:val="center"/>
        </w:trPr>
        <w:tc>
          <w:tcPr>
            <w:tcW w:w="1124" w:type="dxa"/>
            <w:vAlign w:val="center"/>
          </w:tcPr>
          <w:p>
            <w:pPr>
              <w:rPr>
                <w:noProof/>
                <w:sz w:val="20"/>
                <w:szCs w:val="20"/>
              </w:rPr>
            </w:pPr>
            <w:r>
              <w:rPr>
                <w:noProof/>
                <w:sz w:val="20"/>
              </w:rPr>
              <w:t>13.031600</w:t>
            </w:r>
          </w:p>
        </w:tc>
        <w:tc>
          <w:tcPr>
            <w:tcW w:w="1678" w:type="dxa"/>
            <w:vAlign w:val="center"/>
          </w:tcPr>
          <w:p>
            <w:pPr>
              <w:jc w:val="center"/>
              <w:rPr>
                <w:noProof/>
                <w:sz w:val="20"/>
                <w:szCs w:val="20"/>
              </w:rPr>
            </w:pPr>
            <w:r>
              <w:rPr>
                <w:noProof/>
              </w:rPr>
              <w:t>Cheltuieli neobligatorii</w:t>
            </w:r>
          </w:p>
        </w:tc>
        <w:tc>
          <w:tcPr>
            <w:tcW w:w="732" w:type="dxa"/>
            <w:vAlign w:val="center"/>
          </w:tcPr>
          <w:p>
            <w:pPr>
              <w:jc w:val="center"/>
              <w:rPr>
                <w:noProof/>
                <w:sz w:val="20"/>
                <w:szCs w:val="20"/>
              </w:rPr>
            </w:pPr>
            <w:r>
              <w:rPr>
                <w:noProof/>
              </w:rPr>
              <w:t>Dif.</w:t>
            </w:r>
          </w:p>
        </w:tc>
        <w:tc>
          <w:tcPr>
            <w:tcW w:w="988" w:type="dxa"/>
            <w:vAlign w:val="center"/>
          </w:tcPr>
          <w:p>
            <w:pPr>
              <w:jc w:val="center"/>
              <w:rPr>
                <w:noProof/>
                <w:sz w:val="20"/>
                <w:szCs w:val="20"/>
              </w:rPr>
            </w:pPr>
            <w:r>
              <w:rPr>
                <w:noProof/>
              </w:rPr>
              <w:t>NU</w:t>
            </w:r>
          </w:p>
        </w:tc>
        <w:tc>
          <w:tcPr>
            <w:tcW w:w="1452" w:type="dxa"/>
            <w:vAlign w:val="center"/>
          </w:tcPr>
          <w:p>
            <w:pPr>
              <w:jc w:val="center"/>
              <w:rPr>
                <w:noProof/>
                <w:sz w:val="20"/>
                <w:szCs w:val="20"/>
              </w:rPr>
            </w:pPr>
            <w:r>
              <w:rPr>
                <w:noProof/>
              </w:rPr>
              <w:t>NU</w:t>
            </w:r>
          </w:p>
        </w:tc>
        <w:tc>
          <w:tcPr>
            <w:tcW w:w="1580" w:type="dxa"/>
            <w:vAlign w:val="center"/>
          </w:tcPr>
          <w:p>
            <w:pPr>
              <w:jc w:val="center"/>
              <w:rPr>
                <w:noProof/>
                <w:sz w:val="20"/>
                <w:szCs w:val="20"/>
              </w:rPr>
            </w:pPr>
            <w:r>
              <w:rPr>
                <w:noProof/>
              </w:rPr>
              <w:t>NU</w:t>
            </w:r>
          </w:p>
        </w:tc>
        <w:tc>
          <w:tcPr>
            <w:tcW w:w="1302" w:type="dxa"/>
            <w:vAlign w:val="center"/>
          </w:tcPr>
          <w:p>
            <w:pPr>
              <w:jc w:val="center"/>
              <w:rPr>
                <w:noProof/>
                <w:sz w:val="20"/>
                <w:szCs w:val="20"/>
              </w:rPr>
            </w:pPr>
            <w:r>
              <w:rPr>
                <w:b/>
                <w:noProof/>
                <w:sz w:val="20"/>
              </w:rPr>
              <w:t xml:space="preserve">Nr. </w:t>
            </w:r>
            <w:r>
              <w:rPr>
                <w:noProof/>
              </w:rPr>
              <w:t>1b</w:t>
            </w:r>
          </w:p>
        </w:tc>
      </w:tr>
      <w:tr>
        <w:trPr>
          <w:jc w:val="center"/>
        </w:trPr>
        <w:tc>
          <w:tcPr>
            <w:tcW w:w="1124" w:type="dxa"/>
          </w:tcPr>
          <w:p>
            <w:pPr>
              <w:rPr>
                <w:noProof/>
              </w:rPr>
            </w:pPr>
            <w:r>
              <w:rPr>
                <w:noProof/>
                <w:sz w:val="20"/>
              </w:rPr>
              <w:t>13.031800</w:t>
            </w:r>
          </w:p>
        </w:tc>
        <w:tc>
          <w:tcPr>
            <w:tcW w:w="1678" w:type="dxa"/>
            <w:vAlign w:val="center"/>
          </w:tcPr>
          <w:p>
            <w:pPr>
              <w:jc w:val="center"/>
              <w:rPr>
                <w:noProof/>
                <w:sz w:val="20"/>
                <w:szCs w:val="20"/>
              </w:rPr>
            </w:pPr>
            <w:r>
              <w:rPr>
                <w:noProof/>
              </w:rPr>
              <w:t>Cheltuieli neobligatorii</w:t>
            </w:r>
          </w:p>
        </w:tc>
        <w:tc>
          <w:tcPr>
            <w:tcW w:w="732" w:type="dxa"/>
            <w:vAlign w:val="center"/>
          </w:tcPr>
          <w:p>
            <w:pPr>
              <w:jc w:val="center"/>
              <w:rPr>
                <w:noProof/>
                <w:sz w:val="20"/>
                <w:szCs w:val="20"/>
              </w:rPr>
            </w:pPr>
            <w:r>
              <w:rPr>
                <w:noProof/>
              </w:rPr>
              <w:t>Dif.</w:t>
            </w:r>
          </w:p>
        </w:tc>
        <w:tc>
          <w:tcPr>
            <w:tcW w:w="988" w:type="dxa"/>
            <w:vAlign w:val="center"/>
          </w:tcPr>
          <w:p>
            <w:pPr>
              <w:jc w:val="center"/>
              <w:rPr>
                <w:noProof/>
                <w:sz w:val="20"/>
                <w:szCs w:val="20"/>
              </w:rPr>
            </w:pPr>
            <w:r>
              <w:rPr>
                <w:noProof/>
              </w:rPr>
              <w:t>NU</w:t>
            </w:r>
          </w:p>
        </w:tc>
        <w:tc>
          <w:tcPr>
            <w:tcW w:w="1452" w:type="dxa"/>
            <w:vAlign w:val="center"/>
          </w:tcPr>
          <w:p>
            <w:pPr>
              <w:jc w:val="center"/>
              <w:rPr>
                <w:noProof/>
                <w:sz w:val="20"/>
                <w:szCs w:val="20"/>
              </w:rPr>
            </w:pPr>
            <w:r>
              <w:rPr>
                <w:noProof/>
              </w:rPr>
              <w:t>NU</w:t>
            </w:r>
          </w:p>
        </w:tc>
        <w:tc>
          <w:tcPr>
            <w:tcW w:w="1580" w:type="dxa"/>
            <w:vAlign w:val="center"/>
          </w:tcPr>
          <w:p>
            <w:pPr>
              <w:jc w:val="center"/>
              <w:rPr>
                <w:noProof/>
                <w:sz w:val="20"/>
                <w:szCs w:val="20"/>
              </w:rPr>
            </w:pPr>
            <w:r>
              <w:rPr>
                <w:noProof/>
              </w:rPr>
              <w:t>NU</w:t>
            </w:r>
          </w:p>
        </w:tc>
        <w:tc>
          <w:tcPr>
            <w:tcW w:w="1302" w:type="dxa"/>
            <w:vAlign w:val="center"/>
          </w:tcPr>
          <w:p>
            <w:pPr>
              <w:jc w:val="center"/>
              <w:rPr>
                <w:noProof/>
                <w:sz w:val="20"/>
                <w:szCs w:val="20"/>
              </w:rPr>
            </w:pPr>
            <w:r>
              <w:rPr>
                <w:b/>
                <w:noProof/>
                <w:sz w:val="20"/>
              </w:rPr>
              <w:t xml:space="preserve">Nr. </w:t>
            </w:r>
            <w:r>
              <w:rPr>
                <w:noProof/>
              </w:rPr>
              <w:t>1b</w:t>
            </w:r>
          </w:p>
        </w:tc>
      </w:tr>
      <w:tr>
        <w:trPr>
          <w:jc w:val="center"/>
        </w:trPr>
        <w:tc>
          <w:tcPr>
            <w:tcW w:w="1124" w:type="dxa"/>
            <w:vAlign w:val="center"/>
          </w:tcPr>
          <w:p>
            <w:pPr>
              <w:jc w:val="center"/>
              <w:rPr>
                <w:noProof/>
                <w:sz w:val="20"/>
                <w:szCs w:val="20"/>
              </w:rPr>
            </w:pPr>
            <w:r>
              <w:rPr>
                <w:noProof/>
                <w:sz w:val="20"/>
              </w:rPr>
              <w:t>04.0217</w:t>
            </w:r>
          </w:p>
        </w:tc>
        <w:tc>
          <w:tcPr>
            <w:tcW w:w="1678" w:type="dxa"/>
            <w:vAlign w:val="center"/>
          </w:tcPr>
          <w:p>
            <w:pPr>
              <w:jc w:val="center"/>
              <w:rPr>
                <w:noProof/>
                <w:sz w:val="20"/>
                <w:szCs w:val="20"/>
              </w:rPr>
            </w:pPr>
            <w:r>
              <w:rPr>
                <w:noProof/>
              </w:rPr>
              <w:t>Cheltuieli neobligatorii</w:t>
            </w:r>
          </w:p>
        </w:tc>
        <w:tc>
          <w:tcPr>
            <w:tcW w:w="732" w:type="dxa"/>
            <w:vAlign w:val="center"/>
          </w:tcPr>
          <w:p>
            <w:pPr>
              <w:jc w:val="center"/>
              <w:rPr>
                <w:noProof/>
                <w:sz w:val="20"/>
                <w:szCs w:val="20"/>
              </w:rPr>
            </w:pPr>
            <w:r>
              <w:rPr>
                <w:noProof/>
              </w:rPr>
              <w:t>Dif.</w:t>
            </w:r>
          </w:p>
        </w:tc>
        <w:tc>
          <w:tcPr>
            <w:tcW w:w="988" w:type="dxa"/>
            <w:vAlign w:val="center"/>
          </w:tcPr>
          <w:p>
            <w:pPr>
              <w:jc w:val="center"/>
              <w:rPr>
                <w:noProof/>
                <w:sz w:val="20"/>
                <w:szCs w:val="20"/>
              </w:rPr>
            </w:pPr>
            <w:r>
              <w:rPr>
                <w:noProof/>
              </w:rPr>
              <w:t>NU</w:t>
            </w:r>
          </w:p>
        </w:tc>
        <w:tc>
          <w:tcPr>
            <w:tcW w:w="1452" w:type="dxa"/>
            <w:vAlign w:val="center"/>
          </w:tcPr>
          <w:p>
            <w:pPr>
              <w:jc w:val="center"/>
              <w:rPr>
                <w:noProof/>
                <w:sz w:val="20"/>
                <w:szCs w:val="20"/>
              </w:rPr>
            </w:pPr>
            <w:r>
              <w:rPr>
                <w:noProof/>
              </w:rPr>
              <w:t>NU</w:t>
            </w:r>
          </w:p>
        </w:tc>
        <w:tc>
          <w:tcPr>
            <w:tcW w:w="1580" w:type="dxa"/>
            <w:vAlign w:val="center"/>
          </w:tcPr>
          <w:p>
            <w:pPr>
              <w:jc w:val="center"/>
              <w:rPr>
                <w:noProof/>
                <w:sz w:val="20"/>
                <w:szCs w:val="20"/>
              </w:rPr>
            </w:pPr>
            <w:r>
              <w:rPr>
                <w:noProof/>
              </w:rPr>
              <w:t>NU</w:t>
            </w:r>
          </w:p>
        </w:tc>
        <w:tc>
          <w:tcPr>
            <w:tcW w:w="1302" w:type="dxa"/>
            <w:vAlign w:val="center"/>
          </w:tcPr>
          <w:p>
            <w:pPr>
              <w:jc w:val="center"/>
              <w:rPr>
                <w:noProof/>
                <w:sz w:val="20"/>
                <w:szCs w:val="20"/>
              </w:rPr>
            </w:pPr>
            <w:r>
              <w:rPr>
                <w:b/>
                <w:noProof/>
                <w:sz w:val="20"/>
              </w:rPr>
              <w:t xml:space="preserve">Nr. </w:t>
            </w:r>
            <w:r>
              <w:rPr>
                <w:noProof/>
              </w:rPr>
              <w:t>1b</w:t>
            </w:r>
          </w:p>
        </w:tc>
      </w:tr>
      <w:tr>
        <w:trPr>
          <w:jc w:val="center"/>
        </w:trPr>
        <w:tc>
          <w:tcPr>
            <w:tcW w:w="1124" w:type="dxa"/>
            <w:vAlign w:val="center"/>
          </w:tcPr>
          <w:p>
            <w:pPr>
              <w:jc w:val="center"/>
              <w:rPr>
                <w:noProof/>
                <w:sz w:val="20"/>
                <w:szCs w:val="20"/>
              </w:rPr>
            </w:pPr>
            <w:r>
              <w:rPr>
                <w:noProof/>
                <w:sz w:val="20"/>
              </w:rPr>
              <w:t>13.04.02</w:t>
            </w:r>
          </w:p>
        </w:tc>
        <w:tc>
          <w:tcPr>
            <w:tcW w:w="1678" w:type="dxa"/>
            <w:vAlign w:val="center"/>
          </w:tcPr>
          <w:p>
            <w:pPr>
              <w:jc w:val="center"/>
              <w:rPr>
                <w:noProof/>
                <w:sz w:val="20"/>
                <w:szCs w:val="20"/>
              </w:rPr>
            </w:pPr>
            <w:r>
              <w:rPr>
                <w:noProof/>
              </w:rPr>
              <w:t>Cheltuieli neobligatorii</w:t>
            </w:r>
          </w:p>
        </w:tc>
        <w:tc>
          <w:tcPr>
            <w:tcW w:w="732" w:type="dxa"/>
            <w:vAlign w:val="center"/>
          </w:tcPr>
          <w:p>
            <w:pPr>
              <w:jc w:val="center"/>
              <w:rPr>
                <w:noProof/>
                <w:sz w:val="20"/>
                <w:szCs w:val="20"/>
              </w:rPr>
            </w:pPr>
            <w:r>
              <w:rPr>
                <w:noProof/>
              </w:rPr>
              <w:t>Dif.</w:t>
            </w:r>
          </w:p>
        </w:tc>
        <w:tc>
          <w:tcPr>
            <w:tcW w:w="988" w:type="dxa"/>
            <w:vAlign w:val="center"/>
          </w:tcPr>
          <w:p>
            <w:pPr>
              <w:jc w:val="center"/>
              <w:rPr>
                <w:noProof/>
                <w:sz w:val="20"/>
                <w:szCs w:val="20"/>
              </w:rPr>
            </w:pPr>
            <w:r>
              <w:rPr>
                <w:noProof/>
              </w:rPr>
              <w:t>NU</w:t>
            </w:r>
          </w:p>
        </w:tc>
        <w:tc>
          <w:tcPr>
            <w:tcW w:w="1452" w:type="dxa"/>
            <w:vAlign w:val="center"/>
          </w:tcPr>
          <w:p>
            <w:pPr>
              <w:jc w:val="center"/>
              <w:rPr>
                <w:noProof/>
                <w:sz w:val="20"/>
                <w:szCs w:val="20"/>
              </w:rPr>
            </w:pPr>
            <w:r>
              <w:rPr>
                <w:noProof/>
              </w:rPr>
              <w:t>NU</w:t>
            </w:r>
          </w:p>
        </w:tc>
        <w:tc>
          <w:tcPr>
            <w:tcW w:w="1580" w:type="dxa"/>
            <w:vAlign w:val="center"/>
          </w:tcPr>
          <w:p>
            <w:pPr>
              <w:jc w:val="center"/>
              <w:rPr>
                <w:noProof/>
                <w:sz w:val="20"/>
                <w:szCs w:val="20"/>
              </w:rPr>
            </w:pPr>
            <w:r>
              <w:rPr>
                <w:noProof/>
              </w:rPr>
              <w:t>NU</w:t>
            </w:r>
          </w:p>
        </w:tc>
        <w:tc>
          <w:tcPr>
            <w:tcW w:w="1302" w:type="dxa"/>
            <w:vAlign w:val="center"/>
          </w:tcPr>
          <w:p>
            <w:pPr>
              <w:jc w:val="center"/>
              <w:rPr>
                <w:noProof/>
                <w:sz w:val="20"/>
                <w:szCs w:val="20"/>
              </w:rPr>
            </w:pPr>
            <w:r>
              <w:rPr>
                <w:b/>
                <w:noProof/>
                <w:sz w:val="20"/>
              </w:rPr>
              <w:t xml:space="preserve">Nr. </w:t>
            </w:r>
            <w:r>
              <w:rPr>
                <w:noProof/>
              </w:rPr>
              <w:t>1b</w:t>
            </w:r>
          </w:p>
        </w:tc>
      </w:tr>
      <w:tr>
        <w:trPr>
          <w:jc w:val="center"/>
        </w:trPr>
        <w:tc>
          <w:tcPr>
            <w:tcW w:w="1124" w:type="dxa"/>
            <w:vAlign w:val="center"/>
          </w:tcPr>
          <w:p>
            <w:pPr>
              <w:jc w:val="center"/>
              <w:rPr>
                <w:noProof/>
                <w:sz w:val="20"/>
                <w:szCs w:val="20"/>
              </w:rPr>
            </w:pPr>
            <w:r>
              <w:rPr>
                <w:noProof/>
                <w:sz w:val="20"/>
              </w:rPr>
              <w:t>04.0219</w:t>
            </w:r>
          </w:p>
        </w:tc>
        <w:tc>
          <w:tcPr>
            <w:tcW w:w="1678" w:type="dxa"/>
            <w:vAlign w:val="center"/>
          </w:tcPr>
          <w:p>
            <w:pPr>
              <w:jc w:val="center"/>
              <w:rPr>
                <w:noProof/>
                <w:sz w:val="20"/>
                <w:szCs w:val="20"/>
              </w:rPr>
            </w:pPr>
            <w:r>
              <w:rPr>
                <w:noProof/>
              </w:rPr>
              <w:t>Cheltuieli neobligatorii</w:t>
            </w:r>
          </w:p>
        </w:tc>
        <w:tc>
          <w:tcPr>
            <w:tcW w:w="732" w:type="dxa"/>
            <w:vAlign w:val="center"/>
          </w:tcPr>
          <w:p>
            <w:pPr>
              <w:jc w:val="center"/>
              <w:rPr>
                <w:noProof/>
                <w:sz w:val="20"/>
                <w:szCs w:val="20"/>
              </w:rPr>
            </w:pPr>
            <w:r>
              <w:rPr>
                <w:noProof/>
              </w:rPr>
              <w:t>Dif.</w:t>
            </w:r>
          </w:p>
        </w:tc>
        <w:tc>
          <w:tcPr>
            <w:tcW w:w="988" w:type="dxa"/>
            <w:vAlign w:val="center"/>
          </w:tcPr>
          <w:p>
            <w:pPr>
              <w:jc w:val="center"/>
              <w:rPr>
                <w:noProof/>
                <w:sz w:val="20"/>
                <w:szCs w:val="20"/>
              </w:rPr>
            </w:pPr>
            <w:r>
              <w:rPr>
                <w:noProof/>
              </w:rPr>
              <w:t>NU</w:t>
            </w:r>
          </w:p>
        </w:tc>
        <w:tc>
          <w:tcPr>
            <w:tcW w:w="1452" w:type="dxa"/>
            <w:vAlign w:val="center"/>
          </w:tcPr>
          <w:p>
            <w:pPr>
              <w:jc w:val="center"/>
              <w:rPr>
                <w:noProof/>
                <w:sz w:val="20"/>
                <w:szCs w:val="20"/>
              </w:rPr>
            </w:pPr>
            <w:r>
              <w:rPr>
                <w:noProof/>
              </w:rPr>
              <w:t>NU</w:t>
            </w:r>
          </w:p>
        </w:tc>
        <w:tc>
          <w:tcPr>
            <w:tcW w:w="1580" w:type="dxa"/>
            <w:vAlign w:val="center"/>
          </w:tcPr>
          <w:p>
            <w:pPr>
              <w:jc w:val="center"/>
              <w:rPr>
                <w:noProof/>
                <w:sz w:val="20"/>
                <w:szCs w:val="20"/>
              </w:rPr>
            </w:pPr>
            <w:r>
              <w:rPr>
                <w:noProof/>
              </w:rPr>
              <w:t>NU</w:t>
            </w:r>
          </w:p>
        </w:tc>
        <w:tc>
          <w:tcPr>
            <w:tcW w:w="1302" w:type="dxa"/>
            <w:vAlign w:val="center"/>
          </w:tcPr>
          <w:p>
            <w:pPr>
              <w:jc w:val="center"/>
              <w:rPr>
                <w:noProof/>
                <w:sz w:val="20"/>
                <w:szCs w:val="20"/>
              </w:rPr>
            </w:pPr>
            <w:r>
              <w:rPr>
                <w:b/>
                <w:noProof/>
                <w:sz w:val="20"/>
              </w:rPr>
              <w:t xml:space="preserve">Nr. </w:t>
            </w:r>
            <w:r>
              <w:rPr>
                <w:noProof/>
              </w:rPr>
              <w:t>1b</w:t>
            </w:r>
          </w:p>
        </w:tc>
      </w:tr>
    </w:tbl>
    <w:p>
      <w:pPr>
        <w:pStyle w:val="ManualHeading1"/>
        <w:rPr>
          <w:noProof/>
        </w:rPr>
      </w:pPr>
      <w:r>
        <w:rPr>
          <w:noProof/>
        </w:rPr>
        <w:t>4.</w:t>
      </w:r>
      <w:r>
        <w:rPr>
          <w:noProof/>
        </w:rPr>
        <w:tab/>
        <w:t>SINTEZA RESURSELOR</w:t>
      </w:r>
    </w:p>
    <w:p>
      <w:pPr>
        <w:pStyle w:val="ManualHeading2"/>
        <w:rPr>
          <w:noProof/>
        </w:rPr>
      </w:pPr>
      <w:r>
        <w:rPr>
          <w:noProof/>
        </w:rPr>
        <w:t>4.1.</w:t>
      </w:r>
      <w:r>
        <w:rPr>
          <w:noProof/>
        </w:rPr>
        <w:tab/>
        <w:t>Resurse financiare</w:t>
      </w:r>
    </w:p>
    <w:p>
      <w:pPr>
        <w:pStyle w:val="ManualHeading3"/>
        <w:rPr>
          <w:noProof/>
        </w:rPr>
      </w:pPr>
      <w:r>
        <w:rPr>
          <w:noProof/>
        </w:rPr>
        <w:t>4.1.1.</w:t>
      </w:r>
      <w:r>
        <w:rPr>
          <w:noProof/>
        </w:rPr>
        <w:tab/>
        <w:t xml:space="preserve">Sinteza creditelor de angajament (CA) și a creditelor de plată (CP) </w:t>
      </w:r>
    </w:p>
    <w:p>
      <w:pPr>
        <w:rPr>
          <w:noProof/>
        </w:rPr>
      </w:pPr>
      <w:r>
        <w:rPr>
          <w:noProof/>
        </w:rPr>
        <w:t xml:space="preserve">Tabelele următoare prezintă impactul estimat al măsurilor propuse în perioada 2016-2020. Deoarece nu sunt propuse noi resurse financiare pentru creditele de angajament, în tabele nu au fost introduse cifre, ci se indică n.a. (nu se aplică). Prin urmare, propunerea este în conformitate cu cadrul financiar multianual pentru 2014-2020. </w:t>
      </w:r>
    </w:p>
    <w:p>
      <w:pPr>
        <w:rPr>
          <w:noProof/>
        </w:rPr>
      </w:pPr>
      <w:r>
        <w:rPr>
          <w:noProof/>
        </w:rPr>
        <w:t xml:space="preserve">În ceea ce privește plățile, propunerea poate duce la mărirea sumelor rambursate statelor membre vizate. </w:t>
      </w:r>
    </w:p>
    <w:p>
      <w:pPr>
        <w:rPr>
          <w:noProof/>
        </w:rPr>
      </w:pPr>
      <w:r>
        <w:rPr>
          <w:noProof/>
        </w:rPr>
        <w:t xml:space="preserve">În ceea ce privește plățile, propunerea poate duce la mărirea sumelor rambursate statelor membre vizate. Pe baza previziunii de plată furnizate de statele membre, revizuită de către Comisie, și a creditelor de plată incluse în bugetul pentru anul 2016 și în proiectul de buget pentru anul 2017, necesarul de credite de plată este estimat la aproximativ 544 de milioane EUR. Creditele de plată suplimentare pentru prezenta propunere vor implica o majorare a creditelor de plată în 2016 și în 2017 care va fi compensată până la sfârșitul ciclului de viață. Modificarea propusă nu presupune niciun fel de modificări ale plafoanelor anuale pentru angajamente și plăți din cadrul financiar multianual, care sunt prevăzute în anexa I la Regulamentul (UE) nr. 1311/2013. </w:t>
      </w:r>
    </w:p>
    <w:p>
      <w:pPr>
        <w:rPr>
          <w:noProof/>
        </w:rPr>
      </w:pPr>
      <w:r>
        <w:rPr>
          <w:noProof/>
        </w:rPr>
        <w:t>Pe baza solicitării statului membru de a beneficia de acțiune și luând în considerare evoluția înregistrată în privința prezentării plăților intermediare, Comisia va examina, în 2016 și 2017, necesarul de credite de plată suplimentare și, dacă va fi necesar, va propune autorității bugetare acțiunile necesare.</w:t>
      </w:r>
    </w:p>
    <w:p>
      <w:pPr>
        <w:rPr>
          <w:noProof/>
        </w:rPr>
      </w:pPr>
      <w:r>
        <w:rPr>
          <w:noProof/>
        </w:rPr>
        <w:t>Nu a fost calculată o estimare pentru anii începând cu 2018, iar consecințele posibile vor fi luate în considerare în procedurile bugetare pentru anii în cauză.</w:t>
      </w:r>
    </w:p>
    <w:p>
      <w:pPr>
        <w:rPr>
          <w:noProof/>
        </w:rPr>
        <w:sectPr>
          <w:pgSz w:w="12240" w:h="15840"/>
          <w:pgMar w:top="1440" w:right="1800" w:bottom="1440" w:left="1800" w:header="708" w:footer="708" w:gutter="0"/>
          <w:cols w:space="708"/>
          <w:docGrid w:linePitch="360"/>
        </w:sectPr>
      </w:pPr>
    </w:p>
    <w:p>
      <w:pPr>
        <w:jc w:val="right"/>
        <w:rPr>
          <w:i/>
          <w:noProof/>
          <w:sz w:val="20"/>
          <w:szCs w:val="20"/>
        </w:rPr>
      </w:pPr>
      <w:r>
        <w:rPr>
          <w:i/>
          <w:noProof/>
          <w:sz w:val="20"/>
        </w:rPr>
        <w:t>milioane EUR (cu 3 zecimale)</w:t>
      </w:r>
    </w:p>
    <w:tbl>
      <w:tblPr>
        <w:tblW w:w="8952" w:type="dxa"/>
        <w:tblInd w:w="312" w:type="dxa"/>
        <w:tblLayout w:type="fixed"/>
        <w:tblLook w:val="0000" w:firstRow="0" w:lastRow="0" w:firstColumn="0" w:lastColumn="0" w:noHBand="0" w:noVBand="0"/>
      </w:tblPr>
      <w:tblGrid>
        <w:gridCol w:w="2335"/>
        <w:gridCol w:w="701"/>
        <w:gridCol w:w="720"/>
        <w:gridCol w:w="720"/>
        <w:gridCol w:w="720"/>
        <w:gridCol w:w="720"/>
        <w:gridCol w:w="720"/>
        <w:gridCol w:w="720"/>
        <w:gridCol w:w="840"/>
        <w:gridCol w:w="756"/>
      </w:tblGrid>
      <w:tr>
        <w:trPr>
          <w:cantSplit/>
        </w:trPr>
        <w:tc>
          <w:tcPr>
            <w:tcW w:w="2335" w:type="dxa"/>
            <w:tcBorders>
              <w:top w:val="single" w:sz="8" w:space="0" w:color="auto"/>
              <w:left w:val="single" w:sz="8" w:space="0" w:color="auto"/>
              <w:bottom w:val="single" w:sz="8" w:space="0" w:color="auto"/>
              <w:right w:val="single" w:sz="6" w:space="0" w:color="auto"/>
            </w:tcBorders>
            <w:vAlign w:val="center"/>
          </w:tcPr>
          <w:p>
            <w:pPr>
              <w:jc w:val="center"/>
              <w:rPr>
                <w:noProof/>
                <w:sz w:val="22"/>
              </w:rPr>
            </w:pPr>
          </w:p>
          <w:p>
            <w:pPr>
              <w:jc w:val="center"/>
              <w:rPr>
                <w:b/>
                <w:noProof/>
                <w:sz w:val="20"/>
                <w:szCs w:val="20"/>
              </w:rPr>
            </w:pPr>
            <w:r>
              <w:rPr>
                <w:b/>
                <w:noProof/>
                <w:sz w:val="20"/>
              </w:rPr>
              <w:t>Natura cheltuielii</w:t>
            </w:r>
          </w:p>
        </w:tc>
        <w:tc>
          <w:tcPr>
            <w:tcW w:w="701" w:type="dxa"/>
            <w:tcBorders>
              <w:top w:val="single" w:sz="8" w:space="0" w:color="auto"/>
              <w:left w:val="single" w:sz="6" w:space="0" w:color="auto"/>
              <w:bottom w:val="single" w:sz="8" w:space="0" w:color="auto"/>
              <w:right w:val="single" w:sz="6" w:space="0" w:color="auto"/>
            </w:tcBorders>
          </w:tcPr>
          <w:p>
            <w:pPr>
              <w:jc w:val="center"/>
              <w:rPr>
                <w:noProof/>
                <w:sz w:val="20"/>
                <w:szCs w:val="20"/>
              </w:rPr>
            </w:pPr>
            <w:r>
              <w:rPr>
                <w:noProof/>
                <w:sz w:val="20"/>
              </w:rPr>
              <w:t>Secțiunea nr.</w:t>
            </w:r>
          </w:p>
        </w:tc>
        <w:tc>
          <w:tcPr>
            <w:tcW w:w="720" w:type="dxa"/>
            <w:tcBorders>
              <w:top w:val="single" w:sz="8" w:space="0" w:color="auto"/>
              <w:left w:val="single" w:sz="6" w:space="0" w:color="auto"/>
              <w:bottom w:val="single" w:sz="8" w:space="0" w:color="auto"/>
              <w:right w:val="single" w:sz="6" w:space="0" w:color="auto"/>
            </w:tcBorders>
          </w:tcPr>
          <w:p>
            <w:pPr>
              <w:jc w:val="center"/>
              <w:rPr>
                <w:noProof/>
                <w:sz w:val="22"/>
              </w:rPr>
            </w:pPr>
          </w:p>
        </w:tc>
        <w:tc>
          <w:tcPr>
            <w:tcW w:w="720" w:type="dxa"/>
            <w:tcBorders>
              <w:top w:val="single" w:sz="8" w:space="0" w:color="auto"/>
              <w:left w:val="single" w:sz="6" w:space="0" w:color="auto"/>
              <w:bottom w:val="single" w:sz="8" w:space="0" w:color="auto"/>
              <w:right w:val="single" w:sz="6" w:space="0" w:color="auto"/>
            </w:tcBorders>
          </w:tcPr>
          <w:p>
            <w:pPr>
              <w:jc w:val="center"/>
              <w:rPr>
                <w:noProof/>
                <w:sz w:val="20"/>
                <w:szCs w:val="20"/>
              </w:rPr>
            </w:pPr>
          </w:p>
          <w:p>
            <w:pPr>
              <w:jc w:val="center"/>
              <w:rPr>
                <w:noProof/>
                <w:sz w:val="20"/>
                <w:szCs w:val="20"/>
              </w:rPr>
            </w:pPr>
            <w:r>
              <w:rPr>
                <w:noProof/>
                <w:sz w:val="20"/>
              </w:rPr>
              <w:t>Anul n</w:t>
            </w:r>
          </w:p>
        </w:tc>
        <w:tc>
          <w:tcPr>
            <w:tcW w:w="720" w:type="dxa"/>
            <w:tcBorders>
              <w:top w:val="single" w:sz="8" w:space="0" w:color="auto"/>
              <w:left w:val="single" w:sz="6" w:space="0" w:color="auto"/>
              <w:bottom w:val="single" w:sz="8" w:space="0" w:color="auto"/>
              <w:right w:val="single" w:sz="6" w:space="0" w:color="auto"/>
            </w:tcBorders>
          </w:tcPr>
          <w:p>
            <w:pPr>
              <w:jc w:val="center"/>
              <w:rPr>
                <w:noProof/>
                <w:sz w:val="20"/>
                <w:szCs w:val="20"/>
              </w:rPr>
            </w:pPr>
          </w:p>
          <w:p>
            <w:pPr>
              <w:jc w:val="center"/>
              <w:rPr>
                <w:noProof/>
                <w:sz w:val="20"/>
                <w:szCs w:val="20"/>
              </w:rPr>
            </w:pPr>
            <w:r>
              <w:rPr>
                <w:noProof/>
                <w:sz w:val="20"/>
              </w:rPr>
              <w:t>n + 1</w:t>
            </w:r>
          </w:p>
        </w:tc>
        <w:tc>
          <w:tcPr>
            <w:tcW w:w="720" w:type="dxa"/>
            <w:tcBorders>
              <w:top w:val="single" w:sz="8" w:space="0" w:color="auto"/>
              <w:left w:val="single" w:sz="6" w:space="0" w:color="auto"/>
              <w:bottom w:val="single" w:sz="8" w:space="0" w:color="auto"/>
              <w:right w:val="single" w:sz="6" w:space="0" w:color="auto"/>
            </w:tcBorders>
          </w:tcPr>
          <w:p>
            <w:pPr>
              <w:jc w:val="center"/>
              <w:rPr>
                <w:noProof/>
                <w:sz w:val="20"/>
                <w:szCs w:val="20"/>
              </w:rPr>
            </w:pPr>
          </w:p>
          <w:p>
            <w:pPr>
              <w:jc w:val="center"/>
              <w:rPr>
                <w:noProof/>
                <w:sz w:val="20"/>
                <w:szCs w:val="20"/>
              </w:rPr>
            </w:pPr>
            <w:r>
              <w:rPr>
                <w:noProof/>
                <w:sz w:val="20"/>
              </w:rPr>
              <w:t>n + 2</w:t>
            </w:r>
          </w:p>
        </w:tc>
        <w:tc>
          <w:tcPr>
            <w:tcW w:w="720" w:type="dxa"/>
            <w:tcBorders>
              <w:top w:val="single" w:sz="8" w:space="0" w:color="auto"/>
              <w:left w:val="single" w:sz="6" w:space="0" w:color="auto"/>
              <w:bottom w:val="single" w:sz="8" w:space="0" w:color="auto"/>
              <w:right w:val="single" w:sz="6" w:space="0" w:color="auto"/>
            </w:tcBorders>
          </w:tcPr>
          <w:p>
            <w:pPr>
              <w:jc w:val="center"/>
              <w:rPr>
                <w:noProof/>
                <w:sz w:val="20"/>
                <w:szCs w:val="20"/>
              </w:rPr>
            </w:pPr>
          </w:p>
          <w:p>
            <w:pPr>
              <w:jc w:val="center"/>
              <w:rPr>
                <w:noProof/>
                <w:sz w:val="20"/>
                <w:szCs w:val="20"/>
              </w:rPr>
            </w:pPr>
            <w:r>
              <w:rPr>
                <w:noProof/>
                <w:sz w:val="20"/>
              </w:rPr>
              <w:t>n + 3</w:t>
            </w:r>
          </w:p>
        </w:tc>
        <w:tc>
          <w:tcPr>
            <w:tcW w:w="720" w:type="dxa"/>
            <w:tcBorders>
              <w:top w:val="single" w:sz="8" w:space="0" w:color="auto"/>
              <w:left w:val="single" w:sz="6" w:space="0" w:color="auto"/>
              <w:bottom w:val="single" w:sz="8" w:space="0" w:color="auto"/>
              <w:right w:val="single" w:sz="6" w:space="0" w:color="auto"/>
            </w:tcBorders>
          </w:tcPr>
          <w:p>
            <w:pPr>
              <w:jc w:val="center"/>
              <w:rPr>
                <w:noProof/>
                <w:sz w:val="20"/>
                <w:szCs w:val="20"/>
              </w:rPr>
            </w:pPr>
          </w:p>
          <w:p>
            <w:pPr>
              <w:jc w:val="center"/>
              <w:rPr>
                <w:noProof/>
                <w:sz w:val="20"/>
                <w:szCs w:val="20"/>
              </w:rPr>
            </w:pPr>
            <w:r>
              <w:rPr>
                <w:noProof/>
                <w:sz w:val="20"/>
              </w:rPr>
              <w:t>n + 4</w:t>
            </w:r>
          </w:p>
        </w:tc>
        <w:tc>
          <w:tcPr>
            <w:tcW w:w="840" w:type="dxa"/>
            <w:tcBorders>
              <w:top w:val="single" w:sz="8" w:space="0" w:color="auto"/>
              <w:left w:val="single" w:sz="6" w:space="0" w:color="auto"/>
              <w:bottom w:val="single" w:sz="8" w:space="0" w:color="auto"/>
              <w:right w:val="single" w:sz="8" w:space="0" w:color="auto"/>
            </w:tcBorders>
            <w:vAlign w:val="center"/>
          </w:tcPr>
          <w:p>
            <w:pPr>
              <w:jc w:val="center"/>
              <w:rPr>
                <w:noProof/>
                <w:sz w:val="20"/>
                <w:szCs w:val="20"/>
              </w:rPr>
            </w:pPr>
            <w:r>
              <w:rPr>
                <w:noProof/>
                <w:sz w:val="20"/>
              </w:rPr>
              <w:t>n + 5 și anii urm.</w:t>
            </w:r>
          </w:p>
        </w:tc>
        <w:tc>
          <w:tcPr>
            <w:tcW w:w="756" w:type="dxa"/>
            <w:tcBorders>
              <w:top w:val="single" w:sz="8" w:space="0" w:color="auto"/>
              <w:left w:val="single" w:sz="8" w:space="0" w:color="auto"/>
              <w:bottom w:val="single" w:sz="8" w:space="0" w:color="auto"/>
              <w:right w:val="single" w:sz="8" w:space="0" w:color="auto"/>
            </w:tcBorders>
          </w:tcPr>
          <w:p>
            <w:pPr>
              <w:jc w:val="center"/>
              <w:rPr>
                <w:noProof/>
                <w:sz w:val="20"/>
                <w:szCs w:val="20"/>
              </w:rPr>
            </w:pPr>
          </w:p>
          <w:p>
            <w:pPr>
              <w:jc w:val="center"/>
              <w:rPr>
                <w:noProof/>
                <w:sz w:val="20"/>
                <w:szCs w:val="20"/>
              </w:rPr>
            </w:pPr>
            <w:r>
              <w:rPr>
                <w:noProof/>
                <w:sz w:val="20"/>
              </w:rPr>
              <w:t>Total</w:t>
            </w:r>
          </w:p>
        </w:tc>
      </w:tr>
      <w:tr>
        <w:trPr>
          <w:cantSplit/>
        </w:trPr>
        <w:tc>
          <w:tcPr>
            <w:tcW w:w="3036" w:type="dxa"/>
            <w:gridSpan w:val="2"/>
            <w:tcBorders>
              <w:top w:val="single" w:sz="8" w:space="0" w:color="auto"/>
              <w:bottom w:val="single" w:sz="8" w:space="0" w:color="auto"/>
            </w:tcBorders>
          </w:tcPr>
          <w:p>
            <w:pPr>
              <w:spacing w:before="60" w:after="60"/>
              <w:rPr>
                <w:noProof/>
              </w:rPr>
            </w:pPr>
            <w:r>
              <w:rPr>
                <w:b/>
                <w:noProof/>
                <w:sz w:val="22"/>
              </w:rPr>
              <w:t>Cheltuieli operaționale</w:t>
            </w:r>
            <w:r>
              <w:rPr>
                <w:rStyle w:val="FootnoteReference"/>
                <w:b/>
                <w:noProof/>
                <w:sz w:val="22"/>
              </w:rPr>
              <w:footnoteReference w:id="6"/>
            </w:r>
            <w:r>
              <w:rPr>
                <w:b/>
                <w:noProof/>
                <w:sz w:val="22"/>
              </w:rPr>
              <w:t xml:space="preserve"> </w:t>
            </w:r>
          </w:p>
        </w:tc>
        <w:tc>
          <w:tcPr>
            <w:tcW w:w="720" w:type="dxa"/>
            <w:tcBorders>
              <w:top w:val="single" w:sz="8" w:space="0" w:color="auto"/>
              <w:bottom w:val="single" w:sz="8" w:space="0" w:color="auto"/>
            </w:tcBorders>
            <w:vAlign w:val="center"/>
          </w:tcPr>
          <w:p>
            <w:pPr>
              <w:spacing w:before="60" w:after="60"/>
              <w:jc w:val="center"/>
              <w:rPr>
                <w:noProof/>
                <w:sz w:val="20"/>
                <w:szCs w:val="20"/>
              </w:rPr>
            </w:pPr>
          </w:p>
        </w:tc>
        <w:tc>
          <w:tcPr>
            <w:tcW w:w="720" w:type="dxa"/>
            <w:tcBorders>
              <w:top w:val="single" w:sz="8" w:space="0" w:color="auto"/>
              <w:bottom w:val="single" w:sz="8" w:space="0" w:color="auto"/>
            </w:tcBorders>
          </w:tcPr>
          <w:p>
            <w:pPr>
              <w:spacing w:before="60" w:after="60"/>
              <w:rPr>
                <w:noProof/>
              </w:rPr>
            </w:pPr>
          </w:p>
        </w:tc>
        <w:tc>
          <w:tcPr>
            <w:tcW w:w="720" w:type="dxa"/>
            <w:tcBorders>
              <w:top w:val="single" w:sz="8" w:space="0" w:color="auto"/>
              <w:bottom w:val="single" w:sz="8" w:space="0" w:color="auto"/>
            </w:tcBorders>
          </w:tcPr>
          <w:p>
            <w:pPr>
              <w:spacing w:before="60" w:after="60"/>
              <w:rPr>
                <w:noProof/>
              </w:rPr>
            </w:pPr>
          </w:p>
        </w:tc>
        <w:tc>
          <w:tcPr>
            <w:tcW w:w="720" w:type="dxa"/>
            <w:tcBorders>
              <w:top w:val="single" w:sz="8" w:space="0" w:color="auto"/>
              <w:bottom w:val="single" w:sz="8" w:space="0" w:color="auto"/>
            </w:tcBorders>
          </w:tcPr>
          <w:p>
            <w:pPr>
              <w:spacing w:before="60" w:after="60"/>
              <w:rPr>
                <w:noProof/>
              </w:rPr>
            </w:pPr>
          </w:p>
        </w:tc>
        <w:tc>
          <w:tcPr>
            <w:tcW w:w="720" w:type="dxa"/>
            <w:tcBorders>
              <w:top w:val="single" w:sz="8" w:space="0" w:color="auto"/>
              <w:bottom w:val="single" w:sz="8" w:space="0" w:color="auto"/>
            </w:tcBorders>
          </w:tcPr>
          <w:p>
            <w:pPr>
              <w:spacing w:before="60" w:after="60"/>
              <w:rPr>
                <w:noProof/>
              </w:rPr>
            </w:pPr>
          </w:p>
        </w:tc>
        <w:tc>
          <w:tcPr>
            <w:tcW w:w="720" w:type="dxa"/>
            <w:tcBorders>
              <w:top w:val="single" w:sz="8" w:space="0" w:color="auto"/>
              <w:bottom w:val="single" w:sz="8" w:space="0" w:color="auto"/>
            </w:tcBorders>
          </w:tcPr>
          <w:p>
            <w:pPr>
              <w:spacing w:before="60" w:after="60"/>
              <w:rPr>
                <w:noProof/>
              </w:rPr>
            </w:pPr>
          </w:p>
        </w:tc>
        <w:tc>
          <w:tcPr>
            <w:tcW w:w="840" w:type="dxa"/>
            <w:tcBorders>
              <w:top w:val="single" w:sz="8" w:space="0" w:color="auto"/>
              <w:bottom w:val="single" w:sz="8" w:space="0" w:color="auto"/>
            </w:tcBorders>
          </w:tcPr>
          <w:p>
            <w:pPr>
              <w:spacing w:before="60" w:after="60"/>
              <w:rPr>
                <w:noProof/>
              </w:rPr>
            </w:pPr>
          </w:p>
        </w:tc>
        <w:tc>
          <w:tcPr>
            <w:tcW w:w="756" w:type="dxa"/>
            <w:tcBorders>
              <w:top w:val="single" w:sz="8" w:space="0" w:color="auto"/>
              <w:bottom w:val="single" w:sz="8" w:space="0" w:color="auto"/>
            </w:tcBorders>
          </w:tcPr>
          <w:p>
            <w:pPr>
              <w:spacing w:before="60" w:after="60"/>
              <w:rPr>
                <w:noProof/>
              </w:rPr>
            </w:pPr>
          </w:p>
        </w:tc>
      </w:tr>
      <w:tr>
        <w:trPr>
          <w:cantSplit/>
        </w:trPr>
        <w:tc>
          <w:tcPr>
            <w:tcW w:w="2335" w:type="dxa"/>
            <w:tcBorders>
              <w:top w:val="single" w:sz="8" w:space="0" w:color="auto"/>
              <w:left w:val="single" w:sz="8" w:space="0" w:color="auto"/>
              <w:bottom w:val="single" w:sz="4" w:space="0" w:color="auto"/>
              <w:right w:val="single" w:sz="4" w:space="0" w:color="auto"/>
            </w:tcBorders>
          </w:tcPr>
          <w:p>
            <w:pPr>
              <w:spacing w:before="60" w:after="60"/>
              <w:rPr>
                <w:noProof/>
                <w:sz w:val="20"/>
                <w:szCs w:val="20"/>
              </w:rPr>
            </w:pPr>
            <w:r>
              <w:rPr>
                <w:noProof/>
                <w:sz w:val="20"/>
              </w:rPr>
              <w:t>Credite de angajament (CA)</w:t>
            </w:r>
          </w:p>
        </w:tc>
        <w:tc>
          <w:tcPr>
            <w:tcW w:w="701" w:type="dxa"/>
            <w:tcBorders>
              <w:top w:val="single" w:sz="8" w:space="0" w:color="auto"/>
              <w:left w:val="single" w:sz="4" w:space="0" w:color="auto"/>
              <w:bottom w:val="single" w:sz="4" w:space="0" w:color="auto"/>
              <w:right w:val="single" w:sz="4" w:space="0" w:color="auto"/>
            </w:tcBorders>
            <w:vAlign w:val="center"/>
          </w:tcPr>
          <w:p>
            <w:pPr>
              <w:spacing w:before="60" w:after="60"/>
              <w:jc w:val="center"/>
              <w:rPr>
                <w:noProof/>
                <w:sz w:val="20"/>
                <w:szCs w:val="20"/>
              </w:rPr>
            </w:pPr>
            <w:r>
              <w:rPr>
                <w:noProof/>
                <w:sz w:val="20"/>
              </w:rPr>
              <w:t>8.1</w:t>
            </w:r>
          </w:p>
        </w:tc>
        <w:tc>
          <w:tcPr>
            <w:tcW w:w="720" w:type="dxa"/>
            <w:tcBorders>
              <w:top w:val="single" w:sz="8" w:space="0" w:color="auto"/>
              <w:left w:val="single" w:sz="4" w:space="0" w:color="auto"/>
              <w:bottom w:val="single" w:sz="4" w:space="0" w:color="auto"/>
              <w:right w:val="single" w:sz="4" w:space="0" w:color="auto"/>
            </w:tcBorders>
            <w:vAlign w:val="center"/>
          </w:tcPr>
          <w:p>
            <w:pPr>
              <w:spacing w:before="60" w:after="60"/>
              <w:jc w:val="center"/>
              <w:rPr>
                <w:noProof/>
                <w:sz w:val="20"/>
                <w:szCs w:val="20"/>
              </w:rPr>
            </w:pPr>
            <w:r>
              <w:rPr>
                <w:noProof/>
                <w:sz w:val="20"/>
              </w:rPr>
              <w:t>a</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840" w:type="dxa"/>
            <w:tcBorders>
              <w:top w:val="single" w:sz="8" w:space="0" w:color="auto"/>
              <w:left w:val="single" w:sz="4" w:space="0" w:color="auto"/>
              <w:bottom w:val="single" w:sz="4" w:space="0" w:color="auto"/>
              <w:right w:val="single" w:sz="8" w:space="0" w:color="auto"/>
            </w:tcBorders>
          </w:tcPr>
          <w:p>
            <w:pPr>
              <w:spacing w:before="60" w:after="60"/>
              <w:jc w:val="right"/>
              <w:rPr>
                <w:noProof/>
                <w:sz w:val="20"/>
                <w:szCs w:val="20"/>
              </w:rPr>
            </w:pPr>
            <w:r>
              <w:rPr>
                <w:noProof/>
                <w:sz w:val="20"/>
              </w:rPr>
              <w:t>n.a.</w:t>
            </w:r>
          </w:p>
        </w:tc>
        <w:tc>
          <w:tcPr>
            <w:tcW w:w="756" w:type="dxa"/>
            <w:tcBorders>
              <w:top w:val="single" w:sz="8" w:space="0" w:color="auto"/>
              <w:left w:val="single" w:sz="8" w:space="0" w:color="auto"/>
              <w:bottom w:val="single" w:sz="8" w:space="0" w:color="auto"/>
              <w:right w:val="single" w:sz="8" w:space="0" w:color="auto"/>
            </w:tcBorders>
          </w:tcPr>
          <w:p>
            <w:pPr>
              <w:spacing w:before="60" w:after="60"/>
              <w:jc w:val="right"/>
              <w:rPr>
                <w:noProof/>
                <w:sz w:val="20"/>
                <w:szCs w:val="20"/>
              </w:rPr>
            </w:pPr>
            <w:r>
              <w:rPr>
                <w:noProof/>
                <w:sz w:val="20"/>
              </w:rPr>
              <w:t>n.a.</w:t>
            </w:r>
          </w:p>
        </w:tc>
      </w:tr>
      <w:tr>
        <w:trPr>
          <w:cantSplit/>
        </w:trPr>
        <w:tc>
          <w:tcPr>
            <w:tcW w:w="2335" w:type="dxa"/>
            <w:tcBorders>
              <w:top w:val="single" w:sz="4" w:space="0" w:color="auto"/>
              <w:left w:val="single" w:sz="8" w:space="0" w:color="auto"/>
              <w:bottom w:val="single" w:sz="8" w:space="0" w:color="auto"/>
              <w:right w:val="single" w:sz="4" w:space="0" w:color="auto"/>
            </w:tcBorders>
          </w:tcPr>
          <w:p>
            <w:pPr>
              <w:spacing w:before="60" w:after="60"/>
              <w:rPr>
                <w:noProof/>
                <w:sz w:val="20"/>
                <w:szCs w:val="20"/>
              </w:rPr>
            </w:pPr>
            <w:r>
              <w:rPr>
                <w:noProof/>
                <w:sz w:val="20"/>
              </w:rPr>
              <w:t>Credite de plată (CP)</w:t>
            </w:r>
          </w:p>
        </w:tc>
        <w:tc>
          <w:tcPr>
            <w:tcW w:w="701" w:type="dxa"/>
            <w:tcBorders>
              <w:top w:val="single" w:sz="4" w:space="0" w:color="auto"/>
              <w:left w:val="single" w:sz="4" w:space="0" w:color="auto"/>
              <w:bottom w:val="single" w:sz="8" w:space="0" w:color="auto"/>
              <w:right w:val="single" w:sz="4" w:space="0" w:color="auto"/>
            </w:tcBorders>
          </w:tcPr>
          <w:p>
            <w:pPr>
              <w:spacing w:before="60" w:after="60"/>
              <w:jc w:val="center"/>
              <w:rPr>
                <w:noProof/>
              </w:rPr>
            </w:pPr>
          </w:p>
        </w:tc>
        <w:tc>
          <w:tcPr>
            <w:tcW w:w="720" w:type="dxa"/>
            <w:tcBorders>
              <w:top w:val="single" w:sz="4" w:space="0" w:color="auto"/>
              <w:left w:val="single" w:sz="4" w:space="0" w:color="auto"/>
              <w:bottom w:val="single" w:sz="8" w:space="0" w:color="auto"/>
              <w:right w:val="single" w:sz="4" w:space="0" w:color="auto"/>
            </w:tcBorders>
            <w:vAlign w:val="center"/>
          </w:tcPr>
          <w:p>
            <w:pPr>
              <w:spacing w:before="60" w:after="60"/>
              <w:jc w:val="center"/>
              <w:rPr>
                <w:noProof/>
                <w:sz w:val="20"/>
                <w:szCs w:val="20"/>
              </w:rPr>
            </w:pPr>
            <w:r>
              <w:rPr>
                <w:noProof/>
                <w:sz w:val="20"/>
              </w:rPr>
              <w:t>b</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+252</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+292</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 xml:space="preserve"> n.a.</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n.a</w:t>
            </w:r>
          </w:p>
        </w:tc>
        <w:tc>
          <w:tcPr>
            <w:tcW w:w="840" w:type="dxa"/>
            <w:tcBorders>
              <w:top w:val="single" w:sz="4" w:space="0" w:color="auto"/>
              <w:left w:val="single" w:sz="4" w:space="0" w:color="auto"/>
              <w:bottom w:val="single" w:sz="8" w:space="0" w:color="auto"/>
              <w:right w:val="single" w:sz="8" w:space="0" w:color="auto"/>
            </w:tcBorders>
          </w:tcPr>
          <w:p>
            <w:pPr>
              <w:spacing w:before="60" w:after="60"/>
              <w:jc w:val="right"/>
              <w:rPr>
                <w:noProof/>
                <w:sz w:val="20"/>
                <w:szCs w:val="20"/>
              </w:rPr>
            </w:pPr>
            <w:r>
              <w:rPr>
                <w:noProof/>
                <w:sz w:val="20"/>
              </w:rPr>
              <w:t>-544</w:t>
            </w:r>
          </w:p>
        </w:tc>
        <w:tc>
          <w:tcPr>
            <w:tcW w:w="756" w:type="dxa"/>
            <w:tcBorders>
              <w:top w:val="single" w:sz="8" w:space="0" w:color="auto"/>
              <w:left w:val="single" w:sz="8" w:space="0" w:color="auto"/>
              <w:bottom w:val="single" w:sz="8" w:space="0" w:color="auto"/>
              <w:right w:val="single" w:sz="8" w:space="0" w:color="auto"/>
            </w:tcBorders>
          </w:tcPr>
          <w:p>
            <w:pPr>
              <w:spacing w:before="60" w:after="60"/>
              <w:jc w:val="right"/>
              <w:rPr>
                <w:noProof/>
                <w:sz w:val="20"/>
                <w:szCs w:val="20"/>
              </w:rPr>
            </w:pPr>
            <w:r>
              <w:rPr>
                <w:noProof/>
                <w:sz w:val="20"/>
              </w:rPr>
              <w:t>0.</w:t>
            </w:r>
          </w:p>
        </w:tc>
      </w:tr>
      <w:tr>
        <w:trPr>
          <w:cantSplit/>
        </w:trPr>
        <w:tc>
          <w:tcPr>
            <w:tcW w:w="5916" w:type="dxa"/>
            <w:gridSpan w:val="6"/>
            <w:tcBorders>
              <w:top w:val="single" w:sz="8" w:space="0" w:color="auto"/>
              <w:bottom w:val="single" w:sz="8" w:space="0" w:color="auto"/>
            </w:tcBorders>
          </w:tcPr>
          <w:p>
            <w:pPr>
              <w:spacing w:before="60" w:after="60"/>
              <w:rPr>
                <w:b/>
                <w:noProof/>
                <w:sz w:val="20"/>
                <w:szCs w:val="20"/>
              </w:rPr>
            </w:pPr>
            <w:r>
              <w:rPr>
                <w:b/>
                <w:noProof/>
                <w:sz w:val="20"/>
              </w:rPr>
              <w:t>Cheltuieli administrative incluse în suma de referință</w:t>
            </w:r>
            <w:r>
              <w:rPr>
                <w:rStyle w:val="FootnoteReference"/>
                <w:b/>
                <w:noProof/>
                <w:sz w:val="20"/>
              </w:rPr>
              <w:footnoteReference w:id="7"/>
            </w:r>
          </w:p>
        </w:tc>
        <w:tc>
          <w:tcPr>
            <w:tcW w:w="720" w:type="dxa"/>
            <w:tcBorders>
              <w:top w:val="single" w:sz="8" w:space="0" w:color="auto"/>
              <w:bottom w:val="single" w:sz="8" w:space="0" w:color="auto"/>
            </w:tcBorders>
          </w:tcPr>
          <w:p>
            <w:pPr>
              <w:spacing w:before="60" w:after="60"/>
              <w:rPr>
                <w:b/>
                <w:noProof/>
                <w:sz w:val="20"/>
                <w:szCs w:val="20"/>
              </w:rPr>
            </w:pPr>
          </w:p>
        </w:tc>
        <w:tc>
          <w:tcPr>
            <w:tcW w:w="720" w:type="dxa"/>
            <w:tcBorders>
              <w:top w:val="single" w:sz="8" w:space="0" w:color="auto"/>
              <w:bottom w:val="single" w:sz="8" w:space="0" w:color="auto"/>
            </w:tcBorders>
          </w:tcPr>
          <w:p>
            <w:pPr>
              <w:spacing w:before="60" w:after="60"/>
              <w:rPr>
                <w:b/>
                <w:noProof/>
                <w:sz w:val="20"/>
                <w:szCs w:val="20"/>
              </w:rPr>
            </w:pPr>
          </w:p>
        </w:tc>
        <w:tc>
          <w:tcPr>
            <w:tcW w:w="840" w:type="dxa"/>
            <w:tcBorders>
              <w:top w:val="single" w:sz="8" w:space="0" w:color="auto"/>
              <w:bottom w:val="single" w:sz="8" w:space="0" w:color="auto"/>
            </w:tcBorders>
          </w:tcPr>
          <w:p>
            <w:pPr>
              <w:spacing w:before="60" w:after="60"/>
              <w:rPr>
                <w:b/>
                <w:noProof/>
                <w:sz w:val="20"/>
                <w:szCs w:val="20"/>
              </w:rPr>
            </w:pPr>
          </w:p>
        </w:tc>
        <w:tc>
          <w:tcPr>
            <w:tcW w:w="756" w:type="dxa"/>
            <w:tcBorders>
              <w:top w:val="single" w:sz="8" w:space="0" w:color="auto"/>
              <w:bottom w:val="single" w:sz="8" w:space="0" w:color="auto"/>
            </w:tcBorders>
          </w:tcPr>
          <w:p>
            <w:pPr>
              <w:spacing w:before="60" w:after="60"/>
              <w:rPr>
                <w:b/>
                <w:noProof/>
                <w:sz w:val="20"/>
                <w:szCs w:val="20"/>
              </w:rPr>
            </w:pPr>
          </w:p>
        </w:tc>
      </w:tr>
      <w:tr>
        <w:trPr>
          <w:cantSplit/>
        </w:trPr>
        <w:tc>
          <w:tcPr>
            <w:tcW w:w="2335" w:type="dxa"/>
            <w:tcBorders>
              <w:top w:val="single" w:sz="8" w:space="0" w:color="auto"/>
              <w:left w:val="single" w:sz="8" w:space="0" w:color="auto"/>
              <w:bottom w:val="single" w:sz="8" w:space="0" w:color="auto"/>
              <w:right w:val="single" w:sz="4" w:space="0" w:color="auto"/>
            </w:tcBorders>
          </w:tcPr>
          <w:p>
            <w:pPr>
              <w:spacing w:before="60" w:after="60"/>
              <w:rPr>
                <w:noProof/>
                <w:sz w:val="20"/>
                <w:szCs w:val="20"/>
              </w:rPr>
            </w:pPr>
            <w:r>
              <w:rPr>
                <w:noProof/>
                <w:sz w:val="20"/>
              </w:rPr>
              <w:t>Asistență tehnică și administrativă (CND)</w:t>
            </w:r>
          </w:p>
        </w:tc>
        <w:tc>
          <w:tcPr>
            <w:tcW w:w="701" w:type="dxa"/>
            <w:tcBorders>
              <w:top w:val="single" w:sz="8" w:space="0" w:color="auto"/>
              <w:left w:val="single" w:sz="4" w:space="0" w:color="auto"/>
              <w:bottom w:val="single" w:sz="8" w:space="0" w:color="auto"/>
              <w:right w:val="single" w:sz="4" w:space="0" w:color="auto"/>
            </w:tcBorders>
            <w:vAlign w:val="center"/>
          </w:tcPr>
          <w:p>
            <w:pPr>
              <w:spacing w:before="60" w:after="60"/>
              <w:jc w:val="center"/>
              <w:rPr>
                <w:noProof/>
                <w:sz w:val="20"/>
                <w:szCs w:val="20"/>
              </w:rPr>
            </w:pPr>
            <w:r>
              <w:rPr>
                <w:noProof/>
                <w:sz w:val="20"/>
              </w:rPr>
              <w:t>8.2.4.</w:t>
            </w:r>
          </w:p>
        </w:tc>
        <w:tc>
          <w:tcPr>
            <w:tcW w:w="720" w:type="dxa"/>
            <w:tcBorders>
              <w:top w:val="single" w:sz="8" w:space="0" w:color="auto"/>
              <w:left w:val="single" w:sz="4" w:space="0" w:color="auto"/>
              <w:bottom w:val="single" w:sz="8" w:space="0" w:color="auto"/>
              <w:right w:val="single" w:sz="4" w:space="0" w:color="auto"/>
            </w:tcBorders>
            <w:vAlign w:val="center"/>
          </w:tcPr>
          <w:p>
            <w:pPr>
              <w:spacing w:before="60" w:after="60"/>
              <w:jc w:val="center"/>
              <w:rPr>
                <w:noProof/>
                <w:sz w:val="20"/>
                <w:szCs w:val="20"/>
              </w:rPr>
            </w:pPr>
            <w:r>
              <w:rPr>
                <w:noProof/>
                <w:sz w:val="20"/>
              </w:rPr>
              <w:t>c</w:t>
            </w:r>
          </w:p>
        </w:tc>
        <w:tc>
          <w:tcPr>
            <w:tcW w:w="720" w:type="dxa"/>
            <w:tcBorders>
              <w:top w:val="single" w:sz="8"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 xml:space="preserve">n.a. </w:t>
            </w:r>
          </w:p>
        </w:tc>
        <w:tc>
          <w:tcPr>
            <w:tcW w:w="720" w:type="dxa"/>
            <w:tcBorders>
              <w:top w:val="single" w:sz="8"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8"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8"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8"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n.a.</w:t>
            </w:r>
          </w:p>
        </w:tc>
        <w:tc>
          <w:tcPr>
            <w:tcW w:w="840" w:type="dxa"/>
            <w:tcBorders>
              <w:top w:val="single" w:sz="8" w:space="0" w:color="auto"/>
              <w:left w:val="single" w:sz="4" w:space="0" w:color="auto"/>
              <w:bottom w:val="single" w:sz="8" w:space="0" w:color="auto"/>
              <w:right w:val="single" w:sz="8" w:space="0" w:color="auto"/>
            </w:tcBorders>
          </w:tcPr>
          <w:p>
            <w:pPr>
              <w:spacing w:before="60" w:after="60"/>
              <w:jc w:val="right"/>
              <w:rPr>
                <w:noProof/>
                <w:sz w:val="20"/>
                <w:szCs w:val="20"/>
              </w:rPr>
            </w:pPr>
            <w:r>
              <w:rPr>
                <w:noProof/>
                <w:sz w:val="20"/>
              </w:rPr>
              <w:t>n.a.</w:t>
            </w:r>
          </w:p>
        </w:tc>
        <w:tc>
          <w:tcPr>
            <w:tcW w:w="756" w:type="dxa"/>
            <w:tcBorders>
              <w:top w:val="single" w:sz="8" w:space="0" w:color="auto"/>
              <w:left w:val="single" w:sz="8" w:space="0" w:color="auto"/>
              <w:bottom w:val="single" w:sz="8" w:space="0" w:color="auto"/>
              <w:right w:val="single" w:sz="8" w:space="0" w:color="auto"/>
            </w:tcBorders>
          </w:tcPr>
          <w:p>
            <w:pPr>
              <w:spacing w:before="60" w:after="60"/>
              <w:jc w:val="right"/>
              <w:rPr>
                <w:noProof/>
                <w:sz w:val="20"/>
                <w:szCs w:val="20"/>
              </w:rPr>
            </w:pPr>
            <w:r>
              <w:rPr>
                <w:noProof/>
                <w:sz w:val="20"/>
              </w:rPr>
              <w:t>n.a.</w:t>
            </w:r>
          </w:p>
        </w:tc>
      </w:tr>
      <w:tr>
        <w:trPr>
          <w:cantSplit/>
        </w:trPr>
        <w:tc>
          <w:tcPr>
            <w:tcW w:w="3756" w:type="dxa"/>
            <w:gridSpan w:val="3"/>
            <w:tcBorders>
              <w:top w:val="single" w:sz="8" w:space="0" w:color="auto"/>
              <w:bottom w:val="single" w:sz="18" w:space="0" w:color="auto"/>
            </w:tcBorders>
          </w:tcPr>
          <w:p>
            <w:pPr>
              <w:spacing w:before="60" w:after="60"/>
              <w:rPr>
                <w:b/>
                <w:noProof/>
                <w:sz w:val="20"/>
                <w:szCs w:val="20"/>
                <w14:shadow w14:blurRad="50800" w14:dist="38100" w14:dir="2700000" w14:sx="100000" w14:sy="100000" w14:kx="0" w14:ky="0" w14:algn="tl">
                  <w14:srgbClr w14:val="000000">
                    <w14:alpha w14:val="60000"/>
                  </w14:srgbClr>
                </w14:shadow>
              </w:rPr>
            </w:pPr>
            <w:r>
              <w:rPr>
                <w:b/>
                <w:noProof/>
                <w:sz w:val="20"/>
                <w14:shadow w14:blurRad="50800" w14:dist="38100" w14:dir="2700000" w14:sx="100000" w14:sy="100000" w14:kx="0" w14:ky="0" w14:algn="tl">
                  <w14:srgbClr w14:val="000000">
                    <w14:alpha w14:val="60000"/>
                  </w14:srgbClr>
                </w14:shadow>
              </w:rPr>
              <w:t>SUMA TOTALĂ DE REFERINȚĂ</w:t>
            </w:r>
          </w:p>
        </w:tc>
        <w:tc>
          <w:tcPr>
            <w:tcW w:w="720" w:type="dxa"/>
            <w:tcBorders>
              <w:top w:val="single" w:sz="8" w:space="0" w:color="auto"/>
              <w:bottom w:val="single" w:sz="18" w:space="0" w:color="auto"/>
            </w:tcBorders>
          </w:tcPr>
          <w:p>
            <w:pPr>
              <w:spacing w:before="60" w:after="60"/>
              <w:rPr>
                <w:b/>
                <w:noProof/>
                <w14:shadow w14:blurRad="50800" w14:dist="38100" w14:dir="2700000" w14:sx="100000" w14:sy="100000" w14:kx="0" w14:ky="0" w14:algn="tl">
                  <w14:srgbClr w14:val="000000">
                    <w14:alpha w14:val="60000"/>
                  </w14:srgbClr>
                </w14:shadow>
              </w:rPr>
            </w:pPr>
          </w:p>
        </w:tc>
        <w:tc>
          <w:tcPr>
            <w:tcW w:w="720" w:type="dxa"/>
            <w:tcBorders>
              <w:top w:val="single" w:sz="8" w:space="0" w:color="auto"/>
              <w:bottom w:val="single" w:sz="18" w:space="0" w:color="auto"/>
            </w:tcBorders>
          </w:tcPr>
          <w:p>
            <w:pPr>
              <w:spacing w:before="60" w:after="60"/>
              <w:rPr>
                <w:b/>
                <w:noProof/>
                <w14:shadow w14:blurRad="50800" w14:dist="38100" w14:dir="2700000" w14:sx="100000" w14:sy="100000" w14:kx="0" w14:ky="0" w14:algn="tl">
                  <w14:srgbClr w14:val="000000">
                    <w14:alpha w14:val="60000"/>
                  </w14:srgbClr>
                </w14:shadow>
              </w:rPr>
            </w:pPr>
          </w:p>
        </w:tc>
        <w:tc>
          <w:tcPr>
            <w:tcW w:w="720" w:type="dxa"/>
            <w:tcBorders>
              <w:top w:val="single" w:sz="8" w:space="0" w:color="auto"/>
              <w:bottom w:val="single" w:sz="18" w:space="0" w:color="auto"/>
            </w:tcBorders>
          </w:tcPr>
          <w:p>
            <w:pPr>
              <w:spacing w:before="60" w:after="60"/>
              <w:rPr>
                <w:b/>
                <w:noProof/>
                <w14:shadow w14:blurRad="50800" w14:dist="38100" w14:dir="2700000" w14:sx="100000" w14:sy="100000" w14:kx="0" w14:ky="0" w14:algn="tl">
                  <w14:srgbClr w14:val="000000">
                    <w14:alpha w14:val="60000"/>
                  </w14:srgbClr>
                </w14:shadow>
              </w:rPr>
            </w:pPr>
          </w:p>
        </w:tc>
        <w:tc>
          <w:tcPr>
            <w:tcW w:w="720" w:type="dxa"/>
            <w:tcBorders>
              <w:top w:val="single" w:sz="8" w:space="0" w:color="auto"/>
              <w:bottom w:val="single" w:sz="18" w:space="0" w:color="auto"/>
            </w:tcBorders>
          </w:tcPr>
          <w:p>
            <w:pPr>
              <w:spacing w:before="60" w:after="60"/>
              <w:rPr>
                <w:b/>
                <w:noProof/>
                <w14:shadow w14:blurRad="50800" w14:dist="38100" w14:dir="2700000" w14:sx="100000" w14:sy="100000" w14:kx="0" w14:ky="0" w14:algn="tl">
                  <w14:srgbClr w14:val="000000">
                    <w14:alpha w14:val="60000"/>
                  </w14:srgbClr>
                </w14:shadow>
              </w:rPr>
            </w:pPr>
          </w:p>
        </w:tc>
        <w:tc>
          <w:tcPr>
            <w:tcW w:w="720" w:type="dxa"/>
            <w:tcBorders>
              <w:top w:val="single" w:sz="8" w:space="0" w:color="auto"/>
              <w:bottom w:val="single" w:sz="18" w:space="0" w:color="auto"/>
            </w:tcBorders>
          </w:tcPr>
          <w:p>
            <w:pPr>
              <w:spacing w:before="60" w:after="60"/>
              <w:rPr>
                <w:b/>
                <w:noProof/>
                <w14:shadow w14:blurRad="50800" w14:dist="38100" w14:dir="2700000" w14:sx="100000" w14:sy="100000" w14:kx="0" w14:ky="0" w14:algn="tl">
                  <w14:srgbClr w14:val="000000">
                    <w14:alpha w14:val="60000"/>
                  </w14:srgbClr>
                </w14:shadow>
              </w:rPr>
            </w:pPr>
          </w:p>
        </w:tc>
        <w:tc>
          <w:tcPr>
            <w:tcW w:w="840" w:type="dxa"/>
            <w:tcBorders>
              <w:top w:val="single" w:sz="8" w:space="0" w:color="auto"/>
              <w:bottom w:val="single" w:sz="18" w:space="0" w:color="auto"/>
            </w:tcBorders>
          </w:tcPr>
          <w:p>
            <w:pPr>
              <w:spacing w:before="60" w:after="60"/>
              <w:rPr>
                <w:b/>
                <w:noProof/>
                <w14:shadow w14:blurRad="50800" w14:dist="38100" w14:dir="2700000" w14:sx="100000" w14:sy="100000" w14:kx="0" w14:ky="0" w14:algn="tl">
                  <w14:srgbClr w14:val="000000">
                    <w14:alpha w14:val="60000"/>
                  </w14:srgbClr>
                </w14:shadow>
              </w:rPr>
            </w:pPr>
          </w:p>
        </w:tc>
        <w:tc>
          <w:tcPr>
            <w:tcW w:w="756" w:type="dxa"/>
            <w:tcBorders>
              <w:top w:val="single" w:sz="8" w:space="0" w:color="auto"/>
              <w:bottom w:val="single" w:sz="18" w:space="0" w:color="auto"/>
            </w:tcBorders>
          </w:tcPr>
          <w:p>
            <w:pPr>
              <w:spacing w:before="60" w:after="60"/>
              <w:rPr>
                <w:b/>
                <w:noProof/>
                <w14:shadow w14:blurRad="50800" w14:dist="38100" w14:dir="2700000" w14:sx="100000" w14:sy="100000" w14:kx="0" w14:ky="0" w14:algn="tl">
                  <w14:srgbClr w14:val="000000">
                    <w14:alpha w14:val="60000"/>
                  </w14:srgbClr>
                </w14:shadow>
              </w:rPr>
            </w:pPr>
          </w:p>
        </w:tc>
      </w:tr>
      <w:tr>
        <w:trPr>
          <w:cantSplit/>
        </w:trPr>
        <w:tc>
          <w:tcPr>
            <w:tcW w:w="2335" w:type="dxa"/>
            <w:tcBorders>
              <w:top w:val="single" w:sz="18" w:space="0" w:color="auto"/>
              <w:left w:val="single" w:sz="18" w:space="0" w:color="auto"/>
              <w:bottom w:val="single" w:sz="12" w:space="0" w:color="auto"/>
              <w:right w:val="single" w:sz="4" w:space="0" w:color="auto"/>
            </w:tcBorders>
          </w:tcPr>
          <w:p>
            <w:pPr>
              <w:spacing w:before="60" w:after="60"/>
              <w:rPr>
                <w:b/>
                <w:noProof/>
                <w:sz w:val="20"/>
                <w:szCs w:val="20"/>
              </w:rPr>
            </w:pPr>
            <w:r>
              <w:rPr>
                <w:b/>
                <w:noProof/>
                <w:sz w:val="20"/>
              </w:rPr>
              <w:t>Credite de angajament</w:t>
            </w:r>
          </w:p>
        </w:tc>
        <w:tc>
          <w:tcPr>
            <w:tcW w:w="701" w:type="dxa"/>
            <w:tcBorders>
              <w:top w:val="single" w:sz="18" w:space="0" w:color="auto"/>
              <w:left w:val="single" w:sz="4" w:space="0" w:color="auto"/>
              <w:bottom w:val="single" w:sz="12" w:space="0" w:color="auto"/>
              <w:right w:val="single" w:sz="4" w:space="0" w:color="auto"/>
            </w:tcBorders>
          </w:tcPr>
          <w:p>
            <w:pPr>
              <w:spacing w:before="60" w:after="60"/>
              <w:jc w:val="center"/>
              <w:rPr>
                <w:b/>
                <w:noProof/>
              </w:rPr>
            </w:pPr>
          </w:p>
        </w:tc>
        <w:tc>
          <w:tcPr>
            <w:tcW w:w="720" w:type="dxa"/>
            <w:tcBorders>
              <w:top w:val="single" w:sz="18" w:space="0" w:color="auto"/>
              <w:left w:val="single" w:sz="4" w:space="0" w:color="auto"/>
              <w:bottom w:val="single" w:sz="12" w:space="0" w:color="auto"/>
              <w:right w:val="single" w:sz="4" w:space="0" w:color="auto"/>
            </w:tcBorders>
            <w:vAlign w:val="center"/>
          </w:tcPr>
          <w:p>
            <w:pPr>
              <w:spacing w:before="60" w:after="60"/>
              <w:jc w:val="center"/>
              <w:rPr>
                <w:b/>
                <w:noProof/>
                <w:sz w:val="20"/>
                <w:szCs w:val="20"/>
              </w:rPr>
            </w:pPr>
            <w:r>
              <w:rPr>
                <w:b/>
                <w:noProof/>
                <w:sz w:val="20"/>
              </w:rPr>
              <w:t>a+c</w:t>
            </w:r>
          </w:p>
        </w:tc>
        <w:tc>
          <w:tcPr>
            <w:tcW w:w="720" w:type="dxa"/>
            <w:tcBorders>
              <w:top w:val="single" w:sz="18" w:space="0" w:color="auto"/>
              <w:left w:val="single" w:sz="4" w:space="0" w:color="auto"/>
              <w:bottom w:val="single" w:sz="12"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18" w:space="0" w:color="auto"/>
              <w:left w:val="single" w:sz="4" w:space="0" w:color="auto"/>
              <w:bottom w:val="single" w:sz="12" w:space="0" w:color="auto"/>
              <w:right w:val="single" w:sz="4" w:space="0" w:color="auto"/>
            </w:tcBorders>
          </w:tcPr>
          <w:p>
            <w:pPr>
              <w:spacing w:before="60" w:after="60"/>
              <w:jc w:val="right"/>
              <w:rPr>
                <w:b/>
                <w:noProof/>
                <w:sz w:val="20"/>
                <w:szCs w:val="20"/>
              </w:rPr>
            </w:pPr>
            <w:r>
              <w:rPr>
                <w:noProof/>
                <w:sz w:val="20"/>
              </w:rPr>
              <w:t>n.a.</w:t>
            </w:r>
          </w:p>
        </w:tc>
        <w:tc>
          <w:tcPr>
            <w:tcW w:w="720" w:type="dxa"/>
            <w:tcBorders>
              <w:top w:val="single" w:sz="18" w:space="0" w:color="auto"/>
              <w:left w:val="single" w:sz="4" w:space="0" w:color="auto"/>
              <w:bottom w:val="single" w:sz="12" w:space="0" w:color="auto"/>
              <w:right w:val="single" w:sz="4" w:space="0" w:color="auto"/>
            </w:tcBorders>
          </w:tcPr>
          <w:p>
            <w:pPr>
              <w:spacing w:before="60" w:after="60"/>
              <w:jc w:val="right"/>
              <w:rPr>
                <w:b/>
                <w:noProof/>
                <w:sz w:val="20"/>
                <w:szCs w:val="20"/>
              </w:rPr>
            </w:pPr>
            <w:r>
              <w:rPr>
                <w:noProof/>
                <w:sz w:val="20"/>
              </w:rPr>
              <w:t>n.a.</w:t>
            </w:r>
          </w:p>
        </w:tc>
        <w:tc>
          <w:tcPr>
            <w:tcW w:w="720" w:type="dxa"/>
            <w:tcBorders>
              <w:top w:val="single" w:sz="18" w:space="0" w:color="auto"/>
              <w:left w:val="single" w:sz="4" w:space="0" w:color="auto"/>
              <w:bottom w:val="single" w:sz="12" w:space="0" w:color="auto"/>
              <w:right w:val="single" w:sz="4" w:space="0" w:color="auto"/>
            </w:tcBorders>
          </w:tcPr>
          <w:p>
            <w:pPr>
              <w:spacing w:before="60" w:after="60"/>
              <w:jc w:val="right"/>
              <w:rPr>
                <w:b/>
                <w:noProof/>
                <w:sz w:val="20"/>
                <w:szCs w:val="20"/>
              </w:rPr>
            </w:pPr>
            <w:r>
              <w:rPr>
                <w:noProof/>
                <w:sz w:val="20"/>
              </w:rPr>
              <w:t>n.a.</w:t>
            </w:r>
          </w:p>
        </w:tc>
        <w:tc>
          <w:tcPr>
            <w:tcW w:w="720" w:type="dxa"/>
            <w:tcBorders>
              <w:top w:val="single" w:sz="18" w:space="0" w:color="auto"/>
              <w:left w:val="single" w:sz="4" w:space="0" w:color="auto"/>
              <w:bottom w:val="single" w:sz="12" w:space="0" w:color="auto"/>
              <w:right w:val="single" w:sz="4" w:space="0" w:color="auto"/>
            </w:tcBorders>
          </w:tcPr>
          <w:p>
            <w:pPr>
              <w:spacing w:before="60" w:after="60"/>
              <w:jc w:val="right"/>
              <w:rPr>
                <w:b/>
                <w:noProof/>
                <w:sz w:val="20"/>
                <w:szCs w:val="20"/>
              </w:rPr>
            </w:pPr>
            <w:r>
              <w:rPr>
                <w:noProof/>
                <w:sz w:val="20"/>
              </w:rPr>
              <w:t>n.a.</w:t>
            </w:r>
          </w:p>
        </w:tc>
        <w:tc>
          <w:tcPr>
            <w:tcW w:w="840" w:type="dxa"/>
            <w:tcBorders>
              <w:top w:val="single" w:sz="18" w:space="0" w:color="auto"/>
              <w:left w:val="single" w:sz="4" w:space="0" w:color="auto"/>
              <w:bottom w:val="single" w:sz="12" w:space="0" w:color="auto"/>
              <w:right w:val="single" w:sz="12" w:space="0" w:color="auto"/>
            </w:tcBorders>
          </w:tcPr>
          <w:p>
            <w:pPr>
              <w:spacing w:before="60" w:after="60"/>
              <w:jc w:val="right"/>
              <w:rPr>
                <w:b/>
                <w:noProof/>
                <w:sz w:val="20"/>
                <w:szCs w:val="20"/>
              </w:rPr>
            </w:pPr>
            <w:r>
              <w:rPr>
                <w:noProof/>
                <w:sz w:val="20"/>
              </w:rPr>
              <w:t>n.a.</w:t>
            </w:r>
          </w:p>
        </w:tc>
        <w:tc>
          <w:tcPr>
            <w:tcW w:w="756" w:type="dxa"/>
            <w:tcBorders>
              <w:top w:val="single" w:sz="18" w:space="0" w:color="auto"/>
              <w:left w:val="nil"/>
              <w:bottom w:val="single" w:sz="12" w:space="0" w:color="auto"/>
              <w:right w:val="single" w:sz="18" w:space="0" w:color="auto"/>
            </w:tcBorders>
          </w:tcPr>
          <w:p>
            <w:pPr>
              <w:spacing w:before="60" w:after="60"/>
              <w:jc w:val="right"/>
              <w:rPr>
                <w:noProof/>
                <w:sz w:val="20"/>
                <w:szCs w:val="20"/>
              </w:rPr>
            </w:pPr>
            <w:r>
              <w:rPr>
                <w:noProof/>
                <w:sz w:val="20"/>
              </w:rPr>
              <w:t>n.a.</w:t>
            </w:r>
          </w:p>
        </w:tc>
      </w:tr>
      <w:tr>
        <w:trPr>
          <w:cantSplit/>
        </w:trPr>
        <w:tc>
          <w:tcPr>
            <w:tcW w:w="2335" w:type="dxa"/>
            <w:tcBorders>
              <w:top w:val="single" w:sz="12" w:space="0" w:color="auto"/>
              <w:left w:val="single" w:sz="18" w:space="0" w:color="auto"/>
              <w:bottom w:val="single" w:sz="18" w:space="0" w:color="auto"/>
              <w:right w:val="single" w:sz="4" w:space="0" w:color="auto"/>
            </w:tcBorders>
          </w:tcPr>
          <w:p>
            <w:pPr>
              <w:spacing w:before="60" w:after="60"/>
              <w:rPr>
                <w:b/>
                <w:noProof/>
                <w:sz w:val="20"/>
                <w:szCs w:val="20"/>
              </w:rPr>
            </w:pPr>
            <w:r>
              <w:rPr>
                <w:b/>
                <w:noProof/>
                <w:sz w:val="20"/>
              </w:rPr>
              <w:t>Credite de plată</w:t>
            </w:r>
          </w:p>
        </w:tc>
        <w:tc>
          <w:tcPr>
            <w:tcW w:w="701" w:type="dxa"/>
            <w:tcBorders>
              <w:top w:val="single" w:sz="12" w:space="0" w:color="auto"/>
              <w:left w:val="single" w:sz="4" w:space="0" w:color="auto"/>
              <w:bottom w:val="single" w:sz="18" w:space="0" w:color="auto"/>
              <w:right w:val="single" w:sz="4" w:space="0" w:color="auto"/>
            </w:tcBorders>
          </w:tcPr>
          <w:p>
            <w:pPr>
              <w:spacing w:before="60" w:after="60"/>
              <w:jc w:val="center"/>
              <w:rPr>
                <w:b/>
                <w:noProof/>
              </w:rPr>
            </w:pPr>
          </w:p>
        </w:tc>
        <w:tc>
          <w:tcPr>
            <w:tcW w:w="720" w:type="dxa"/>
            <w:tcBorders>
              <w:top w:val="single" w:sz="12" w:space="0" w:color="auto"/>
              <w:left w:val="single" w:sz="4" w:space="0" w:color="auto"/>
              <w:bottom w:val="single" w:sz="18" w:space="0" w:color="auto"/>
              <w:right w:val="single" w:sz="4" w:space="0" w:color="auto"/>
            </w:tcBorders>
            <w:vAlign w:val="center"/>
          </w:tcPr>
          <w:p>
            <w:pPr>
              <w:spacing w:before="60" w:after="60"/>
              <w:jc w:val="center"/>
              <w:rPr>
                <w:b/>
                <w:noProof/>
                <w:sz w:val="20"/>
                <w:szCs w:val="20"/>
              </w:rPr>
            </w:pPr>
            <w:r>
              <w:rPr>
                <w:b/>
                <w:noProof/>
                <w:sz w:val="20"/>
              </w:rPr>
              <w:t>b+c</w:t>
            </w:r>
          </w:p>
        </w:tc>
        <w:tc>
          <w:tcPr>
            <w:tcW w:w="720" w:type="dxa"/>
            <w:tcBorders>
              <w:top w:val="single" w:sz="12" w:space="0" w:color="auto"/>
              <w:left w:val="single" w:sz="4" w:space="0" w:color="auto"/>
              <w:bottom w:val="single" w:sz="18" w:space="0" w:color="auto"/>
              <w:right w:val="single" w:sz="4" w:space="0" w:color="auto"/>
            </w:tcBorders>
          </w:tcPr>
          <w:p>
            <w:pPr>
              <w:spacing w:before="60" w:after="60"/>
              <w:jc w:val="right"/>
              <w:rPr>
                <w:b/>
                <w:noProof/>
                <w:sz w:val="20"/>
                <w:szCs w:val="20"/>
              </w:rPr>
            </w:pPr>
            <w:r>
              <w:rPr>
                <w:b/>
                <w:noProof/>
                <w:sz w:val="20"/>
              </w:rPr>
              <w:t>n.a.</w:t>
            </w:r>
          </w:p>
        </w:tc>
        <w:tc>
          <w:tcPr>
            <w:tcW w:w="720" w:type="dxa"/>
            <w:tcBorders>
              <w:top w:val="single" w:sz="12" w:space="0" w:color="auto"/>
              <w:left w:val="single" w:sz="4" w:space="0" w:color="auto"/>
              <w:bottom w:val="single" w:sz="18" w:space="0" w:color="auto"/>
              <w:right w:val="single" w:sz="4" w:space="0" w:color="auto"/>
            </w:tcBorders>
          </w:tcPr>
          <w:p>
            <w:pPr>
              <w:spacing w:before="60" w:after="60"/>
              <w:jc w:val="right"/>
              <w:rPr>
                <w:b/>
                <w:noProof/>
                <w:sz w:val="20"/>
                <w:szCs w:val="20"/>
              </w:rPr>
            </w:pPr>
            <w:r>
              <w:rPr>
                <w:b/>
                <w:noProof/>
                <w:sz w:val="20"/>
              </w:rPr>
              <w:t>n.a.</w:t>
            </w:r>
          </w:p>
        </w:tc>
        <w:tc>
          <w:tcPr>
            <w:tcW w:w="720" w:type="dxa"/>
            <w:tcBorders>
              <w:top w:val="single" w:sz="12" w:space="0" w:color="auto"/>
              <w:left w:val="single" w:sz="4" w:space="0" w:color="auto"/>
              <w:bottom w:val="single" w:sz="18" w:space="0" w:color="auto"/>
              <w:right w:val="single" w:sz="4" w:space="0" w:color="auto"/>
            </w:tcBorders>
          </w:tcPr>
          <w:p>
            <w:pPr>
              <w:spacing w:before="60" w:after="60"/>
              <w:jc w:val="right"/>
              <w:rPr>
                <w:b/>
                <w:noProof/>
                <w:sz w:val="20"/>
                <w:szCs w:val="20"/>
              </w:rPr>
            </w:pPr>
            <w:r>
              <w:rPr>
                <w:b/>
                <w:noProof/>
                <w:sz w:val="20"/>
              </w:rPr>
              <w:t>n.a</w:t>
            </w:r>
          </w:p>
        </w:tc>
        <w:tc>
          <w:tcPr>
            <w:tcW w:w="720" w:type="dxa"/>
            <w:tcBorders>
              <w:top w:val="single" w:sz="12" w:space="0" w:color="auto"/>
              <w:left w:val="single" w:sz="4" w:space="0" w:color="auto"/>
              <w:bottom w:val="single" w:sz="18" w:space="0" w:color="auto"/>
              <w:right w:val="single" w:sz="4" w:space="0" w:color="auto"/>
            </w:tcBorders>
          </w:tcPr>
          <w:p>
            <w:pPr>
              <w:spacing w:before="60" w:after="60"/>
              <w:jc w:val="right"/>
              <w:rPr>
                <w:b/>
                <w:noProof/>
                <w:sz w:val="20"/>
                <w:szCs w:val="20"/>
              </w:rPr>
            </w:pPr>
            <w:r>
              <w:rPr>
                <w:b/>
                <w:noProof/>
                <w:sz w:val="20"/>
              </w:rPr>
              <w:t>n.a.</w:t>
            </w:r>
          </w:p>
        </w:tc>
        <w:tc>
          <w:tcPr>
            <w:tcW w:w="720" w:type="dxa"/>
            <w:tcBorders>
              <w:top w:val="single" w:sz="12" w:space="0" w:color="auto"/>
              <w:left w:val="single" w:sz="4" w:space="0" w:color="auto"/>
              <w:bottom w:val="single" w:sz="18" w:space="0" w:color="auto"/>
              <w:right w:val="single" w:sz="4" w:space="0" w:color="auto"/>
            </w:tcBorders>
          </w:tcPr>
          <w:p>
            <w:pPr>
              <w:spacing w:before="60" w:after="60"/>
              <w:jc w:val="right"/>
              <w:rPr>
                <w:b/>
                <w:noProof/>
                <w:sz w:val="20"/>
                <w:szCs w:val="20"/>
              </w:rPr>
            </w:pPr>
            <w:r>
              <w:rPr>
                <w:b/>
                <w:noProof/>
                <w:sz w:val="20"/>
              </w:rPr>
              <w:t>n.a.</w:t>
            </w:r>
          </w:p>
        </w:tc>
        <w:tc>
          <w:tcPr>
            <w:tcW w:w="840" w:type="dxa"/>
            <w:tcBorders>
              <w:top w:val="single" w:sz="12" w:space="0" w:color="auto"/>
              <w:left w:val="single" w:sz="4" w:space="0" w:color="auto"/>
              <w:bottom w:val="single" w:sz="18" w:space="0" w:color="auto"/>
              <w:right w:val="single" w:sz="12" w:space="0" w:color="auto"/>
            </w:tcBorders>
          </w:tcPr>
          <w:p>
            <w:pPr>
              <w:spacing w:before="60" w:after="60"/>
              <w:jc w:val="right"/>
              <w:rPr>
                <w:b/>
                <w:noProof/>
                <w:sz w:val="20"/>
                <w:szCs w:val="20"/>
              </w:rPr>
            </w:pPr>
            <w:r>
              <w:rPr>
                <w:b/>
                <w:noProof/>
                <w:sz w:val="20"/>
              </w:rPr>
              <w:t>n.a.</w:t>
            </w:r>
          </w:p>
        </w:tc>
        <w:tc>
          <w:tcPr>
            <w:tcW w:w="756" w:type="dxa"/>
            <w:tcBorders>
              <w:top w:val="single" w:sz="12" w:space="0" w:color="auto"/>
              <w:left w:val="nil"/>
              <w:bottom w:val="single" w:sz="18" w:space="0" w:color="auto"/>
              <w:right w:val="single" w:sz="18" w:space="0" w:color="auto"/>
            </w:tcBorders>
          </w:tcPr>
          <w:p>
            <w:pPr>
              <w:spacing w:before="60" w:after="60"/>
              <w:jc w:val="right"/>
              <w:rPr>
                <w:b/>
                <w:noProof/>
                <w:sz w:val="20"/>
                <w:szCs w:val="20"/>
              </w:rPr>
            </w:pPr>
            <w:r>
              <w:rPr>
                <w:b/>
                <w:noProof/>
                <w:sz w:val="20"/>
              </w:rPr>
              <w:t>0,000</w:t>
            </w:r>
          </w:p>
          <w:p>
            <w:pPr>
              <w:spacing w:before="60" w:after="60"/>
              <w:jc w:val="right"/>
              <w:rPr>
                <w:b/>
                <w:noProof/>
                <w:sz w:val="20"/>
                <w:szCs w:val="20"/>
              </w:rPr>
            </w:pPr>
          </w:p>
        </w:tc>
      </w:tr>
      <w:tr>
        <w:trPr>
          <w:cantSplit/>
        </w:trPr>
        <w:tc>
          <w:tcPr>
            <w:tcW w:w="7356" w:type="dxa"/>
            <w:gridSpan w:val="8"/>
            <w:tcBorders>
              <w:top w:val="single" w:sz="18" w:space="0" w:color="auto"/>
              <w:bottom w:val="single" w:sz="8" w:space="0" w:color="auto"/>
            </w:tcBorders>
          </w:tcPr>
          <w:p>
            <w:pPr>
              <w:spacing w:before="60" w:after="60"/>
              <w:rPr>
                <w:noProof/>
              </w:rPr>
            </w:pPr>
            <w:r>
              <w:rPr>
                <w:b/>
                <w:noProof/>
                <w:sz w:val="22"/>
              </w:rPr>
              <w:t xml:space="preserve">Cheltuieli administrative </w:t>
            </w:r>
            <w:r>
              <w:rPr>
                <w:b/>
                <w:noProof/>
                <w:sz w:val="22"/>
                <w:u w:val="single"/>
              </w:rPr>
              <w:t>ne</w:t>
            </w:r>
            <w:r>
              <w:rPr>
                <w:b/>
                <w:noProof/>
                <w:sz w:val="22"/>
              </w:rPr>
              <w:t>incluse în suma de referință</w:t>
            </w:r>
            <w:r>
              <w:rPr>
                <w:rStyle w:val="FootnoteReference"/>
                <w:b/>
                <w:noProof/>
                <w:sz w:val="22"/>
              </w:rPr>
              <w:footnoteReference w:id="8"/>
            </w:r>
          </w:p>
        </w:tc>
        <w:tc>
          <w:tcPr>
            <w:tcW w:w="840" w:type="dxa"/>
            <w:tcBorders>
              <w:top w:val="single" w:sz="18" w:space="0" w:color="auto"/>
              <w:bottom w:val="single" w:sz="8" w:space="0" w:color="auto"/>
            </w:tcBorders>
          </w:tcPr>
          <w:p>
            <w:pPr>
              <w:spacing w:before="60" w:after="60"/>
              <w:rPr>
                <w:noProof/>
              </w:rPr>
            </w:pPr>
          </w:p>
        </w:tc>
        <w:tc>
          <w:tcPr>
            <w:tcW w:w="756" w:type="dxa"/>
            <w:tcBorders>
              <w:top w:val="single" w:sz="18" w:space="0" w:color="auto"/>
              <w:bottom w:val="single" w:sz="8" w:space="0" w:color="auto"/>
            </w:tcBorders>
          </w:tcPr>
          <w:p>
            <w:pPr>
              <w:spacing w:before="60" w:after="60"/>
              <w:rPr>
                <w:noProof/>
              </w:rPr>
            </w:pPr>
          </w:p>
        </w:tc>
      </w:tr>
      <w:tr>
        <w:trPr>
          <w:cantSplit/>
        </w:trPr>
        <w:tc>
          <w:tcPr>
            <w:tcW w:w="2335" w:type="dxa"/>
            <w:tcBorders>
              <w:top w:val="single" w:sz="8" w:space="0" w:color="auto"/>
              <w:left w:val="single" w:sz="8" w:space="0" w:color="auto"/>
              <w:bottom w:val="single" w:sz="4" w:space="0" w:color="auto"/>
              <w:right w:val="single" w:sz="4" w:space="0" w:color="auto"/>
            </w:tcBorders>
          </w:tcPr>
          <w:p>
            <w:pPr>
              <w:spacing w:before="60" w:after="60"/>
              <w:rPr>
                <w:noProof/>
                <w:sz w:val="20"/>
                <w:szCs w:val="20"/>
              </w:rPr>
            </w:pPr>
            <w:r>
              <w:rPr>
                <w:noProof/>
                <w:sz w:val="20"/>
              </w:rPr>
              <w:t>Resurse umane și cheltuieli conexe (CND)</w:t>
            </w:r>
          </w:p>
        </w:tc>
        <w:tc>
          <w:tcPr>
            <w:tcW w:w="701" w:type="dxa"/>
            <w:tcBorders>
              <w:top w:val="single" w:sz="8" w:space="0" w:color="auto"/>
              <w:left w:val="single" w:sz="4" w:space="0" w:color="auto"/>
              <w:bottom w:val="single" w:sz="4" w:space="0" w:color="auto"/>
              <w:right w:val="single" w:sz="4" w:space="0" w:color="auto"/>
            </w:tcBorders>
            <w:vAlign w:val="center"/>
          </w:tcPr>
          <w:p>
            <w:pPr>
              <w:spacing w:before="60" w:after="60"/>
              <w:jc w:val="center"/>
              <w:rPr>
                <w:noProof/>
                <w:sz w:val="20"/>
                <w:szCs w:val="20"/>
              </w:rPr>
            </w:pPr>
            <w:r>
              <w:rPr>
                <w:noProof/>
                <w:sz w:val="20"/>
              </w:rPr>
              <w:t>8.2.5.</w:t>
            </w:r>
          </w:p>
        </w:tc>
        <w:tc>
          <w:tcPr>
            <w:tcW w:w="720" w:type="dxa"/>
            <w:tcBorders>
              <w:top w:val="single" w:sz="8" w:space="0" w:color="auto"/>
              <w:left w:val="single" w:sz="4" w:space="0" w:color="auto"/>
              <w:bottom w:val="single" w:sz="4" w:space="0" w:color="auto"/>
              <w:right w:val="single" w:sz="4" w:space="0" w:color="auto"/>
            </w:tcBorders>
            <w:vAlign w:val="center"/>
          </w:tcPr>
          <w:p>
            <w:pPr>
              <w:spacing w:before="60" w:after="60"/>
              <w:jc w:val="center"/>
              <w:rPr>
                <w:noProof/>
                <w:sz w:val="20"/>
                <w:szCs w:val="20"/>
              </w:rPr>
            </w:pPr>
            <w:r>
              <w:rPr>
                <w:noProof/>
                <w:sz w:val="20"/>
              </w:rPr>
              <w:t>d</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840" w:type="dxa"/>
            <w:tcBorders>
              <w:top w:val="single" w:sz="8" w:space="0" w:color="auto"/>
              <w:left w:val="single" w:sz="4" w:space="0" w:color="auto"/>
              <w:bottom w:val="single" w:sz="4" w:space="0" w:color="auto"/>
              <w:right w:val="single" w:sz="8" w:space="0" w:color="auto"/>
            </w:tcBorders>
          </w:tcPr>
          <w:p>
            <w:pPr>
              <w:spacing w:before="60" w:after="60"/>
              <w:jc w:val="right"/>
              <w:rPr>
                <w:noProof/>
                <w:sz w:val="20"/>
                <w:szCs w:val="20"/>
              </w:rPr>
            </w:pPr>
            <w:r>
              <w:rPr>
                <w:noProof/>
                <w:sz w:val="20"/>
              </w:rPr>
              <w:t>n.a.</w:t>
            </w:r>
          </w:p>
        </w:tc>
        <w:tc>
          <w:tcPr>
            <w:tcW w:w="756" w:type="dxa"/>
            <w:tcBorders>
              <w:top w:val="single" w:sz="8" w:space="0" w:color="auto"/>
              <w:left w:val="single" w:sz="8" w:space="0" w:color="auto"/>
              <w:bottom w:val="single" w:sz="8" w:space="0" w:color="auto"/>
              <w:right w:val="single" w:sz="8" w:space="0" w:color="auto"/>
            </w:tcBorders>
          </w:tcPr>
          <w:p>
            <w:pPr>
              <w:spacing w:before="60" w:after="60"/>
              <w:jc w:val="right"/>
              <w:rPr>
                <w:noProof/>
                <w:sz w:val="20"/>
                <w:szCs w:val="20"/>
              </w:rPr>
            </w:pPr>
            <w:r>
              <w:rPr>
                <w:noProof/>
                <w:sz w:val="20"/>
              </w:rPr>
              <w:t>n.a.</w:t>
            </w:r>
          </w:p>
        </w:tc>
      </w:tr>
      <w:tr>
        <w:trPr>
          <w:cantSplit/>
        </w:trPr>
        <w:tc>
          <w:tcPr>
            <w:tcW w:w="2335" w:type="dxa"/>
            <w:tcBorders>
              <w:top w:val="single" w:sz="4" w:space="0" w:color="auto"/>
              <w:left w:val="single" w:sz="8" w:space="0" w:color="auto"/>
              <w:bottom w:val="single" w:sz="8" w:space="0" w:color="auto"/>
              <w:right w:val="single" w:sz="4" w:space="0" w:color="auto"/>
            </w:tcBorders>
          </w:tcPr>
          <w:p>
            <w:pPr>
              <w:spacing w:before="60" w:after="60"/>
              <w:rPr>
                <w:noProof/>
                <w:sz w:val="18"/>
                <w:szCs w:val="18"/>
              </w:rPr>
            </w:pPr>
            <w:r>
              <w:rPr>
                <w:noProof/>
                <w:sz w:val="18"/>
              </w:rPr>
              <w:t>Costuri administrative, altele decât resursele umane și costurile conexe, neincluse în suma de referință (CND)</w:t>
            </w:r>
          </w:p>
        </w:tc>
        <w:tc>
          <w:tcPr>
            <w:tcW w:w="701" w:type="dxa"/>
            <w:tcBorders>
              <w:top w:val="single" w:sz="4" w:space="0" w:color="auto"/>
              <w:left w:val="single" w:sz="4" w:space="0" w:color="auto"/>
              <w:bottom w:val="single" w:sz="8" w:space="0" w:color="auto"/>
              <w:right w:val="single" w:sz="4" w:space="0" w:color="auto"/>
            </w:tcBorders>
            <w:vAlign w:val="center"/>
          </w:tcPr>
          <w:p>
            <w:pPr>
              <w:spacing w:before="60" w:after="60"/>
              <w:jc w:val="center"/>
              <w:rPr>
                <w:noProof/>
                <w:sz w:val="20"/>
                <w:szCs w:val="20"/>
              </w:rPr>
            </w:pPr>
            <w:r>
              <w:rPr>
                <w:noProof/>
                <w:sz w:val="20"/>
              </w:rPr>
              <w:t>8.2.6.</w:t>
            </w:r>
          </w:p>
        </w:tc>
        <w:tc>
          <w:tcPr>
            <w:tcW w:w="720" w:type="dxa"/>
            <w:tcBorders>
              <w:top w:val="single" w:sz="4" w:space="0" w:color="auto"/>
              <w:left w:val="single" w:sz="4" w:space="0" w:color="auto"/>
              <w:bottom w:val="single" w:sz="8" w:space="0" w:color="auto"/>
              <w:right w:val="single" w:sz="4" w:space="0" w:color="auto"/>
            </w:tcBorders>
            <w:vAlign w:val="center"/>
          </w:tcPr>
          <w:p>
            <w:pPr>
              <w:spacing w:before="60" w:after="60"/>
              <w:jc w:val="center"/>
              <w:rPr>
                <w:noProof/>
                <w:sz w:val="20"/>
                <w:szCs w:val="20"/>
              </w:rPr>
            </w:pPr>
            <w:r>
              <w:rPr>
                <w:noProof/>
                <w:sz w:val="20"/>
              </w:rPr>
              <w:t>e</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n.a.</w:t>
            </w:r>
          </w:p>
        </w:tc>
        <w:tc>
          <w:tcPr>
            <w:tcW w:w="840" w:type="dxa"/>
            <w:tcBorders>
              <w:top w:val="single" w:sz="4" w:space="0" w:color="auto"/>
              <w:left w:val="single" w:sz="4" w:space="0" w:color="auto"/>
              <w:bottom w:val="single" w:sz="8" w:space="0" w:color="auto"/>
              <w:right w:val="single" w:sz="8" w:space="0" w:color="auto"/>
            </w:tcBorders>
          </w:tcPr>
          <w:p>
            <w:pPr>
              <w:spacing w:before="60" w:after="60"/>
              <w:jc w:val="right"/>
              <w:rPr>
                <w:noProof/>
                <w:sz w:val="20"/>
                <w:szCs w:val="20"/>
              </w:rPr>
            </w:pPr>
            <w:r>
              <w:rPr>
                <w:noProof/>
                <w:sz w:val="20"/>
              </w:rPr>
              <w:t>n.a.</w:t>
            </w:r>
          </w:p>
        </w:tc>
        <w:tc>
          <w:tcPr>
            <w:tcW w:w="756" w:type="dxa"/>
            <w:tcBorders>
              <w:top w:val="single" w:sz="8" w:space="0" w:color="auto"/>
              <w:left w:val="single" w:sz="8" w:space="0" w:color="auto"/>
              <w:bottom w:val="single" w:sz="8" w:space="0" w:color="auto"/>
              <w:right w:val="single" w:sz="8" w:space="0" w:color="auto"/>
            </w:tcBorders>
          </w:tcPr>
          <w:p>
            <w:pPr>
              <w:spacing w:before="60" w:after="60"/>
              <w:jc w:val="right"/>
              <w:rPr>
                <w:noProof/>
                <w:sz w:val="20"/>
                <w:szCs w:val="20"/>
              </w:rPr>
            </w:pPr>
            <w:r>
              <w:rPr>
                <w:noProof/>
                <w:sz w:val="20"/>
              </w:rPr>
              <w:t>n.a.</w:t>
            </w:r>
          </w:p>
        </w:tc>
      </w:tr>
    </w:tbl>
    <w:p>
      <w:pPr>
        <w:rPr>
          <w:b/>
          <w:noProof/>
        </w:rPr>
      </w:pPr>
      <w:r>
        <w:rPr>
          <w:b/>
          <w:noProof/>
        </w:rPr>
        <w:t xml:space="preserve">Costul financiar indicativ total al acțiunii </w:t>
      </w:r>
    </w:p>
    <w:tbl>
      <w:tblPr>
        <w:tblW w:w="8952" w:type="dxa"/>
        <w:tblInd w:w="312" w:type="dxa"/>
        <w:tblLayout w:type="fixed"/>
        <w:tblLook w:val="0000" w:firstRow="0" w:lastRow="0" w:firstColumn="0" w:lastColumn="0" w:noHBand="0" w:noVBand="0"/>
      </w:tblPr>
      <w:tblGrid>
        <w:gridCol w:w="2335"/>
        <w:gridCol w:w="701"/>
        <w:gridCol w:w="540"/>
        <w:gridCol w:w="720"/>
        <w:gridCol w:w="900"/>
        <w:gridCol w:w="720"/>
        <w:gridCol w:w="720"/>
        <w:gridCol w:w="720"/>
        <w:gridCol w:w="720"/>
        <w:gridCol w:w="876"/>
      </w:tblGrid>
      <w:tr>
        <w:trPr>
          <w:cantSplit/>
        </w:trPr>
        <w:tc>
          <w:tcPr>
            <w:tcW w:w="2335" w:type="dxa"/>
            <w:tcBorders>
              <w:top w:val="double" w:sz="4" w:space="0" w:color="auto"/>
              <w:left w:val="double" w:sz="4" w:space="0" w:color="auto"/>
              <w:bottom w:val="single" w:sz="4" w:space="0" w:color="auto"/>
            </w:tcBorders>
          </w:tcPr>
          <w:p>
            <w:pPr>
              <w:spacing w:before="60" w:after="60"/>
              <w:rPr>
                <w:b/>
                <w:noProof/>
                <w:sz w:val="20"/>
                <w:szCs w:val="20"/>
              </w:rPr>
            </w:pPr>
            <w:r>
              <w:rPr>
                <w:b/>
                <w:noProof/>
                <w:sz w:val="20"/>
              </w:rPr>
              <w:t>TOTAL CA, inclusiv costul resurselor umane</w:t>
            </w:r>
          </w:p>
        </w:tc>
        <w:tc>
          <w:tcPr>
            <w:tcW w:w="701" w:type="dxa"/>
            <w:tcBorders>
              <w:top w:val="double" w:sz="4" w:space="0" w:color="auto"/>
              <w:left w:val="single" w:sz="4" w:space="0" w:color="auto"/>
              <w:bottom w:val="single" w:sz="4" w:space="0" w:color="auto"/>
              <w:right w:val="single" w:sz="4" w:space="0" w:color="auto"/>
            </w:tcBorders>
          </w:tcPr>
          <w:p>
            <w:pPr>
              <w:spacing w:before="60" w:after="60"/>
              <w:jc w:val="center"/>
              <w:rPr>
                <w:noProof/>
              </w:rPr>
            </w:pPr>
          </w:p>
        </w:tc>
        <w:tc>
          <w:tcPr>
            <w:tcW w:w="540" w:type="dxa"/>
            <w:tcBorders>
              <w:top w:val="double" w:sz="4" w:space="0" w:color="auto"/>
              <w:left w:val="single" w:sz="4" w:space="0" w:color="auto"/>
              <w:bottom w:val="single" w:sz="4" w:space="0" w:color="auto"/>
            </w:tcBorders>
            <w:vAlign w:val="center"/>
          </w:tcPr>
          <w:p>
            <w:pPr>
              <w:spacing w:before="60" w:after="60"/>
              <w:jc w:val="center"/>
              <w:rPr>
                <w:noProof/>
                <w:sz w:val="20"/>
                <w:szCs w:val="20"/>
              </w:rPr>
            </w:pPr>
            <w:r>
              <w:rPr>
                <w:noProof/>
                <w:sz w:val="20"/>
              </w:rPr>
              <w:t>a+c+d+e</w:t>
            </w:r>
          </w:p>
        </w:tc>
        <w:tc>
          <w:tcPr>
            <w:tcW w:w="720" w:type="dxa"/>
            <w:tcBorders>
              <w:top w:val="double" w:sz="4"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900" w:type="dxa"/>
            <w:tcBorders>
              <w:top w:val="double" w:sz="4"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double" w:sz="4"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double" w:sz="4"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double" w:sz="4"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double" w:sz="4" w:space="0" w:color="auto"/>
              <w:left w:val="single" w:sz="4" w:space="0" w:color="auto"/>
              <w:bottom w:val="single" w:sz="4" w:space="0" w:color="auto"/>
              <w:right w:val="double" w:sz="4" w:space="0" w:color="auto"/>
            </w:tcBorders>
          </w:tcPr>
          <w:p>
            <w:pPr>
              <w:spacing w:before="60" w:after="60"/>
              <w:jc w:val="right"/>
              <w:rPr>
                <w:noProof/>
                <w:sz w:val="20"/>
                <w:szCs w:val="20"/>
              </w:rPr>
            </w:pPr>
            <w:r>
              <w:rPr>
                <w:noProof/>
                <w:sz w:val="20"/>
              </w:rPr>
              <w:t>n.a.</w:t>
            </w:r>
          </w:p>
        </w:tc>
        <w:tc>
          <w:tcPr>
            <w:tcW w:w="876" w:type="dxa"/>
            <w:tcBorders>
              <w:top w:val="double" w:sz="4" w:space="0" w:color="auto"/>
              <w:left w:val="double" w:sz="4" w:space="0" w:color="auto"/>
              <w:bottom w:val="single" w:sz="4" w:space="0" w:color="auto"/>
              <w:right w:val="double" w:sz="4" w:space="0" w:color="auto"/>
            </w:tcBorders>
          </w:tcPr>
          <w:p>
            <w:pPr>
              <w:spacing w:before="60" w:after="60"/>
              <w:jc w:val="right"/>
              <w:rPr>
                <w:noProof/>
                <w:sz w:val="20"/>
                <w:szCs w:val="20"/>
              </w:rPr>
            </w:pPr>
            <w:r>
              <w:rPr>
                <w:noProof/>
                <w:sz w:val="20"/>
              </w:rPr>
              <w:t>n.a.</w:t>
            </w:r>
          </w:p>
        </w:tc>
      </w:tr>
      <w:tr>
        <w:trPr>
          <w:cantSplit/>
        </w:trPr>
        <w:tc>
          <w:tcPr>
            <w:tcW w:w="2335" w:type="dxa"/>
            <w:tcBorders>
              <w:top w:val="single" w:sz="4" w:space="0" w:color="auto"/>
              <w:left w:val="double" w:sz="4" w:space="0" w:color="auto"/>
              <w:bottom w:val="double" w:sz="4" w:space="0" w:color="auto"/>
            </w:tcBorders>
          </w:tcPr>
          <w:p>
            <w:pPr>
              <w:spacing w:before="60" w:after="60"/>
              <w:rPr>
                <w:b/>
                <w:noProof/>
                <w:sz w:val="20"/>
                <w:szCs w:val="20"/>
              </w:rPr>
            </w:pPr>
            <w:r>
              <w:rPr>
                <w:b/>
                <w:noProof/>
                <w:sz w:val="20"/>
              </w:rPr>
              <w:t>TOTAL CP, inclusiv costul resurselor umane</w:t>
            </w:r>
          </w:p>
        </w:tc>
        <w:tc>
          <w:tcPr>
            <w:tcW w:w="701" w:type="dxa"/>
            <w:tcBorders>
              <w:top w:val="single" w:sz="4" w:space="0" w:color="auto"/>
              <w:left w:val="single" w:sz="4" w:space="0" w:color="auto"/>
              <w:bottom w:val="double" w:sz="4" w:space="0" w:color="auto"/>
              <w:right w:val="single" w:sz="4" w:space="0" w:color="auto"/>
            </w:tcBorders>
          </w:tcPr>
          <w:p>
            <w:pPr>
              <w:spacing w:before="60" w:after="60"/>
              <w:jc w:val="center"/>
              <w:rPr>
                <w:noProof/>
              </w:rPr>
            </w:pPr>
          </w:p>
        </w:tc>
        <w:tc>
          <w:tcPr>
            <w:tcW w:w="540" w:type="dxa"/>
            <w:tcBorders>
              <w:top w:val="single" w:sz="4" w:space="0" w:color="auto"/>
              <w:left w:val="single" w:sz="4" w:space="0" w:color="auto"/>
              <w:bottom w:val="double" w:sz="4" w:space="0" w:color="auto"/>
            </w:tcBorders>
            <w:vAlign w:val="center"/>
          </w:tcPr>
          <w:p>
            <w:pPr>
              <w:spacing w:before="60" w:after="60"/>
              <w:jc w:val="center"/>
              <w:rPr>
                <w:noProof/>
                <w:sz w:val="20"/>
                <w:szCs w:val="20"/>
              </w:rPr>
            </w:pPr>
            <w:r>
              <w:rPr>
                <w:noProof/>
                <w:sz w:val="20"/>
              </w:rPr>
              <w:t>b+c+d+e</w:t>
            </w:r>
          </w:p>
        </w:tc>
        <w:tc>
          <w:tcPr>
            <w:tcW w:w="720" w:type="dxa"/>
            <w:tcBorders>
              <w:top w:val="single" w:sz="4" w:space="0" w:color="auto"/>
              <w:left w:val="single" w:sz="4" w:space="0" w:color="auto"/>
              <w:bottom w:val="double" w:sz="4" w:space="0" w:color="auto"/>
              <w:right w:val="single" w:sz="4" w:space="0" w:color="auto"/>
            </w:tcBorders>
          </w:tcPr>
          <w:p>
            <w:pPr>
              <w:spacing w:before="60" w:after="60"/>
              <w:jc w:val="right"/>
              <w:rPr>
                <w:noProof/>
                <w:sz w:val="20"/>
                <w:szCs w:val="20"/>
              </w:rPr>
            </w:pPr>
            <w:r>
              <w:rPr>
                <w:noProof/>
                <w:sz w:val="20"/>
              </w:rPr>
              <w:t>n.a</w:t>
            </w:r>
          </w:p>
        </w:tc>
        <w:tc>
          <w:tcPr>
            <w:tcW w:w="900" w:type="dxa"/>
            <w:tcBorders>
              <w:top w:val="single" w:sz="4" w:space="0" w:color="auto"/>
              <w:left w:val="single" w:sz="4" w:space="0" w:color="auto"/>
              <w:bottom w:val="doub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4" w:space="0" w:color="auto"/>
              <w:left w:val="single" w:sz="4" w:space="0" w:color="auto"/>
              <w:bottom w:val="doub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4" w:space="0" w:color="auto"/>
              <w:left w:val="single" w:sz="4" w:space="0" w:color="auto"/>
              <w:bottom w:val="doub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4" w:space="0" w:color="auto"/>
              <w:left w:val="single" w:sz="4" w:space="0" w:color="auto"/>
              <w:bottom w:val="doub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4" w:space="0" w:color="auto"/>
              <w:left w:val="single" w:sz="4" w:space="0" w:color="auto"/>
              <w:bottom w:val="double" w:sz="4" w:space="0" w:color="auto"/>
              <w:right w:val="double" w:sz="4" w:space="0" w:color="auto"/>
            </w:tcBorders>
          </w:tcPr>
          <w:p>
            <w:pPr>
              <w:spacing w:before="60" w:after="60"/>
              <w:jc w:val="right"/>
              <w:rPr>
                <w:noProof/>
                <w:sz w:val="20"/>
                <w:szCs w:val="20"/>
              </w:rPr>
            </w:pPr>
            <w:r>
              <w:rPr>
                <w:noProof/>
                <w:sz w:val="20"/>
              </w:rPr>
              <w:t>n.a.</w:t>
            </w:r>
          </w:p>
        </w:tc>
        <w:tc>
          <w:tcPr>
            <w:tcW w:w="876" w:type="dxa"/>
            <w:tcBorders>
              <w:top w:val="single" w:sz="4" w:space="0" w:color="auto"/>
              <w:left w:val="double" w:sz="4" w:space="0" w:color="auto"/>
              <w:bottom w:val="double" w:sz="4" w:space="0" w:color="auto"/>
              <w:right w:val="double" w:sz="4" w:space="0" w:color="auto"/>
            </w:tcBorders>
          </w:tcPr>
          <w:p>
            <w:pPr>
              <w:spacing w:before="60" w:after="60"/>
              <w:jc w:val="right"/>
              <w:rPr>
                <w:noProof/>
                <w:sz w:val="20"/>
                <w:szCs w:val="20"/>
              </w:rPr>
            </w:pPr>
            <w:r>
              <w:rPr>
                <w:noProof/>
                <w:sz w:val="20"/>
              </w:rPr>
              <w:t>n.a</w:t>
            </w:r>
          </w:p>
        </w:tc>
      </w:tr>
    </w:tbl>
    <w:p>
      <w:pPr>
        <w:rPr>
          <w:b/>
          <w:noProof/>
        </w:rPr>
        <w:sectPr>
          <w:pgSz w:w="12240" w:h="15840"/>
          <w:pgMar w:top="1440" w:right="1800" w:bottom="1440" w:left="1800" w:header="708" w:footer="708" w:gutter="0"/>
          <w:cols w:space="708"/>
          <w:docGrid w:linePitch="360"/>
        </w:sectPr>
      </w:pPr>
    </w:p>
    <w:p>
      <w:pPr>
        <w:rPr>
          <w:b/>
          <w:noProof/>
        </w:rPr>
      </w:pPr>
      <w:r>
        <w:rPr>
          <w:b/>
          <w:noProof/>
        </w:rPr>
        <w:t>Detalii privind cofinanțarea</w:t>
      </w:r>
    </w:p>
    <w:p>
      <w:pPr>
        <w:jc w:val="right"/>
        <w:rPr>
          <w:i/>
          <w:noProof/>
          <w:sz w:val="20"/>
          <w:szCs w:val="20"/>
        </w:rPr>
      </w:pPr>
      <w:r>
        <w:rPr>
          <w:i/>
          <w:noProof/>
          <w:sz w:val="20"/>
        </w:rPr>
        <w:t>milioane EUR (cu 3 zecimale)</w:t>
      </w:r>
    </w:p>
    <w:tbl>
      <w:tblPr>
        <w:tblW w:w="8076" w:type="dxa"/>
        <w:tblInd w:w="312" w:type="dxa"/>
        <w:tblLayout w:type="fixed"/>
        <w:tblLook w:val="0000" w:firstRow="0" w:lastRow="0" w:firstColumn="0" w:lastColumn="0" w:noHBand="0" w:noVBand="0"/>
      </w:tblPr>
      <w:tblGrid>
        <w:gridCol w:w="2335"/>
        <w:gridCol w:w="584"/>
        <w:gridCol w:w="681"/>
        <w:gridCol w:w="720"/>
        <w:gridCol w:w="720"/>
        <w:gridCol w:w="720"/>
        <w:gridCol w:w="720"/>
        <w:gridCol w:w="720"/>
        <w:gridCol w:w="876"/>
      </w:tblGrid>
      <w:tr>
        <w:trPr>
          <w:cantSplit/>
        </w:trPr>
        <w:tc>
          <w:tcPr>
            <w:tcW w:w="2335" w:type="dxa"/>
            <w:tcBorders>
              <w:top w:val="single" w:sz="12" w:space="0" w:color="auto"/>
              <w:left w:val="single" w:sz="12" w:space="0" w:color="auto"/>
              <w:bottom w:val="single" w:sz="12" w:space="0" w:color="auto"/>
              <w:right w:val="single" w:sz="12" w:space="0" w:color="auto"/>
            </w:tcBorders>
          </w:tcPr>
          <w:p>
            <w:pPr>
              <w:spacing w:before="60" w:after="60"/>
              <w:rPr>
                <w:noProof/>
                <w:sz w:val="20"/>
                <w:szCs w:val="20"/>
              </w:rPr>
            </w:pPr>
            <w:r>
              <w:rPr>
                <w:noProof/>
                <w:sz w:val="20"/>
              </w:rPr>
              <w:t>Organism cofinanțator</w:t>
            </w:r>
          </w:p>
        </w:tc>
        <w:tc>
          <w:tcPr>
            <w:tcW w:w="584" w:type="dxa"/>
            <w:tcBorders>
              <w:top w:val="single" w:sz="12" w:space="0" w:color="auto"/>
              <w:left w:val="single" w:sz="12" w:space="0" w:color="auto"/>
              <w:bottom w:val="single" w:sz="12" w:space="0" w:color="auto"/>
              <w:right w:val="single" w:sz="12" w:space="0" w:color="auto"/>
            </w:tcBorders>
            <w:vAlign w:val="center"/>
          </w:tcPr>
          <w:p>
            <w:pPr>
              <w:spacing w:before="60" w:after="60"/>
              <w:jc w:val="center"/>
              <w:rPr>
                <w:noProof/>
                <w:sz w:val="20"/>
                <w:szCs w:val="20"/>
              </w:rPr>
            </w:pPr>
          </w:p>
        </w:tc>
        <w:tc>
          <w:tcPr>
            <w:tcW w:w="681" w:type="dxa"/>
            <w:tcBorders>
              <w:top w:val="single" w:sz="12" w:space="0" w:color="auto"/>
              <w:left w:val="single" w:sz="12" w:space="0" w:color="auto"/>
              <w:bottom w:val="single" w:sz="12" w:space="0" w:color="auto"/>
              <w:right w:val="single" w:sz="12" w:space="0" w:color="auto"/>
            </w:tcBorders>
          </w:tcPr>
          <w:p>
            <w:pPr>
              <w:jc w:val="center"/>
              <w:rPr>
                <w:noProof/>
                <w:sz w:val="20"/>
                <w:szCs w:val="20"/>
              </w:rPr>
            </w:pPr>
          </w:p>
          <w:p>
            <w:pPr>
              <w:spacing w:before="60" w:after="60"/>
              <w:rPr>
                <w:noProof/>
                <w:sz w:val="20"/>
                <w:szCs w:val="20"/>
              </w:rPr>
            </w:pPr>
            <w:r>
              <w:rPr>
                <w:noProof/>
                <w:sz w:val="20"/>
              </w:rPr>
              <w:t>Anul n</w:t>
            </w:r>
          </w:p>
        </w:tc>
        <w:tc>
          <w:tcPr>
            <w:tcW w:w="720" w:type="dxa"/>
            <w:tcBorders>
              <w:top w:val="single" w:sz="12" w:space="0" w:color="auto"/>
              <w:left w:val="single" w:sz="12" w:space="0" w:color="auto"/>
              <w:bottom w:val="single" w:sz="12" w:space="0" w:color="auto"/>
              <w:right w:val="single" w:sz="12" w:space="0" w:color="auto"/>
            </w:tcBorders>
          </w:tcPr>
          <w:p>
            <w:pPr>
              <w:jc w:val="center"/>
              <w:rPr>
                <w:noProof/>
                <w:sz w:val="20"/>
                <w:szCs w:val="20"/>
              </w:rPr>
            </w:pPr>
          </w:p>
          <w:p>
            <w:pPr>
              <w:spacing w:before="60" w:after="60"/>
              <w:rPr>
                <w:noProof/>
                <w:sz w:val="20"/>
                <w:szCs w:val="20"/>
              </w:rPr>
            </w:pPr>
            <w:r>
              <w:rPr>
                <w:noProof/>
                <w:sz w:val="20"/>
              </w:rPr>
              <w:t>n + 1</w:t>
            </w:r>
          </w:p>
        </w:tc>
        <w:tc>
          <w:tcPr>
            <w:tcW w:w="720" w:type="dxa"/>
            <w:tcBorders>
              <w:top w:val="single" w:sz="12" w:space="0" w:color="auto"/>
              <w:left w:val="single" w:sz="12" w:space="0" w:color="auto"/>
              <w:bottom w:val="single" w:sz="12" w:space="0" w:color="auto"/>
              <w:right w:val="single" w:sz="12" w:space="0" w:color="auto"/>
            </w:tcBorders>
          </w:tcPr>
          <w:p>
            <w:pPr>
              <w:jc w:val="center"/>
              <w:rPr>
                <w:noProof/>
                <w:sz w:val="20"/>
                <w:szCs w:val="20"/>
              </w:rPr>
            </w:pPr>
          </w:p>
          <w:p>
            <w:pPr>
              <w:spacing w:before="60" w:after="60"/>
              <w:rPr>
                <w:noProof/>
                <w:sz w:val="20"/>
                <w:szCs w:val="20"/>
              </w:rPr>
            </w:pPr>
            <w:r>
              <w:rPr>
                <w:noProof/>
                <w:sz w:val="20"/>
              </w:rPr>
              <w:t>n + 2</w:t>
            </w:r>
          </w:p>
        </w:tc>
        <w:tc>
          <w:tcPr>
            <w:tcW w:w="720" w:type="dxa"/>
            <w:tcBorders>
              <w:top w:val="single" w:sz="12" w:space="0" w:color="auto"/>
              <w:left w:val="single" w:sz="12" w:space="0" w:color="auto"/>
              <w:bottom w:val="single" w:sz="12" w:space="0" w:color="auto"/>
              <w:right w:val="single" w:sz="12" w:space="0" w:color="auto"/>
            </w:tcBorders>
          </w:tcPr>
          <w:p>
            <w:pPr>
              <w:jc w:val="center"/>
              <w:rPr>
                <w:noProof/>
                <w:sz w:val="20"/>
                <w:szCs w:val="20"/>
              </w:rPr>
            </w:pPr>
          </w:p>
          <w:p>
            <w:pPr>
              <w:spacing w:before="60" w:after="60"/>
              <w:rPr>
                <w:noProof/>
                <w:sz w:val="20"/>
                <w:szCs w:val="20"/>
              </w:rPr>
            </w:pPr>
            <w:r>
              <w:rPr>
                <w:noProof/>
                <w:sz w:val="20"/>
              </w:rPr>
              <w:t>n + 3</w:t>
            </w:r>
          </w:p>
        </w:tc>
        <w:tc>
          <w:tcPr>
            <w:tcW w:w="720" w:type="dxa"/>
            <w:tcBorders>
              <w:top w:val="single" w:sz="12" w:space="0" w:color="auto"/>
              <w:left w:val="single" w:sz="12" w:space="0" w:color="auto"/>
              <w:bottom w:val="single" w:sz="12" w:space="0" w:color="auto"/>
              <w:right w:val="single" w:sz="12" w:space="0" w:color="auto"/>
            </w:tcBorders>
          </w:tcPr>
          <w:p>
            <w:pPr>
              <w:jc w:val="center"/>
              <w:rPr>
                <w:noProof/>
                <w:sz w:val="20"/>
                <w:szCs w:val="20"/>
              </w:rPr>
            </w:pPr>
          </w:p>
          <w:p>
            <w:pPr>
              <w:spacing w:before="60" w:after="60"/>
              <w:rPr>
                <w:noProof/>
                <w:sz w:val="20"/>
                <w:szCs w:val="20"/>
              </w:rPr>
            </w:pPr>
            <w:r>
              <w:rPr>
                <w:noProof/>
                <w:sz w:val="20"/>
              </w:rPr>
              <w:t>n + 4</w:t>
            </w:r>
          </w:p>
        </w:tc>
        <w:tc>
          <w:tcPr>
            <w:tcW w:w="720" w:type="dxa"/>
            <w:tcBorders>
              <w:top w:val="single" w:sz="12" w:space="0" w:color="auto"/>
              <w:left w:val="single" w:sz="12" w:space="0" w:color="auto"/>
              <w:bottom w:val="single" w:sz="12" w:space="0" w:color="auto"/>
              <w:right w:val="single" w:sz="12" w:space="0" w:color="auto"/>
            </w:tcBorders>
            <w:vAlign w:val="center"/>
          </w:tcPr>
          <w:p>
            <w:pPr>
              <w:spacing w:before="60" w:after="60"/>
              <w:rPr>
                <w:noProof/>
                <w:sz w:val="20"/>
                <w:szCs w:val="20"/>
              </w:rPr>
            </w:pPr>
            <w:r>
              <w:rPr>
                <w:noProof/>
                <w:sz w:val="20"/>
              </w:rPr>
              <w:t>n + 5 și anii urm.</w:t>
            </w:r>
          </w:p>
        </w:tc>
        <w:tc>
          <w:tcPr>
            <w:tcW w:w="876" w:type="dxa"/>
            <w:tcBorders>
              <w:top w:val="single" w:sz="12" w:space="0" w:color="auto"/>
              <w:left w:val="single" w:sz="12" w:space="0" w:color="auto"/>
              <w:bottom w:val="single" w:sz="12" w:space="0" w:color="auto"/>
              <w:right w:val="single" w:sz="12" w:space="0" w:color="auto"/>
            </w:tcBorders>
          </w:tcPr>
          <w:p>
            <w:pPr>
              <w:jc w:val="center"/>
              <w:rPr>
                <w:noProof/>
                <w:sz w:val="20"/>
                <w:szCs w:val="20"/>
              </w:rPr>
            </w:pPr>
          </w:p>
          <w:p>
            <w:pPr>
              <w:spacing w:before="60" w:after="60"/>
              <w:rPr>
                <w:noProof/>
                <w:sz w:val="20"/>
                <w:szCs w:val="20"/>
              </w:rPr>
            </w:pPr>
            <w:r>
              <w:rPr>
                <w:noProof/>
                <w:sz w:val="20"/>
              </w:rPr>
              <w:t>Total</w:t>
            </w:r>
          </w:p>
        </w:tc>
      </w:tr>
      <w:tr>
        <w:trPr>
          <w:cantSplit/>
        </w:trPr>
        <w:tc>
          <w:tcPr>
            <w:tcW w:w="2335" w:type="dxa"/>
            <w:tcBorders>
              <w:top w:val="single" w:sz="12" w:space="0" w:color="auto"/>
              <w:left w:val="single" w:sz="12" w:space="0" w:color="auto"/>
              <w:bottom w:val="single" w:sz="4" w:space="0" w:color="auto"/>
              <w:right w:val="single" w:sz="4" w:space="0" w:color="auto"/>
            </w:tcBorders>
          </w:tcPr>
          <w:p>
            <w:pPr>
              <w:spacing w:before="60" w:after="60"/>
              <w:rPr>
                <w:noProof/>
                <w:sz w:val="20"/>
                <w:szCs w:val="20"/>
              </w:rPr>
            </w:pPr>
            <w:r>
              <w:rPr>
                <w:noProof/>
                <w:sz w:val="20"/>
              </w:rPr>
              <w:t>……………………</w:t>
            </w:r>
          </w:p>
        </w:tc>
        <w:tc>
          <w:tcPr>
            <w:tcW w:w="584" w:type="dxa"/>
            <w:tcBorders>
              <w:top w:val="single" w:sz="12" w:space="0" w:color="auto"/>
              <w:left w:val="single" w:sz="4" w:space="0" w:color="auto"/>
              <w:bottom w:val="single" w:sz="4" w:space="0" w:color="auto"/>
              <w:right w:val="single" w:sz="4" w:space="0" w:color="auto"/>
            </w:tcBorders>
            <w:vAlign w:val="center"/>
          </w:tcPr>
          <w:p>
            <w:pPr>
              <w:spacing w:before="60" w:after="60"/>
              <w:jc w:val="center"/>
              <w:rPr>
                <w:noProof/>
                <w:sz w:val="20"/>
                <w:szCs w:val="20"/>
              </w:rPr>
            </w:pPr>
            <w:r>
              <w:rPr>
                <w:noProof/>
                <w:sz w:val="20"/>
              </w:rPr>
              <w:t>f</w:t>
            </w:r>
          </w:p>
        </w:tc>
        <w:tc>
          <w:tcPr>
            <w:tcW w:w="681" w:type="dxa"/>
            <w:tcBorders>
              <w:top w:val="single" w:sz="12"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12"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12"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12"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12"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12" w:space="0" w:color="auto"/>
              <w:left w:val="single" w:sz="4" w:space="0" w:color="auto"/>
              <w:bottom w:val="single" w:sz="4" w:space="0" w:color="auto"/>
              <w:right w:val="single" w:sz="12" w:space="0" w:color="auto"/>
            </w:tcBorders>
          </w:tcPr>
          <w:p>
            <w:pPr>
              <w:spacing w:before="60" w:after="60"/>
              <w:jc w:val="right"/>
              <w:rPr>
                <w:noProof/>
                <w:sz w:val="20"/>
                <w:szCs w:val="20"/>
              </w:rPr>
            </w:pPr>
            <w:r>
              <w:rPr>
                <w:noProof/>
                <w:sz w:val="20"/>
              </w:rPr>
              <w:t>n.a.</w:t>
            </w:r>
          </w:p>
        </w:tc>
        <w:tc>
          <w:tcPr>
            <w:tcW w:w="876" w:type="dxa"/>
            <w:tcBorders>
              <w:top w:val="single" w:sz="12" w:space="0" w:color="auto"/>
              <w:left w:val="nil"/>
              <w:bottom w:val="single" w:sz="12" w:space="0" w:color="auto"/>
              <w:right w:val="single" w:sz="12" w:space="0" w:color="auto"/>
            </w:tcBorders>
          </w:tcPr>
          <w:p>
            <w:pPr>
              <w:spacing w:before="60" w:after="60"/>
              <w:jc w:val="right"/>
              <w:rPr>
                <w:noProof/>
                <w:sz w:val="20"/>
                <w:szCs w:val="20"/>
              </w:rPr>
            </w:pPr>
            <w:r>
              <w:rPr>
                <w:noProof/>
                <w:sz w:val="20"/>
              </w:rPr>
              <w:t>n.a.</w:t>
            </w:r>
          </w:p>
        </w:tc>
      </w:tr>
      <w:tr>
        <w:trPr>
          <w:cantSplit/>
        </w:trPr>
        <w:tc>
          <w:tcPr>
            <w:tcW w:w="2335" w:type="dxa"/>
            <w:tcBorders>
              <w:top w:val="single" w:sz="4" w:space="0" w:color="auto"/>
              <w:left w:val="single" w:sz="12" w:space="0" w:color="auto"/>
              <w:bottom w:val="single" w:sz="12" w:space="0" w:color="auto"/>
              <w:right w:val="single" w:sz="4" w:space="0" w:color="auto"/>
            </w:tcBorders>
          </w:tcPr>
          <w:p>
            <w:pPr>
              <w:spacing w:before="60" w:after="60"/>
              <w:rPr>
                <w:noProof/>
                <w:sz w:val="20"/>
                <w:szCs w:val="20"/>
              </w:rPr>
            </w:pPr>
            <w:r>
              <w:rPr>
                <w:noProof/>
                <w:sz w:val="20"/>
              </w:rPr>
              <w:t>TOTAL CA, inclusiv cofinanțare</w:t>
            </w:r>
          </w:p>
        </w:tc>
        <w:tc>
          <w:tcPr>
            <w:tcW w:w="584" w:type="dxa"/>
            <w:tcBorders>
              <w:top w:val="single" w:sz="4" w:space="0" w:color="auto"/>
              <w:left w:val="single" w:sz="4" w:space="0" w:color="auto"/>
              <w:bottom w:val="single" w:sz="12" w:space="0" w:color="auto"/>
              <w:right w:val="single" w:sz="4" w:space="0" w:color="auto"/>
            </w:tcBorders>
            <w:vAlign w:val="center"/>
          </w:tcPr>
          <w:p>
            <w:pPr>
              <w:spacing w:before="60" w:after="60"/>
              <w:jc w:val="center"/>
              <w:rPr>
                <w:noProof/>
                <w:sz w:val="20"/>
                <w:szCs w:val="20"/>
              </w:rPr>
            </w:pPr>
            <w:r>
              <w:rPr>
                <w:noProof/>
                <w:sz w:val="20"/>
              </w:rPr>
              <w:t>a+c+d+e+f</w:t>
            </w:r>
          </w:p>
        </w:tc>
        <w:tc>
          <w:tcPr>
            <w:tcW w:w="681" w:type="dxa"/>
            <w:tcBorders>
              <w:top w:val="single" w:sz="4" w:space="0" w:color="auto"/>
              <w:left w:val="single" w:sz="4" w:space="0" w:color="auto"/>
              <w:bottom w:val="single" w:sz="12"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4" w:space="0" w:color="auto"/>
              <w:left w:val="single" w:sz="4" w:space="0" w:color="auto"/>
              <w:bottom w:val="single" w:sz="12"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4" w:space="0" w:color="auto"/>
              <w:left w:val="single" w:sz="4" w:space="0" w:color="auto"/>
              <w:bottom w:val="single" w:sz="12"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4" w:space="0" w:color="auto"/>
              <w:left w:val="single" w:sz="4" w:space="0" w:color="auto"/>
              <w:bottom w:val="single" w:sz="12"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4" w:space="0" w:color="auto"/>
              <w:left w:val="single" w:sz="4" w:space="0" w:color="auto"/>
              <w:bottom w:val="single" w:sz="12" w:space="0" w:color="auto"/>
              <w:right w:val="single" w:sz="4" w:space="0" w:color="auto"/>
            </w:tcBorders>
          </w:tcPr>
          <w:p>
            <w:pPr>
              <w:spacing w:before="60" w:after="60"/>
              <w:jc w:val="right"/>
              <w:rPr>
                <w:noProof/>
                <w:sz w:val="20"/>
                <w:szCs w:val="20"/>
              </w:rPr>
            </w:pPr>
            <w:r>
              <w:rPr>
                <w:noProof/>
                <w:sz w:val="20"/>
              </w:rPr>
              <w:t>n.a.</w:t>
            </w:r>
          </w:p>
        </w:tc>
        <w:tc>
          <w:tcPr>
            <w:tcW w:w="720" w:type="dxa"/>
            <w:tcBorders>
              <w:top w:val="single" w:sz="4" w:space="0" w:color="auto"/>
              <w:left w:val="single" w:sz="4" w:space="0" w:color="auto"/>
              <w:bottom w:val="single" w:sz="12" w:space="0" w:color="auto"/>
              <w:right w:val="single" w:sz="12" w:space="0" w:color="auto"/>
            </w:tcBorders>
          </w:tcPr>
          <w:p>
            <w:pPr>
              <w:spacing w:before="60" w:after="60"/>
              <w:jc w:val="right"/>
              <w:rPr>
                <w:noProof/>
                <w:sz w:val="20"/>
                <w:szCs w:val="20"/>
              </w:rPr>
            </w:pPr>
            <w:r>
              <w:rPr>
                <w:noProof/>
                <w:sz w:val="20"/>
              </w:rPr>
              <w:t>n.a.</w:t>
            </w:r>
          </w:p>
        </w:tc>
        <w:tc>
          <w:tcPr>
            <w:tcW w:w="876" w:type="dxa"/>
            <w:tcBorders>
              <w:top w:val="single" w:sz="12" w:space="0" w:color="auto"/>
              <w:left w:val="nil"/>
              <w:bottom w:val="single" w:sz="12" w:space="0" w:color="auto"/>
              <w:right w:val="single" w:sz="12" w:space="0" w:color="auto"/>
            </w:tcBorders>
          </w:tcPr>
          <w:p>
            <w:pPr>
              <w:spacing w:before="60" w:after="60"/>
              <w:jc w:val="right"/>
              <w:rPr>
                <w:noProof/>
                <w:sz w:val="20"/>
                <w:szCs w:val="20"/>
              </w:rPr>
            </w:pPr>
            <w:r>
              <w:rPr>
                <w:noProof/>
                <w:sz w:val="20"/>
              </w:rPr>
              <w:t>n.a.</w:t>
            </w:r>
          </w:p>
        </w:tc>
      </w:tr>
    </w:tbl>
    <w:p>
      <w:pPr>
        <w:pStyle w:val="ManualHeading3"/>
        <w:spacing w:before="360"/>
        <w:ind w:left="851" w:hanging="851"/>
        <w:rPr>
          <w:noProof/>
        </w:rPr>
      </w:pPr>
      <w:r>
        <w:rPr>
          <w:noProof/>
        </w:rPr>
        <w:t>4.1.2.</w:t>
      </w:r>
      <w:r>
        <w:rPr>
          <w:noProof/>
        </w:rPr>
        <w:tab/>
        <w:t>Compatibilitatea cu programarea financiară</w:t>
      </w:r>
    </w:p>
    <w:p>
      <w:pPr>
        <w:pStyle w:val="Point1"/>
        <w:rPr>
          <w:noProof/>
        </w:rPr>
      </w:pPr>
      <w:r>
        <w:rPr>
          <w:noProof/>
        </w:rPr>
        <w:sym w:font="Wingdings" w:char="F078"/>
      </w:r>
      <w:r>
        <w:rPr>
          <w:noProof/>
        </w:rPr>
        <w:tab/>
        <w:t>Propunerea este compatibilă cu programarea financiară existentă.</w:t>
      </w:r>
    </w:p>
    <w:p>
      <w:pPr>
        <w:pStyle w:val="Text1"/>
        <w:rPr>
          <w:noProof/>
        </w:rPr>
      </w:pPr>
      <w:r>
        <w:rPr>
          <w:noProof/>
        </w:rPr>
        <w:sym w:font="Wingdings" w:char="F0A8"/>
      </w:r>
      <w:r>
        <w:rPr>
          <w:noProof/>
        </w:rPr>
        <w:tab/>
        <w:t>Propunerea va duce la reprogramarea rubricii respective din perspectiva financiară.</w:t>
      </w:r>
    </w:p>
    <w:p>
      <w:pPr>
        <w:pStyle w:val="Text1"/>
        <w:spacing w:after="240"/>
        <w:rPr>
          <w:noProof/>
        </w:rPr>
      </w:pPr>
      <w:r>
        <w:rPr>
          <w:noProof/>
        </w:rPr>
        <w:sym w:font="Wingdings" w:char="F0A8"/>
      </w:r>
      <w:r>
        <w:rPr>
          <w:noProof/>
        </w:rPr>
        <w:tab/>
        <w:t>Propunerea poate necesita aplicarea dispozițiilor Acordului interinstituțional</w:t>
      </w:r>
      <w:r>
        <w:rPr>
          <w:rStyle w:val="FootnoteReference"/>
          <w:noProof/>
        </w:rPr>
        <w:footnoteReference w:id="9"/>
      </w:r>
      <w:r>
        <w:rPr>
          <w:noProof/>
        </w:rPr>
        <w:t xml:space="preserve"> (și anume, instrumentul de flexibilitate sau revizuirea perspectivei financiare).</w:t>
      </w:r>
    </w:p>
    <w:p>
      <w:pPr>
        <w:pStyle w:val="ManualHeading3"/>
        <w:rPr>
          <w:noProof/>
        </w:rPr>
      </w:pPr>
      <w:r>
        <w:rPr>
          <w:noProof/>
        </w:rPr>
        <w:t>4.1.3.</w:t>
      </w:r>
      <w:r>
        <w:rPr>
          <w:noProof/>
        </w:rPr>
        <w:tab/>
        <w:t>Implicațiile financiare asupra veniturilor</w:t>
      </w:r>
    </w:p>
    <w:p>
      <w:pPr>
        <w:pStyle w:val="Text1"/>
        <w:rPr>
          <w:noProof/>
        </w:rPr>
      </w:pPr>
      <w:r>
        <w:rPr>
          <w:noProof/>
        </w:rPr>
        <w:sym w:font="Wingdings" w:char="F078"/>
      </w:r>
      <w:r>
        <w:rPr>
          <w:noProof/>
        </w:rPr>
        <w:tab/>
        <w:t>Propunerea nu are implicații financiare asupra veniturilor</w:t>
      </w:r>
    </w:p>
    <w:p>
      <w:pPr>
        <w:pStyle w:val="Text1"/>
        <w:rPr>
          <w:noProof/>
        </w:rPr>
      </w:pPr>
      <w:r>
        <w:rPr>
          <w:noProof/>
        </w:rPr>
        <w:sym w:font="Wingdings" w:char="F0A8"/>
      </w:r>
      <w:r>
        <w:rPr>
          <w:noProof/>
        </w:rPr>
        <w:tab/>
        <w:t>Propunerea are implicații financiare – efectul asupra veniturilor este următorul:</w:t>
      </w:r>
    </w:p>
    <w:p>
      <w:pPr>
        <w:pStyle w:val="NormalRight"/>
        <w:rPr>
          <w:i/>
          <w:noProof/>
          <w:sz w:val="20"/>
        </w:rPr>
      </w:pPr>
      <w:r>
        <w:rPr>
          <w:i/>
          <w:noProof/>
          <w:sz w:val="20"/>
        </w:rPr>
        <w:t>milioane EUR (cu o zecimală)</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4"/>
        <w:gridCol w:w="2268"/>
        <w:gridCol w:w="685"/>
        <w:gridCol w:w="141"/>
        <w:gridCol w:w="647"/>
        <w:gridCol w:w="648"/>
        <w:gridCol w:w="648"/>
        <w:gridCol w:w="647"/>
        <w:gridCol w:w="648"/>
        <w:gridCol w:w="648"/>
      </w:tblGrid>
      <w:tr>
        <w:trPr>
          <w:cantSplit/>
        </w:trPr>
        <w:tc>
          <w:tcPr>
            <w:tcW w:w="964" w:type="dxa"/>
            <w:tcBorders>
              <w:right w:val="nil"/>
            </w:tcBorders>
          </w:tcPr>
          <w:p>
            <w:pPr>
              <w:rPr>
                <w:noProof/>
                <w:sz w:val="18"/>
              </w:rPr>
            </w:pPr>
          </w:p>
        </w:tc>
        <w:tc>
          <w:tcPr>
            <w:tcW w:w="2268" w:type="dxa"/>
            <w:tcBorders>
              <w:left w:val="nil"/>
            </w:tcBorders>
          </w:tcPr>
          <w:p>
            <w:pPr>
              <w:rPr>
                <w:noProof/>
                <w:sz w:val="18"/>
              </w:rPr>
            </w:pPr>
          </w:p>
        </w:tc>
        <w:tc>
          <w:tcPr>
            <w:tcW w:w="685" w:type="dxa"/>
            <w:vMerge w:val="restart"/>
            <w:tcBorders>
              <w:left w:val="nil"/>
              <w:bottom w:val="nil"/>
            </w:tcBorders>
          </w:tcPr>
          <w:p>
            <w:pPr>
              <w:jc w:val="center"/>
              <w:rPr>
                <w:noProof/>
                <w:sz w:val="16"/>
              </w:rPr>
            </w:pPr>
            <w:r>
              <w:rPr>
                <w:noProof/>
                <w:sz w:val="16"/>
              </w:rPr>
              <w:t>Anterior</w:t>
            </w:r>
            <w:r>
              <w:rPr>
                <w:noProof/>
                <w:sz w:val="16"/>
              </w:rPr>
              <w:br/>
              <w:t xml:space="preserve">acțiunii </w:t>
            </w:r>
            <w:r>
              <w:rPr>
                <w:noProof/>
                <w:sz w:val="16"/>
              </w:rPr>
              <w:br/>
            </w:r>
            <w:r>
              <w:rPr>
                <w:noProof/>
              </w:rPr>
              <w:t>[Anul n-1]</w:t>
            </w:r>
          </w:p>
        </w:tc>
        <w:tc>
          <w:tcPr>
            <w:tcW w:w="141" w:type="dxa"/>
            <w:tcBorders>
              <w:left w:val="nil"/>
              <w:bottom w:val="nil"/>
              <w:right w:val="nil"/>
            </w:tcBorders>
          </w:tcPr>
          <w:p>
            <w:pPr>
              <w:jc w:val="center"/>
              <w:rPr>
                <w:noProof/>
                <w:sz w:val="18"/>
              </w:rPr>
            </w:pPr>
          </w:p>
        </w:tc>
        <w:tc>
          <w:tcPr>
            <w:tcW w:w="3886" w:type="dxa"/>
            <w:gridSpan w:val="6"/>
            <w:tcBorders>
              <w:bottom w:val="nil"/>
            </w:tcBorders>
          </w:tcPr>
          <w:p>
            <w:pPr>
              <w:jc w:val="center"/>
              <w:rPr>
                <w:noProof/>
                <w:sz w:val="18"/>
              </w:rPr>
            </w:pPr>
            <w:r>
              <w:rPr>
                <w:noProof/>
                <w:sz w:val="18"/>
              </w:rPr>
              <w:t>Situația după acțiune</w:t>
            </w:r>
          </w:p>
        </w:tc>
      </w:tr>
      <w:tr>
        <w:trPr>
          <w:cantSplit/>
        </w:trPr>
        <w:tc>
          <w:tcPr>
            <w:tcW w:w="964" w:type="dxa"/>
            <w:tcBorders>
              <w:top w:val="nil"/>
              <w:bottom w:val="nil"/>
            </w:tcBorders>
          </w:tcPr>
          <w:p>
            <w:pPr>
              <w:rPr>
                <w:noProof/>
                <w:sz w:val="18"/>
              </w:rPr>
            </w:pPr>
            <w:r>
              <w:rPr>
                <w:noProof/>
                <w:sz w:val="18"/>
              </w:rPr>
              <w:t>Linia bugetară</w:t>
            </w:r>
          </w:p>
        </w:tc>
        <w:tc>
          <w:tcPr>
            <w:tcW w:w="2268" w:type="dxa"/>
            <w:tcBorders>
              <w:top w:val="nil"/>
              <w:left w:val="nil"/>
              <w:bottom w:val="nil"/>
            </w:tcBorders>
          </w:tcPr>
          <w:p>
            <w:pPr>
              <w:jc w:val="center"/>
              <w:rPr>
                <w:noProof/>
                <w:sz w:val="18"/>
              </w:rPr>
            </w:pPr>
            <w:r>
              <w:rPr>
                <w:noProof/>
                <w:sz w:val="18"/>
              </w:rPr>
              <w:t>Venituri</w:t>
            </w:r>
          </w:p>
        </w:tc>
        <w:tc>
          <w:tcPr>
            <w:tcW w:w="685" w:type="dxa"/>
            <w:vMerge/>
            <w:tcBorders>
              <w:bottom w:val="nil"/>
            </w:tcBorders>
          </w:tcPr>
          <w:p>
            <w:pPr>
              <w:jc w:val="center"/>
              <w:rPr>
                <w:noProof/>
                <w:sz w:val="18"/>
              </w:rPr>
            </w:pPr>
          </w:p>
        </w:tc>
        <w:tc>
          <w:tcPr>
            <w:tcW w:w="141" w:type="dxa"/>
            <w:tcBorders>
              <w:top w:val="nil"/>
              <w:left w:val="nil"/>
              <w:bottom w:val="nil"/>
              <w:right w:val="nil"/>
            </w:tcBorders>
          </w:tcPr>
          <w:p>
            <w:pPr>
              <w:jc w:val="center"/>
              <w:rPr>
                <w:noProof/>
                <w:sz w:val="18"/>
              </w:rPr>
            </w:pPr>
          </w:p>
        </w:tc>
        <w:tc>
          <w:tcPr>
            <w:tcW w:w="647" w:type="dxa"/>
            <w:tcBorders>
              <w:bottom w:val="nil"/>
            </w:tcBorders>
          </w:tcPr>
          <w:p>
            <w:pPr>
              <w:jc w:val="center"/>
              <w:rPr>
                <w:noProof/>
                <w:sz w:val="18"/>
              </w:rPr>
            </w:pPr>
            <w:r>
              <w:rPr>
                <w:noProof/>
              </w:rPr>
              <w:t>[Anul n]</w:t>
            </w:r>
          </w:p>
        </w:tc>
        <w:tc>
          <w:tcPr>
            <w:tcW w:w="648" w:type="dxa"/>
            <w:tcBorders>
              <w:bottom w:val="nil"/>
            </w:tcBorders>
          </w:tcPr>
          <w:p>
            <w:pPr>
              <w:jc w:val="center"/>
              <w:rPr>
                <w:noProof/>
                <w:sz w:val="18"/>
              </w:rPr>
            </w:pPr>
            <w:r>
              <w:rPr>
                <w:noProof/>
              </w:rPr>
              <w:t>[n+1]</w:t>
            </w:r>
          </w:p>
        </w:tc>
        <w:tc>
          <w:tcPr>
            <w:tcW w:w="648" w:type="dxa"/>
            <w:tcBorders>
              <w:bottom w:val="nil"/>
            </w:tcBorders>
          </w:tcPr>
          <w:p>
            <w:pPr>
              <w:jc w:val="center"/>
              <w:rPr>
                <w:noProof/>
                <w:sz w:val="18"/>
              </w:rPr>
            </w:pPr>
            <w:r>
              <w:rPr>
                <w:noProof/>
              </w:rPr>
              <w:t>[n+2]</w:t>
            </w:r>
          </w:p>
        </w:tc>
        <w:tc>
          <w:tcPr>
            <w:tcW w:w="647" w:type="dxa"/>
            <w:tcBorders>
              <w:bottom w:val="nil"/>
            </w:tcBorders>
          </w:tcPr>
          <w:p>
            <w:pPr>
              <w:jc w:val="center"/>
              <w:rPr>
                <w:noProof/>
                <w:sz w:val="18"/>
              </w:rPr>
            </w:pPr>
            <w:r>
              <w:rPr>
                <w:noProof/>
              </w:rPr>
              <w:t>[n+3]</w:t>
            </w:r>
          </w:p>
        </w:tc>
        <w:tc>
          <w:tcPr>
            <w:tcW w:w="648" w:type="dxa"/>
            <w:tcBorders>
              <w:bottom w:val="nil"/>
            </w:tcBorders>
          </w:tcPr>
          <w:p>
            <w:pPr>
              <w:jc w:val="center"/>
              <w:rPr>
                <w:noProof/>
                <w:sz w:val="18"/>
              </w:rPr>
            </w:pPr>
            <w:r>
              <w:rPr>
                <w:noProof/>
              </w:rPr>
              <w:t>[n+4]</w:t>
            </w:r>
          </w:p>
        </w:tc>
        <w:tc>
          <w:tcPr>
            <w:tcW w:w="648" w:type="dxa"/>
            <w:tcBorders>
              <w:bottom w:val="nil"/>
            </w:tcBorders>
          </w:tcPr>
          <w:p>
            <w:pPr>
              <w:jc w:val="center"/>
              <w:rPr>
                <w:noProof/>
                <w:sz w:val="18"/>
              </w:rPr>
            </w:pPr>
            <w:r>
              <w:rPr>
                <w:noProof/>
              </w:rPr>
              <w:t>[n+5]</w:t>
            </w:r>
            <w:r>
              <w:rPr>
                <w:rStyle w:val="FootnoteReference"/>
                <w:noProof/>
              </w:rPr>
              <w:footnoteReference w:id="10"/>
            </w:r>
          </w:p>
        </w:tc>
      </w:tr>
      <w:tr>
        <w:trPr>
          <w:cantSplit/>
        </w:trPr>
        <w:tc>
          <w:tcPr>
            <w:tcW w:w="964" w:type="dxa"/>
            <w:vMerge w:val="restart"/>
            <w:tcBorders>
              <w:top w:val="double" w:sz="4" w:space="0" w:color="auto"/>
              <w:left w:val="double" w:sz="4" w:space="0" w:color="auto"/>
              <w:bottom w:val="nil"/>
              <w:right w:val="nil"/>
            </w:tcBorders>
          </w:tcPr>
          <w:p>
            <w:pPr>
              <w:jc w:val="center"/>
              <w:rPr>
                <w:noProof/>
                <w:sz w:val="16"/>
              </w:rPr>
            </w:pPr>
          </w:p>
        </w:tc>
        <w:tc>
          <w:tcPr>
            <w:tcW w:w="2268" w:type="dxa"/>
            <w:tcBorders>
              <w:top w:val="double" w:sz="4" w:space="0" w:color="auto"/>
              <w:bottom w:val="nil"/>
            </w:tcBorders>
          </w:tcPr>
          <w:p>
            <w:pPr>
              <w:rPr>
                <w:i/>
                <w:noProof/>
                <w:sz w:val="18"/>
              </w:rPr>
            </w:pPr>
            <w:r>
              <w:rPr>
                <w:i/>
                <w:noProof/>
                <w:sz w:val="18"/>
              </w:rPr>
              <w:t>a) Venituri în valori absolute</w:t>
            </w:r>
          </w:p>
        </w:tc>
        <w:tc>
          <w:tcPr>
            <w:tcW w:w="685" w:type="dxa"/>
            <w:tcBorders>
              <w:top w:val="double" w:sz="4" w:space="0" w:color="auto"/>
              <w:left w:val="nil"/>
              <w:bottom w:val="nil"/>
              <w:right w:val="double" w:sz="4" w:space="0" w:color="auto"/>
            </w:tcBorders>
          </w:tcPr>
          <w:p>
            <w:pPr>
              <w:rPr>
                <w:noProof/>
              </w:rPr>
            </w:pPr>
          </w:p>
        </w:tc>
        <w:tc>
          <w:tcPr>
            <w:tcW w:w="141" w:type="dxa"/>
            <w:tcBorders>
              <w:top w:val="nil"/>
              <w:left w:val="nil"/>
              <w:bottom w:val="nil"/>
              <w:right w:val="nil"/>
            </w:tcBorders>
          </w:tcPr>
          <w:p>
            <w:pPr>
              <w:rPr>
                <w:noProof/>
              </w:rPr>
            </w:pPr>
          </w:p>
        </w:tc>
        <w:tc>
          <w:tcPr>
            <w:tcW w:w="647" w:type="dxa"/>
            <w:tcBorders>
              <w:bottom w:val="nil"/>
            </w:tcBorders>
          </w:tcPr>
          <w:p>
            <w:pPr>
              <w:jc w:val="right"/>
              <w:rPr>
                <w:noProof/>
                <w:sz w:val="20"/>
                <w:szCs w:val="20"/>
              </w:rPr>
            </w:pPr>
            <w:r>
              <w:rPr>
                <w:noProof/>
                <w:sz w:val="20"/>
              </w:rPr>
              <w:t>n.a.</w:t>
            </w:r>
          </w:p>
        </w:tc>
        <w:tc>
          <w:tcPr>
            <w:tcW w:w="648" w:type="dxa"/>
            <w:tcBorders>
              <w:bottom w:val="nil"/>
            </w:tcBorders>
          </w:tcPr>
          <w:p>
            <w:pPr>
              <w:jc w:val="right"/>
              <w:rPr>
                <w:noProof/>
                <w:sz w:val="20"/>
                <w:szCs w:val="20"/>
              </w:rPr>
            </w:pPr>
            <w:r>
              <w:rPr>
                <w:noProof/>
                <w:sz w:val="20"/>
              </w:rPr>
              <w:t>n.a.</w:t>
            </w:r>
          </w:p>
        </w:tc>
        <w:tc>
          <w:tcPr>
            <w:tcW w:w="648" w:type="dxa"/>
            <w:tcBorders>
              <w:bottom w:val="nil"/>
            </w:tcBorders>
          </w:tcPr>
          <w:p>
            <w:pPr>
              <w:jc w:val="right"/>
              <w:rPr>
                <w:noProof/>
                <w:sz w:val="20"/>
                <w:szCs w:val="20"/>
              </w:rPr>
            </w:pPr>
            <w:r>
              <w:rPr>
                <w:noProof/>
                <w:sz w:val="20"/>
              </w:rPr>
              <w:t>n.a.</w:t>
            </w:r>
          </w:p>
        </w:tc>
        <w:tc>
          <w:tcPr>
            <w:tcW w:w="647" w:type="dxa"/>
            <w:tcBorders>
              <w:bottom w:val="nil"/>
            </w:tcBorders>
          </w:tcPr>
          <w:p>
            <w:pPr>
              <w:jc w:val="right"/>
              <w:rPr>
                <w:noProof/>
                <w:sz w:val="20"/>
                <w:szCs w:val="20"/>
              </w:rPr>
            </w:pPr>
            <w:r>
              <w:rPr>
                <w:noProof/>
                <w:sz w:val="20"/>
              </w:rPr>
              <w:t>n.a.</w:t>
            </w:r>
          </w:p>
        </w:tc>
        <w:tc>
          <w:tcPr>
            <w:tcW w:w="648" w:type="dxa"/>
            <w:tcBorders>
              <w:bottom w:val="nil"/>
            </w:tcBorders>
          </w:tcPr>
          <w:p>
            <w:pPr>
              <w:jc w:val="right"/>
              <w:rPr>
                <w:noProof/>
                <w:sz w:val="20"/>
                <w:szCs w:val="20"/>
              </w:rPr>
            </w:pPr>
            <w:r>
              <w:rPr>
                <w:noProof/>
                <w:sz w:val="20"/>
              </w:rPr>
              <w:t>n.a.</w:t>
            </w:r>
          </w:p>
        </w:tc>
        <w:tc>
          <w:tcPr>
            <w:tcW w:w="648" w:type="dxa"/>
            <w:tcBorders>
              <w:bottom w:val="nil"/>
            </w:tcBorders>
          </w:tcPr>
          <w:p>
            <w:pPr>
              <w:jc w:val="right"/>
              <w:rPr>
                <w:noProof/>
                <w:sz w:val="20"/>
                <w:szCs w:val="20"/>
              </w:rPr>
            </w:pPr>
            <w:r>
              <w:rPr>
                <w:noProof/>
                <w:sz w:val="20"/>
              </w:rPr>
              <w:t>n.a.</w:t>
            </w:r>
          </w:p>
        </w:tc>
      </w:tr>
      <w:tr>
        <w:trPr>
          <w:cantSplit/>
        </w:trPr>
        <w:tc>
          <w:tcPr>
            <w:tcW w:w="964" w:type="dxa"/>
            <w:vMerge/>
            <w:tcBorders>
              <w:top w:val="nil"/>
              <w:left w:val="double" w:sz="4" w:space="0" w:color="auto"/>
              <w:bottom w:val="double" w:sz="4" w:space="0" w:color="auto"/>
              <w:right w:val="nil"/>
            </w:tcBorders>
          </w:tcPr>
          <w:p>
            <w:pPr>
              <w:rPr>
                <w:noProof/>
              </w:rPr>
            </w:pPr>
          </w:p>
        </w:tc>
        <w:tc>
          <w:tcPr>
            <w:tcW w:w="2268" w:type="dxa"/>
            <w:tcBorders>
              <w:top w:val="nil"/>
              <w:bottom w:val="double" w:sz="4" w:space="0" w:color="auto"/>
              <w:right w:val="nil"/>
            </w:tcBorders>
          </w:tcPr>
          <w:p>
            <w:pPr>
              <w:rPr>
                <w:i/>
                <w:noProof/>
                <w:sz w:val="18"/>
              </w:rPr>
            </w:pPr>
            <w:r>
              <w:rPr>
                <w:i/>
                <w:noProof/>
                <w:sz w:val="18"/>
              </w:rPr>
              <w:t>b) Modificarea veniturilor</w:t>
            </w:r>
          </w:p>
        </w:tc>
        <w:tc>
          <w:tcPr>
            <w:tcW w:w="685" w:type="dxa"/>
            <w:tcBorders>
              <w:left w:val="nil"/>
              <w:bottom w:val="double" w:sz="4" w:space="0" w:color="auto"/>
              <w:right w:val="double" w:sz="4" w:space="0" w:color="auto"/>
            </w:tcBorders>
          </w:tcPr>
          <w:p>
            <w:pPr>
              <w:rPr>
                <w:noProof/>
              </w:rPr>
            </w:pPr>
            <w:r>
              <w:rPr>
                <w:i/>
                <w:noProof/>
                <w:sz w:val="18"/>
              </w:rPr>
              <w:t xml:space="preserve"> </w:t>
            </w:r>
            <w:r>
              <w:rPr>
                <w:i/>
                <w:noProof/>
                <w:sz w:val="18"/>
                <w:szCs w:val="18"/>
              </w:rPr>
              <w:sym w:font="Symbol" w:char="F044"/>
            </w:r>
          </w:p>
        </w:tc>
        <w:tc>
          <w:tcPr>
            <w:tcW w:w="141" w:type="dxa"/>
            <w:tcBorders>
              <w:top w:val="nil"/>
              <w:left w:val="nil"/>
              <w:bottom w:val="nil"/>
              <w:right w:val="nil"/>
            </w:tcBorders>
          </w:tcPr>
          <w:p>
            <w:pPr>
              <w:rPr>
                <w:noProof/>
              </w:rPr>
            </w:pPr>
          </w:p>
        </w:tc>
        <w:tc>
          <w:tcPr>
            <w:tcW w:w="647" w:type="dxa"/>
            <w:tcBorders>
              <w:top w:val="single" w:sz="12" w:space="0" w:color="auto"/>
              <w:left w:val="single" w:sz="12" w:space="0" w:color="auto"/>
              <w:bottom w:val="single" w:sz="12" w:space="0" w:color="auto"/>
              <w:right w:val="single" w:sz="12" w:space="0" w:color="auto"/>
            </w:tcBorders>
          </w:tcPr>
          <w:p>
            <w:pPr>
              <w:jc w:val="right"/>
              <w:rPr>
                <w:noProof/>
                <w:sz w:val="20"/>
                <w:szCs w:val="20"/>
              </w:rPr>
            </w:pPr>
            <w:r>
              <w:rPr>
                <w:noProof/>
                <w:sz w:val="20"/>
              </w:rPr>
              <w:t>n.a.</w:t>
            </w:r>
          </w:p>
        </w:tc>
        <w:tc>
          <w:tcPr>
            <w:tcW w:w="648" w:type="dxa"/>
            <w:tcBorders>
              <w:top w:val="single" w:sz="12" w:space="0" w:color="auto"/>
              <w:left w:val="nil"/>
              <w:bottom w:val="single" w:sz="12" w:space="0" w:color="auto"/>
              <w:right w:val="single" w:sz="12" w:space="0" w:color="auto"/>
            </w:tcBorders>
          </w:tcPr>
          <w:p>
            <w:pPr>
              <w:jc w:val="right"/>
              <w:rPr>
                <w:noProof/>
                <w:sz w:val="20"/>
                <w:szCs w:val="20"/>
              </w:rPr>
            </w:pPr>
            <w:r>
              <w:rPr>
                <w:noProof/>
                <w:sz w:val="20"/>
              </w:rPr>
              <w:t>n.a.</w:t>
            </w:r>
          </w:p>
        </w:tc>
        <w:tc>
          <w:tcPr>
            <w:tcW w:w="648" w:type="dxa"/>
            <w:tcBorders>
              <w:top w:val="single" w:sz="12" w:space="0" w:color="auto"/>
              <w:left w:val="single" w:sz="12" w:space="0" w:color="auto"/>
              <w:bottom w:val="single" w:sz="12" w:space="0" w:color="auto"/>
              <w:right w:val="single" w:sz="12" w:space="0" w:color="auto"/>
            </w:tcBorders>
          </w:tcPr>
          <w:p>
            <w:pPr>
              <w:jc w:val="right"/>
              <w:rPr>
                <w:noProof/>
                <w:sz w:val="20"/>
                <w:szCs w:val="20"/>
              </w:rPr>
            </w:pPr>
            <w:r>
              <w:rPr>
                <w:noProof/>
                <w:sz w:val="20"/>
              </w:rPr>
              <w:t>n.a.</w:t>
            </w:r>
          </w:p>
        </w:tc>
        <w:tc>
          <w:tcPr>
            <w:tcW w:w="647" w:type="dxa"/>
            <w:tcBorders>
              <w:top w:val="single" w:sz="12" w:space="0" w:color="auto"/>
              <w:left w:val="single" w:sz="12" w:space="0" w:color="auto"/>
              <w:bottom w:val="single" w:sz="12" w:space="0" w:color="auto"/>
              <w:right w:val="single" w:sz="12" w:space="0" w:color="auto"/>
            </w:tcBorders>
          </w:tcPr>
          <w:p>
            <w:pPr>
              <w:jc w:val="right"/>
              <w:rPr>
                <w:noProof/>
                <w:sz w:val="20"/>
                <w:szCs w:val="20"/>
              </w:rPr>
            </w:pPr>
            <w:r>
              <w:rPr>
                <w:noProof/>
                <w:sz w:val="20"/>
              </w:rPr>
              <w:t>n.a.</w:t>
            </w:r>
          </w:p>
        </w:tc>
        <w:tc>
          <w:tcPr>
            <w:tcW w:w="648" w:type="dxa"/>
            <w:tcBorders>
              <w:top w:val="single" w:sz="12" w:space="0" w:color="auto"/>
              <w:left w:val="single" w:sz="12" w:space="0" w:color="auto"/>
              <w:bottom w:val="single" w:sz="12" w:space="0" w:color="auto"/>
              <w:right w:val="single" w:sz="12" w:space="0" w:color="auto"/>
            </w:tcBorders>
          </w:tcPr>
          <w:p>
            <w:pPr>
              <w:jc w:val="right"/>
              <w:rPr>
                <w:noProof/>
                <w:sz w:val="20"/>
                <w:szCs w:val="20"/>
              </w:rPr>
            </w:pPr>
            <w:r>
              <w:rPr>
                <w:noProof/>
                <w:sz w:val="20"/>
              </w:rPr>
              <w:t>n.a.</w:t>
            </w:r>
          </w:p>
        </w:tc>
        <w:tc>
          <w:tcPr>
            <w:tcW w:w="648" w:type="dxa"/>
            <w:tcBorders>
              <w:top w:val="single" w:sz="12" w:space="0" w:color="auto"/>
              <w:left w:val="single" w:sz="12" w:space="0" w:color="auto"/>
              <w:bottom w:val="single" w:sz="12" w:space="0" w:color="auto"/>
              <w:right w:val="single" w:sz="12" w:space="0" w:color="auto"/>
            </w:tcBorders>
          </w:tcPr>
          <w:p>
            <w:pPr>
              <w:jc w:val="right"/>
              <w:rPr>
                <w:noProof/>
                <w:sz w:val="20"/>
                <w:szCs w:val="20"/>
              </w:rPr>
            </w:pPr>
            <w:r>
              <w:rPr>
                <w:noProof/>
                <w:sz w:val="20"/>
              </w:rPr>
              <w:t>n.a.</w:t>
            </w:r>
          </w:p>
        </w:tc>
      </w:tr>
    </w:tbl>
    <w:p>
      <w:pPr>
        <w:pStyle w:val="Text1"/>
        <w:rPr>
          <w:noProof/>
        </w:rPr>
      </w:pPr>
      <w:r>
        <w:rPr>
          <w:b/>
          <w:i/>
          <w:noProof/>
        </w:rPr>
        <w:t>(Se descrie fiecare linie bugetară de venituri afectată, adăugând numărul corespunzător de rânduri în tabel în cazul în care sunt afectate mai multe linii bugetare.)</w:t>
      </w:r>
    </w:p>
    <w:p>
      <w:pPr>
        <w:pStyle w:val="ManualHeading2"/>
        <w:spacing w:after="240"/>
        <w:ind w:left="851" w:hanging="851"/>
        <w:rPr>
          <w:noProof/>
        </w:rPr>
      </w:pPr>
      <w:r>
        <w:rPr>
          <w:noProof/>
        </w:rPr>
        <w:t>4.2.</w:t>
      </w:r>
      <w:r>
        <w:rPr>
          <w:noProof/>
        </w:rPr>
        <w:tab/>
        <w:t>Resurse umane în echivalent normă întreagă (ENI) (inclusiv funcționari, personal temporar și extern) - a se vedea detaliile de la punctul 8.2.1.</w:t>
      </w:r>
    </w:p>
    <w:tbl>
      <w:tblPr>
        <w:tblW w:w="0" w:type="auto"/>
        <w:tblInd w:w="3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268"/>
        <w:gridCol w:w="930"/>
        <w:gridCol w:w="772"/>
        <w:gridCol w:w="851"/>
        <w:gridCol w:w="851"/>
        <w:gridCol w:w="851"/>
        <w:gridCol w:w="851"/>
      </w:tblGrid>
      <w:tr>
        <w:trPr>
          <w:cantSplit/>
        </w:trPr>
        <w:tc>
          <w:tcPr>
            <w:tcW w:w="2268" w:type="dxa"/>
            <w:tcBorders>
              <w:top w:val="single" w:sz="12" w:space="0" w:color="auto"/>
            </w:tcBorders>
          </w:tcPr>
          <w:p>
            <w:pPr>
              <w:rPr>
                <w:noProof/>
                <w:sz w:val="20"/>
                <w:szCs w:val="20"/>
              </w:rPr>
            </w:pPr>
          </w:p>
          <w:p>
            <w:pPr>
              <w:rPr>
                <w:b/>
                <w:noProof/>
                <w:sz w:val="20"/>
                <w:szCs w:val="20"/>
              </w:rPr>
            </w:pPr>
            <w:r>
              <w:rPr>
                <w:b/>
                <w:noProof/>
                <w:sz w:val="20"/>
              </w:rPr>
              <w:t>Necesar anual</w:t>
            </w:r>
          </w:p>
        </w:tc>
        <w:tc>
          <w:tcPr>
            <w:tcW w:w="930" w:type="dxa"/>
            <w:tcBorders>
              <w:top w:val="single" w:sz="12" w:space="0" w:color="auto"/>
            </w:tcBorders>
          </w:tcPr>
          <w:p>
            <w:pPr>
              <w:jc w:val="center"/>
              <w:rPr>
                <w:noProof/>
                <w:sz w:val="20"/>
                <w:szCs w:val="20"/>
              </w:rPr>
            </w:pPr>
          </w:p>
          <w:p>
            <w:pPr>
              <w:jc w:val="center"/>
              <w:rPr>
                <w:noProof/>
                <w:sz w:val="20"/>
                <w:szCs w:val="20"/>
              </w:rPr>
            </w:pPr>
            <w:r>
              <w:rPr>
                <w:noProof/>
                <w:sz w:val="20"/>
              </w:rPr>
              <w:t>Anul n</w:t>
            </w:r>
          </w:p>
        </w:tc>
        <w:tc>
          <w:tcPr>
            <w:tcW w:w="772" w:type="dxa"/>
            <w:tcBorders>
              <w:top w:val="single" w:sz="12" w:space="0" w:color="auto"/>
            </w:tcBorders>
          </w:tcPr>
          <w:p>
            <w:pPr>
              <w:jc w:val="center"/>
              <w:rPr>
                <w:noProof/>
                <w:sz w:val="20"/>
                <w:szCs w:val="20"/>
              </w:rPr>
            </w:pPr>
          </w:p>
          <w:p>
            <w:pPr>
              <w:jc w:val="center"/>
              <w:rPr>
                <w:noProof/>
                <w:sz w:val="20"/>
                <w:szCs w:val="20"/>
              </w:rPr>
            </w:pPr>
            <w:r>
              <w:rPr>
                <w:noProof/>
                <w:sz w:val="20"/>
              </w:rPr>
              <w:t>n + 1</w:t>
            </w:r>
          </w:p>
        </w:tc>
        <w:tc>
          <w:tcPr>
            <w:tcW w:w="851" w:type="dxa"/>
            <w:tcBorders>
              <w:top w:val="single" w:sz="12" w:space="0" w:color="auto"/>
            </w:tcBorders>
          </w:tcPr>
          <w:p>
            <w:pPr>
              <w:jc w:val="center"/>
              <w:rPr>
                <w:noProof/>
                <w:sz w:val="20"/>
                <w:szCs w:val="20"/>
              </w:rPr>
            </w:pPr>
          </w:p>
          <w:p>
            <w:pPr>
              <w:jc w:val="center"/>
              <w:rPr>
                <w:noProof/>
                <w:sz w:val="20"/>
                <w:szCs w:val="20"/>
              </w:rPr>
            </w:pPr>
            <w:r>
              <w:rPr>
                <w:noProof/>
                <w:sz w:val="20"/>
              </w:rPr>
              <w:t>n + 2</w:t>
            </w:r>
          </w:p>
        </w:tc>
        <w:tc>
          <w:tcPr>
            <w:tcW w:w="851" w:type="dxa"/>
            <w:tcBorders>
              <w:top w:val="single" w:sz="12" w:space="0" w:color="auto"/>
            </w:tcBorders>
          </w:tcPr>
          <w:p>
            <w:pPr>
              <w:jc w:val="center"/>
              <w:rPr>
                <w:noProof/>
                <w:sz w:val="20"/>
                <w:szCs w:val="20"/>
              </w:rPr>
            </w:pPr>
          </w:p>
          <w:p>
            <w:pPr>
              <w:jc w:val="center"/>
              <w:rPr>
                <w:noProof/>
                <w:sz w:val="20"/>
                <w:szCs w:val="20"/>
              </w:rPr>
            </w:pPr>
            <w:r>
              <w:rPr>
                <w:noProof/>
                <w:sz w:val="20"/>
              </w:rPr>
              <w:t>n + 3</w:t>
            </w:r>
          </w:p>
        </w:tc>
        <w:tc>
          <w:tcPr>
            <w:tcW w:w="851" w:type="dxa"/>
            <w:tcBorders>
              <w:top w:val="single" w:sz="12" w:space="0" w:color="auto"/>
            </w:tcBorders>
          </w:tcPr>
          <w:p>
            <w:pPr>
              <w:jc w:val="center"/>
              <w:rPr>
                <w:noProof/>
                <w:sz w:val="20"/>
                <w:szCs w:val="20"/>
              </w:rPr>
            </w:pPr>
          </w:p>
          <w:p>
            <w:pPr>
              <w:jc w:val="center"/>
              <w:rPr>
                <w:noProof/>
                <w:sz w:val="20"/>
                <w:szCs w:val="20"/>
              </w:rPr>
            </w:pPr>
            <w:r>
              <w:rPr>
                <w:noProof/>
                <w:sz w:val="20"/>
              </w:rPr>
              <w:t>n + 4</w:t>
            </w:r>
          </w:p>
        </w:tc>
        <w:tc>
          <w:tcPr>
            <w:tcW w:w="851" w:type="dxa"/>
            <w:tcBorders>
              <w:top w:val="single" w:sz="12" w:space="0" w:color="auto"/>
            </w:tcBorders>
          </w:tcPr>
          <w:p>
            <w:pPr>
              <w:jc w:val="center"/>
              <w:rPr>
                <w:noProof/>
                <w:sz w:val="20"/>
                <w:szCs w:val="20"/>
              </w:rPr>
            </w:pPr>
          </w:p>
          <w:p>
            <w:pPr>
              <w:jc w:val="center"/>
              <w:rPr>
                <w:noProof/>
                <w:sz w:val="20"/>
                <w:szCs w:val="20"/>
              </w:rPr>
            </w:pPr>
            <w:r>
              <w:rPr>
                <w:noProof/>
                <w:sz w:val="20"/>
              </w:rPr>
              <w:t>n + 5 și anii urm.</w:t>
            </w:r>
          </w:p>
        </w:tc>
      </w:tr>
      <w:tr>
        <w:trPr>
          <w:cantSplit/>
        </w:trPr>
        <w:tc>
          <w:tcPr>
            <w:tcW w:w="2268" w:type="dxa"/>
            <w:tcBorders>
              <w:bottom w:val="single" w:sz="12" w:space="0" w:color="auto"/>
            </w:tcBorders>
          </w:tcPr>
          <w:p>
            <w:pPr>
              <w:spacing w:before="60" w:after="60"/>
              <w:rPr>
                <w:noProof/>
                <w:sz w:val="20"/>
                <w:szCs w:val="20"/>
              </w:rPr>
            </w:pPr>
            <w:r>
              <w:rPr>
                <w:noProof/>
                <w:sz w:val="20"/>
              </w:rPr>
              <w:t>Număr total de resurse umane</w:t>
            </w:r>
          </w:p>
        </w:tc>
        <w:tc>
          <w:tcPr>
            <w:tcW w:w="930" w:type="dxa"/>
            <w:tcBorders>
              <w:bottom w:val="single" w:sz="12" w:space="0" w:color="auto"/>
            </w:tcBorders>
          </w:tcPr>
          <w:p>
            <w:pPr>
              <w:spacing w:before="60" w:after="60"/>
              <w:jc w:val="right"/>
              <w:rPr>
                <w:noProof/>
                <w:sz w:val="20"/>
                <w:szCs w:val="20"/>
              </w:rPr>
            </w:pPr>
            <w:r>
              <w:rPr>
                <w:noProof/>
                <w:sz w:val="20"/>
              </w:rPr>
              <w:t>n.a.</w:t>
            </w:r>
          </w:p>
        </w:tc>
        <w:tc>
          <w:tcPr>
            <w:tcW w:w="772" w:type="dxa"/>
            <w:tcBorders>
              <w:bottom w:val="single" w:sz="12" w:space="0" w:color="auto"/>
            </w:tcBorders>
          </w:tcPr>
          <w:p>
            <w:pPr>
              <w:spacing w:before="60" w:after="60"/>
              <w:jc w:val="right"/>
              <w:rPr>
                <w:noProof/>
                <w:sz w:val="20"/>
                <w:szCs w:val="20"/>
              </w:rPr>
            </w:pPr>
            <w:r>
              <w:rPr>
                <w:noProof/>
                <w:sz w:val="20"/>
              </w:rPr>
              <w:t>n.a.</w:t>
            </w:r>
          </w:p>
        </w:tc>
        <w:tc>
          <w:tcPr>
            <w:tcW w:w="851" w:type="dxa"/>
            <w:tcBorders>
              <w:bottom w:val="single" w:sz="12" w:space="0" w:color="auto"/>
            </w:tcBorders>
          </w:tcPr>
          <w:p>
            <w:pPr>
              <w:spacing w:before="60" w:after="60"/>
              <w:jc w:val="right"/>
              <w:rPr>
                <w:noProof/>
                <w:sz w:val="20"/>
                <w:szCs w:val="20"/>
              </w:rPr>
            </w:pPr>
            <w:r>
              <w:rPr>
                <w:noProof/>
                <w:sz w:val="20"/>
              </w:rPr>
              <w:t>n.a.</w:t>
            </w:r>
          </w:p>
        </w:tc>
        <w:tc>
          <w:tcPr>
            <w:tcW w:w="851" w:type="dxa"/>
            <w:tcBorders>
              <w:bottom w:val="single" w:sz="12" w:space="0" w:color="auto"/>
            </w:tcBorders>
          </w:tcPr>
          <w:p>
            <w:pPr>
              <w:spacing w:before="60" w:after="60"/>
              <w:jc w:val="right"/>
              <w:rPr>
                <w:noProof/>
                <w:sz w:val="20"/>
                <w:szCs w:val="20"/>
              </w:rPr>
            </w:pPr>
            <w:r>
              <w:rPr>
                <w:noProof/>
                <w:sz w:val="20"/>
              </w:rPr>
              <w:t>n.a.</w:t>
            </w:r>
          </w:p>
        </w:tc>
        <w:tc>
          <w:tcPr>
            <w:tcW w:w="851" w:type="dxa"/>
            <w:tcBorders>
              <w:bottom w:val="single" w:sz="12" w:space="0" w:color="auto"/>
            </w:tcBorders>
          </w:tcPr>
          <w:p>
            <w:pPr>
              <w:spacing w:before="60" w:after="60"/>
              <w:jc w:val="right"/>
              <w:rPr>
                <w:noProof/>
                <w:sz w:val="20"/>
                <w:szCs w:val="20"/>
              </w:rPr>
            </w:pPr>
            <w:r>
              <w:rPr>
                <w:noProof/>
                <w:sz w:val="20"/>
              </w:rPr>
              <w:t>n.a.</w:t>
            </w:r>
          </w:p>
        </w:tc>
        <w:tc>
          <w:tcPr>
            <w:tcW w:w="851" w:type="dxa"/>
            <w:tcBorders>
              <w:bottom w:val="single" w:sz="12" w:space="0" w:color="auto"/>
            </w:tcBorders>
          </w:tcPr>
          <w:p>
            <w:pPr>
              <w:spacing w:before="60" w:after="60"/>
              <w:jc w:val="right"/>
              <w:rPr>
                <w:noProof/>
                <w:sz w:val="20"/>
                <w:szCs w:val="20"/>
              </w:rPr>
            </w:pPr>
            <w:r>
              <w:rPr>
                <w:noProof/>
                <w:sz w:val="20"/>
              </w:rPr>
              <w:t>n.a.</w:t>
            </w:r>
          </w:p>
        </w:tc>
      </w:tr>
    </w:tbl>
    <w:p>
      <w:pPr>
        <w:pStyle w:val="ManualHeading1"/>
        <w:rPr>
          <w:noProof/>
        </w:rPr>
      </w:pPr>
      <w:r>
        <w:rPr>
          <w:noProof/>
        </w:rPr>
        <w:t>5.</w:t>
      </w:r>
      <w:r>
        <w:rPr>
          <w:noProof/>
        </w:rPr>
        <w:tab/>
        <w:t>CARACTERISTICI ȘI OBIECTIVE</w:t>
      </w:r>
    </w:p>
    <w:p>
      <w:pPr>
        <w:pStyle w:val="ManualHeading2"/>
        <w:rPr>
          <w:noProof/>
        </w:rPr>
      </w:pPr>
      <w:r>
        <w:rPr>
          <w:noProof/>
        </w:rPr>
        <w:t>5.1.</w:t>
      </w:r>
      <w:r>
        <w:rPr>
          <w:noProof/>
        </w:rPr>
        <w:tab/>
        <w:t>Obiective de îndeplinit pe termen scurt sau lung</w:t>
      </w:r>
    </w:p>
    <w:p>
      <w:pPr>
        <w:spacing w:after="240"/>
        <w:rPr>
          <w:noProof/>
        </w:rPr>
      </w:pPr>
      <w:r>
        <w:rPr>
          <w:noProof/>
        </w:rPr>
        <w:t xml:space="preserve">Criza financiară și economică persistentă exercită presiuni din ce în ce mai mari asupra resurselor financiare naționale, pe măsură ce statele membre își reduc bugetele. În acest context, asigurarea punerii în aplicare în bune condiții a programelor finanțate de fondurile ESI are o importanță deosebită, constituind un mijloc de a injecta fonduri în economie. Pentru a se asigura că aceste state membre continuă punerea în aplicare a programelor finanțate de fondurile ESI și alocă fonduri pentru proiecte, propunerea permite Comisiei să mărească plățile către statele membre, atât timp cât acestea beneficiază de asistență financiară în cadrul unui program de ajustare. </w:t>
      </w:r>
    </w:p>
    <w:p>
      <w:pPr>
        <w:pStyle w:val="ManualHeading2"/>
        <w:rPr>
          <w:noProof/>
        </w:rPr>
      </w:pPr>
      <w:r>
        <w:rPr>
          <w:noProof/>
        </w:rPr>
        <w:t>5.2.</w:t>
      </w:r>
      <w:r>
        <w:rPr>
          <w:noProof/>
        </w:rPr>
        <w:tab/>
        <w:t>Valoarea adăugată a implicării comunitare, coerența propunerii cu alte instrumente financiare și eventuala sinergie</w:t>
      </w:r>
    </w:p>
    <w:p>
      <w:pPr>
        <w:spacing w:after="240"/>
        <w:rPr>
          <w:noProof/>
        </w:rPr>
      </w:pPr>
      <w:r>
        <w:rPr>
          <w:noProof/>
        </w:rPr>
        <w:t>Propunerea va permite continuarea punerii în aplicare a programelor, prin injectarea de fonduri în economie, și, în același timp, va contribui la reducerea presiunii asupra cheltuielilor publice.</w:t>
      </w:r>
    </w:p>
    <w:p>
      <w:pPr>
        <w:pStyle w:val="ManualHeading2"/>
        <w:rPr>
          <w:noProof/>
        </w:rPr>
      </w:pPr>
      <w:r>
        <w:rPr>
          <w:noProof/>
        </w:rPr>
        <w:t>5.3.</w:t>
      </w:r>
      <w:r>
        <w:rPr>
          <w:noProof/>
        </w:rPr>
        <w:tab/>
        <w:t>Obiective, rezultate preconizate și indicatori aferenți acestora care fac obiectul propunerii în cadrul gestionării pe activități (ABM)</w:t>
      </w:r>
    </w:p>
    <w:p>
      <w:pPr>
        <w:rPr>
          <w:noProof/>
        </w:rPr>
      </w:pPr>
      <w:r>
        <w:rPr>
          <w:noProof/>
        </w:rPr>
        <w:t>Obiectivul este acela de a ajuta statele membre cele mai afectate de criza financiară să aibă capacitatea de a continua punerea în aplicare a programelor pe teren, injectând astfel fonduri în economie.</w:t>
      </w:r>
    </w:p>
    <w:p>
      <w:pPr>
        <w:pStyle w:val="ManualHeading2"/>
        <w:rPr>
          <w:noProof/>
        </w:rPr>
      </w:pPr>
      <w:r>
        <w:rPr>
          <w:noProof/>
        </w:rPr>
        <w:t>5.4.</w:t>
      </w:r>
      <w:r>
        <w:rPr>
          <w:noProof/>
        </w:rPr>
        <w:tab/>
        <w:t>Modalitatea de punere în aplicare (cu titlu indicativ)</w:t>
      </w:r>
    </w:p>
    <w:p>
      <w:pPr>
        <w:rPr>
          <w:noProof/>
        </w:rPr>
      </w:pPr>
      <w:r>
        <w:rPr>
          <w:noProof/>
        </w:rPr>
        <w:t>Indicați mai jos modalitatea (modalitățile) aleasă (alese) pentru punerea în aplicare a acțiunii.</w:t>
      </w:r>
    </w:p>
    <w:p>
      <w:pPr>
        <w:pStyle w:val="Bullet0"/>
        <w:numPr>
          <w:ilvl w:val="0"/>
          <w:numId w:val="9"/>
        </w:numPr>
        <w:rPr>
          <w:noProof/>
        </w:rPr>
      </w:pPr>
      <w:r>
        <w:rPr>
          <w:noProof/>
        </w:rPr>
        <w:t>Cu statele membre</w:t>
      </w:r>
    </w:p>
    <w:p>
      <w:pPr>
        <w:pStyle w:val="ManualHeading1"/>
        <w:rPr>
          <w:noProof/>
        </w:rPr>
      </w:pPr>
      <w:r>
        <w:rPr>
          <w:noProof/>
        </w:rPr>
        <w:t>6.</w:t>
      </w:r>
      <w:r>
        <w:rPr>
          <w:noProof/>
        </w:rPr>
        <w:tab/>
        <w:t>MONITORIZARE ȘI EVALUARE</w:t>
      </w:r>
    </w:p>
    <w:p>
      <w:pPr>
        <w:pStyle w:val="ManualHeading2"/>
        <w:rPr>
          <w:noProof/>
        </w:rPr>
      </w:pPr>
      <w:r>
        <w:rPr>
          <w:noProof/>
        </w:rPr>
        <w:t>6.1.</w:t>
      </w:r>
      <w:r>
        <w:rPr>
          <w:noProof/>
        </w:rPr>
        <w:tab/>
        <w:t>Sistem de monitorizare</w:t>
      </w:r>
    </w:p>
    <w:p>
      <w:pPr>
        <w:spacing w:after="240"/>
        <w:rPr>
          <w:noProof/>
        </w:rPr>
      </w:pPr>
      <w:r>
        <w:rPr>
          <w:noProof/>
        </w:rPr>
        <w:t>Nu este necesar, deoarece monitorizarea se realizează în cadrul monitorizării instituite pentru fondurile structurale și de investiții europene.</w:t>
      </w:r>
    </w:p>
    <w:p>
      <w:pPr>
        <w:pStyle w:val="ManualHeading2"/>
        <w:rPr>
          <w:noProof/>
        </w:rPr>
      </w:pPr>
      <w:r>
        <w:rPr>
          <w:noProof/>
        </w:rPr>
        <w:t>6.2.</w:t>
      </w:r>
      <w:r>
        <w:rPr>
          <w:noProof/>
        </w:rPr>
        <w:tab/>
        <w:t>Evaluare</w:t>
      </w:r>
    </w:p>
    <w:p>
      <w:pPr>
        <w:pStyle w:val="ManualHeading3"/>
        <w:rPr>
          <w:noProof/>
        </w:rPr>
      </w:pPr>
      <w:r>
        <w:rPr>
          <w:noProof/>
        </w:rPr>
        <w:t>6.2.1.</w:t>
      </w:r>
      <w:r>
        <w:rPr>
          <w:noProof/>
        </w:rPr>
        <w:tab/>
        <w:t>Evaluare ex-ante</w:t>
      </w:r>
    </w:p>
    <w:p>
      <w:pPr>
        <w:rPr>
          <w:noProof/>
        </w:rPr>
      </w:pPr>
      <w:r>
        <w:rPr>
          <w:noProof/>
        </w:rPr>
        <w:t>N/A</w:t>
      </w:r>
    </w:p>
    <w:p>
      <w:pPr>
        <w:pStyle w:val="ManualHeading3"/>
        <w:rPr>
          <w:noProof/>
        </w:rPr>
      </w:pPr>
      <w:r>
        <w:rPr>
          <w:noProof/>
        </w:rPr>
        <w:t>6.2.2.</w:t>
      </w:r>
      <w:r>
        <w:rPr>
          <w:noProof/>
        </w:rPr>
        <w:tab/>
        <w:t>Măsuri luate în urma unei evaluări intermediare/ex-post (învățăminte desprinse din experiențe anterioare similare)</w:t>
      </w:r>
    </w:p>
    <w:p>
      <w:pPr>
        <w:rPr>
          <w:noProof/>
        </w:rPr>
      </w:pPr>
      <w:r>
        <w:rPr>
          <w:noProof/>
        </w:rPr>
        <w:t>N/A</w:t>
      </w:r>
    </w:p>
    <w:p>
      <w:pPr>
        <w:pStyle w:val="ManualHeading3"/>
        <w:rPr>
          <w:noProof/>
        </w:rPr>
      </w:pPr>
      <w:r>
        <w:rPr>
          <w:noProof/>
        </w:rPr>
        <w:t>6.2.3.</w:t>
      </w:r>
      <w:r>
        <w:rPr>
          <w:noProof/>
        </w:rPr>
        <w:tab/>
        <w:t>Condițiile și frecvența evaluărilor viitoare</w:t>
      </w:r>
    </w:p>
    <w:p>
      <w:pPr>
        <w:spacing w:after="240"/>
        <w:rPr>
          <w:noProof/>
        </w:rPr>
      </w:pPr>
      <w:r>
        <w:rPr>
          <w:noProof/>
        </w:rPr>
        <w:t>N/A</w:t>
      </w:r>
    </w:p>
    <w:p>
      <w:pPr>
        <w:pStyle w:val="ManualHeading1"/>
        <w:spacing w:before="240"/>
        <w:ind w:left="851" w:hanging="851"/>
        <w:rPr>
          <w:smallCaps w:val="0"/>
          <w:noProof/>
        </w:rPr>
      </w:pPr>
      <w:r>
        <w:rPr>
          <w:noProof/>
        </w:rPr>
        <w:t>7.</w:t>
      </w:r>
      <w:r>
        <w:rPr>
          <w:noProof/>
        </w:rPr>
        <w:tab/>
        <w:t xml:space="preserve">MĂSURI ANTIFRAUDĂ </w:t>
      </w:r>
    </w:p>
    <w:p>
      <w:pPr>
        <w:rPr>
          <w:b/>
          <w:caps/>
          <w:noProof/>
        </w:rPr>
      </w:pPr>
      <w:r>
        <w:rPr>
          <w:b/>
          <w:caps/>
          <w:noProof/>
        </w:rPr>
        <w:t>N.A.</w:t>
      </w:r>
    </w:p>
    <w:p>
      <w:pPr>
        <w:rPr>
          <w:i/>
          <w:noProof/>
        </w:rPr>
        <w:sectPr>
          <w:pgSz w:w="12240" w:h="15840"/>
          <w:pgMar w:top="1440" w:right="1800" w:bottom="1440" w:left="1800" w:header="708" w:footer="708" w:gutter="0"/>
          <w:cols w:space="708"/>
          <w:docGrid w:linePitch="360"/>
        </w:sectPr>
      </w:pPr>
    </w:p>
    <w:p>
      <w:pPr>
        <w:pStyle w:val="ManualHeading1"/>
        <w:rPr>
          <w:noProof/>
        </w:rPr>
      </w:pPr>
      <w:r>
        <w:rPr>
          <w:noProof/>
        </w:rPr>
        <w:t>8.</w:t>
      </w:r>
      <w:r>
        <w:rPr>
          <w:noProof/>
        </w:rPr>
        <w:tab/>
        <w:t>DETALII PRIVIND RESURSELE</w:t>
      </w:r>
    </w:p>
    <w:p>
      <w:pPr>
        <w:pStyle w:val="ManualHeading2"/>
        <w:rPr>
          <w:noProof/>
        </w:rPr>
      </w:pPr>
      <w:r>
        <w:rPr>
          <w:noProof/>
        </w:rPr>
        <w:t>8.1.</w:t>
      </w:r>
      <w:r>
        <w:rPr>
          <w:noProof/>
        </w:rPr>
        <w:tab/>
        <w:t>Obiectivele propunerii din punctul de vedere al costurilor financiare</w:t>
      </w:r>
    </w:p>
    <w:p>
      <w:pPr>
        <w:jc w:val="right"/>
        <w:rPr>
          <w:i/>
          <w:noProof/>
          <w:sz w:val="20"/>
          <w:szCs w:val="20"/>
        </w:rPr>
      </w:pPr>
      <w:r>
        <w:rPr>
          <w:i/>
          <w:noProof/>
          <w:sz w:val="20"/>
        </w:rPr>
        <w:t>Credite de angajament în milioane EUR (cu 3 zecimale)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7"/>
        <w:gridCol w:w="838"/>
        <w:gridCol w:w="661"/>
        <w:gridCol w:w="802"/>
        <w:gridCol w:w="612"/>
        <w:gridCol w:w="802"/>
        <w:gridCol w:w="612"/>
        <w:gridCol w:w="802"/>
        <w:gridCol w:w="555"/>
        <w:gridCol w:w="802"/>
        <w:gridCol w:w="555"/>
        <w:gridCol w:w="802"/>
        <w:gridCol w:w="555"/>
        <w:gridCol w:w="802"/>
        <w:gridCol w:w="555"/>
        <w:gridCol w:w="802"/>
        <w:gridCol w:w="612"/>
      </w:tblGrid>
      <w:tr>
        <w:trPr>
          <w:trHeight w:val="378"/>
        </w:trPr>
        <w:tc>
          <w:tcPr>
            <w:tcW w:w="0" w:type="auto"/>
            <w:vMerge w:val="restart"/>
          </w:tcPr>
          <w:p>
            <w:pPr>
              <w:jc w:val="left"/>
              <w:rPr>
                <w:b/>
                <w:noProof/>
                <w:sz w:val="16"/>
                <w:szCs w:val="16"/>
              </w:rPr>
            </w:pPr>
            <w:r>
              <w:rPr>
                <w:b/>
                <w:noProof/>
                <w:sz w:val="16"/>
              </w:rPr>
              <w:t>(Se indică denumirea obiectivelor, acțiunilor și realizărilor)</w:t>
            </w:r>
          </w:p>
        </w:tc>
        <w:tc>
          <w:tcPr>
            <w:tcW w:w="780" w:type="dxa"/>
            <w:vMerge w:val="restart"/>
          </w:tcPr>
          <w:p>
            <w:pPr>
              <w:jc w:val="center"/>
              <w:rPr>
                <w:b/>
                <w:noProof/>
                <w:sz w:val="16"/>
                <w:szCs w:val="16"/>
              </w:rPr>
            </w:pPr>
            <w:r>
              <w:rPr>
                <w:b/>
                <w:noProof/>
                <w:sz w:val="16"/>
              </w:rPr>
              <w:t>Tipul realizării</w:t>
            </w:r>
          </w:p>
        </w:tc>
        <w:tc>
          <w:tcPr>
            <w:tcW w:w="537" w:type="dxa"/>
            <w:vMerge w:val="restart"/>
          </w:tcPr>
          <w:p>
            <w:pPr>
              <w:jc w:val="center"/>
              <w:rPr>
                <w:b/>
                <w:noProof/>
                <w:sz w:val="16"/>
                <w:szCs w:val="16"/>
              </w:rPr>
            </w:pPr>
            <w:r>
              <w:rPr>
                <w:b/>
                <w:noProof/>
                <w:sz w:val="16"/>
              </w:rPr>
              <w:t>Costul mediu</w:t>
            </w:r>
          </w:p>
        </w:tc>
        <w:tc>
          <w:tcPr>
            <w:tcW w:w="0" w:type="auto"/>
            <w:gridSpan w:val="2"/>
          </w:tcPr>
          <w:p>
            <w:pPr>
              <w:jc w:val="center"/>
              <w:rPr>
                <w:b/>
                <w:noProof/>
                <w:sz w:val="16"/>
                <w:szCs w:val="16"/>
              </w:rPr>
            </w:pPr>
            <w:r>
              <w:rPr>
                <w:b/>
                <w:noProof/>
                <w:sz w:val="16"/>
              </w:rPr>
              <w:t>Anul n</w:t>
            </w:r>
          </w:p>
        </w:tc>
        <w:tc>
          <w:tcPr>
            <w:tcW w:w="0" w:type="auto"/>
            <w:gridSpan w:val="2"/>
          </w:tcPr>
          <w:p>
            <w:pPr>
              <w:jc w:val="center"/>
              <w:rPr>
                <w:b/>
                <w:noProof/>
                <w:sz w:val="16"/>
                <w:szCs w:val="16"/>
              </w:rPr>
            </w:pPr>
            <w:r>
              <w:rPr>
                <w:b/>
                <w:noProof/>
                <w:sz w:val="16"/>
              </w:rPr>
              <w:t>Anul n+1</w:t>
            </w:r>
          </w:p>
        </w:tc>
        <w:tc>
          <w:tcPr>
            <w:tcW w:w="0" w:type="auto"/>
            <w:gridSpan w:val="2"/>
          </w:tcPr>
          <w:p>
            <w:pPr>
              <w:jc w:val="center"/>
              <w:rPr>
                <w:b/>
                <w:noProof/>
                <w:sz w:val="16"/>
                <w:szCs w:val="16"/>
              </w:rPr>
            </w:pPr>
            <w:r>
              <w:rPr>
                <w:b/>
                <w:noProof/>
                <w:sz w:val="16"/>
              </w:rPr>
              <w:t>Anul n+2</w:t>
            </w:r>
          </w:p>
        </w:tc>
        <w:tc>
          <w:tcPr>
            <w:tcW w:w="0" w:type="auto"/>
            <w:gridSpan w:val="2"/>
          </w:tcPr>
          <w:p>
            <w:pPr>
              <w:jc w:val="center"/>
              <w:rPr>
                <w:b/>
                <w:noProof/>
                <w:sz w:val="16"/>
                <w:szCs w:val="16"/>
              </w:rPr>
            </w:pPr>
            <w:r>
              <w:rPr>
                <w:b/>
                <w:noProof/>
                <w:sz w:val="16"/>
              </w:rPr>
              <w:t>Anul n+3</w:t>
            </w:r>
          </w:p>
        </w:tc>
        <w:tc>
          <w:tcPr>
            <w:tcW w:w="0" w:type="auto"/>
            <w:gridSpan w:val="2"/>
          </w:tcPr>
          <w:p>
            <w:pPr>
              <w:jc w:val="center"/>
              <w:rPr>
                <w:b/>
                <w:noProof/>
                <w:sz w:val="16"/>
                <w:szCs w:val="16"/>
              </w:rPr>
            </w:pPr>
            <w:r>
              <w:rPr>
                <w:b/>
                <w:noProof/>
                <w:sz w:val="16"/>
              </w:rPr>
              <w:t>Anul n+4</w:t>
            </w:r>
          </w:p>
        </w:tc>
        <w:tc>
          <w:tcPr>
            <w:tcW w:w="0" w:type="auto"/>
            <w:gridSpan w:val="2"/>
          </w:tcPr>
          <w:p>
            <w:pPr>
              <w:jc w:val="center"/>
              <w:rPr>
                <w:b/>
                <w:noProof/>
                <w:sz w:val="16"/>
                <w:szCs w:val="16"/>
              </w:rPr>
            </w:pPr>
            <w:r>
              <w:rPr>
                <w:b/>
                <w:noProof/>
                <w:sz w:val="16"/>
              </w:rPr>
              <w:t>Anul n+5 și anii urm.</w:t>
            </w:r>
          </w:p>
        </w:tc>
        <w:tc>
          <w:tcPr>
            <w:tcW w:w="0" w:type="auto"/>
            <w:gridSpan w:val="2"/>
          </w:tcPr>
          <w:p>
            <w:pPr>
              <w:jc w:val="center"/>
              <w:rPr>
                <w:b/>
                <w:noProof/>
                <w:sz w:val="16"/>
                <w:szCs w:val="16"/>
              </w:rPr>
            </w:pPr>
            <w:r>
              <w:rPr>
                <w:b/>
                <w:noProof/>
                <w:sz w:val="16"/>
              </w:rPr>
              <w:t>TOTAL</w:t>
            </w:r>
          </w:p>
        </w:tc>
      </w:tr>
      <w:tr>
        <w:trPr>
          <w:trHeight w:val="482"/>
        </w:trPr>
        <w:tc>
          <w:tcPr>
            <w:tcW w:w="0" w:type="auto"/>
            <w:vMerge/>
          </w:tcPr>
          <w:p>
            <w:pPr>
              <w:jc w:val="left"/>
              <w:rPr>
                <w:noProof/>
                <w:sz w:val="16"/>
                <w:szCs w:val="16"/>
              </w:rPr>
            </w:pPr>
          </w:p>
        </w:tc>
        <w:tc>
          <w:tcPr>
            <w:tcW w:w="780" w:type="dxa"/>
            <w:vMerge/>
          </w:tcPr>
          <w:p>
            <w:pPr>
              <w:rPr>
                <w:noProof/>
                <w:sz w:val="16"/>
                <w:szCs w:val="16"/>
              </w:rPr>
            </w:pPr>
          </w:p>
        </w:tc>
        <w:tc>
          <w:tcPr>
            <w:tcW w:w="537" w:type="dxa"/>
            <w:vMerge/>
          </w:tcPr>
          <w:p>
            <w:pPr>
              <w:rPr>
                <w:noProof/>
                <w:sz w:val="16"/>
                <w:szCs w:val="16"/>
              </w:rPr>
            </w:pPr>
          </w:p>
        </w:tc>
        <w:tc>
          <w:tcPr>
            <w:tcW w:w="0" w:type="auto"/>
          </w:tcPr>
          <w:p>
            <w:pPr>
              <w:rPr>
                <w:noProof/>
                <w:sz w:val="16"/>
                <w:szCs w:val="16"/>
              </w:rPr>
            </w:pPr>
            <w:r>
              <w:rPr>
                <w:noProof/>
                <w:sz w:val="16"/>
              </w:rPr>
              <w:t>Nr. de realizări</w:t>
            </w:r>
          </w:p>
        </w:tc>
        <w:tc>
          <w:tcPr>
            <w:tcW w:w="0" w:type="auto"/>
          </w:tcPr>
          <w:p>
            <w:pPr>
              <w:rPr>
                <w:noProof/>
                <w:sz w:val="16"/>
                <w:szCs w:val="16"/>
              </w:rPr>
            </w:pPr>
            <w:r>
              <w:rPr>
                <w:noProof/>
                <w:sz w:val="16"/>
              </w:rPr>
              <w:t>Cost total</w:t>
            </w:r>
          </w:p>
        </w:tc>
        <w:tc>
          <w:tcPr>
            <w:tcW w:w="0" w:type="auto"/>
          </w:tcPr>
          <w:p>
            <w:pPr>
              <w:rPr>
                <w:noProof/>
                <w:sz w:val="16"/>
                <w:szCs w:val="16"/>
              </w:rPr>
            </w:pPr>
            <w:r>
              <w:rPr>
                <w:noProof/>
                <w:sz w:val="16"/>
              </w:rPr>
              <w:t>Nr. de realizări</w:t>
            </w:r>
          </w:p>
        </w:tc>
        <w:tc>
          <w:tcPr>
            <w:tcW w:w="0" w:type="auto"/>
          </w:tcPr>
          <w:p>
            <w:pPr>
              <w:rPr>
                <w:noProof/>
                <w:sz w:val="16"/>
                <w:szCs w:val="16"/>
              </w:rPr>
            </w:pPr>
            <w:r>
              <w:rPr>
                <w:noProof/>
                <w:sz w:val="16"/>
              </w:rPr>
              <w:t>Cost total</w:t>
            </w:r>
          </w:p>
        </w:tc>
        <w:tc>
          <w:tcPr>
            <w:tcW w:w="0" w:type="auto"/>
          </w:tcPr>
          <w:p>
            <w:pPr>
              <w:rPr>
                <w:noProof/>
                <w:sz w:val="16"/>
                <w:szCs w:val="16"/>
              </w:rPr>
            </w:pPr>
            <w:r>
              <w:rPr>
                <w:noProof/>
                <w:sz w:val="16"/>
              </w:rPr>
              <w:t>Nr. de realizări</w:t>
            </w:r>
          </w:p>
        </w:tc>
        <w:tc>
          <w:tcPr>
            <w:tcW w:w="0" w:type="auto"/>
          </w:tcPr>
          <w:p>
            <w:pPr>
              <w:rPr>
                <w:noProof/>
                <w:sz w:val="16"/>
                <w:szCs w:val="16"/>
              </w:rPr>
            </w:pPr>
            <w:r>
              <w:rPr>
                <w:noProof/>
                <w:sz w:val="16"/>
              </w:rPr>
              <w:t>Cost total</w:t>
            </w:r>
          </w:p>
        </w:tc>
        <w:tc>
          <w:tcPr>
            <w:tcW w:w="0" w:type="auto"/>
          </w:tcPr>
          <w:p>
            <w:pPr>
              <w:rPr>
                <w:noProof/>
                <w:sz w:val="16"/>
                <w:szCs w:val="16"/>
              </w:rPr>
            </w:pPr>
            <w:r>
              <w:rPr>
                <w:noProof/>
                <w:sz w:val="16"/>
              </w:rPr>
              <w:t>Nr. de realizări</w:t>
            </w:r>
          </w:p>
        </w:tc>
        <w:tc>
          <w:tcPr>
            <w:tcW w:w="0" w:type="auto"/>
          </w:tcPr>
          <w:p>
            <w:pPr>
              <w:rPr>
                <w:noProof/>
                <w:sz w:val="16"/>
                <w:szCs w:val="16"/>
              </w:rPr>
            </w:pPr>
            <w:r>
              <w:rPr>
                <w:noProof/>
                <w:sz w:val="16"/>
              </w:rPr>
              <w:t>Cost total</w:t>
            </w:r>
          </w:p>
        </w:tc>
        <w:tc>
          <w:tcPr>
            <w:tcW w:w="0" w:type="auto"/>
          </w:tcPr>
          <w:p>
            <w:pPr>
              <w:rPr>
                <w:noProof/>
                <w:sz w:val="16"/>
                <w:szCs w:val="16"/>
              </w:rPr>
            </w:pPr>
            <w:r>
              <w:rPr>
                <w:noProof/>
                <w:sz w:val="16"/>
              </w:rPr>
              <w:t>Nr. de realizări</w:t>
            </w:r>
          </w:p>
        </w:tc>
        <w:tc>
          <w:tcPr>
            <w:tcW w:w="0" w:type="auto"/>
          </w:tcPr>
          <w:p>
            <w:pPr>
              <w:rPr>
                <w:noProof/>
                <w:sz w:val="16"/>
                <w:szCs w:val="16"/>
              </w:rPr>
            </w:pPr>
            <w:r>
              <w:rPr>
                <w:noProof/>
                <w:sz w:val="16"/>
              </w:rPr>
              <w:t>Cost total</w:t>
            </w:r>
          </w:p>
        </w:tc>
        <w:tc>
          <w:tcPr>
            <w:tcW w:w="0" w:type="auto"/>
          </w:tcPr>
          <w:p>
            <w:pPr>
              <w:rPr>
                <w:noProof/>
                <w:sz w:val="16"/>
                <w:szCs w:val="16"/>
              </w:rPr>
            </w:pPr>
            <w:r>
              <w:rPr>
                <w:noProof/>
                <w:sz w:val="16"/>
              </w:rPr>
              <w:t>Nr. de realizări</w:t>
            </w:r>
          </w:p>
        </w:tc>
        <w:tc>
          <w:tcPr>
            <w:tcW w:w="0" w:type="auto"/>
          </w:tcPr>
          <w:p>
            <w:pPr>
              <w:rPr>
                <w:noProof/>
                <w:sz w:val="16"/>
                <w:szCs w:val="16"/>
              </w:rPr>
            </w:pPr>
            <w:r>
              <w:rPr>
                <w:noProof/>
                <w:sz w:val="16"/>
              </w:rPr>
              <w:t>Cost total</w:t>
            </w:r>
          </w:p>
        </w:tc>
        <w:tc>
          <w:tcPr>
            <w:tcW w:w="0" w:type="auto"/>
          </w:tcPr>
          <w:p>
            <w:pPr>
              <w:rPr>
                <w:noProof/>
                <w:sz w:val="16"/>
                <w:szCs w:val="16"/>
              </w:rPr>
            </w:pPr>
            <w:r>
              <w:rPr>
                <w:noProof/>
                <w:sz w:val="16"/>
              </w:rPr>
              <w:t>Nr. de realizări</w:t>
            </w:r>
          </w:p>
        </w:tc>
        <w:tc>
          <w:tcPr>
            <w:tcW w:w="0" w:type="auto"/>
          </w:tcPr>
          <w:p>
            <w:pPr>
              <w:rPr>
                <w:noProof/>
                <w:sz w:val="16"/>
                <w:szCs w:val="16"/>
              </w:rPr>
            </w:pPr>
            <w:r>
              <w:rPr>
                <w:noProof/>
                <w:sz w:val="16"/>
              </w:rPr>
              <w:t>Cost total</w:t>
            </w:r>
          </w:p>
        </w:tc>
      </w:tr>
      <w:tr>
        <w:tc>
          <w:tcPr>
            <w:tcW w:w="0" w:type="auto"/>
          </w:tcPr>
          <w:p>
            <w:pPr>
              <w:jc w:val="left"/>
              <w:rPr>
                <w:noProof/>
                <w:sz w:val="16"/>
                <w:szCs w:val="16"/>
              </w:rPr>
            </w:pPr>
            <w:r>
              <w:rPr>
                <w:noProof/>
                <w:sz w:val="16"/>
              </w:rPr>
              <w:t>OBIECTIV OPERAȚIONAL nr. 1 Susținerea punerii în aplicare a programelor operaționale</w:t>
            </w:r>
          </w:p>
        </w:tc>
        <w:tc>
          <w:tcPr>
            <w:tcW w:w="780" w:type="dxa"/>
            <w:tcBorders>
              <w:right w:val="nil"/>
            </w:tcBorders>
            <w:shd w:val="pct10" w:color="auto" w:fill="auto"/>
          </w:tcPr>
          <w:p>
            <w:pPr>
              <w:rPr>
                <w:noProof/>
                <w:sz w:val="16"/>
                <w:szCs w:val="16"/>
              </w:rPr>
            </w:pPr>
          </w:p>
        </w:tc>
        <w:tc>
          <w:tcPr>
            <w:tcW w:w="537" w:type="dxa"/>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tcBorders>
            <w:shd w:val="pct10" w:color="auto" w:fill="auto"/>
          </w:tcPr>
          <w:p>
            <w:pPr>
              <w:rPr>
                <w:noProof/>
                <w:sz w:val="16"/>
                <w:szCs w:val="16"/>
              </w:rPr>
            </w:pPr>
          </w:p>
        </w:tc>
      </w:tr>
      <w:tr>
        <w:trPr>
          <w:trHeight w:val="271"/>
        </w:trPr>
        <w:tc>
          <w:tcPr>
            <w:tcW w:w="0" w:type="auto"/>
          </w:tcPr>
          <w:p>
            <w:pPr>
              <w:jc w:val="left"/>
              <w:rPr>
                <w:b/>
                <w:noProof/>
                <w:sz w:val="16"/>
                <w:szCs w:val="16"/>
              </w:rPr>
            </w:pPr>
          </w:p>
        </w:tc>
        <w:tc>
          <w:tcPr>
            <w:tcW w:w="780" w:type="dxa"/>
          </w:tcPr>
          <w:p>
            <w:pPr>
              <w:rPr>
                <w:noProof/>
                <w:sz w:val="16"/>
                <w:szCs w:val="16"/>
              </w:rPr>
            </w:pPr>
          </w:p>
        </w:tc>
        <w:tc>
          <w:tcPr>
            <w:tcW w:w="537" w:type="dxa"/>
          </w:tcPr>
          <w:p>
            <w:pPr>
              <w:rPr>
                <w:noProof/>
                <w:sz w:val="16"/>
                <w:szCs w:val="16"/>
              </w:rPr>
            </w:pPr>
          </w:p>
        </w:tc>
        <w:tc>
          <w:tcPr>
            <w:tcW w:w="0" w:type="auto"/>
          </w:tcPr>
          <w:p>
            <w:pPr>
              <w:rPr>
                <w:noProof/>
                <w:sz w:val="16"/>
                <w:szCs w:val="16"/>
              </w:rPr>
            </w:pPr>
          </w:p>
        </w:tc>
        <w:tc>
          <w:tcPr>
            <w:tcW w:w="0" w:type="auto"/>
          </w:tcPr>
          <w:p>
            <w:pPr>
              <w:jc w:val="right"/>
              <w:rPr>
                <w:noProof/>
                <w:sz w:val="16"/>
                <w:szCs w:val="16"/>
              </w:rPr>
            </w:pPr>
          </w:p>
          <w:p>
            <w:pPr>
              <w:jc w:val="right"/>
              <w:rPr>
                <w:noProof/>
                <w:sz w:val="16"/>
                <w:szCs w:val="16"/>
              </w:rPr>
            </w:pPr>
            <w:r>
              <w:rPr>
                <w:noProof/>
                <w:sz w:val="16"/>
              </w:rPr>
              <w:t>0,000</w:t>
            </w:r>
          </w:p>
        </w:tc>
        <w:tc>
          <w:tcPr>
            <w:tcW w:w="0" w:type="auto"/>
          </w:tcPr>
          <w:p>
            <w:pPr>
              <w:jc w:val="right"/>
              <w:rPr>
                <w:noProof/>
                <w:sz w:val="16"/>
                <w:szCs w:val="16"/>
              </w:rPr>
            </w:pPr>
          </w:p>
        </w:tc>
        <w:tc>
          <w:tcPr>
            <w:tcW w:w="0" w:type="auto"/>
          </w:tcPr>
          <w:p>
            <w:pPr>
              <w:jc w:val="right"/>
              <w:rPr>
                <w:noProof/>
                <w:sz w:val="16"/>
                <w:szCs w:val="16"/>
              </w:rPr>
            </w:pPr>
          </w:p>
          <w:p>
            <w:pPr>
              <w:jc w:val="right"/>
              <w:rPr>
                <w:noProof/>
                <w:sz w:val="16"/>
                <w:szCs w:val="16"/>
              </w:rPr>
            </w:pPr>
            <w:r>
              <w:rPr>
                <w:noProof/>
                <w:sz w:val="16"/>
              </w:rPr>
              <w:t>0,000</w:t>
            </w:r>
          </w:p>
        </w:tc>
        <w:tc>
          <w:tcPr>
            <w:tcW w:w="0" w:type="auto"/>
          </w:tcPr>
          <w:p>
            <w:pPr>
              <w:jc w:val="right"/>
              <w:rPr>
                <w:noProof/>
                <w:sz w:val="16"/>
                <w:szCs w:val="16"/>
              </w:rPr>
            </w:pPr>
          </w:p>
        </w:tc>
        <w:tc>
          <w:tcPr>
            <w:tcW w:w="0" w:type="auto"/>
          </w:tcPr>
          <w:p>
            <w:pPr>
              <w:jc w:val="right"/>
              <w:rPr>
                <w:noProof/>
                <w:sz w:val="16"/>
                <w:szCs w:val="16"/>
              </w:rPr>
            </w:pPr>
          </w:p>
        </w:tc>
        <w:tc>
          <w:tcPr>
            <w:tcW w:w="0" w:type="auto"/>
          </w:tcPr>
          <w:p>
            <w:pPr>
              <w:jc w:val="right"/>
              <w:rPr>
                <w:noProof/>
                <w:sz w:val="16"/>
                <w:szCs w:val="16"/>
              </w:rPr>
            </w:pPr>
          </w:p>
        </w:tc>
        <w:tc>
          <w:tcPr>
            <w:tcW w:w="0" w:type="auto"/>
          </w:tcPr>
          <w:p>
            <w:pPr>
              <w:jc w:val="right"/>
              <w:rPr>
                <w:noProof/>
                <w:sz w:val="16"/>
                <w:szCs w:val="16"/>
              </w:rPr>
            </w:pPr>
          </w:p>
        </w:tc>
        <w:tc>
          <w:tcPr>
            <w:tcW w:w="0" w:type="auto"/>
          </w:tcPr>
          <w:p>
            <w:pPr>
              <w:jc w:val="right"/>
              <w:rPr>
                <w:noProof/>
                <w:sz w:val="16"/>
                <w:szCs w:val="16"/>
              </w:rPr>
            </w:pPr>
          </w:p>
        </w:tc>
        <w:tc>
          <w:tcPr>
            <w:tcW w:w="0" w:type="auto"/>
          </w:tcPr>
          <w:p>
            <w:pPr>
              <w:jc w:val="right"/>
              <w:rPr>
                <w:noProof/>
                <w:sz w:val="16"/>
                <w:szCs w:val="16"/>
              </w:rPr>
            </w:pPr>
          </w:p>
        </w:tc>
        <w:tc>
          <w:tcPr>
            <w:tcW w:w="0" w:type="auto"/>
          </w:tcPr>
          <w:p>
            <w:pPr>
              <w:jc w:val="right"/>
              <w:rPr>
                <w:noProof/>
                <w:sz w:val="16"/>
                <w:szCs w:val="16"/>
              </w:rPr>
            </w:pPr>
          </w:p>
        </w:tc>
        <w:tc>
          <w:tcPr>
            <w:tcW w:w="0" w:type="auto"/>
          </w:tcPr>
          <w:p>
            <w:pPr>
              <w:jc w:val="right"/>
              <w:rPr>
                <w:noProof/>
                <w:sz w:val="16"/>
                <w:szCs w:val="16"/>
              </w:rPr>
            </w:pPr>
          </w:p>
        </w:tc>
        <w:tc>
          <w:tcPr>
            <w:tcW w:w="0" w:type="auto"/>
          </w:tcPr>
          <w:p>
            <w:pPr>
              <w:jc w:val="right"/>
              <w:rPr>
                <w:noProof/>
                <w:sz w:val="16"/>
                <w:szCs w:val="16"/>
              </w:rPr>
            </w:pPr>
          </w:p>
        </w:tc>
        <w:tc>
          <w:tcPr>
            <w:tcW w:w="0" w:type="auto"/>
          </w:tcPr>
          <w:p>
            <w:pPr>
              <w:jc w:val="right"/>
              <w:rPr>
                <w:noProof/>
                <w:sz w:val="16"/>
                <w:szCs w:val="16"/>
              </w:rPr>
            </w:pPr>
          </w:p>
          <w:p>
            <w:pPr>
              <w:jc w:val="right"/>
              <w:rPr>
                <w:noProof/>
                <w:sz w:val="16"/>
                <w:szCs w:val="16"/>
              </w:rPr>
            </w:pPr>
            <w:r>
              <w:rPr>
                <w:noProof/>
                <w:sz w:val="16"/>
              </w:rPr>
              <w:t>0,000</w:t>
            </w:r>
          </w:p>
        </w:tc>
      </w:tr>
      <w:tr>
        <w:tc>
          <w:tcPr>
            <w:tcW w:w="0" w:type="auto"/>
          </w:tcPr>
          <w:p>
            <w:pPr>
              <w:rPr>
                <w:b/>
                <w:noProof/>
                <w:sz w:val="16"/>
                <w:szCs w:val="16"/>
              </w:rPr>
            </w:pPr>
            <w:r>
              <w:rPr>
                <w:b/>
                <w:noProof/>
                <w:sz w:val="16"/>
              </w:rPr>
              <w:t>COST TOTAL</w:t>
            </w:r>
          </w:p>
        </w:tc>
        <w:tc>
          <w:tcPr>
            <w:tcW w:w="780" w:type="dxa"/>
          </w:tcPr>
          <w:p>
            <w:pPr>
              <w:rPr>
                <w:b/>
                <w:noProof/>
                <w:sz w:val="16"/>
                <w:szCs w:val="16"/>
              </w:rPr>
            </w:pPr>
          </w:p>
        </w:tc>
        <w:tc>
          <w:tcPr>
            <w:tcW w:w="537" w:type="dxa"/>
          </w:tcPr>
          <w:p>
            <w:pPr>
              <w:rPr>
                <w:b/>
                <w:noProof/>
                <w:sz w:val="16"/>
                <w:szCs w:val="16"/>
              </w:rPr>
            </w:pPr>
          </w:p>
        </w:tc>
        <w:tc>
          <w:tcPr>
            <w:tcW w:w="0" w:type="auto"/>
          </w:tcPr>
          <w:p>
            <w:pPr>
              <w:rPr>
                <w:b/>
                <w:noProof/>
                <w:sz w:val="16"/>
                <w:szCs w:val="16"/>
              </w:rPr>
            </w:pPr>
          </w:p>
        </w:tc>
        <w:tc>
          <w:tcPr>
            <w:tcW w:w="0" w:type="auto"/>
          </w:tcPr>
          <w:p>
            <w:pPr>
              <w:jc w:val="right"/>
              <w:rPr>
                <w:b/>
                <w:noProof/>
                <w:sz w:val="16"/>
                <w:szCs w:val="16"/>
              </w:rPr>
            </w:pPr>
          </w:p>
          <w:p>
            <w:pPr>
              <w:jc w:val="right"/>
              <w:rPr>
                <w:b/>
                <w:noProof/>
                <w:sz w:val="16"/>
                <w:szCs w:val="16"/>
              </w:rPr>
            </w:pPr>
            <w:r>
              <w:rPr>
                <w:b/>
                <w:noProof/>
                <w:sz w:val="16"/>
              </w:rPr>
              <w:t>0,000</w:t>
            </w:r>
          </w:p>
        </w:tc>
        <w:tc>
          <w:tcPr>
            <w:tcW w:w="0" w:type="auto"/>
          </w:tcPr>
          <w:p>
            <w:pPr>
              <w:jc w:val="right"/>
              <w:rPr>
                <w:b/>
                <w:noProof/>
                <w:sz w:val="16"/>
                <w:szCs w:val="16"/>
              </w:rPr>
            </w:pPr>
          </w:p>
        </w:tc>
        <w:tc>
          <w:tcPr>
            <w:tcW w:w="0" w:type="auto"/>
          </w:tcPr>
          <w:p>
            <w:pPr>
              <w:jc w:val="right"/>
              <w:rPr>
                <w:b/>
                <w:noProof/>
                <w:sz w:val="16"/>
                <w:szCs w:val="16"/>
              </w:rPr>
            </w:pPr>
          </w:p>
          <w:p>
            <w:pPr>
              <w:jc w:val="right"/>
              <w:rPr>
                <w:b/>
                <w:noProof/>
                <w:sz w:val="16"/>
                <w:szCs w:val="16"/>
              </w:rPr>
            </w:pPr>
            <w:r>
              <w:rPr>
                <w:b/>
                <w:noProof/>
                <w:sz w:val="16"/>
              </w:rPr>
              <w:t>0,000</w:t>
            </w:r>
          </w:p>
        </w:tc>
        <w:tc>
          <w:tcPr>
            <w:tcW w:w="0" w:type="auto"/>
          </w:tcPr>
          <w:p>
            <w:pPr>
              <w:jc w:val="right"/>
              <w:rPr>
                <w:b/>
                <w:noProof/>
                <w:sz w:val="16"/>
                <w:szCs w:val="16"/>
              </w:rPr>
            </w:pPr>
          </w:p>
        </w:tc>
        <w:tc>
          <w:tcPr>
            <w:tcW w:w="0" w:type="auto"/>
          </w:tcPr>
          <w:p>
            <w:pPr>
              <w:jc w:val="right"/>
              <w:rPr>
                <w:b/>
                <w:noProof/>
                <w:sz w:val="16"/>
                <w:szCs w:val="16"/>
              </w:rPr>
            </w:pPr>
          </w:p>
        </w:tc>
        <w:tc>
          <w:tcPr>
            <w:tcW w:w="0" w:type="auto"/>
          </w:tcPr>
          <w:p>
            <w:pPr>
              <w:jc w:val="right"/>
              <w:rPr>
                <w:b/>
                <w:noProof/>
                <w:sz w:val="16"/>
                <w:szCs w:val="16"/>
              </w:rPr>
            </w:pPr>
          </w:p>
        </w:tc>
        <w:tc>
          <w:tcPr>
            <w:tcW w:w="0" w:type="auto"/>
          </w:tcPr>
          <w:p>
            <w:pPr>
              <w:jc w:val="right"/>
              <w:rPr>
                <w:b/>
                <w:noProof/>
                <w:sz w:val="16"/>
                <w:szCs w:val="16"/>
              </w:rPr>
            </w:pPr>
          </w:p>
        </w:tc>
        <w:tc>
          <w:tcPr>
            <w:tcW w:w="0" w:type="auto"/>
          </w:tcPr>
          <w:p>
            <w:pPr>
              <w:jc w:val="right"/>
              <w:rPr>
                <w:b/>
                <w:noProof/>
                <w:sz w:val="16"/>
                <w:szCs w:val="16"/>
              </w:rPr>
            </w:pPr>
          </w:p>
        </w:tc>
        <w:tc>
          <w:tcPr>
            <w:tcW w:w="0" w:type="auto"/>
          </w:tcPr>
          <w:p>
            <w:pPr>
              <w:jc w:val="right"/>
              <w:rPr>
                <w:b/>
                <w:noProof/>
                <w:sz w:val="16"/>
                <w:szCs w:val="16"/>
              </w:rPr>
            </w:pPr>
          </w:p>
        </w:tc>
        <w:tc>
          <w:tcPr>
            <w:tcW w:w="0" w:type="auto"/>
          </w:tcPr>
          <w:p>
            <w:pPr>
              <w:jc w:val="right"/>
              <w:rPr>
                <w:b/>
                <w:noProof/>
                <w:sz w:val="16"/>
                <w:szCs w:val="16"/>
              </w:rPr>
            </w:pPr>
          </w:p>
        </w:tc>
        <w:tc>
          <w:tcPr>
            <w:tcW w:w="0" w:type="auto"/>
          </w:tcPr>
          <w:p>
            <w:pPr>
              <w:jc w:val="right"/>
              <w:rPr>
                <w:b/>
                <w:noProof/>
                <w:sz w:val="16"/>
                <w:szCs w:val="16"/>
              </w:rPr>
            </w:pPr>
          </w:p>
        </w:tc>
        <w:tc>
          <w:tcPr>
            <w:tcW w:w="0" w:type="auto"/>
          </w:tcPr>
          <w:p>
            <w:pPr>
              <w:jc w:val="right"/>
              <w:rPr>
                <w:b/>
                <w:noProof/>
                <w:sz w:val="16"/>
                <w:szCs w:val="16"/>
              </w:rPr>
            </w:pPr>
          </w:p>
        </w:tc>
        <w:tc>
          <w:tcPr>
            <w:tcW w:w="0" w:type="auto"/>
          </w:tcPr>
          <w:p>
            <w:pPr>
              <w:jc w:val="right"/>
              <w:rPr>
                <w:b/>
                <w:noProof/>
                <w:sz w:val="16"/>
                <w:szCs w:val="16"/>
              </w:rPr>
            </w:pPr>
          </w:p>
          <w:p>
            <w:pPr>
              <w:jc w:val="right"/>
              <w:rPr>
                <w:b/>
                <w:noProof/>
                <w:sz w:val="16"/>
                <w:szCs w:val="16"/>
              </w:rPr>
            </w:pPr>
            <w:r>
              <w:rPr>
                <w:b/>
                <w:noProof/>
                <w:sz w:val="16"/>
              </w:rPr>
              <w:t>0,000</w:t>
            </w:r>
          </w:p>
        </w:tc>
      </w:tr>
    </w:tbl>
    <w:p>
      <w:pPr>
        <w:rPr>
          <w:noProof/>
        </w:rPr>
        <w:sectPr>
          <w:headerReference w:type="default" r:id="rId13"/>
          <w:footerReference w:type="default" r:id="rId14"/>
          <w:headerReference w:type="first" r:id="rId15"/>
          <w:footerReference w:type="first" r:id="rId16"/>
          <w:pgSz w:w="15840" w:h="12240" w:orient="landscape"/>
          <w:pgMar w:top="1259" w:right="1440" w:bottom="1259" w:left="1440" w:header="709" w:footer="709" w:gutter="0"/>
          <w:cols w:space="708"/>
          <w:docGrid w:linePitch="360"/>
        </w:sectPr>
      </w:pPr>
    </w:p>
    <w:p>
      <w:pPr>
        <w:pStyle w:val="ManualHeading2"/>
        <w:rPr>
          <w:noProof/>
        </w:rPr>
      </w:pPr>
      <w:r>
        <w:rPr>
          <w:noProof/>
        </w:rPr>
        <w:t>8.2.</w:t>
      </w:r>
      <w:r>
        <w:rPr>
          <w:noProof/>
        </w:rPr>
        <w:tab/>
        <w:t>Cheltuieli administrative</w:t>
      </w:r>
    </w:p>
    <w:p>
      <w:pPr>
        <w:pStyle w:val="ManualHeading3"/>
        <w:rPr>
          <w:noProof/>
        </w:rPr>
      </w:pPr>
      <w:r>
        <w:rPr>
          <w:noProof/>
        </w:rPr>
        <w:t>8.2.1.</w:t>
      </w:r>
      <w:r>
        <w:rPr>
          <w:noProof/>
        </w:rPr>
        <w:tab/>
        <w:t>Numărul și tipul resurselor umane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0"/>
        <w:gridCol w:w="884"/>
        <w:gridCol w:w="1138"/>
        <w:gridCol w:w="1138"/>
        <w:gridCol w:w="1139"/>
        <w:gridCol w:w="1139"/>
        <w:gridCol w:w="1139"/>
        <w:gridCol w:w="1139"/>
      </w:tblGrid>
      <w:tr>
        <w:trPr>
          <w:trHeight w:val="678"/>
        </w:trPr>
        <w:tc>
          <w:tcPr>
            <w:tcW w:w="1040" w:type="dxa"/>
            <w:vAlign w:val="center"/>
          </w:tcPr>
          <w:p>
            <w:pPr>
              <w:jc w:val="center"/>
              <w:rPr>
                <w:noProof/>
                <w:sz w:val="20"/>
                <w:szCs w:val="20"/>
              </w:rPr>
            </w:pPr>
            <w:r>
              <w:rPr>
                <w:noProof/>
                <w:sz w:val="20"/>
              </w:rPr>
              <w:t>Tipuri de posturi</w:t>
            </w:r>
          </w:p>
        </w:tc>
        <w:tc>
          <w:tcPr>
            <w:tcW w:w="884" w:type="dxa"/>
          </w:tcPr>
          <w:p>
            <w:pPr>
              <w:rPr>
                <w:noProof/>
                <w:sz w:val="20"/>
                <w:szCs w:val="20"/>
              </w:rPr>
            </w:pPr>
          </w:p>
        </w:tc>
        <w:tc>
          <w:tcPr>
            <w:tcW w:w="6932" w:type="dxa"/>
            <w:gridSpan w:val="6"/>
            <w:vAlign w:val="center"/>
          </w:tcPr>
          <w:p>
            <w:pPr>
              <w:jc w:val="center"/>
              <w:rPr>
                <w:noProof/>
                <w:sz w:val="20"/>
                <w:szCs w:val="20"/>
              </w:rPr>
            </w:pPr>
            <w:r>
              <w:rPr>
                <w:noProof/>
                <w:sz w:val="20"/>
              </w:rPr>
              <w:t>Personal care urmează să fie alocat pentru gestionarea acțiunii prin utilizarea resurselor existente și/sau suplimentare (</w:t>
            </w:r>
            <w:r>
              <w:rPr>
                <w:b/>
                <w:noProof/>
                <w:sz w:val="20"/>
              </w:rPr>
              <w:t>număr de posturi/ENI</w:t>
            </w:r>
            <w:r>
              <w:rPr>
                <w:noProof/>
                <w:sz w:val="20"/>
              </w:rPr>
              <w:t>)</w:t>
            </w:r>
          </w:p>
        </w:tc>
      </w:tr>
      <w:tr>
        <w:trPr>
          <w:trHeight w:val="383"/>
        </w:trPr>
        <w:tc>
          <w:tcPr>
            <w:tcW w:w="1040" w:type="dxa"/>
          </w:tcPr>
          <w:p>
            <w:pPr>
              <w:rPr>
                <w:noProof/>
                <w:sz w:val="20"/>
                <w:szCs w:val="20"/>
              </w:rPr>
            </w:pPr>
          </w:p>
        </w:tc>
        <w:tc>
          <w:tcPr>
            <w:tcW w:w="884" w:type="dxa"/>
          </w:tcPr>
          <w:p>
            <w:pPr>
              <w:rPr>
                <w:noProof/>
                <w:sz w:val="20"/>
                <w:szCs w:val="20"/>
              </w:rPr>
            </w:pPr>
          </w:p>
        </w:tc>
        <w:tc>
          <w:tcPr>
            <w:tcW w:w="1154" w:type="dxa"/>
            <w:vAlign w:val="center"/>
          </w:tcPr>
          <w:p>
            <w:pPr>
              <w:jc w:val="center"/>
              <w:rPr>
                <w:noProof/>
                <w:sz w:val="20"/>
                <w:szCs w:val="20"/>
              </w:rPr>
            </w:pPr>
            <w:r>
              <w:rPr>
                <w:noProof/>
                <w:sz w:val="20"/>
              </w:rPr>
              <w:t>Anul n</w:t>
            </w:r>
          </w:p>
        </w:tc>
        <w:tc>
          <w:tcPr>
            <w:tcW w:w="1154" w:type="dxa"/>
            <w:vAlign w:val="center"/>
          </w:tcPr>
          <w:p>
            <w:pPr>
              <w:jc w:val="center"/>
              <w:rPr>
                <w:noProof/>
                <w:sz w:val="20"/>
                <w:szCs w:val="20"/>
              </w:rPr>
            </w:pPr>
            <w:r>
              <w:rPr>
                <w:noProof/>
                <w:sz w:val="20"/>
              </w:rPr>
              <w:t>Anul n+1</w:t>
            </w:r>
          </w:p>
        </w:tc>
        <w:tc>
          <w:tcPr>
            <w:tcW w:w="1156" w:type="dxa"/>
            <w:vAlign w:val="center"/>
          </w:tcPr>
          <w:p>
            <w:pPr>
              <w:jc w:val="center"/>
              <w:rPr>
                <w:noProof/>
                <w:sz w:val="20"/>
                <w:szCs w:val="20"/>
              </w:rPr>
            </w:pPr>
            <w:r>
              <w:rPr>
                <w:noProof/>
                <w:sz w:val="20"/>
              </w:rPr>
              <w:t>Anul n+2</w:t>
            </w:r>
          </w:p>
        </w:tc>
        <w:tc>
          <w:tcPr>
            <w:tcW w:w="1156" w:type="dxa"/>
            <w:vAlign w:val="center"/>
          </w:tcPr>
          <w:p>
            <w:pPr>
              <w:jc w:val="center"/>
              <w:rPr>
                <w:noProof/>
                <w:sz w:val="20"/>
                <w:szCs w:val="20"/>
              </w:rPr>
            </w:pPr>
            <w:r>
              <w:rPr>
                <w:noProof/>
                <w:sz w:val="20"/>
              </w:rPr>
              <w:t>Anul n+3</w:t>
            </w:r>
          </w:p>
        </w:tc>
        <w:tc>
          <w:tcPr>
            <w:tcW w:w="1156" w:type="dxa"/>
            <w:vAlign w:val="center"/>
          </w:tcPr>
          <w:p>
            <w:pPr>
              <w:jc w:val="center"/>
              <w:rPr>
                <w:noProof/>
                <w:sz w:val="20"/>
                <w:szCs w:val="20"/>
              </w:rPr>
            </w:pPr>
            <w:r>
              <w:rPr>
                <w:noProof/>
                <w:sz w:val="20"/>
              </w:rPr>
              <w:t>Anul n+4</w:t>
            </w:r>
          </w:p>
        </w:tc>
        <w:tc>
          <w:tcPr>
            <w:tcW w:w="1156" w:type="dxa"/>
            <w:vAlign w:val="center"/>
          </w:tcPr>
          <w:p>
            <w:pPr>
              <w:jc w:val="center"/>
              <w:rPr>
                <w:noProof/>
                <w:sz w:val="20"/>
                <w:szCs w:val="20"/>
              </w:rPr>
            </w:pPr>
            <w:r>
              <w:rPr>
                <w:noProof/>
                <w:sz w:val="20"/>
              </w:rPr>
              <w:t>Anul n+5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040" w:type="dxa"/>
            <w:vMerge w:val="restart"/>
          </w:tcPr>
          <w:p>
            <w:pPr>
              <w:jc w:val="center"/>
              <w:rPr>
                <w:noProof/>
                <w:sz w:val="20"/>
                <w:szCs w:val="20"/>
              </w:rPr>
            </w:pPr>
            <w:r>
              <w:rPr>
                <w:noProof/>
                <w:sz w:val="20"/>
              </w:rPr>
              <w:t>Funcționari sau agenți temporari</w:t>
            </w:r>
            <w:r>
              <w:rPr>
                <w:noProof/>
              </w:rPr>
              <w:t xml:space="preserve"> </w:t>
            </w:r>
            <w:r>
              <w:rPr>
                <w:noProof/>
                <w:sz w:val="20"/>
              </w:rPr>
              <w:t>(XX 01 01)</w:t>
            </w:r>
          </w:p>
        </w:tc>
        <w:tc>
          <w:tcPr>
            <w:tcW w:w="884" w:type="dxa"/>
          </w:tcPr>
          <w:p>
            <w:pPr>
              <w:rPr>
                <w:noProof/>
                <w:sz w:val="20"/>
                <w:szCs w:val="20"/>
              </w:rPr>
            </w:pPr>
            <w:r>
              <w:rPr>
                <w:noProof/>
                <w:sz w:val="20"/>
              </w:rPr>
              <w:t>A*/AD</w:t>
            </w:r>
          </w:p>
        </w:tc>
        <w:tc>
          <w:tcPr>
            <w:tcW w:w="1154" w:type="dxa"/>
          </w:tcPr>
          <w:p>
            <w:pPr>
              <w:jc w:val="right"/>
              <w:rPr>
                <w:noProof/>
                <w:sz w:val="20"/>
                <w:szCs w:val="20"/>
              </w:rPr>
            </w:pPr>
            <w:r>
              <w:rPr>
                <w:noProof/>
                <w:sz w:val="20"/>
              </w:rPr>
              <w:t>n.a.</w:t>
            </w:r>
          </w:p>
        </w:tc>
        <w:tc>
          <w:tcPr>
            <w:tcW w:w="1154"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040" w:type="dxa"/>
            <w:vMerge/>
          </w:tcPr>
          <w:p>
            <w:pPr>
              <w:rPr>
                <w:noProof/>
                <w:sz w:val="20"/>
                <w:szCs w:val="20"/>
              </w:rPr>
            </w:pPr>
          </w:p>
        </w:tc>
        <w:tc>
          <w:tcPr>
            <w:tcW w:w="884" w:type="dxa"/>
          </w:tcPr>
          <w:p>
            <w:pPr>
              <w:rPr>
                <w:noProof/>
                <w:sz w:val="20"/>
                <w:szCs w:val="20"/>
              </w:rPr>
            </w:pPr>
            <w:r>
              <w:rPr>
                <w:noProof/>
                <w:sz w:val="20"/>
              </w:rPr>
              <w:t>B*, C*/AST</w:t>
            </w:r>
          </w:p>
        </w:tc>
        <w:tc>
          <w:tcPr>
            <w:tcW w:w="1154" w:type="dxa"/>
          </w:tcPr>
          <w:p>
            <w:pPr>
              <w:jc w:val="right"/>
              <w:rPr>
                <w:noProof/>
                <w:sz w:val="20"/>
                <w:szCs w:val="20"/>
              </w:rPr>
            </w:pPr>
            <w:r>
              <w:rPr>
                <w:noProof/>
                <w:sz w:val="20"/>
              </w:rPr>
              <w:t>n.a.</w:t>
            </w:r>
          </w:p>
        </w:tc>
        <w:tc>
          <w:tcPr>
            <w:tcW w:w="1154"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r>
      <w:tr>
        <w:tc>
          <w:tcPr>
            <w:tcW w:w="1924" w:type="dxa"/>
            <w:gridSpan w:val="2"/>
          </w:tcPr>
          <w:p>
            <w:pPr>
              <w:rPr>
                <w:noProof/>
                <w:sz w:val="20"/>
                <w:szCs w:val="20"/>
              </w:rPr>
            </w:pPr>
            <w:r>
              <w:rPr>
                <w:noProof/>
                <w:sz w:val="20"/>
              </w:rPr>
              <w:t>Personal finanțat prin articolul XX 01 02</w:t>
            </w:r>
          </w:p>
        </w:tc>
        <w:tc>
          <w:tcPr>
            <w:tcW w:w="1154" w:type="dxa"/>
          </w:tcPr>
          <w:p>
            <w:pPr>
              <w:jc w:val="right"/>
              <w:rPr>
                <w:noProof/>
                <w:sz w:val="20"/>
                <w:szCs w:val="20"/>
              </w:rPr>
            </w:pPr>
            <w:r>
              <w:rPr>
                <w:noProof/>
                <w:sz w:val="20"/>
              </w:rPr>
              <w:t>n.a.</w:t>
            </w:r>
          </w:p>
        </w:tc>
        <w:tc>
          <w:tcPr>
            <w:tcW w:w="1154"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r>
      <w:tr>
        <w:tc>
          <w:tcPr>
            <w:tcW w:w="1924" w:type="dxa"/>
            <w:gridSpan w:val="2"/>
          </w:tcPr>
          <w:p>
            <w:pPr>
              <w:rPr>
                <w:noProof/>
                <w:sz w:val="20"/>
                <w:szCs w:val="20"/>
              </w:rPr>
            </w:pPr>
            <w:r>
              <w:rPr>
                <w:noProof/>
                <w:sz w:val="20"/>
              </w:rPr>
              <w:t>Alte tipuri de personal finanțat prin articolul XX 01 04/05</w:t>
            </w:r>
          </w:p>
        </w:tc>
        <w:tc>
          <w:tcPr>
            <w:tcW w:w="1154" w:type="dxa"/>
          </w:tcPr>
          <w:p>
            <w:pPr>
              <w:jc w:val="right"/>
              <w:rPr>
                <w:noProof/>
                <w:sz w:val="20"/>
                <w:szCs w:val="20"/>
              </w:rPr>
            </w:pPr>
            <w:r>
              <w:rPr>
                <w:noProof/>
                <w:sz w:val="20"/>
              </w:rPr>
              <w:t>n.a.</w:t>
            </w:r>
          </w:p>
        </w:tc>
        <w:tc>
          <w:tcPr>
            <w:tcW w:w="1154"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r>
      <w:tr>
        <w:trPr>
          <w:trHeight w:val="547"/>
        </w:trPr>
        <w:tc>
          <w:tcPr>
            <w:tcW w:w="1924" w:type="dxa"/>
            <w:gridSpan w:val="2"/>
            <w:vAlign w:val="center"/>
          </w:tcPr>
          <w:p>
            <w:pPr>
              <w:rPr>
                <w:noProof/>
                <w:sz w:val="20"/>
                <w:szCs w:val="20"/>
              </w:rPr>
            </w:pPr>
            <w:r>
              <w:rPr>
                <w:b/>
                <w:noProof/>
                <w:sz w:val="20"/>
              </w:rPr>
              <w:t>TOTAL</w:t>
            </w:r>
          </w:p>
        </w:tc>
        <w:tc>
          <w:tcPr>
            <w:tcW w:w="1154" w:type="dxa"/>
          </w:tcPr>
          <w:p>
            <w:pPr>
              <w:jc w:val="right"/>
              <w:rPr>
                <w:noProof/>
                <w:sz w:val="20"/>
                <w:szCs w:val="20"/>
              </w:rPr>
            </w:pPr>
            <w:r>
              <w:rPr>
                <w:noProof/>
                <w:sz w:val="20"/>
              </w:rPr>
              <w:t>n.a.</w:t>
            </w:r>
          </w:p>
        </w:tc>
        <w:tc>
          <w:tcPr>
            <w:tcW w:w="1154"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c>
          <w:tcPr>
            <w:tcW w:w="1156" w:type="dxa"/>
          </w:tcPr>
          <w:p>
            <w:pPr>
              <w:jc w:val="right"/>
              <w:rPr>
                <w:noProof/>
                <w:sz w:val="20"/>
                <w:szCs w:val="20"/>
              </w:rPr>
            </w:pPr>
            <w:r>
              <w:rPr>
                <w:noProof/>
                <w:sz w:val="20"/>
              </w:rPr>
              <w:t>n.a.</w:t>
            </w:r>
          </w:p>
        </w:tc>
      </w:tr>
    </w:tbl>
    <w:p>
      <w:pPr>
        <w:pStyle w:val="ManualHeading3"/>
        <w:spacing w:before="360"/>
        <w:ind w:left="851" w:hanging="851"/>
        <w:rPr>
          <w:noProof/>
        </w:rPr>
      </w:pPr>
      <w:r>
        <w:rPr>
          <w:noProof/>
        </w:rPr>
        <w:t>8.2.2.</w:t>
      </w:r>
      <w:r>
        <w:rPr>
          <w:noProof/>
        </w:rPr>
        <w:tab/>
        <w:t>Descrierea sarcinilor care decurg din acțiune</w:t>
      </w:r>
    </w:p>
    <w:p>
      <w:pPr>
        <w:rPr>
          <w:noProof/>
        </w:rPr>
      </w:pPr>
      <w:r>
        <w:rPr>
          <w:noProof/>
        </w:rPr>
        <w:t>N/A</w:t>
      </w:r>
    </w:p>
    <w:p>
      <w:pPr>
        <w:pStyle w:val="ManualHeading3"/>
        <w:rPr>
          <w:noProof/>
        </w:rPr>
      </w:pPr>
      <w:r>
        <w:rPr>
          <w:noProof/>
        </w:rPr>
        <w:t>8.2.3.</w:t>
      </w:r>
      <w:r>
        <w:rPr>
          <w:noProof/>
        </w:rPr>
        <w:tab/>
        <w:t>Originea resurselor umane (statutare)</w:t>
      </w:r>
    </w:p>
    <w:p>
      <w:pPr>
        <w:rPr>
          <w:i/>
          <w:noProof/>
        </w:rPr>
      </w:pPr>
      <w:r>
        <w:rPr>
          <w:i/>
          <w:noProof/>
        </w:rPr>
        <w:t>(În cazul în care se indică mai multe origini, vă rugăm să indicați numărul posturilor corespunzătoare fiecăreia dintre acestea)</w:t>
      </w:r>
    </w:p>
    <w:p>
      <w:pPr>
        <w:pStyle w:val="Text1"/>
        <w:rPr>
          <w:noProof/>
        </w:rPr>
      </w:pPr>
      <w:r>
        <w:rPr>
          <w:noProof/>
        </w:rPr>
        <w:sym w:font="Wingdings" w:char="F0A8"/>
      </w:r>
      <w:r>
        <w:rPr>
          <w:noProof/>
        </w:rPr>
        <w:tab/>
        <w:t>Posturi alocate în prezent pentru gestionarea programului care urmează să fie înlocuite sau prelungite</w:t>
      </w:r>
    </w:p>
    <w:p>
      <w:pPr>
        <w:pStyle w:val="Text1"/>
        <w:rPr>
          <w:noProof/>
          <w:sz w:val="20"/>
          <w:szCs w:val="20"/>
        </w:rPr>
      </w:pPr>
      <w:r>
        <w:rPr>
          <w:noProof/>
        </w:rPr>
        <w:sym w:font="Wingdings" w:char="F0A8"/>
      </w:r>
      <w:r>
        <w:rPr>
          <w:noProof/>
        </w:rPr>
        <w:tab/>
        <w:t>Posturi prealocate în cadrul exercițiului financiar SPA/PPB pentru anul n</w:t>
      </w:r>
    </w:p>
    <w:p>
      <w:pPr>
        <w:pStyle w:val="Text1"/>
        <w:rPr>
          <w:noProof/>
        </w:rPr>
      </w:pPr>
      <w:r>
        <w:rPr>
          <w:noProof/>
        </w:rPr>
        <w:sym w:font="Wingdings" w:char="F0A8"/>
      </w:r>
      <w:r>
        <w:rPr>
          <w:noProof/>
        </w:rPr>
        <w:tab/>
        <w:t>Posturi care urmează să fie solicitate în cadrul următoarei proceduri SPA/PPB</w:t>
      </w:r>
    </w:p>
    <w:p>
      <w:pPr>
        <w:pStyle w:val="Text1"/>
        <w:rPr>
          <w:noProof/>
        </w:rPr>
      </w:pPr>
      <w:r>
        <w:rPr>
          <w:noProof/>
        </w:rPr>
        <w:sym w:font="Wingdings" w:char="F0A8"/>
      </w:r>
      <w:r>
        <w:rPr>
          <w:noProof/>
        </w:rPr>
        <w:tab/>
        <w:t>Posturi care urmează să fie redistribuite pe baza resurselor existente în cadrul serviciului în cauză (redistribuire internă)</w:t>
      </w:r>
    </w:p>
    <w:p>
      <w:pPr>
        <w:pStyle w:val="Text1"/>
        <w:rPr>
          <w:noProof/>
        </w:rPr>
      </w:pPr>
      <w:r>
        <w:rPr>
          <w:noProof/>
        </w:rPr>
        <w:sym w:font="Wingdings" w:char="F0A8"/>
      </w:r>
      <w:r>
        <w:rPr>
          <w:noProof/>
        </w:rPr>
        <w:tab/>
        <w:t>Posturi necesare pentru anul n, dar care nu sunt prevăzute în exercițiul SPA/PPB al exercițiului financiar în cauză</w:t>
      </w:r>
    </w:p>
    <w:p>
      <w:pPr>
        <w:pStyle w:val="Text1"/>
        <w:spacing w:after="0"/>
        <w:rPr>
          <w:noProof/>
        </w:rPr>
        <w:sectPr>
          <w:headerReference w:type="default" r:id="rId17"/>
          <w:footerReference w:type="default" r:id="rId18"/>
          <w:headerReference w:type="first" r:id="rId19"/>
          <w:footerReference w:type="first" r:id="rId20"/>
          <w:pgSz w:w="12240" w:h="15840"/>
          <w:pgMar w:top="1440" w:right="1800" w:bottom="1440" w:left="1800" w:header="708" w:footer="708" w:gutter="0"/>
          <w:cols w:space="708"/>
          <w:docGrid w:linePitch="360"/>
        </w:sectPr>
      </w:pPr>
    </w:p>
    <w:p>
      <w:pPr>
        <w:pStyle w:val="ManualHeading3"/>
        <w:rPr>
          <w:noProof/>
        </w:rPr>
      </w:pPr>
      <w:r>
        <w:rPr>
          <w:noProof/>
        </w:rPr>
        <w:t>8.2.4.</w:t>
      </w:r>
      <w:r>
        <w:rPr>
          <w:noProof/>
        </w:rPr>
        <w:tab/>
        <w:t>Alte cheltuieli administrative incluse în suma de referință (XX 01 04/05 – Cheltuieli de gestiune administrativă)</w:t>
      </w:r>
    </w:p>
    <w:p>
      <w:pPr>
        <w:jc w:val="right"/>
        <w:rPr>
          <w:i/>
          <w:noProof/>
          <w:sz w:val="20"/>
          <w:szCs w:val="20"/>
        </w:rPr>
      </w:pPr>
      <w:r>
        <w:rPr>
          <w:i/>
          <w:noProof/>
          <w:sz w:val="20"/>
        </w:rPr>
        <w:t>milioane EUR (cu 3 zecimale)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9"/>
        <w:gridCol w:w="702"/>
        <w:gridCol w:w="711"/>
        <w:gridCol w:w="711"/>
        <w:gridCol w:w="711"/>
        <w:gridCol w:w="711"/>
        <w:gridCol w:w="749"/>
        <w:gridCol w:w="872"/>
      </w:tblGrid>
      <w:tr>
        <w:trPr>
          <w:trHeight w:val="625"/>
        </w:trPr>
        <w:tc>
          <w:tcPr>
            <w:tcW w:w="3688" w:type="dxa"/>
          </w:tcPr>
          <w:p>
            <w:pPr>
              <w:rPr>
                <w:noProof/>
                <w:sz w:val="20"/>
              </w:rPr>
            </w:pPr>
            <w:r>
              <w:rPr>
                <w:noProof/>
                <w:sz w:val="20"/>
              </w:rPr>
              <w:t>Linia bugetară</w:t>
            </w:r>
          </w:p>
          <w:p>
            <w:pPr>
              <w:rPr>
                <w:noProof/>
                <w:sz w:val="20"/>
              </w:rPr>
            </w:pPr>
            <w:r>
              <w:rPr>
                <w:noProof/>
                <w:sz w:val="20"/>
              </w:rPr>
              <w:t>(nr. și denumire)</w:t>
            </w:r>
          </w:p>
        </w:tc>
        <w:tc>
          <w:tcPr>
            <w:tcW w:w="701" w:type="dxa"/>
            <w:vAlign w:val="center"/>
          </w:tcPr>
          <w:p>
            <w:pPr>
              <w:jc w:val="center"/>
              <w:rPr>
                <w:noProof/>
                <w:sz w:val="20"/>
              </w:rPr>
            </w:pPr>
            <w:r>
              <w:rPr>
                <w:noProof/>
                <w:sz w:val="20"/>
              </w:rPr>
              <w:t>Anul n</w:t>
            </w:r>
          </w:p>
        </w:tc>
        <w:tc>
          <w:tcPr>
            <w:tcW w:w="0" w:type="auto"/>
            <w:vAlign w:val="center"/>
          </w:tcPr>
          <w:p>
            <w:pPr>
              <w:jc w:val="center"/>
              <w:rPr>
                <w:noProof/>
                <w:sz w:val="20"/>
              </w:rPr>
            </w:pPr>
            <w:r>
              <w:rPr>
                <w:noProof/>
                <w:sz w:val="20"/>
              </w:rPr>
              <w:t>Anul n+1</w:t>
            </w:r>
          </w:p>
        </w:tc>
        <w:tc>
          <w:tcPr>
            <w:tcW w:w="0" w:type="auto"/>
            <w:vAlign w:val="center"/>
          </w:tcPr>
          <w:p>
            <w:pPr>
              <w:jc w:val="center"/>
              <w:rPr>
                <w:noProof/>
                <w:sz w:val="20"/>
              </w:rPr>
            </w:pPr>
            <w:r>
              <w:rPr>
                <w:noProof/>
                <w:sz w:val="20"/>
              </w:rPr>
              <w:t>Anul n+2</w:t>
            </w:r>
          </w:p>
        </w:tc>
        <w:tc>
          <w:tcPr>
            <w:tcW w:w="0" w:type="auto"/>
            <w:vAlign w:val="center"/>
          </w:tcPr>
          <w:p>
            <w:pPr>
              <w:jc w:val="center"/>
              <w:rPr>
                <w:noProof/>
                <w:sz w:val="20"/>
              </w:rPr>
            </w:pPr>
            <w:r>
              <w:rPr>
                <w:noProof/>
                <w:sz w:val="20"/>
              </w:rPr>
              <w:t>Anul n+3</w:t>
            </w:r>
          </w:p>
        </w:tc>
        <w:tc>
          <w:tcPr>
            <w:tcW w:w="0" w:type="auto"/>
            <w:vAlign w:val="center"/>
          </w:tcPr>
          <w:p>
            <w:pPr>
              <w:jc w:val="center"/>
              <w:rPr>
                <w:noProof/>
                <w:sz w:val="20"/>
              </w:rPr>
            </w:pPr>
            <w:r>
              <w:rPr>
                <w:noProof/>
                <w:sz w:val="20"/>
              </w:rPr>
              <w:t>Anul n+4</w:t>
            </w:r>
          </w:p>
        </w:tc>
        <w:tc>
          <w:tcPr>
            <w:tcW w:w="0" w:type="auto"/>
          </w:tcPr>
          <w:p>
            <w:pPr>
              <w:jc w:val="center"/>
              <w:rPr>
                <w:noProof/>
                <w:sz w:val="20"/>
              </w:rPr>
            </w:pPr>
            <w:r>
              <w:rPr>
                <w:noProof/>
                <w:sz w:val="20"/>
              </w:rPr>
              <w:t xml:space="preserve">Anul n+5 </w:t>
            </w:r>
          </w:p>
          <w:p>
            <w:pPr>
              <w:jc w:val="center"/>
              <w:rPr>
                <w:noProof/>
                <w:sz w:val="20"/>
              </w:rPr>
            </w:pPr>
            <w:r>
              <w:rPr>
                <w:noProof/>
                <w:sz w:val="20"/>
              </w:rPr>
              <w:t>și anii urm.</w:t>
            </w:r>
          </w:p>
        </w:tc>
        <w:tc>
          <w:tcPr>
            <w:tcW w:w="0" w:type="auto"/>
            <w:vAlign w:val="center"/>
          </w:tcPr>
          <w:p>
            <w:pPr>
              <w:jc w:val="center"/>
              <w:rPr>
                <w:noProof/>
                <w:sz w:val="20"/>
              </w:rPr>
            </w:pPr>
            <w:r>
              <w:rPr>
                <w:noProof/>
                <w:sz w:val="20"/>
              </w:rPr>
              <w:t>TOTAL</w:t>
            </w:r>
          </w:p>
        </w:tc>
      </w:tr>
      <w:tr>
        <w:trPr>
          <w:trHeight w:val="420"/>
        </w:trPr>
        <w:tc>
          <w:tcPr>
            <w:tcW w:w="3688" w:type="dxa"/>
            <w:vAlign w:val="center"/>
          </w:tcPr>
          <w:p>
            <w:pPr>
              <w:ind w:left="360" w:hanging="360"/>
              <w:jc w:val="left"/>
              <w:rPr>
                <w:b/>
                <w:noProof/>
                <w:sz w:val="20"/>
              </w:rPr>
            </w:pPr>
            <w:r>
              <w:rPr>
                <w:b/>
                <w:noProof/>
                <w:sz w:val="20"/>
              </w:rPr>
              <w:t>1</w:t>
            </w:r>
            <w:r>
              <w:rPr>
                <w:noProof/>
              </w:rPr>
              <w:tab/>
            </w:r>
            <w:r>
              <w:rPr>
                <w:b/>
                <w:noProof/>
                <w:sz w:val="20"/>
              </w:rPr>
              <w:t>Asistență tehnică și administrativă (inclusiv costurile cu personalul aferente)</w:t>
            </w:r>
          </w:p>
        </w:tc>
        <w:tc>
          <w:tcPr>
            <w:tcW w:w="701" w:type="dxa"/>
            <w:tcBorders>
              <w:right w:val="nil"/>
            </w:tcBorders>
            <w:shd w:val="pct10" w:color="auto" w:fill="auto"/>
            <w:vAlign w:val="center"/>
          </w:tcPr>
          <w:p>
            <w:pPr>
              <w:rPr>
                <w:noProof/>
                <w:sz w:val="20"/>
              </w:rPr>
            </w:pPr>
          </w:p>
        </w:tc>
        <w:tc>
          <w:tcPr>
            <w:tcW w:w="0" w:type="auto"/>
            <w:tcBorders>
              <w:left w:val="nil"/>
              <w:right w:val="nil"/>
            </w:tcBorders>
            <w:shd w:val="pct10" w:color="auto" w:fill="auto"/>
          </w:tcPr>
          <w:p>
            <w:pPr>
              <w:rPr>
                <w:noProof/>
                <w:sz w:val="20"/>
              </w:rPr>
            </w:pPr>
          </w:p>
        </w:tc>
        <w:tc>
          <w:tcPr>
            <w:tcW w:w="0" w:type="auto"/>
            <w:tcBorders>
              <w:left w:val="nil"/>
              <w:right w:val="nil"/>
            </w:tcBorders>
            <w:shd w:val="pct10" w:color="auto" w:fill="auto"/>
          </w:tcPr>
          <w:p>
            <w:pPr>
              <w:rPr>
                <w:noProof/>
                <w:sz w:val="20"/>
              </w:rPr>
            </w:pPr>
          </w:p>
        </w:tc>
        <w:tc>
          <w:tcPr>
            <w:tcW w:w="0" w:type="auto"/>
            <w:tcBorders>
              <w:left w:val="nil"/>
              <w:right w:val="nil"/>
            </w:tcBorders>
            <w:shd w:val="pct10" w:color="auto" w:fill="auto"/>
          </w:tcPr>
          <w:p>
            <w:pPr>
              <w:rPr>
                <w:noProof/>
                <w:sz w:val="20"/>
              </w:rPr>
            </w:pPr>
          </w:p>
        </w:tc>
        <w:tc>
          <w:tcPr>
            <w:tcW w:w="0" w:type="auto"/>
            <w:tcBorders>
              <w:left w:val="nil"/>
              <w:right w:val="nil"/>
            </w:tcBorders>
            <w:shd w:val="pct10" w:color="auto" w:fill="auto"/>
          </w:tcPr>
          <w:p>
            <w:pPr>
              <w:rPr>
                <w:noProof/>
                <w:sz w:val="20"/>
              </w:rPr>
            </w:pPr>
          </w:p>
        </w:tc>
        <w:tc>
          <w:tcPr>
            <w:tcW w:w="0" w:type="auto"/>
            <w:tcBorders>
              <w:left w:val="nil"/>
              <w:right w:val="nil"/>
            </w:tcBorders>
            <w:shd w:val="pct10" w:color="auto" w:fill="auto"/>
          </w:tcPr>
          <w:p>
            <w:pPr>
              <w:rPr>
                <w:noProof/>
                <w:sz w:val="20"/>
              </w:rPr>
            </w:pPr>
          </w:p>
        </w:tc>
        <w:tc>
          <w:tcPr>
            <w:tcW w:w="0" w:type="auto"/>
            <w:tcBorders>
              <w:left w:val="nil"/>
            </w:tcBorders>
            <w:shd w:val="pct10" w:color="auto" w:fill="auto"/>
            <w:vAlign w:val="center"/>
          </w:tcPr>
          <w:p>
            <w:pPr>
              <w:rPr>
                <w:noProof/>
                <w:sz w:val="20"/>
              </w:rPr>
            </w:pPr>
          </w:p>
        </w:tc>
      </w:tr>
      <w:tr>
        <w:trPr>
          <w:trHeight w:val="420"/>
        </w:trPr>
        <w:tc>
          <w:tcPr>
            <w:tcW w:w="3688" w:type="dxa"/>
            <w:vAlign w:val="center"/>
          </w:tcPr>
          <w:p>
            <w:pPr>
              <w:jc w:val="left"/>
              <w:rPr>
                <w:noProof/>
                <w:sz w:val="20"/>
              </w:rPr>
            </w:pPr>
            <w:r>
              <w:rPr>
                <w:noProof/>
                <w:sz w:val="20"/>
              </w:rPr>
              <w:t>Agenții executive</w:t>
            </w:r>
          </w:p>
        </w:tc>
        <w:tc>
          <w:tcPr>
            <w:tcW w:w="701" w:type="dxa"/>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r>
      <w:tr>
        <w:trPr>
          <w:trHeight w:val="420"/>
        </w:trPr>
        <w:tc>
          <w:tcPr>
            <w:tcW w:w="3688" w:type="dxa"/>
            <w:vAlign w:val="center"/>
          </w:tcPr>
          <w:p>
            <w:pPr>
              <w:jc w:val="left"/>
              <w:rPr>
                <w:noProof/>
                <w:sz w:val="20"/>
              </w:rPr>
            </w:pPr>
            <w:r>
              <w:rPr>
                <w:noProof/>
                <w:sz w:val="20"/>
              </w:rPr>
              <w:t>Alte tipuri de asistență tehnică și administrativă</w:t>
            </w:r>
          </w:p>
        </w:tc>
        <w:tc>
          <w:tcPr>
            <w:tcW w:w="701" w:type="dxa"/>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r>
      <w:tr>
        <w:trPr>
          <w:trHeight w:val="420"/>
        </w:trPr>
        <w:tc>
          <w:tcPr>
            <w:tcW w:w="3688" w:type="dxa"/>
            <w:vAlign w:val="center"/>
          </w:tcPr>
          <w:p>
            <w:pPr>
              <w:pStyle w:val="Text1"/>
              <w:ind w:left="600"/>
              <w:rPr>
                <w:b/>
                <w:noProof/>
              </w:rPr>
            </w:pPr>
            <w:r>
              <w:rPr>
                <w:b/>
                <w:noProof/>
              </w:rPr>
              <w:t xml:space="preserve">- </w:t>
            </w:r>
            <w:r>
              <w:rPr>
                <w:noProof/>
              </w:rPr>
              <w:t>intra muros</w:t>
            </w:r>
            <w:r>
              <w:rPr>
                <w:b/>
                <w:noProof/>
              </w:rPr>
              <w:t xml:space="preserve"> </w:t>
            </w:r>
          </w:p>
        </w:tc>
        <w:tc>
          <w:tcPr>
            <w:tcW w:w="701" w:type="dxa"/>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r>
      <w:tr>
        <w:trPr>
          <w:trHeight w:val="420"/>
        </w:trPr>
        <w:tc>
          <w:tcPr>
            <w:tcW w:w="3688" w:type="dxa"/>
            <w:vAlign w:val="center"/>
          </w:tcPr>
          <w:p>
            <w:pPr>
              <w:pStyle w:val="Text1"/>
              <w:ind w:left="600"/>
              <w:rPr>
                <w:b/>
                <w:noProof/>
              </w:rPr>
            </w:pPr>
            <w:r>
              <w:rPr>
                <w:b/>
                <w:noProof/>
              </w:rPr>
              <w:t xml:space="preserve">- </w:t>
            </w:r>
            <w:r>
              <w:rPr>
                <w:noProof/>
              </w:rPr>
              <w:t>extra muros</w:t>
            </w:r>
          </w:p>
        </w:tc>
        <w:tc>
          <w:tcPr>
            <w:tcW w:w="701" w:type="dxa"/>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r>
      <w:tr>
        <w:trPr>
          <w:trHeight w:val="420"/>
        </w:trPr>
        <w:tc>
          <w:tcPr>
            <w:tcW w:w="3688" w:type="dxa"/>
            <w:vAlign w:val="center"/>
          </w:tcPr>
          <w:p>
            <w:pPr>
              <w:jc w:val="left"/>
              <w:rPr>
                <w:b/>
                <w:noProof/>
                <w:sz w:val="20"/>
              </w:rPr>
            </w:pPr>
            <w:r>
              <w:rPr>
                <w:b/>
                <w:noProof/>
                <w:sz w:val="20"/>
              </w:rPr>
              <w:t>Total asistență tehnică și administrativă</w:t>
            </w:r>
          </w:p>
        </w:tc>
        <w:tc>
          <w:tcPr>
            <w:tcW w:w="701" w:type="dxa"/>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c>
          <w:tcPr>
            <w:tcW w:w="0" w:type="auto"/>
            <w:vAlign w:val="center"/>
          </w:tcPr>
          <w:p>
            <w:pPr>
              <w:jc w:val="right"/>
              <w:rPr>
                <w:noProof/>
                <w:sz w:val="20"/>
                <w:szCs w:val="20"/>
              </w:rPr>
            </w:pPr>
            <w:r>
              <w:rPr>
                <w:noProof/>
                <w:sz w:val="20"/>
              </w:rPr>
              <w:t>n.a.</w:t>
            </w:r>
          </w:p>
        </w:tc>
      </w:tr>
    </w:tbl>
    <w:p>
      <w:pPr>
        <w:pStyle w:val="ManualHeading3"/>
        <w:spacing w:before="360"/>
        <w:ind w:left="851" w:hanging="851"/>
        <w:rPr>
          <w:noProof/>
        </w:rPr>
      </w:pPr>
      <w:r>
        <w:rPr>
          <w:noProof/>
        </w:rPr>
        <w:t>8.2.5.</w:t>
      </w:r>
      <w:r>
        <w:rPr>
          <w:noProof/>
        </w:rPr>
        <w:tab/>
        <w:t>Costuri financiare ale resurselor umane și costuri conexe neincluse în suma de referință</w:t>
      </w:r>
    </w:p>
    <w:p>
      <w:pPr>
        <w:jc w:val="right"/>
        <w:rPr>
          <w:i/>
          <w:noProof/>
          <w:sz w:val="20"/>
          <w:szCs w:val="20"/>
        </w:rPr>
      </w:pPr>
      <w:r>
        <w:rPr>
          <w:i/>
          <w:noProof/>
          <w:sz w:val="20"/>
        </w:rPr>
        <w:t>milioane EUR (cu 3 zecimale)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5"/>
        <w:gridCol w:w="1008"/>
        <w:gridCol w:w="1009"/>
        <w:gridCol w:w="1008"/>
        <w:gridCol w:w="1009"/>
        <w:gridCol w:w="1008"/>
        <w:gridCol w:w="1009"/>
      </w:tblGrid>
      <w:tr>
        <w:trPr>
          <w:trHeight w:val="391"/>
        </w:trPr>
        <w:tc>
          <w:tcPr>
            <w:tcW w:w="0" w:type="auto"/>
            <w:vAlign w:val="center"/>
          </w:tcPr>
          <w:p>
            <w:pPr>
              <w:jc w:val="center"/>
              <w:rPr>
                <w:noProof/>
                <w:sz w:val="20"/>
              </w:rPr>
            </w:pPr>
            <w:r>
              <w:rPr>
                <w:noProof/>
                <w:sz w:val="20"/>
              </w:rPr>
              <w:t>Tip de resurse umane</w:t>
            </w:r>
          </w:p>
        </w:tc>
        <w:tc>
          <w:tcPr>
            <w:tcW w:w="1008" w:type="dxa"/>
            <w:vAlign w:val="center"/>
          </w:tcPr>
          <w:p>
            <w:pPr>
              <w:jc w:val="center"/>
              <w:rPr>
                <w:noProof/>
                <w:sz w:val="20"/>
              </w:rPr>
            </w:pPr>
            <w:r>
              <w:rPr>
                <w:noProof/>
                <w:sz w:val="20"/>
              </w:rPr>
              <w:t>Anul n</w:t>
            </w:r>
          </w:p>
        </w:tc>
        <w:tc>
          <w:tcPr>
            <w:tcW w:w="1009" w:type="dxa"/>
            <w:vAlign w:val="center"/>
          </w:tcPr>
          <w:p>
            <w:pPr>
              <w:jc w:val="center"/>
              <w:rPr>
                <w:noProof/>
                <w:sz w:val="20"/>
              </w:rPr>
            </w:pPr>
            <w:r>
              <w:rPr>
                <w:noProof/>
                <w:sz w:val="20"/>
              </w:rPr>
              <w:t>Anul n+1</w:t>
            </w:r>
          </w:p>
        </w:tc>
        <w:tc>
          <w:tcPr>
            <w:tcW w:w="1008" w:type="dxa"/>
            <w:vAlign w:val="center"/>
          </w:tcPr>
          <w:p>
            <w:pPr>
              <w:jc w:val="center"/>
              <w:rPr>
                <w:noProof/>
                <w:sz w:val="20"/>
              </w:rPr>
            </w:pPr>
            <w:r>
              <w:rPr>
                <w:noProof/>
                <w:sz w:val="20"/>
              </w:rPr>
              <w:t>Anul n+2</w:t>
            </w:r>
          </w:p>
        </w:tc>
        <w:tc>
          <w:tcPr>
            <w:tcW w:w="1009" w:type="dxa"/>
            <w:vAlign w:val="center"/>
          </w:tcPr>
          <w:p>
            <w:pPr>
              <w:jc w:val="center"/>
              <w:rPr>
                <w:noProof/>
                <w:sz w:val="20"/>
              </w:rPr>
            </w:pPr>
            <w:r>
              <w:rPr>
                <w:noProof/>
                <w:sz w:val="20"/>
              </w:rPr>
              <w:t>Anul n+3</w:t>
            </w:r>
          </w:p>
        </w:tc>
        <w:tc>
          <w:tcPr>
            <w:tcW w:w="1008" w:type="dxa"/>
            <w:vAlign w:val="center"/>
          </w:tcPr>
          <w:p>
            <w:pPr>
              <w:jc w:val="center"/>
              <w:rPr>
                <w:noProof/>
                <w:sz w:val="20"/>
              </w:rPr>
            </w:pPr>
            <w:r>
              <w:rPr>
                <w:noProof/>
                <w:sz w:val="20"/>
              </w:rPr>
              <w:t>Anul n+4</w:t>
            </w:r>
          </w:p>
        </w:tc>
        <w:tc>
          <w:tcPr>
            <w:tcW w:w="1009" w:type="dxa"/>
          </w:tcPr>
          <w:p>
            <w:pPr>
              <w:jc w:val="center"/>
              <w:rPr>
                <w:noProof/>
                <w:sz w:val="20"/>
              </w:rPr>
            </w:pPr>
            <w:r>
              <w:rPr>
                <w:noProof/>
                <w:sz w:val="20"/>
              </w:rPr>
              <w:t xml:space="preserve">Anul n+5 </w:t>
            </w:r>
          </w:p>
          <w:p>
            <w:pPr>
              <w:jc w:val="center"/>
              <w:rPr>
                <w:noProof/>
                <w:sz w:val="20"/>
              </w:rPr>
            </w:pPr>
            <w:r>
              <w:rPr>
                <w:noProof/>
                <w:sz w:val="20"/>
              </w:rPr>
              <w:t>și anii urm.</w:t>
            </w:r>
          </w:p>
        </w:tc>
      </w:tr>
      <w:tr>
        <w:trPr>
          <w:cantSplit/>
          <w:trHeight w:val="684"/>
        </w:trPr>
        <w:tc>
          <w:tcPr>
            <w:tcW w:w="0" w:type="auto"/>
            <w:vAlign w:val="center"/>
          </w:tcPr>
          <w:p>
            <w:pPr>
              <w:rPr>
                <w:noProof/>
                <w:sz w:val="20"/>
              </w:rPr>
            </w:pPr>
            <w:r>
              <w:rPr>
                <w:noProof/>
                <w:sz w:val="20"/>
              </w:rPr>
              <w:t>Funcționari și agenți temporari (XX 01 01)</w:t>
            </w:r>
          </w:p>
        </w:tc>
        <w:tc>
          <w:tcPr>
            <w:tcW w:w="0" w:type="auto"/>
          </w:tcPr>
          <w:p>
            <w:pPr>
              <w:jc w:val="right"/>
              <w:rPr>
                <w:noProof/>
                <w:sz w:val="20"/>
                <w:szCs w:val="20"/>
              </w:rPr>
            </w:pPr>
            <w:r>
              <w:rPr>
                <w:noProof/>
                <w:sz w:val="20"/>
              </w:rPr>
              <w:t>n.a.</w:t>
            </w:r>
          </w:p>
        </w:tc>
        <w:tc>
          <w:tcPr>
            <w:tcW w:w="0" w:type="auto"/>
          </w:tcPr>
          <w:p>
            <w:pPr>
              <w:jc w:val="right"/>
              <w:rPr>
                <w:noProof/>
                <w:sz w:val="20"/>
                <w:szCs w:val="20"/>
              </w:rPr>
            </w:pPr>
            <w:r>
              <w:rPr>
                <w:noProof/>
                <w:sz w:val="20"/>
              </w:rPr>
              <w:t>n.a.</w:t>
            </w:r>
          </w:p>
        </w:tc>
        <w:tc>
          <w:tcPr>
            <w:tcW w:w="0" w:type="auto"/>
          </w:tcPr>
          <w:p>
            <w:pPr>
              <w:jc w:val="right"/>
              <w:rPr>
                <w:noProof/>
                <w:sz w:val="20"/>
                <w:szCs w:val="20"/>
              </w:rPr>
            </w:pPr>
            <w:r>
              <w:rPr>
                <w:noProof/>
                <w:sz w:val="20"/>
              </w:rPr>
              <w:t>n.a.</w:t>
            </w:r>
          </w:p>
        </w:tc>
        <w:tc>
          <w:tcPr>
            <w:tcW w:w="0" w:type="auto"/>
          </w:tcPr>
          <w:p>
            <w:pPr>
              <w:jc w:val="right"/>
              <w:rPr>
                <w:noProof/>
                <w:sz w:val="20"/>
                <w:szCs w:val="20"/>
              </w:rPr>
            </w:pPr>
            <w:r>
              <w:rPr>
                <w:noProof/>
                <w:sz w:val="20"/>
              </w:rPr>
              <w:t>n.a.</w:t>
            </w:r>
          </w:p>
        </w:tc>
        <w:tc>
          <w:tcPr>
            <w:tcW w:w="0" w:type="auto"/>
          </w:tcPr>
          <w:p>
            <w:pPr>
              <w:jc w:val="right"/>
              <w:rPr>
                <w:noProof/>
                <w:sz w:val="20"/>
                <w:szCs w:val="20"/>
              </w:rPr>
            </w:pPr>
            <w:r>
              <w:rPr>
                <w:noProof/>
                <w:sz w:val="20"/>
              </w:rPr>
              <w:t>n.a.</w:t>
            </w:r>
          </w:p>
        </w:tc>
        <w:tc>
          <w:tcPr>
            <w:tcW w:w="0" w:type="auto"/>
          </w:tcPr>
          <w:p>
            <w:pPr>
              <w:jc w:val="right"/>
              <w:rPr>
                <w:noProof/>
                <w:sz w:val="20"/>
                <w:szCs w:val="20"/>
              </w:rPr>
            </w:pPr>
            <w:r>
              <w:rPr>
                <w:noProof/>
                <w:sz w:val="20"/>
              </w:rPr>
              <w:t>n.a.</w:t>
            </w:r>
          </w:p>
        </w:tc>
      </w:tr>
      <w:tr>
        <w:trPr>
          <w:cantSplit/>
          <w:trHeight w:val="684"/>
        </w:trPr>
        <w:tc>
          <w:tcPr>
            <w:tcW w:w="0" w:type="auto"/>
            <w:vAlign w:val="center"/>
          </w:tcPr>
          <w:p>
            <w:pPr>
              <w:rPr>
                <w:noProof/>
                <w:sz w:val="20"/>
              </w:rPr>
            </w:pPr>
            <w:r>
              <w:rPr>
                <w:noProof/>
                <w:sz w:val="20"/>
              </w:rPr>
              <w:t>Personal finanțat prin articolul XX 01 02 (auxiliari, END, agenți contractuali etc.)</w:t>
            </w:r>
          </w:p>
          <w:p>
            <w:pPr>
              <w:jc w:val="right"/>
              <w:rPr>
                <w:noProof/>
                <w:sz w:val="20"/>
              </w:rPr>
            </w:pPr>
            <w:r>
              <w:rPr>
                <w:noProof/>
                <w:sz w:val="20"/>
              </w:rPr>
              <w:t>(se indică linia bugetară)</w:t>
            </w:r>
          </w:p>
        </w:tc>
        <w:tc>
          <w:tcPr>
            <w:tcW w:w="1008" w:type="dxa"/>
          </w:tcPr>
          <w:p>
            <w:pPr>
              <w:jc w:val="right"/>
              <w:rPr>
                <w:noProof/>
                <w:sz w:val="20"/>
                <w:szCs w:val="20"/>
              </w:rPr>
            </w:pPr>
            <w:r>
              <w:rPr>
                <w:noProof/>
                <w:sz w:val="20"/>
              </w:rPr>
              <w:t>n.a.</w:t>
            </w:r>
          </w:p>
        </w:tc>
        <w:tc>
          <w:tcPr>
            <w:tcW w:w="1009" w:type="dxa"/>
          </w:tcPr>
          <w:p>
            <w:pPr>
              <w:jc w:val="right"/>
              <w:rPr>
                <w:noProof/>
                <w:sz w:val="20"/>
                <w:szCs w:val="20"/>
              </w:rPr>
            </w:pPr>
            <w:r>
              <w:rPr>
                <w:noProof/>
                <w:sz w:val="20"/>
              </w:rPr>
              <w:t>n.a.</w:t>
            </w:r>
          </w:p>
        </w:tc>
        <w:tc>
          <w:tcPr>
            <w:tcW w:w="1008" w:type="dxa"/>
          </w:tcPr>
          <w:p>
            <w:pPr>
              <w:jc w:val="right"/>
              <w:rPr>
                <w:noProof/>
                <w:sz w:val="20"/>
                <w:szCs w:val="20"/>
              </w:rPr>
            </w:pPr>
            <w:r>
              <w:rPr>
                <w:noProof/>
                <w:sz w:val="20"/>
              </w:rPr>
              <w:t>n.a.</w:t>
            </w:r>
          </w:p>
        </w:tc>
        <w:tc>
          <w:tcPr>
            <w:tcW w:w="1009" w:type="dxa"/>
          </w:tcPr>
          <w:p>
            <w:pPr>
              <w:jc w:val="right"/>
              <w:rPr>
                <w:noProof/>
                <w:sz w:val="20"/>
                <w:szCs w:val="20"/>
              </w:rPr>
            </w:pPr>
            <w:r>
              <w:rPr>
                <w:noProof/>
                <w:sz w:val="20"/>
              </w:rPr>
              <w:t>n.a.</w:t>
            </w:r>
          </w:p>
        </w:tc>
        <w:tc>
          <w:tcPr>
            <w:tcW w:w="1008" w:type="dxa"/>
          </w:tcPr>
          <w:p>
            <w:pPr>
              <w:jc w:val="right"/>
              <w:rPr>
                <w:noProof/>
                <w:sz w:val="20"/>
                <w:szCs w:val="20"/>
              </w:rPr>
            </w:pPr>
            <w:r>
              <w:rPr>
                <w:noProof/>
                <w:sz w:val="20"/>
              </w:rPr>
              <w:t>n.a.</w:t>
            </w:r>
          </w:p>
        </w:tc>
        <w:tc>
          <w:tcPr>
            <w:tcW w:w="1009" w:type="dxa"/>
          </w:tcPr>
          <w:p>
            <w:pPr>
              <w:jc w:val="right"/>
              <w:rPr>
                <w:noProof/>
                <w:sz w:val="20"/>
                <w:szCs w:val="20"/>
              </w:rPr>
            </w:pPr>
            <w:r>
              <w:rPr>
                <w:noProof/>
                <w:sz w:val="20"/>
              </w:rPr>
              <w:t>n.a.</w:t>
            </w:r>
          </w:p>
        </w:tc>
      </w:tr>
      <w:tr>
        <w:trPr>
          <w:cantSplit/>
          <w:trHeight w:val="303"/>
        </w:trPr>
        <w:tc>
          <w:tcPr>
            <w:tcW w:w="0" w:type="auto"/>
            <w:vAlign w:val="center"/>
          </w:tcPr>
          <w:p>
            <w:pPr>
              <w:jc w:val="left"/>
              <w:rPr>
                <w:b/>
                <w:noProof/>
                <w:sz w:val="20"/>
              </w:rPr>
            </w:pPr>
            <w:r>
              <w:rPr>
                <w:b/>
                <w:noProof/>
                <w:sz w:val="20"/>
              </w:rPr>
              <w:t>Costul total al resurselor umane și costuri conexe (NEINCLUSE în suma de referință)</w:t>
            </w:r>
          </w:p>
        </w:tc>
        <w:tc>
          <w:tcPr>
            <w:tcW w:w="1008" w:type="dxa"/>
          </w:tcPr>
          <w:p>
            <w:pPr>
              <w:jc w:val="right"/>
              <w:rPr>
                <w:b/>
                <w:noProof/>
                <w:sz w:val="20"/>
                <w:szCs w:val="20"/>
              </w:rPr>
            </w:pPr>
            <w:r>
              <w:rPr>
                <w:noProof/>
                <w:sz w:val="20"/>
              </w:rPr>
              <w:t>n.a.</w:t>
            </w:r>
          </w:p>
        </w:tc>
        <w:tc>
          <w:tcPr>
            <w:tcW w:w="1009" w:type="dxa"/>
          </w:tcPr>
          <w:p>
            <w:pPr>
              <w:jc w:val="right"/>
              <w:rPr>
                <w:b/>
                <w:noProof/>
                <w:sz w:val="20"/>
                <w:szCs w:val="20"/>
              </w:rPr>
            </w:pPr>
            <w:r>
              <w:rPr>
                <w:noProof/>
                <w:sz w:val="20"/>
              </w:rPr>
              <w:t>n.a.</w:t>
            </w:r>
          </w:p>
        </w:tc>
        <w:tc>
          <w:tcPr>
            <w:tcW w:w="1008" w:type="dxa"/>
          </w:tcPr>
          <w:p>
            <w:pPr>
              <w:jc w:val="right"/>
              <w:rPr>
                <w:b/>
                <w:noProof/>
                <w:sz w:val="20"/>
                <w:szCs w:val="20"/>
              </w:rPr>
            </w:pPr>
            <w:r>
              <w:rPr>
                <w:noProof/>
                <w:sz w:val="20"/>
              </w:rPr>
              <w:t>n.a.</w:t>
            </w:r>
          </w:p>
        </w:tc>
        <w:tc>
          <w:tcPr>
            <w:tcW w:w="1009" w:type="dxa"/>
          </w:tcPr>
          <w:p>
            <w:pPr>
              <w:jc w:val="right"/>
              <w:rPr>
                <w:b/>
                <w:noProof/>
                <w:sz w:val="20"/>
                <w:szCs w:val="20"/>
              </w:rPr>
            </w:pPr>
            <w:r>
              <w:rPr>
                <w:noProof/>
                <w:sz w:val="20"/>
              </w:rPr>
              <w:t>n.a.</w:t>
            </w:r>
          </w:p>
        </w:tc>
        <w:tc>
          <w:tcPr>
            <w:tcW w:w="1008" w:type="dxa"/>
          </w:tcPr>
          <w:p>
            <w:pPr>
              <w:jc w:val="right"/>
              <w:rPr>
                <w:b/>
                <w:noProof/>
                <w:sz w:val="20"/>
                <w:szCs w:val="20"/>
              </w:rPr>
            </w:pPr>
            <w:r>
              <w:rPr>
                <w:noProof/>
                <w:sz w:val="20"/>
              </w:rPr>
              <w:t>n.a.</w:t>
            </w:r>
          </w:p>
        </w:tc>
        <w:tc>
          <w:tcPr>
            <w:tcW w:w="1009" w:type="dxa"/>
          </w:tcPr>
          <w:p>
            <w:pPr>
              <w:jc w:val="right"/>
              <w:rPr>
                <w:b/>
                <w:noProof/>
                <w:sz w:val="20"/>
                <w:szCs w:val="20"/>
              </w:rPr>
            </w:pPr>
            <w:r>
              <w:rPr>
                <w:noProof/>
                <w:sz w:val="20"/>
              </w:rPr>
              <w:t>n.a.</w:t>
            </w:r>
          </w:p>
        </w:tc>
      </w:tr>
    </w:tbl>
    <w:p>
      <w:pPr>
        <w:rPr>
          <w:noProof/>
        </w:rPr>
        <w:sectPr>
          <w:pgSz w:w="12240" w:h="15840"/>
          <w:pgMar w:top="1440" w:right="1800" w:bottom="1440" w:left="1800" w:header="708" w:footer="708" w:gutter="0"/>
          <w:cols w:space="708"/>
          <w:docGrid w:linePitch="360"/>
        </w:sectPr>
      </w:pPr>
    </w:p>
    <w:p>
      <w:pPr>
        <w:pBdr>
          <w:top w:val="single" w:sz="4" w:space="1" w:color="auto"/>
          <w:left w:val="single" w:sz="4" w:space="4" w:color="auto"/>
          <w:bottom w:val="single" w:sz="4" w:space="1" w:color="auto"/>
          <w:right w:val="single" w:sz="4" w:space="4" w:color="auto"/>
        </w:pBdr>
        <w:rPr>
          <w:noProof/>
        </w:rPr>
      </w:pPr>
      <w:r>
        <w:rPr>
          <w:noProof/>
        </w:rPr>
        <w:t xml:space="preserve">Calcul – </w:t>
      </w:r>
      <w:r>
        <w:rPr>
          <w:b/>
          <w:i/>
          <w:noProof/>
        </w:rPr>
        <w:t>Funcționari și agenți temporari</w:t>
      </w:r>
    </w:p>
    <w:p>
      <w:pPr>
        <w:pBdr>
          <w:top w:val="single" w:sz="4" w:space="1" w:color="auto"/>
          <w:left w:val="single" w:sz="4" w:space="4" w:color="auto"/>
          <w:bottom w:val="single" w:sz="4" w:space="1" w:color="auto"/>
          <w:right w:val="single" w:sz="4" w:space="4" w:color="auto"/>
        </w:pBdr>
        <w:rPr>
          <w:i/>
          <w:noProof/>
        </w:rPr>
      </w:pPr>
      <w:r>
        <w:rPr>
          <w:i/>
          <w:noProof/>
        </w:rPr>
        <w:t>Se face trimitere la punctul 8.2.1, dacă este cazul</w:t>
      </w:r>
    </w:p>
    <w:p>
      <w:pPr>
        <w:pBdr>
          <w:top w:val="single" w:sz="4" w:space="1" w:color="auto"/>
          <w:left w:val="single" w:sz="4" w:space="4" w:color="auto"/>
          <w:bottom w:val="single" w:sz="4" w:space="1" w:color="auto"/>
          <w:right w:val="single" w:sz="4" w:space="4" w:color="auto"/>
        </w:pBdr>
        <w:rPr>
          <w:i/>
          <w:noProof/>
        </w:rPr>
      </w:pPr>
      <w:r>
        <w:rPr>
          <w:noProof/>
        </w:rPr>
        <w:t>n.a.</w:t>
      </w:r>
    </w:p>
    <w:p>
      <w:pPr>
        <w:pBdr>
          <w:top w:val="single" w:sz="4" w:space="1" w:color="auto"/>
          <w:left w:val="single" w:sz="4" w:space="4" w:color="auto"/>
          <w:bottom w:val="single" w:sz="4" w:space="1" w:color="auto"/>
          <w:right w:val="single" w:sz="4" w:space="4" w:color="auto"/>
        </w:pBdr>
        <w:rPr>
          <w:noProof/>
        </w:rPr>
      </w:pPr>
      <w:r>
        <w:rPr>
          <w:noProof/>
        </w:rPr>
        <w:t xml:space="preserve">Calcul – </w:t>
      </w:r>
      <w:r>
        <w:rPr>
          <w:b/>
          <w:i/>
          <w:noProof/>
        </w:rPr>
        <w:t>Personal finanțat prin articolul XX 01 02</w:t>
      </w:r>
    </w:p>
    <w:p>
      <w:pPr>
        <w:pBdr>
          <w:top w:val="single" w:sz="4" w:space="1" w:color="auto"/>
          <w:left w:val="single" w:sz="4" w:space="4" w:color="auto"/>
          <w:bottom w:val="single" w:sz="4" w:space="1" w:color="auto"/>
          <w:right w:val="single" w:sz="4" w:space="4" w:color="auto"/>
        </w:pBdr>
        <w:rPr>
          <w:i/>
          <w:noProof/>
        </w:rPr>
      </w:pPr>
      <w:r>
        <w:rPr>
          <w:i/>
          <w:noProof/>
        </w:rPr>
        <w:t>Se face trimitere la punctul 8.2.1, dacă este cazul</w:t>
      </w:r>
    </w:p>
    <w:p>
      <w:pPr>
        <w:pBdr>
          <w:top w:val="single" w:sz="4" w:space="1" w:color="auto"/>
          <w:left w:val="single" w:sz="4" w:space="4" w:color="auto"/>
          <w:bottom w:val="single" w:sz="4" w:space="1" w:color="auto"/>
          <w:right w:val="single" w:sz="4" w:space="4" w:color="auto"/>
        </w:pBdr>
        <w:rPr>
          <w:noProof/>
        </w:rPr>
      </w:pPr>
      <w:r>
        <w:rPr>
          <w:noProof/>
        </w:rPr>
        <w:t>n.a.</w:t>
      </w:r>
    </w:p>
    <w:p>
      <w:pPr>
        <w:pStyle w:val="ManualHeading3"/>
        <w:rPr>
          <w:noProof/>
        </w:rPr>
      </w:pPr>
      <w:r>
        <w:rPr>
          <w:noProof/>
        </w:rPr>
        <w:t>8.2.6.</w:t>
      </w:r>
      <w:r>
        <w:rPr>
          <w:noProof/>
        </w:rPr>
        <w:tab/>
        <w:t>Alte cheltuieli administrative neincluse în suma de referință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703"/>
        <w:gridCol w:w="703"/>
        <w:gridCol w:w="703"/>
        <w:gridCol w:w="703"/>
        <w:gridCol w:w="703"/>
        <w:gridCol w:w="703"/>
        <w:gridCol w:w="907"/>
      </w:tblGrid>
      <w:tr>
        <w:trPr>
          <w:trHeight w:val="420"/>
        </w:trPr>
        <w:tc>
          <w:tcPr>
            <w:tcW w:w="8811" w:type="dxa"/>
            <w:gridSpan w:val="8"/>
            <w:tcBorders>
              <w:top w:val="nil"/>
              <w:left w:val="nil"/>
              <w:right w:val="nil"/>
            </w:tcBorders>
            <w:vAlign w:val="center"/>
          </w:tcPr>
          <w:p>
            <w:pPr>
              <w:jc w:val="right"/>
              <w:rPr>
                <w:i/>
                <w:noProof/>
                <w:sz w:val="20"/>
                <w:szCs w:val="20"/>
              </w:rPr>
            </w:pPr>
            <w:r>
              <w:rPr>
                <w:i/>
                <w:noProof/>
                <w:sz w:val="20"/>
              </w:rPr>
              <w:t>milioane EUR (cu 3 zecimale)</w:t>
            </w:r>
          </w:p>
        </w:tc>
      </w:tr>
      <w:tr>
        <w:trPr>
          <w:trHeight w:val="420"/>
        </w:trPr>
        <w:tc>
          <w:tcPr>
            <w:tcW w:w="3686" w:type="dxa"/>
            <w:vAlign w:val="center"/>
          </w:tcPr>
          <w:p>
            <w:pPr>
              <w:ind w:left="360" w:hanging="360"/>
              <w:rPr>
                <w:b/>
                <w:noProof/>
                <w:sz w:val="20"/>
              </w:rPr>
            </w:pPr>
          </w:p>
        </w:tc>
        <w:tc>
          <w:tcPr>
            <w:tcW w:w="703" w:type="dxa"/>
            <w:vAlign w:val="center"/>
          </w:tcPr>
          <w:p>
            <w:pPr>
              <w:jc w:val="center"/>
              <w:rPr>
                <w:noProof/>
                <w:sz w:val="20"/>
              </w:rPr>
            </w:pPr>
          </w:p>
          <w:p>
            <w:pPr>
              <w:jc w:val="center"/>
              <w:rPr>
                <w:noProof/>
                <w:sz w:val="20"/>
              </w:rPr>
            </w:pPr>
            <w:r>
              <w:rPr>
                <w:noProof/>
                <w:sz w:val="20"/>
              </w:rPr>
              <w:t>Anul n</w:t>
            </w:r>
          </w:p>
        </w:tc>
        <w:tc>
          <w:tcPr>
            <w:tcW w:w="703" w:type="dxa"/>
            <w:vAlign w:val="center"/>
          </w:tcPr>
          <w:p>
            <w:pPr>
              <w:jc w:val="center"/>
              <w:rPr>
                <w:noProof/>
                <w:sz w:val="20"/>
              </w:rPr>
            </w:pPr>
            <w:r>
              <w:rPr>
                <w:noProof/>
                <w:sz w:val="20"/>
              </w:rPr>
              <w:t>Anul n+1</w:t>
            </w:r>
          </w:p>
        </w:tc>
        <w:tc>
          <w:tcPr>
            <w:tcW w:w="703" w:type="dxa"/>
            <w:vAlign w:val="center"/>
          </w:tcPr>
          <w:p>
            <w:pPr>
              <w:jc w:val="center"/>
              <w:rPr>
                <w:noProof/>
                <w:sz w:val="20"/>
              </w:rPr>
            </w:pPr>
            <w:r>
              <w:rPr>
                <w:noProof/>
                <w:sz w:val="20"/>
              </w:rPr>
              <w:t>Anul n+2</w:t>
            </w:r>
          </w:p>
        </w:tc>
        <w:tc>
          <w:tcPr>
            <w:tcW w:w="703" w:type="dxa"/>
            <w:vAlign w:val="center"/>
          </w:tcPr>
          <w:p>
            <w:pPr>
              <w:jc w:val="center"/>
              <w:rPr>
                <w:noProof/>
                <w:sz w:val="20"/>
              </w:rPr>
            </w:pPr>
            <w:r>
              <w:rPr>
                <w:noProof/>
                <w:sz w:val="20"/>
              </w:rPr>
              <w:t>Anul n+3</w:t>
            </w:r>
          </w:p>
        </w:tc>
        <w:tc>
          <w:tcPr>
            <w:tcW w:w="703" w:type="dxa"/>
            <w:vAlign w:val="center"/>
          </w:tcPr>
          <w:p>
            <w:pPr>
              <w:jc w:val="center"/>
              <w:rPr>
                <w:noProof/>
                <w:sz w:val="20"/>
              </w:rPr>
            </w:pPr>
            <w:r>
              <w:rPr>
                <w:noProof/>
                <w:sz w:val="20"/>
              </w:rPr>
              <w:t>Anul n+4</w:t>
            </w:r>
          </w:p>
        </w:tc>
        <w:tc>
          <w:tcPr>
            <w:tcW w:w="703" w:type="dxa"/>
          </w:tcPr>
          <w:p>
            <w:pPr>
              <w:jc w:val="center"/>
              <w:rPr>
                <w:noProof/>
                <w:sz w:val="20"/>
              </w:rPr>
            </w:pPr>
            <w:r>
              <w:rPr>
                <w:noProof/>
                <w:sz w:val="20"/>
              </w:rPr>
              <w:t>Anul n+5</w:t>
            </w:r>
          </w:p>
          <w:p>
            <w:pPr>
              <w:jc w:val="center"/>
              <w:rPr>
                <w:noProof/>
                <w:sz w:val="20"/>
              </w:rPr>
            </w:pPr>
            <w:r>
              <w:rPr>
                <w:noProof/>
                <w:sz w:val="20"/>
              </w:rPr>
              <w:t>și anii urm.</w:t>
            </w:r>
          </w:p>
        </w:tc>
        <w:tc>
          <w:tcPr>
            <w:tcW w:w="907" w:type="dxa"/>
            <w:vAlign w:val="center"/>
          </w:tcPr>
          <w:p>
            <w:pPr>
              <w:jc w:val="center"/>
              <w:rPr>
                <w:noProof/>
                <w:sz w:val="20"/>
              </w:rPr>
            </w:pPr>
            <w:r>
              <w:rPr>
                <w:noProof/>
                <w:sz w:val="20"/>
              </w:rPr>
              <w:t>TOTAL</w:t>
            </w:r>
          </w:p>
        </w:tc>
      </w:tr>
      <w:tr>
        <w:trPr>
          <w:trHeight w:val="455"/>
        </w:trPr>
        <w:tc>
          <w:tcPr>
            <w:tcW w:w="3686" w:type="dxa"/>
            <w:vAlign w:val="center"/>
          </w:tcPr>
          <w:p>
            <w:pPr>
              <w:rPr>
                <w:noProof/>
                <w:sz w:val="18"/>
                <w:szCs w:val="18"/>
              </w:rPr>
            </w:pPr>
            <w:r>
              <w:rPr>
                <w:noProof/>
                <w:sz w:val="18"/>
              </w:rPr>
              <w:t>XX 01 02 11 01 – Misiuni</w:t>
            </w:r>
          </w:p>
        </w:tc>
        <w:tc>
          <w:tcPr>
            <w:tcW w:w="703" w:type="dxa"/>
            <w:vAlign w:val="center"/>
          </w:tcPr>
          <w:p>
            <w:pPr>
              <w:jc w:val="right"/>
              <w:rPr>
                <w:noProof/>
                <w:sz w:val="20"/>
                <w:szCs w:val="20"/>
              </w:rPr>
            </w:pPr>
            <w:r>
              <w:rPr>
                <w:noProof/>
                <w:sz w:val="20"/>
              </w:rPr>
              <w:t>n.a.</w:t>
            </w:r>
          </w:p>
        </w:tc>
        <w:tc>
          <w:tcPr>
            <w:tcW w:w="703" w:type="dxa"/>
            <w:vAlign w:val="center"/>
          </w:tcPr>
          <w:p>
            <w:pPr>
              <w:jc w:val="right"/>
              <w:rPr>
                <w:noProof/>
                <w:sz w:val="20"/>
                <w:szCs w:val="20"/>
              </w:rPr>
            </w:pPr>
            <w:r>
              <w:rPr>
                <w:noProof/>
                <w:sz w:val="20"/>
              </w:rPr>
              <w:t>n.a.</w:t>
            </w:r>
          </w:p>
        </w:tc>
        <w:tc>
          <w:tcPr>
            <w:tcW w:w="703" w:type="dxa"/>
            <w:vAlign w:val="center"/>
          </w:tcPr>
          <w:p>
            <w:pPr>
              <w:jc w:val="right"/>
              <w:rPr>
                <w:noProof/>
                <w:sz w:val="20"/>
                <w:szCs w:val="20"/>
              </w:rPr>
            </w:pPr>
            <w:r>
              <w:rPr>
                <w:noProof/>
                <w:sz w:val="20"/>
              </w:rPr>
              <w:t>n.a.</w:t>
            </w:r>
          </w:p>
        </w:tc>
        <w:tc>
          <w:tcPr>
            <w:tcW w:w="703" w:type="dxa"/>
            <w:vAlign w:val="center"/>
          </w:tcPr>
          <w:p>
            <w:pPr>
              <w:jc w:val="right"/>
              <w:rPr>
                <w:noProof/>
                <w:sz w:val="20"/>
                <w:szCs w:val="20"/>
              </w:rPr>
            </w:pPr>
            <w:r>
              <w:rPr>
                <w:noProof/>
                <w:sz w:val="20"/>
              </w:rPr>
              <w:t>n.a.</w:t>
            </w:r>
          </w:p>
        </w:tc>
        <w:tc>
          <w:tcPr>
            <w:tcW w:w="703" w:type="dxa"/>
            <w:vAlign w:val="center"/>
          </w:tcPr>
          <w:p>
            <w:pPr>
              <w:jc w:val="right"/>
              <w:rPr>
                <w:noProof/>
                <w:sz w:val="20"/>
                <w:szCs w:val="20"/>
              </w:rPr>
            </w:pPr>
            <w:r>
              <w:rPr>
                <w:noProof/>
                <w:sz w:val="20"/>
              </w:rPr>
              <w:t>n.a.</w:t>
            </w:r>
          </w:p>
        </w:tc>
        <w:tc>
          <w:tcPr>
            <w:tcW w:w="703" w:type="dxa"/>
            <w:vAlign w:val="center"/>
          </w:tcPr>
          <w:p>
            <w:pPr>
              <w:jc w:val="right"/>
              <w:rPr>
                <w:noProof/>
                <w:sz w:val="20"/>
                <w:szCs w:val="20"/>
              </w:rPr>
            </w:pPr>
            <w:r>
              <w:rPr>
                <w:noProof/>
                <w:sz w:val="20"/>
              </w:rPr>
              <w:t>n.a.</w:t>
            </w:r>
          </w:p>
        </w:tc>
        <w:tc>
          <w:tcPr>
            <w:tcW w:w="907" w:type="dxa"/>
            <w:vAlign w:val="center"/>
          </w:tcPr>
          <w:p>
            <w:pPr>
              <w:jc w:val="right"/>
              <w:rPr>
                <w:noProof/>
                <w:sz w:val="20"/>
                <w:szCs w:val="20"/>
              </w:rPr>
            </w:pPr>
            <w:r>
              <w:rPr>
                <w:noProof/>
                <w:sz w:val="20"/>
              </w:rPr>
              <w:t>n.a.</w:t>
            </w:r>
          </w:p>
        </w:tc>
      </w:tr>
      <w:tr>
        <w:trPr>
          <w:trHeight w:val="454"/>
        </w:trPr>
        <w:tc>
          <w:tcPr>
            <w:tcW w:w="3686" w:type="dxa"/>
            <w:vAlign w:val="center"/>
          </w:tcPr>
          <w:p>
            <w:pPr>
              <w:rPr>
                <w:noProof/>
                <w:sz w:val="18"/>
                <w:szCs w:val="18"/>
              </w:rPr>
            </w:pPr>
            <w:r>
              <w:rPr>
                <w:noProof/>
                <w:sz w:val="18"/>
              </w:rPr>
              <w:t>XX 01 02 11 02 – Reuniuni și conferințe</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907" w:type="dxa"/>
          </w:tcPr>
          <w:p>
            <w:pPr>
              <w:jc w:val="right"/>
              <w:rPr>
                <w:noProof/>
                <w:sz w:val="20"/>
                <w:szCs w:val="20"/>
              </w:rPr>
            </w:pPr>
            <w:r>
              <w:rPr>
                <w:noProof/>
                <w:sz w:val="20"/>
              </w:rPr>
              <w:t>n.a.</w:t>
            </w:r>
          </w:p>
        </w:tc>
      </w:tr>
      <w:tr>
        <w:trPr>
          <w:trHeight w:val="454"/>
        </w:trPr>
        <w:tc>
          <w:tcPr>
            <w:tcW w:w="3686" w:type="dxa"/>
            <w:vAlign w:val="center"/>
          </w:tcPr>
          <w:p>
            <w:pPr>
              <w:rPr>
                <w:noProof/>
                <w:sz w:val="18"/>
                <w:szCs w:val="18"/>
              </w:rPr>
            </w:pPr>
            <w:r>
              <w:rPr>
                <w:noProof/>
                <w:sz w:val="18"/>
              </w:rPr>
              <w:t xml:space="preserve">XX 01 02 11 03 – Comitete </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907" w:type="dxa"/>
          </w:tcPr>
          <w:p>
            <w:pPr>
              <w:jc w:val="right"/>
              <w:rPr>
                <w:noProof/>
                <w:sz w:val="20"/>
                <w:szCs w:val="20"/>
              </w:rPr>
            </w:pPr>
            <w:r>
              <w:rPr>
                <w:noProof/>
                <w:sz w:val="20"/>
              </w:rPr>
              <w:t>n.a.</w:t>
            </w:r>
          </w:p>
        </w:tc>
      </w:tr>
      <w:tr>
        <w:trPr>
          <w:trHeight w:val="454"/>
        </w:trPr>
        <w:tc>
          <w:tcPr>
            <w:tcW w:w="3686" w:type="dxa"/>
            <w:vAlign w:val="center"/>
          </w:tcPr>
          <w:p>
            <w:pPr>
              <w:rPr>
                <w:noProof/>
                <w:sz w:val="18"/>
                <w:szCs w:val="18"/>
              </w:rPr>
            </w:pPr>
            <w:r>
              <w:rPr>
                <w:noProof/>
                <w:sz w:val="18"/>
              </w:rPr>
              <w:t>XX 01 02 11 04 – Studii și consultări</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907" w:type="dxa"/>
          </w:tcPr>
          <w:p>
            <w:pPr>
              <w:jc w:val="right"/>
              <w:rPr>
                <w:noProof/>
                <w:sz w:val="20"/>
                <w:szCs w:val="20"/>
              </w:rPr>
            </w:pPr>
            <w:r>
              <w:rPr>
                <w:noProof/>
                <w:sz w:val="20"/>
              </w:rPr>
              <w:t>n.a.</w:t>
            </w:r>
          </w:p>
        </w:tc>
      </w:tr>
      <w:tr>
        <w:trPr>
          <w:trHeight w:val="435"/>
        </w:trPr>
        <w:tc>
          <w:tcPr>
            <w:tcW w:w="3686" w:type="dxa"/>
            <w:vAlign w:val="center"/>
          </w:tcPr>
          <w:p>
            <w:pPr>
              <w:rPr>
                <w:noProof/>
                <w:sz w:val="18"/>
                <w:szCs w:val="18"/>
              </w:rPr>
            </w:pPr>
            <w:r>
              <w:rPr>
                <w:noProof/>
                <w:sz w:val="18"/>
              </w:rPr>
              <w:t>XX 01 02 11 05 - Sisteme de informații</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907" w:type="dxa"/>
          </w:tcPr>
          <w:p>
            <w:pPr>
              <w:jc w:val="right"/>
              <w:rPr>
                <w:noProof/>
                <w:sz w:val="20"/>
                <w:szCs w:val="20"/>
              </w:rPr>
            </w:pPr>
            <w:r>
              <w:rPr>
                <w:noProof/>
                <w:sz w:val="20"/>
              </w:rPr>
              <w:t>n.a.</w:t>
            </w:r>
          </w:p>
        </w:tc>
      </w:tr>
      <w:tr>
        <w:trPr>
          <w:trHeight w:val="426"/>
        </w:trPr>
        <w:tc>
          <w:tcPr>
            <w:tcW w:w="3686" w:type="dxa"/>
            <w:vAlign w:val="center"/>
          </w:tcPr>
          <w:p>
            <w:pPr>
              <w:ind w:left="360" w:hanging="360"/>
              <w:jc w:val="left"/>
              <w:rPr>
                <w:b/>
                <w:noProof/>
                <w:sz w:val="20"/>
              </w:rPr>
            </w:pPr>
            <w:r>
              <w:rPr>
                <w:b/>
                <w:noProof/>
                <w:sz w:val="20"/>
              </w:rPr>
              <w:t xml:space="preserve"> 2</w:t>
            </w:r>
            <w:r>
              <w:rPr>
                <w:noProof/>
              </w:rPr>
              <w:tab/>
            </w:r>
            <w:r>
              <w:rPr>
                <w:b/>
                <w:noProof/>
                <w:sz w:val="20"/>
              </w:rPr>
              <w:t>Total Alte cheltuieli de gestiune (XX 01 02 11)</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907" w:type="dxa"/>
          </w:tcPr>
          <w:p>
            <w:pPr>
              <w:jc w:val="right"/>
              <w:rPr>
                <w:noProof/>
                <w:sz w:val="20"/>
                <w:szCs w:val="20"/>
              </w:rPr>
            </w:pPr>
            <w:r>
              <w:rPr>
                <w:noProof/>
                <w:sz w:val="20"/>
              </w:rPr>
              <w:t>n.a.</w:t>
            </w:r>
          </w:p>
        </w:tc>
      </w:tr>
      <w:tr>
        <w:trPr>
          <w:trHeight w:val="426"/>
        </w:trPr>
        <w:tc>
          <w:tcPr>
            <w:tcW w:w="3686" w:type="dxa"/>
            <w:vAlign w:val="center"/>
          </w:tcPr>
          <w:p>
            <w:pPr>
              <w:ind w:left="360" w:hanging="360"/>
              <w:jc w:val="left"/>
              <w:rPr>
                <w:noProof/>
                <w:sz w:val="20"/>
              </w:rPr>
            </w:pPr>
            <w:r>
              <w:rPr>
                <w:b/>
                <w:noProof/>
                <w:sz w:val="20"/>
              </w:rPr>
              <w:t>3</w:t>
            </w:r>
            <w:r>
              <w:rPr>
                <w:noProof/>
              </w:rPr>
              <w:tab/>
            </w:r>
            <w:r>
              <w:rPr>
                <w:b/>
                <w:noProof/>
                <w:sz w:val="20"/>
              </w:rPr>
              <w:t xml:space="preserve">Alte cheltuieli de natură administrativă </w:t>
            </w:r>
            <w:r>
              <w:rPr>
                <w:noProof/>
                <w:sz w:val="18"/>
              </w:rPr>
              <w:t>(precizați, indicând linia bugetară)</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703" w:type="dxa"/>
          </w:tcPr>
          <w:p>
            <w:pPr>
              <w:jc w:val="right"/>
              <w:rPr>
                <w:noProof/>
                <w:sz w:val="20"/>
                <w:szCs w:val="20"/>
              </w:rPr>
            </w:pPr>
            <w:r>
              <w:rPr>
                <w:noProof/>
                <w:sz w:val="20"/>
              </w:rPr>
              <w:t>n.a.</w:t>
            </w:r>
          </w:p>
        </w:tc>
        <w:tc>
          <w:tcPr>
            <w:tcW w:w="907" w:type="dxa"/>
          </w:tcPr>
          <w:p>
            <w:pPr>
              <w:jc w:val="right"/>
              <w:rPr>
                <w:noProof/>
                <w:sz w:val="20"/>
                <w:szCs w:val="20"/>
              </w:rPr>
            </w:pPr>
            <w:r>
              <w:rPr>
                <w:noProof/>
                <w:sz w:val="20"/>
              </w:rPr>
              <w:t>n.a.</w:t>
            </w:r>
          </w:p>
        </w:tc>
      </w:tr>
      <w:tr>
        <w:trPr>
          <w:trHeight w:val="473"/>
        </w:trPr>
        <w:tc>
          <w:tcPr>
            <w:tcW w:w="3686" w:type="dxa"/>
            <w:vAlign w:val="center"/>
          </w:tcPr>
          <w:p>
            <w:pPr>
              <w:jc w:val="left"/>
              <w:rPr>
                <w:b/>
                <w:noProof/>
                <w:sz w:val="20"/>
              </w:rPr>
            </w:pPr>
            <w:r>
              <w:rPr>
                <w:b/>
                <w:noProof/>
                <w:sz w:val="20"/>
              </w:rPr>
              <w:t>Totalul cheltuielilor administrative, altele decât cele pentru resursele umane și costurile conexe (NEINCLUSE în suma de referință)</w:t>
            </w:r>
          </w:p>
        </w:tc>
        <w:tc>
          <w:tcPr>
            <w:tcW w:w="703" w:type="dxa"/>
            <w:vAlign w:val="center"/>
          </w:tcPr>
          <w:p>
            <w:pPr>
              <w:jc w:val="right"/>
              <w:rPr>
                <w:noProof/>
                <w:sz w:val="20"/>
                <w:szCs w:val="20"/>
              </w:rPr>
            </w:pPr>
            <w:r>
              <w:rPr>
                <w:noProof/>
                <w:sz w:val="20"/>
              </w:rPr>
              <w:t>n.a.</w:t>
            </w:r>
          </w:p>
        </w:tc>
        <w:tc>
          <w:tcPr>
            <w:tcW w:w="703" w:type="dxa"/>
            <w:vAlign w:val="center"/>
          </w:tcPr>
          <w:p>
            <w:pPr>
              <w:jc w:val="right"/>
              <w:rPr>
                <w:noProof/>
                <w:sz w:val="20"/>
                <w:szCs w:val="20"/>
              </w:rPr>
            </w:pPr>
            <w:r>
              <w:rPr>
                <w:noProof/>
                <w:sz w:val="20"/>
              </w:rPr>
              <w:t>n.a.</w:t>
            </w:r>
          </w:p>
        </w:tc>
        <w:tc>
          <w:tcPr>
            <w:tcW w:w="703" w:type="dxa"/>
            <w:vAlign w:val="center"/>
          </w:tcPr>
          <w:p>
            <w:pPr>
              <w:jc w:val="right"/>
              <w:rPr>
                <w:noProof/>
                <w:sz w:val="20"/>
                <w:szCs w:val="20"/>
              </w:rPr>
            </w:pPr>
            <w:r>
              <w:rPr>
                <w:noProof/>
                <w:sz w:val="20"/>
              </w:rPr>
              <w:t>n.a.</w:t>
            </w:r>
          </w:p>
        </w:tc>
        <w:tc>
          <w:tcPr>
            <w:tcW w:w="703" w:type="dxa"/>
            <w:vAlign w:val="center"/>
          </w:tcPr>
          <w:p>
            <w:pPr>
              <w:jc w:val="right"/>
              <w:rPr>
                <w:noProof/>
                <w:sz w:val="20"/>
                <w:szCs w:val="20"/>
              </w:rPr>
            </w:pPr>
            <w:r>
              <w:rPr>
                <w:noProof/>
                <w:sz w:val="20"/>
              </w:rPr>
              <w:t>n.a.</w:t>
            </w:r>
          </w:p>
        </w:tc>
        <w:tc>
          <w:tcPr>
            <w:tcW w:w="703" w:type="dxa"/>
            <w:vAlign w:val="center"/>
          </w:tcPr>
          <w:p>
            <w:pPr>
              <w:jc w:val="right"/>
              <w:rPr>
                <w:noProof/>
                <w:sz w:val="20"/>
                <w:szCs w:val="20"/>
              </w:rPr>
            </w:pPr>
            <w:r>
              <w:rPr>
                <w:noProof/>
                <w:sz w:val="20"/>
              </w:rPr>
              <w:t>n.a.</w:t>
            </w:r>
          </w:p>
        </w:tc>
        <w:tc>
          <w:tcPr>
            <w:tcW w:w="703" w:type="dxa"/>
            <w:vAlign w:val="center"/>
          </w:tcPr>
          <w:p>
            <w:pPr>
              <w:jc w:val="right"/>
              <w:rPr>
                <w:noProof/>
                <w:sz w:val="20"/>
                <w:szCs w:val="20"/>
              </w:rPr>
            </w:pPr>
            <w:r>
              <w:rPr>
                <w:noProof/>
                <w:sz w:val="20"/>
              </w:rPr>
              <w:t>n.a.</w:t>
            </w:r>
          </w:p>
        </w:tc>
        <w:tc>
          <w:tcPr>
            <w:tcW w:w="907" w:type="dxa"/>
            <w:vAlign w:val="center"/>
          </w:tcPr>
          <w:p>
            <w:pPr>
              <w:jc w:val="right"/>
              <w:rPr>
                <w:noProof/>
                <w:sz w:val="20"/>
                <w:szCs w:val="20"/>
              </w:rPr>
            </w:pPr>
            <w:r>
              <w:rPr>
                <w:noProof/>
                <w:sz w:val="20"/>
              </w:rPr>
              <w:t>n.a.</w:t>
            </w:r>
          </w:p>
        </w:tc>
      </w:tr>
    </w:tbl>
    <w:p>
      <w:pPr>
        <w:pBdr>
          <w:top w:val="single" w:sz="4" w:space="1" w:color="auto"/>
          <w:left w:val="single" w:sz="4" w:space="4" w:color="auto"/>
          <w:bottom w:val="single" w:sz="4" w:space="1" w:color="auto"/>
          <w:right w:val="single" w:sz="4" w:space="4" w:color="auto"/>
        </w:pBdr>
        <w:rPr>
          <w:noProof/>
        </w:rPr>
      </w:pPr>
      <w:r>
        <w:rPr>
          <w:noProof/>
        </w:rPr>
        <w:t xml:space="preserve">Calcul - </w:t>
      </w:r>
      <w:r>
        <w:rPr>
          <w:b/>
          <w:i/>
          <w:noProof/>
        </w:rPr>
        <w:t xml:space="preserve">Alte cheltuieli administrative </w:t>
      </w:r>
      <w:r>
        <w:rPr>
          <w:b/>
          <w:i/>
          <w:noProof/>
          <w:u w:val="single"/>
        </w:rPr>
        <w:t>ne</w:t>
      </w:r>
      <w:r>
        <w:rPr>
          <w:b/>
          <w:i/>
          <w:noProof/>
        </w:rPr>
        <w:t>incluse în suma de referință</w:t>
      </w:r>
    </w:p>
    <w:p>
      <w:pPr>
        <w:pBdr>
          <w:top w:val="single" w:sz="4" w:space="1" w:color="auto"/>
          <w:left w:val="single" w:sz="4" w:space="4" w:color="auto"/>
          <w:bottom w:val="single" w:sz="4" w:space="1" w:color="auto"/>
          <w:right w:val="single" w:sz="4" w:space="4" w:color="auto"/>
        </w:pBdr>
        <w:rPr>
          <w:noProof/>
          <w:u w:val="single"/>
        </w:rPr>
      </w:pPr>
      <w:r>
        <w:rPr>
          <w:noProof/>
        </w:rPr>
        <w:t>n.a.</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21</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851" w:hanging="851"/>
      </w:pPr>
      <w:r>
        <w:rPr>
          <w:rStyle w:val="FootnoteReference"/>
        </w:rPr>
        <w:footnoteRef/>
      </w:r>
      <w:r>
        <w:tab/>
        <w:t>Regulamentul (UE) nr. 1303/2013 al Parlamentului European și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 JO L 347, 20.12.2013, p. 320.</w:t>
      </w:r>
    </w:p>
  </w:footnote>
  <w:footnote w:id="2">
    <w:p>
      <w:pPr>
        <w:pStyle w:val="FootnoteText"/>
        <w:ind w:left="851" w:hanging="851"/>
      </w:pPr>
      <w:r>
        <w:rPr>
          <w:rStyle w:val="FootnoteReference"/>
        </w:rPr>
        <w:footnoteRef/>
      </w:r>
      <w:r>
        <w:tab/>
        <w:t>A se vedea articolul 120 alineatul (3) litera (e) din Regulamentul (UE) nr. 1303/2013. Pentru perioada de programare 2014-2020, Ciprul este clasificat ca fiind o regiune mai dezvoltată. A se vedea: Anexa III la Decizia de punere în aplicare a Comisiei din 18 februarie 2014 de stabilire a listei regiunilor eligibile pentru finanțare din Fondul european de dezvoltare regională și din Fondul social european și a statelor membre eligibile pentru finanțare din Fondul de coeziune pentru perioada 2014-2020 [notificată cu numărul C(2014) 974], JO L 50, 20.2.2014, p. 22.</w:t>
      </w:r>
    </w:p>
  </w:footnote>
  <w:footnote w:id="3">
    <w:p>
      <w:pPr>
        <w:pStyle w:val="FootnoteText"/>
        <w:rPr>
          <w:lang w:val="fi-FI"/>
        </w:rPr>
      </w:pPr>
      <w:r>
        <w:rPr>
          <w:rStyle w:val="FootnoteReference"/>
        </w:rPr>
        <w:footnoteRef/>
      </w:r>
      <w:r>
        <w:tab/>
        <w:t>JO C , , p. .</w:t>
      </w:r>
    </w:p>
  </w:footnote>
  <w:footnote w:id="4">
    <w:p>
      <w:pPr>
        <w:pStyle w:val="FootnoteText"/>
        <w:rPr>
          <w:lang w:val="fi-FI"/>
        </w:rPr>
      </w:pPr>
      <w:r>
        <w:rPr>
          <w:rStyle w:val="FootnoteReference"/>
        </w:rPr>
        <w:footnoteRef/>
      </w:r>
      <w:r>
        <w:tab/>
        <w:t>JO C , , p. .</w:t>
      </w:r>
    </w:p>
  </w:footnote>
  <w:footnote w:id="5">
    <w:p>
      <w:pPr>
        <w:pStyle w:val="FootnoteText"/>
        <w:rPr>
          <w:lang w:val="fi-FI"/>
        </w:rPr>
      </w:pPr>
      <w:r>
        <w:rPr>
          <w:rStyle w:val="FootnoteReference"/>
        </w:rPr>
        <w:footnoteRef/>
      </w:r>
      <w:r>
        <w:tab/>
        <w:t xml:space="preserve">COM (2016) </w:t>
      </w:r>
      <w:r>
        <w:rPr>
          <w:lang w:val="pt-PT"/>
        </w:rPr>
        <w:t>414 final.</w:t>
      </w:r>
    </w:p>
  </w:footnote>
  <w:footnote w:id="6">
    <w:p>
      <w:pPr>
        <w:pStyle w:val="FootnoteText"/>
      </w:pPr>
      <w:r>
        <w:rPr>
          <w:rStyle w:val="FootnoteReference"/>
        </w:rPr>
        <w:footnoteRef/>
      </w:r>
      <w:r>
        <w:tab/>
        <w:t>Cheltuieli care nu intră sub incidența capitolului xx 01 din titlul xx în cauză</w:t>
      </w:r>
    </w:p>
  </w:footnote>
  <w:footnote w:id="7">
    <w:p>
      <w:pPr>
        <w:pStyle w:val="FootnoteText"/>
      </w:pPr>
      <w:r>
        <w:rPr>
          <w:rStyle w:val="FootnoteReference"/>
        </w:rPr>
        <w:footnoteRef/>
      </w:r>
      <w:r>
        <w:tab/>
        <w:t>Cheltuieli care intră sub incidența articolului xx 01 04 din titlul xx.</w:t>
      </w:r>
    </w:p>
  </w:footnote>
  <w:footnote w:id="8">
    <w:p>
      <w:pPr>
        <w:pStyle w:val="FootnoteText"/>
      </w:pPr>
      <w:r>
        <w:rPr>
          <w:rStyle w:val="FootnoteReference"/>
        </w:rPr>
        <w:footnoteRef/>
      </w:r>
      <w:r>
        <w:tab/>
        <w:t>Cheltuieli care intră sub incidența capitolului xx 01, cu excepția articolelor xx 01 04 și xx 01 05.</w:t>
      </w:r>
    </w:p>
  </w:footnote>
  <w:footnote w:id="9">
    <w:p>
      <w:pPr>
        <w:pStyle w:val="FootnoteText"/>
      </w:pPr>
      <w:r>
        <w:rPr>
          <w:rStyle w:val="FootnoteReference"/>
        </w:rPr>
        <w:footnoteRef/>
      </w:r>
      <w:r>
        <w:tab/>
        <w:t>A se vedea punctele 19 și 24 din Acordul interinstituțional.</w:t>
      </w:r>
    </w:p>
  </w:footnote>
  <w:footnote w:id="10">
    <w:p>
      <w:pPr>
        <w:pStyle w:val="FootnoteText"/>
      </w:pPr>
      <w:r>
        <w:rPr>
          <w:rStyle w:val="FootnoteReference"/>
        </w:rPr>
        <w:footnoteRef/>
      </w:r>
      <w:r>
        <w:tab/>
        <w:t>Dacă este necesar, și anume în cazul în care durata acțiunii depășește 6 ani, se adaugă coloane suplimentare.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80DABCB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06CE8E4C"/>
    <w:lvl w:ilvl="0">
      <w:start w:val="1"/>
      <w:numFmt w:val="decimal"/>
      <w:pStyle w:val="ListNumber3"/>
      <w:lvlText w:val="%1."/>
      <w:lvlJc w:val="left"/>
      <w:pPr>
        <w:tabs>
          <w:tab w:val="num" w:pos="926"/>
        </w:tabs>
        <w:ind w:left="926" w:hanging="360"/>
      </w:pPr>
    </w:lvl>
  </w:abstractNum>
  <w:abstractNum w:abstractNumId="2">
    <w:nsid w:val="FFFFFF7F"/>
    <w:multiLevelType w:val="singleLevel"/>
    <w:tmpl w:val="F01ADD1C"/>
    <w:lvl w:ilvl="0">
      <w:start w:val="1"/>
      <w:numFmt w:val="decimal"/>
      <w:pStyle w:val="ListNumber2"/>
      <w:lvlText w:val="%1."/>
      <w:lvlJc w:val="left"/>
      <w:pPr>
        <w:tabs>
          <w:tab w:val="num" w:pos="643"/>
        </w:tabs>
        <w:ind w:left="643" w:hanging="360"/>
      </w:pPr>
    </w:lvl>
  </w:abstractNum>
  <w:abstractNum w:abstractNumId="3">
    <w:nsid w:val="FFFFFF81"/>
    <w:multiLevelType w:val="singleLevel"/>
    <w:tmpl w:val="4EBA95F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811EF3F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3A66EF4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88896C4"/>
    <w:lvl w:ilvl="0">
      <w:start w:val="1"/>
      <w:numFmt w:val="decimal"/>
      <w:pStyle w:val="ListNumber"/>
      <w:lvlText w:val="%1."/>
      <w:lvlJc w:val="left"/>
      <w:pPr>
        <w:tabs>
          <w:tab w:val="num" w:pos="360"/>
        </w:tabs>
        <w:ind w:left="360" w:hanging="360"/>
      </w:pPr>
    </w:lvl>
  </w:abstractNum>
  <w:abstractNum w:abstractNumId="7">
    <w:nsid w:val="FFFFFF89"/>
    <w:multiLevelType w:val="singleLevel"/>
    <w:tmpl w:val="C0CCD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6A6901C1"/>
    <w:multiLevelType w:val="singleLevel"/>
    <w:tmpl w:val="208841AE"/>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4"/>
    <w:lvlOverride w:ilvl="0">
      <w:startOverride w:val="1"/>
    </w:lvlOverride>
  </w:num>
  <w:num w:numId="10">
    <w:abstractNumId w:val="21"/>
  </w:num>
  <w:num w:numId="11">
    <w:abstractNumId w:val="22"/>
    <w:lvlOverride w:ilvl="0">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hideSpellingErrors/>
  <w:hideGrammaticalErrors/>
  <w:attachedTemplate r:id="rId1"/>
  <w:revisionView w:markup="0"/>
  <w:defaultTabStop w:val="720"/>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6-17 18:31:13"/>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71538250770C413682FDF134FC458308"/>
    <w:docVar w:name="LW_CROSSREFERENCE" w:val="&lt;UNUSED&gt;"/>
    <w:docVar w:name="LW_DocType" w:val="COM"/>
    <w:docVar w:name="LW_EMISSION" w:val="27.6.2016"/>
    <w:docVar w:name="LW_EMISSION_ISODATE" w:val="2016-06-27"/>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193"/>
    <w:docVar w:name="LW_REF.II.NEW.CP_YEAR" w:val="2016"/>
    <w:docVar w:name="LW_REF.INST.NEW" w:val="COM"/>
    <w:docVar w:name="LW_REF.INST.NEW_ADOPTED" w:val="final"/>
    <w:docVar w:name="LW_REF.INST.NEW_TEXT" w:val="(2016) 418"/>
    <w:docVar w:name="LW_REF.INTERNE" w:val="&lt;UNUSED&gt;"/>
    <w:docVar w:name="LW_SOUS.TITRE.OBJ.CP" w:val="&lt;UNUSED&gt;"/>
    <w:docVar w:name="LW_STATUT.CP" w:val="Propunere de"/>
    <w:docVar w:name="LW_SUPERTITRE" w:val="&lt;UNUSED&gt;"/>
    <w:docVar w:name="LW_TITRE.OBJ.CP" w:val="de modificare a Regulamentului (UE) nr. 1303/2013 în ceea ce prive\u537?te anumite dispozi\u539?ii referitoare la gestiunea financiar\u259? pentru anumite state membre care se confrunt\u259? cu dificult\u259?\u539?i grave sau sunt amenin\u539?ate de astfel de dificult\u259?\u539?i cu privire la stabilitatea lor financiar\u259?"/>
    <w:docVar w:name="LW_TYPE.DOC.CP" w:val="REGULAMENT AL PARLAMENTULUI EUROPEAN \u350?I AL CONSILIULUI"/>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nhideWhenUsed/>
    <w:pPr>
      <w:numPr>
        <w:numId w:val="4"/>
      </w:numPr>
      <w:contextualSpacing/>
    </w:pPr>
  </w:style>
  <w:style w:type="paragraph" w:styleId="ListNumber">
    <w:name w:val="List Number"/>
    <w:basedOn w:val="Normal"/>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ListBullet1">
    <w:name w:val="List Bullet 1"/>
    <w:basedOn w:val="Normal"/>
    <w:pPr>
      <w:numPr>
        <w:numId w:val="10"/>
      </w:numPr>
    </w:pPr>
    <w:rPr>
      <w:rFonts w:eastAsia="Times New Roman"/>
      <w:szCs w:val="24"/>
    </w:rPr>
  </w:style>
  <w:style w:type="paragraph" w:customStyle="1" w:styleId="ListNumberLevel2">
    <w:name w:val="List Number (Level 2)"/>
    <w:basedOn w:val="Normal"/>
    <w:pPr>
      <w:tabs>
        <w:tab w:val="num" w:pos="1417"/>
      </w:tabs>
      <w:ind w:left="1417" w:hanging="708"/>
    </w:pPr>
    <w:rPr>
      <w:rFonts w:eastAsia="Times New Roman"/>
      <w:szCs w:val="24"/>
    </w:rPr>
  </w:style>
  <w:style w:type="paragraph" w:customStyle="1" w:styleId="ListNumberLevel3">
    <w:name w:val="List Number (Level 3)"/>
    <w:basedOn w:val="Normal"/>
    <w:pPr>
      <w:tabs>
        <w:tab w:val="num" w:pos="2126"/>
      </w:tabs>
      <w:ind w:left="2126" w:hanging="709"/>
    </w:pPr>
    <w:rPr>
      <w:rFonts w:eastAsia="Times New Roman"/>
      <w:szCs w:val="24"/>
    </w:rPr>
  </w:style>
  <w:style w:type="paragraph" w:customStyle="1" w:styleId="ListNumberLevel4">
    <w:name w:val="List Number (Level 4)"/>
    <w:basedOn w:val="Normal"/>
    <w:pPr>
      <w:tabs>
        <w:tab w:val="num" w:pos="2835"/>
      </w:tabs>
      <w:ind w:left="2835" w:hanging="709"/>
    </w:pPr>
    <w:rPr>
      <w:rFonts w:eastAsia="Times New Roman"/>
      <w:szCs w:val="24"/>
    </w:rPr>
  </w:style>
  <w:style w:type="paragraph" w:customStyle="1" w:styleId="stitle-article-norm">
    <w:name w:val="stitle-article-norm"/>
    <w:basedOn w:val="Normal"/>
    <w:pPr>
      <w:spacing w:before="100" w:beforeAutospacing="1" w:after="100" w:afterAutospacing="1"/>
      <w:jc w:val="left"/>
    </w:pPr>
    <w:rPr>
      <w:rFonts w:eastAsia="Times New Roman"/>
      <w:szCs w:val="24"/>
    </w:rPr>
  </w:style>
  <w:style w:type="paragraph" w:customStyle="1" w:styleId="norm">
    <w:name w:val="norm"/>
    <w:basedOn w:val="Normal"/>
    <w:pPr>
      <w:spacing w:before="100" w:beforeAutospacing="1" w:after="100" w:afterAutospacing="1"/>
      <w:jc w:val="left"/>
    </w:pPr>
    <w:rPr>
      <w:rFonts w:eastAsia="Times New Roman"/>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nhideWhenUsed/>
    <w:pPr>
      <w:numPr>
        <w:numId w:val="4"/>
      </w:numPr>
      <w:contextualSpacing/>
    </w:pPr>
  </w:style>
  <w:style w:type="paragraph" w:styleId="ListNumber">
    <w:name w:val="List Number"/>
    <w:basedOn w:val="Normal"/>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ListBullet1">
    <w:name w:val="List Bullet 1"/>
    <w:basedOn w:val="Normal"/>
    <w:pPr>
      <w:numPr>
        <w:numId w:val="10"/>
      </w:numPr>
    </w:pPr>
    <w:rPr>
      <w:rFonts w:eastAsia="Times New Roman"/>
      <w:szCs w:val="24"/>
    </w:rPr>
  </w:style>
  <w:style w:type="paragraph" w:customStyle="1" w:styleId="ListNumberLevel2">
    <w:name w:val="List Number (Level 2)"/>
    <w:basedOn w:val="Normal"/>
    <w:pPr>
      <w:tabs>
        <w:tab w:val="num" w:pos="1417"/>
      </w:tabs>
      <w:ind w:left="1417" w:hanging="708"/>
    </w:pPr>
    <w:rPr>
      <w:rFonts w:eastAsia="Times New Roman"/>
      <w:szCs w:val="24"/>
    </w:rPr>
  </w:style>
  <w:style w:type="paragraph" w:customStyle="1" w:styleId="ListNumberLevel3">
    <w:name w:val="List Number (Level 3)"/>
    <w:basedOn w:val="Normal"/>
    <w:pPr>
      <w:tabs>
        <w:tab w:val="num" w:pos="2126"/>
      </w:tabs>
      <w:ind w:left="2126" w:hanging="709"/>
    </w:pPr>
    <w:rPr>
      <w:rFonts w:eastAsia="Times New Roman"/>
      <w:szCs w:val="24"/>
    </w:rPr>
  </w:style>
  <w:style w:type="paragraph" w:customStyle="1" w:styleId="ListNumberLevel4">
    <w:name w:val="List Number (Level 4)"/>
    <w:basedOn w:val="Normal"/>
    <w:pPr>
      <w:tabs>
        <w:tab w:val="num" w:pos="2835"/>
      </w:tabs>
      <w:ind w:left="2835" w:hanging="709"/>
    </w:pPr>
    <w:rPr>
      <w:rFonts w:eastAsia="Times New Roman"/>
      <w:szCs w:val="24"/>
    </w:rPr>
  </w:style>
  <w:style w:type="paragraph" w:customStyle="1" w:styleId="stitle-article-norm">
    <w:name w:val="stitle-article-norm"/>
    <w:basedOn w:val="Normal"/>
    <w:pPr>
      <w:spacing w:before="100" w:beforeAutospacing="1" w:after="100" w:afterAutospacing="1"/>
      <w:jc w:val="left"/>
    </w:pPr>
    <w:rPr>
      <w:rFonts w:eastAsia="Times New Roman"/>
      <w:szCs w:val="24"/>
    </w:rPr>
  </w:style>
  <w:style w:type="paragraph" w:customStyle="1" w:styleId="norm">
    <w:name w:val="norm"/>
    <w:basedOn w:val="Normal"/>
    <w:pPr>
      <w:spacing w:before="100" w:beforeAutospacing="1" w:after="100" w:afterAutospacing="1"/>
      <w:jc w:val="left"/>
    </w:pPr>
    <w:rPr>
      <w:rFonts w:eastAsia="Times New Roman"/>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712162">
      <w:bodyDiv w:val="1"/>
      <w:marLeft w:val="0"/>
      <w:marRight w:val="0"/>
      <w:marTop w:val="0"/>
      <w:marBottom w:val="0"/>
      <w:divBdr>
        <w:top w:val="none" w:sz="0" w:space="0" w:color="auto"/>
        <w:left w:val="none" w:sz="0" w:space="0" w:color="auto"/>
        <w:bottom w:val="none" w:sz="0" w:space="0" w:color="auto"/>
        <w:right w:val="none" w:sz="0" w:space="0" w:color="auto"/>
      </w:divBdr>
      <w:divsChild>
        <w:div w:id="1045376724">
          <w:marLeft w:val="600"/>
          <w:marRight w:val="0"/>
          <w:marTop w:val="0"/>
          <w:marBottom w:val="0"/>
          <w:divBdr>
            <w:top w:val="none" w:sz="0" w:space="0" w:color="auto"/>
            <w:left w:val="none" w:sz="0" w:space="0" w:color="auto"/>
            <w:bottom w:val="none" w:sz="0" w:space="0" w:color="auto"/>
            <w:right w:val="none" w:sz="0" w:space="0" w:color="auto"/>
          </w:divBdr>
        </w:div>
        <w:div w:id="566036875">
          <w:marLeft w:val="600"/>
          <w:marRight w:val="0"/>
          <w:marTop w:val="0"/>
          <w:marBottom w:val="0"/>
          <w:divBdr>
            <w:top w:val="none" w:sz="0" w:space="0" w:color="auto"/>
            <w:left w:val="none" w:sz="0" w:space="0" w:color="auto"/>
            <w:bottom w:val="none" w:sz="0" w:space="0" w:color="auto"/>
            <w:right w:val="none" w:sz="0" w:space="0" w:color="auto"/>
          </w:divBdr>
        </w:div>
        <w:div w:id="770048975">
          <w:marLeft w:val="600"/>
          <w:marRight w:val="0"/>
          <w:marTop w:val="0"/>
          <w:marBottom w:val="0"/>
          <w:divBdr>
            <w:top w:val="none" w:sz="0" w:space="0" w:color="auto"/>
            <w:left w:val="none" w:sz="0" w:space="0" w:color="auto"/>
            <w:bottom w:val="none" w:sz="0" w:space="0" w:color="auto"/>
            <w:right w:val="none" w:sz="0" w:space="0" w:color="auto"/>
          </w:divBdr>
        </w:div>
      </w:divsChild>
    </w:div>
    <w:div w:id="799225877">
      <w:bodyDiv w:val="1"/>
      <w:marLeft w:val="0"/>
      <w:marRight w:val="0"/>
      <w:marTop w:val="0"/>
      <w:marBottom w:val="0"/>
      <w:divBdr>
        <w:top w:val="none" w:sz="0" w:space="0" w:color="auto"/>
        <w:left w:val="none" w:sz="0" w:space="0" w:color="auto"/>
        <w:bottom w:val="none" w:sz="0" w:space="0" w:color="auto"/>
        <w:right w:val="none" w:sz="0" w:space="0" w:color="auto"/>
      </w:divBdr>
      <w:divsChild>
        <w:div w:id="905339269">
          <w:marLeft w:val="600"/>
          <w:marRight w:val="0"/>
          <w:marTop w:val="0"/>
          <w:marBottom w:val="0"/>
          <w:divBdr>
            <w:top w:val="none" w:sz="0" w:space="0" w:color="auto"/>
            <w:left w:val="none" w:sz="0" w:space="0" w:color="auto"/>
            <w:bottom w:val="none" w:sz="0" w:space="0" w:color="auto"/>
            <w:right w:val="none" w:sz="0" w:space="0" w:color="auto"/>
          </w:divBdr>
        </w:div>
        <w:div w:id="1585993108">
          <w:marLeft w:val="600"/>
          <w:marRight w:val="0"/>
          <w:marTop w:val="0"/>
          <w:marBottom w:val="0"/>
          <w:divBdr>
            <w:top w:val="none" w:sz="0" w:space="0" w:color="auto"/>
            <w:left w:val="none" w:sz="0" w:space="0" w:color="auto"/>
            <w:bottom w:val="none" w:sz="0" w:space="0" w:color="auto"/>
            <w:right w:val="none" w:sz="0" w:space="0" w:color="auto"/>
          </w:divBdr>
        </w:div>
        <w:div w:id="898395721">
          <w:marLeft w:val="600"/>
          <w:marRight w:val="0"/>
          <w:marTop w:val="0"/>
          <w:marBottom w:val="0"/>
          <w:divBdr>
            <w:top w:val="none" w:sz="0" w:space="0" w:color="auto"/>
            <w:left w:val="none" w:sz="0" w:space="0" w:color="auto"/>
            <w:bottom w:val="none" w:sz="0" w:space="0" w:color="auto"/>
            <w:right w:val="none" w:sz="0" w:space="0" w:color="auto"/>
          </w:divBdr>
        </w:div>
        <w:div w:id="121116899">
          <w:marLeft w:val="600"/>
          <w:marRight w:val="0"/>
          <w:marTop w:val="0"/>
          <w:marBottom w:val="0"/>
          <w:divBdr>
            <w:top w:val="none" w:sz="0" w:space="0" w:color="auto"/>
            <w:left w:val="none" w:sz="0" w:space="0" w:color="auto"/>
            <w:bottom w:val="none" w:sz="0" w:space="0" w:color="auto"/>
            <w:right w:val="none" w:sz="0" w:space="0" w:color="auto"/>
          </w:divBdr>
        </w:div>
        <w:div w:id="1257128899">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D0000-75EF-4150-BCAE-62C765D7A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21</Pages>
  <Words>4623</Words>
  <Characters>26216</Characters>
  <Application>Microsoft Office Word</Application>
  <DocSecurity>0</DocSecurity>
  <Lines>1139</Lines>
  <Paragraphs>734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2016-06-10T09:00:00Z</cp:lastPrinted>
  <dcterms:created xsi:type="dcterms:W3CDTF">2016-06-16T14:53:00Z</dcterms:created>
  <dcterms:modified xsi:type="dcterms:W3CDTF">2016-06-17T16:31:00Z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