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4A2CA85DC9940B3BA5B8B8E9F6DA7E2" style="width:450.2pt;height:320.95pt">
            <v:imagedata r:id="rId9" o:title=""/>
          </v:shape>
        </w:pict>
      </w:r>
    </w:p>
    <w:bookmarkEnd w:id="0"/>
    <w:p>
      <w:pPr>
        <w:rPr>
          <w:rFonts w:ascii="Times New Roman" w:hAnsi="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spacing w:after="240" w:line="240" w:lineRule="auto"/>
        <w:ind w:left="431" w:hanging="431"/>
        <w:jc w:val="both"/>
        <w:outlineLvl w:val="0"/>
        <w:rPr>
          <w:rFonts w:ascii="Times New Roman" w:eastAsia="Times New Roman" w:hAnsi="Times New Roman"/>
          <w:b/>
          <w:bCs/>
          <w:caps/>
          <w:noProof/>
          <w:kern w:val="32"/>
          <w:sz w:val="24"/>
          <w:szCs w:val="24"/>
        </w:rPr>
      </w:pPr>
      <w:bookmarkStart w:id="1" w:name="_Toc435784245"/>
      <w:bookmarkStart w:id="2" w:name="_Toc440227504"/>
      <w:bookmarkStart w:id="3" w:name="_Toc451796323"/>
      <w:bookmarkStart w:id="4" w:name="_GoBack"/>
      <w:bookmarkEnd w:id="4"/>
      <w:r>
        <w:rPr>
          <w:rFonts w:ascii="Times New Roman" w:hAnsi="Times New Roman"/>
          <w:b/>
          <w:caps/>
          <w:noProof/>
          <w:kern w:val="32"/>
          <w:sz w:val="24"/>
        </w:rPr>
        <w:lastRenderedPageBreak/>
        <w:t xml:space="preserve">1. </w:t>
      </w:r>
      <w:r>
        <w:rPr>
          <w:noProof/>
        </w:rPr>
        <w:tab/>
      </w:r>
      <w:r>
        <w:rPr>
          <w:rFonts w:ascii="Times New Roman" w:hAnsi="Times New Roman"/>
          <w:b/>
          <w:caps/>
          <w:noProof/>
          <w:kern w:val="32"/>
          <w:sz w:val="24"/>
        </w:rPr>
        <w:t>Justificare</w:t>
      </w:r>
      <w:bookmarkEnd w:id="1"/>
      <w:bookmarkEnd w:id="2"/>
      <w:r>
        <w:rPr>
          <w:rFonts w:ascii="Times New Roman" w:hAnsi="Times New Roman"/>
          <w:b/>
          <w:caps/>
          <w:noProof/>
          <w:kern w:val="32"/>
          <w:sz w:val="24"/>
        </w:rPr>
        <w:t xml:space="preserve"> și domeniu de aplicare</w:t>
      </w:r>
      <w:bookmarkEnd w:id="3"/>
    </w:p>
    <w:p>
      <w:pPr>
        <w:spacing w:after="240" w:line="240" w:lineRule="auto"/>
        <w:jc w:val="both"/>
        <w:rPr>
          <w:rFonts w:ascii="Times New Roman" w:hAnsi="Times New Roman"/>
          <w:noProof/>
          <w:sz w:val="24"/>
          <w:szCs w:val="24"/>
        </w:rPr>
      </w:pPr>
      <w:r>
        <w:rPr>
          <w:rFonts w:ascii="Times New Roman" w:hAnsi="Times New Roman"/>
          <w:noProof/>
          <w:sz w:val="24"/>
        </w:rPr>
        <w:t>Reforma sectorului de securitate (RSS) este procesul de transformare a sistemului de securitate al unei țări</w:t>
      </w:r>
      <w:r>
        <w:rPr>
          <w:rFonts w:ascii="Times New Roman" w:hAnsi="Times New Roman"/>
          <w:noProof/>
          <w:sz w:val="24"/>
          <w:vertAlign w:val="superscript"/>
        </w:rPr>
        <w:footnoteReference w:id="2"/>
      </w:r>
      <w:r>
        <w:rPr>
          <w:rFonts w:ascii="Times New Roman" w:hAnsi="Times New Roman"/>
          <w:noProof/>
          <w:sz w:val="24"/>
        </w:rPr>
        <w:t xml:space="preserve"> astfel încât aceasta să furnizeze treptat indivizilor și statului o securitate mai eficace și responsabilă, într-o manieră conformă cu respectarea drepturilor omului, a democrației, a statului de drept și a principiilor bunei guvernanțe. RSS este un proces politic și pe termen lung, întrucât se află în centrul relațiilor de putere într-o țară. Aceasta trebuie să fie determinată la nivel național și necesită angajament și conducere politică, cooperare interinstituțională și o participare largă a părților interesate pentru atingerea unui consens cât mai larg posibil. </w:t>
      </w:r>
    </w:p>
    <w:p>
      <w:pPr>
        <w:spacing w:after="240" w:line="240" w:lineRule="auto"/>
        <w:jc w:val="both"/>
        <w:rPr>
          <w:rFonts w:ascii="Times New Roman" w:hAnsi="Times New Roman"/>
          <w:noProof/>
          <w:sz w:val="24"/>
          <w:szCs w:val="24"/>
        </w:rPr>
      </w:pPr>
      <w:r>
        <w:rPr>
          <w:rFonts w:ascii="Times New Roman" w:hAnsi="Times New Roman"/>
          <w:noProof/>
          <w:sz w:val="24"/>
        </w:rPr>
        <w:t>Conflictul, insecuritatea și instabilitatea sunt larg răspândite, inclusiv în țările limitrofe UE</w:t>
      </w:r>
      <w:r>
        <w:rPr>
          <w:rFonts w:ascii="Times New Roman" w:hAnsi="Times New Roman"/>
          <w:noProof/>
          <w:sz w:val="24"/>
          <w:vertAlign w:val="superscript"/>
        </w:rPr>
        <w:footnoteReference w:id="3"/>
      </w:r>
      <w:r>
        <w:rPr>
          <w:rFonts w:ascii="Times New Roman" w:hAnsi="Times New Roman"/>
          <w:noProof/>
          <w:sz w:val="24"/>
        </w:rPr>
        <w:t>. Acestea conduc la suferință umană, strămutare forțată și rezultate precare în materie de dezvoltare</w:t>
      </w:r>
      <w:r>
        <w:rPr>
          <w:rFonts w:ascii="Times New Roman" w:hAnsi="Times New Roman"/>
          <w:noProof/>
          <w:sz w:val="24"/>
          <w:vertAlign w:val="superscript"/>
        </w:rPr>
        <w:footnoteReference w:id="4"/>
      </w:r>
      <w:r>
        <w:rPr>
          <w:rFonts w:ascii="Times New Roman" w:hAnsi="Times New Roman"/>
          <w:noProof/>
          <w:sz w:val="24"/>
        </w:rPr>
        <w:t>, astfel cum s-a recunoscut în politica de dezvoltare a UE</w:t>
      </w:r>
      <w:r>
        <w:rPr>
          <w:rFonts w:ascii="Times New Roman" w:hAnsi="Times New Roman"/>
          <w:noProof/>
          <w:sz w:val="24"/>
          <w:vertAlign w:val="superscript"/>
        </w:rPr>
        <w:footnoteReference w:id="5"/>
      </w:r>
      <w:r>
        <w:rPr>
          <w:rFonts w:ascii="Times New Roman" w:hAnsi="Times New Roman"/>
          <w:noProof/>
          <w:sz w:val="24"/>
        </w:rPr>
        <w:t xml:space="preserve">, în lucrările privind securitatea și dezvoltarea în general și în Rezoluția Organizației Națiunilor Unite </w:t>
      </w:r>
      <w:r>
        <w:rPr>
          <w:rFonts w:ascii="Times New Roman" w:hAnsi="Times New Roman"/>
          <w:i/>
          <w:noProof/>
          <w:sz w:val="24"/>
        </w:rPr>
        <w:t>Transformarea lumii în care trăim: Agenda 2030 pentru dezvoltare durabilă</w:t>
      </w:r>
      <w:r>
        <w:rPr>
          <w:rFonts w:ascii="Times New Roman" w:hAnsi="Times New Roman"/>
          <w:noProof/>
          <w:sz w:val="24"/>
        </w:rPr>
        <w:t>, inclusiv obiectivul 16</w:t>
      </w:r>
      <w:r>
        <w:rPr>
          <w:rFonts w:ascii="Times New Roman" w:hAnsi="Times New Roman"/>
          <w:noProof/>
          <w:sz w:val="24"/>
          <w:vertAlign w:val="superscript"/>
        </w:rPr>
        <w:footnoteReference w:id="6"/>
      </w:r>
      <w:r>
        <w:rPr>
          <w:rFonts w:ascii="Times New Roman" w:hAnsi="Times New Roman"/>
          <w:noProof/>
          <w:sz w:val="24"/>
        </w:rPr>
        <w:t xml:space="preserve"> și țintele sale legate de securitate. </w:t>
      </w:r>
    </w:p>
    <w:p>
      <w:pPr>
        <w:spacing w:after="240" w:line="240" w:lineRule="auto"/>
        <w:jc w:val="both"/>
        <w:rPr>
          <w:rFonts w:ascii="Times New Roman" w:hAnsi="Times New Roman"/>
          <w:noProof/>
          <w:sz w:val="24"/>
          <w:szCs w:val="24"/>
        </w:rPr>
      </w:pPr>
      <w:r>
        <w:rPr>
          <w:rFonts w:ascii="Times New Roman" w:hAnsi="Times New Roman"/>
          <w:noProof/>
          <w:sz w:val="24"/>
        </w:rPr>
        <w:t>Insecuritatea și instabilitatea sunt adesea generate sau exacerbate de lipsa sistemelor de securitate eficace și responsabile. Sprijinirea țărilor partenere în reformarea sistemelor acestora de securitate susține obiectivele UE privind pacea și stabilitatea, dezvoltarea durabilă și favorabilă incluziunii, dezvoltarea statală, democrația, statul de drept, drepturile omului și principiile dreptului internațional</w:t>
      </w:r>
      <w:r>
        <w:rPr>
          <w:rFonts w:ascii="Times New Roman" w:hAnsi="Times New Roman"/>
          <w:noProof/>
          <w:sz w:val="24"/>
          <w:vertAlign w:val="superscript"/>
        </w:rPr>
        <w:footnoteReference w:id="7"/>
      </w:r>
      <w:r>
        <w:rPr>
          <w:rFonts w:ascii="Times New Roman" w:hAnsi="Times New Roman"/>
          <w:noProof/>
          <w:sz w:val="24"/>
        </w:rPr>
        <w:t xml:space="preserve">. Astfel cum s-a recunoscut în cadrul </w:t>
      </w:r>
      <w:r>
        <w:rPr>
          <w:rFonts w:ascii="Times New Roman" w:hAnsi="Times New Roman"/>
          <w:i/>
          <w:noProof/>
          <w:sz w:val="24"/>
        </w:rPr>
        <w:t>Agendei europene privind securitatea</w:t>
      </w:r>
      <w:r>
        <w:rPr>
          <w:rFonts w:ascii="Times New Roman" w:hAnsi="Times New Roman"/>
          <w:noProof/>
          <w:sz w:val="24"/>
          <w:vertAlign w:val="superscript"/>
        </w:rPr>
        <w:footnoteReference w:id="8"/>
      </w:r>
      <w:r>
        <w:rPr>
          <w:rFonts w:ascii="Times New Roman" w:hAnsi="Times New Roman"/>
          <w:noProof/>
          <w:sz w:val="24"/>
        </w:rPr>
        <w:t xml:space="preserve"> din 2015, care subliniază legătura strânsă dintre securitatea internă și cea externă a UE, conflictul și nesiguranța în țările partenere, asociate uneori cu extremismul violent, afectează, de asemenea, securitatea internă a UE și a cetățenilor UE, precum și interesele comerciale și de investiții ale UE în străinătate. </w:t>
      </w:r>
    </w:p>
    <w:p>
      <w:pPr>
        <w:spacing w:after="240" w:line="240" w:lineRule="auto"/>
        <w:jc w:val="both"/>
        <w:rPr>
          <w:rFonts w:ascii="Times New Roman" w:hAnsi="Times New Roman"/>
          <w:noProof/>
          <w:sz w:val="24"/>
          <w:szCs w:val="24"/>
        </w:rPr>
      </w:pPr>
      <w:r>
        <w:rPr>
          <w:rFonts w:ascii="Times New Roman" w:hAnsi="Times New Roman"/>
          <w:noProof/>
          <w:sz w:val="24"/>
        </w:rPr>
        <w:t>Angajamentul UE în domeniul RSS până în prezent este evaluat în Documentul de lucru comun al serviciilor Comisiei</w:t>
      </w:r>
      <w:r>
        <w:rPr>
          <w:rStyle w:val="FootnoteReference"/>
          <w:rFonts w:ascii="Times New Roman" w:hAnsi="Times New Roman"/>
          <w:noProof/>
          <w:sz w:val="24"/>
        </w:rPr>
        <w:footnoteReference w:id="9"/>
      </w:r>
      <w:r>
        <w:rPr>
          <w:rFonts w:ascii="Times New Roman" w:hAnsi="Times New Roman"/>
          <w:noProof/>
          <w:sz w:val="24"/>
        </w:rPr>
        <w:t xml:space="preserve"> care însoțește prezenta comunicare comună, care sintetizează rezultatele diverselor evaluări, rapoartele privind „</w:t>
      </w:r>
      <w:r>
        <w:rPr>
          <w:rFonts w:ascii="Times New Roman" w:hAnsi="Times New Roman"/>
          <w:i/>
          <w:noProof/>
          <w:sz w:val="24"/>
        </w:rPr>
        <w:t>lecțiile identificate</w:t>
      </w:r>
      <w:r>
        <w:rPr>
          <w:rFonts w:ascii="Times New Roman" w:hAnsi="Times New Roman"/>
          <w:noProof/>
          <w:sz w:val="24"/>
        </w:rPr>
        <w:t>”, studiile și consultările cu părțile interesate din ultimii 15 ani. Evaluarea concluzionează că există loc de îmbunătățiri în ceea ce privește coerența, complementaritatea și coordonarea capacităților și instrumentelor UE. De asemenea, aceasta subliniază că o RSS aprofundată este complexă și necesită un angajament pe termen lung, fără a aduce atingere inițiativelor pe termen mai scurt care ar putea fi necesare pentru a aborda amenințările imediate la adresa securității.</w:t>
      </w:r>
    </w:p>
    <w:p>
      <w:pPr>
        <w:spacing w:after="240" w:line="240" w:lineRule="auto"/>
        <w:jc w:val="both"/>
        <w:rPr>
          <w:rFonts w:ascii="Times New Roman" w:hAnsi="Times New Roman"/>
          <w:noProof/>
          <w:color w:val="000000"/>
          <w:sz w:val="24"/>
          <w:szCs w:val="24"/>
        </w:rPr>
      </w:pPr>
      <w:r>
        <w:rPr>
          <w:rFonts w:ascii="Times New Roman" w:hAnsi="Times New Roman"/>
          <w:noProof/>
          <w:sz w:val="24"/>
        </w:rPr>
        <w:t>Intervențiile diplomatice și financiare, militare și civile, pe termen scurt și pe termen lung ale UE ar trebui ancorate mai sigur într-un cadru de sprijin RSS unic la nivelul UE, care să ia în considerare legăturile dintre politică, securitate, justiție, răspunsul umanitar</w:t>
      </w:r>
      <w:r>
        <w:rPr>
          <w:rFonts w:ascii="Times New Roman" w:hAnsi="Times New Roman"/>
          <w:noProof/>
          <w:sz w:val="24"/>
          <w:vertAlign w:val="superscript"/>
        </w:rPr>
        <w:footnoteReference w:id="10"/>
      </w:r>
      <w:r>
        <w:rPr>
          <w:rFonts w:ascii="Times New Roman" w:hAnsi="Times New Roman"/>
          <w:noProof/>
          <w:sz w:val="24"/>
        </w:rPr>
        <w:t xml:space="preserve">, dezvoltare, conflict și fragilitate. În special în țările fragile, în curs de dezvoltare și în tranziție, RSS necesită sprijin politic, financiar și tehnic din partea partenerilor internaționali. </w:t>
      </w:r>
      <w:r>
        <w:rPr>
          <w:rFonts w:ascii="Times New Roman" w:hAnsi="Times New Roman"/>
          <w:noProof/>
          <w:color w:val="000000"/>
          <w:sz w:val="24"/>
        </w:rPr>
        <w:t>Având în vedere influența sa globală, politicile externe ample, instrumentele, prezența consolidată și experiența, UE este bine plasată pentru a sprijini țările partenere în acest sens, în coordonare cu alți actori internaționali, inclusiv ONU.</w:t>
      </w:r>
    </w:p>
    <w:p>
      <w:pPr>
        <w:shd w:val="clear" w:color="auto" w:fill="FFFFFF"/>
        <w:spacing w:after="240" w:line="240" w:lineRule="auto"/>
        <w:jc w:val="both"/>
        <w:rPr>
          <w:rFonts w:ascii="Times New Roman" w:hAnsi="Times New Roman"/>
          <w:noProof/>
          <w:sz w:val="24"/>
          <w:szCs w:val="24"/>
        </w:rPr>
      </w:pPr>
      <w:r>
        <w:rPr>
          <w:rFonts w:ascii="Times New Roman" w:hAnsi="Times New Roman"/>
          <w:noProof/>
          <w:sz w:val="24"/>
        </w:rPr>
        <w:t>Această comunicare comună</w:t>
      </w:r>
      <w:r>
        <w:rPr>
          <w:rFonts w:ascii="Times New Roman" w:hAnsi="Times New Roman"/>
          <w:noProof/>
          <w:sz w:val="24"/>
          <w:vertAlign w:val="superscript"/>
        </w:rPr>
        <w:footnoteReference w:id="11"/>
      </w:r>
      <w:r>
        <w:rPr>
          <w:rFonts w:ascii="Times New Roman" w:hAnsi="Times New Roman"/>
          <w:noProof/>
          <w:sz w:val="24"/>
        </w:rPr>
        <w:t xml:space="preserve"> oferă elemente pentru un astfel de cadru, astfel cum se prevede în concluziile din mai 2015 ale Consiliului</w:t>
      </w:r>
      <w:r>
        <w:rPr>
          <w:rFonts w:ascii="Times New Roman" w:hAnsi="Times New Roman"/>
          <w:noProof/>
          <w:sz w:val="24"/>
          <w:vertAlign w:val="superscript"/>
        </w:rPr>
        <w:footnoteReference w:id="12"/>
      </w:r>
      <w:r>
        <w:rPr>
          <w:rFonts w:ascii="Times New Roman" w:hAnsi="Times New Roman"/>
          <w:noProof/>
          <w:sz w:val="24"/>
        </w:rPr>
        <w:t>, inclusiv pentru orientarea activităților UE referitoare la consolidarea capacităților ca sprijin pentru securitate și dezvoltare (CBSD)</w:t>
      </w:r>
      <w:r>
        <w:rPr>
          <w:rFonts w:ascii="Times New Roman" w:hAnsi="Times New Roman"/>
          <w:noProof/>
          <w:sz w:val="24"/>
          <w:vertAlign w:val="superscript"/>
        </w:rPr>
        <w:footnoteReference w:id="13"/>
      </w:r>
      <w:r>
        <w:rPr>
          <w:rFonts w:ascii="Times New Roman" w:hAnsi="Times New Roman"/>
          <w:noProof/>
          <w:sz w:val="24"/>
        </w:rPr>
        <w:t>. Aceasta reflectă „abordarea globală” a conflictelor și crizelor externe</w:t>
      </w:r>
      <w:r>
        <w:rPr>
          <w:rFonts w:ascii="Times New Roman" w:hAnsi="Times New Roman"/>
          <w:noProof/>
          <w:sz w:val="24"/>
          <w:vertAlign w:val="superscript"/>
        </w:rPr>
        <w:footnoteReference w:id="14"/>
      </w:r>
      <w:r>
        <w:rPr>
          <w:rFonts w:ascii="Times New Roman" w:hAnsi="Times New Roman"/>
          <w:noProof/>
          <w:sz w:val="24"/>
        </w:rPr>
        <w:t xml:space="preserve"> reunind politica comună de securitate și apărare (PSAC) și toate celelalte instrumente ale politicii comune externe și de securitate relevante (PESC), instrumente de acțiune externă și actorii din domeniul libertății, securității și justiției și, prin urmare, fuzionează și actualizează două concepte de politică UE, anterior separate, pentru sprijinirea RSS</w:t>
      </w:r>
      <w:r>
        <w:rPr>
          <w:rFonts w:ascii="Times New Roman" w:hAnsi="Times New Roman"/>
          <w:noProof/>
          <w:sz w:val="24"/>
          <w:vertAlign w:val="superscript"/>
        </w:rPr>
        <w:footnoteReference w:id="15"/>
      </w:r>
      <w:r>
        <w:rPr>
          <w:rFonts w:ascii="Times New Roman" w:hAnsi="Times New Roman"/>
          <w:noProof/>
          <w:sz w:val="24"/>
        </w:rPr>
        <w:t>. Aceasta va contribui la eficacitatea</w:t>
      </w:r>
      <w:r>
        <w:rPr>
          <w:rFonts w:ascii="Times New Roman" w:hAnsi="Times New Roman"/>
          <w:i/>
          <w:noProof/>
          <w:sz w:val="24"/>
        </w:rPr>
        <w:t xml:space="preserve"> Strategiei globale</w:t>
      </w:r>
      <w:r>
        <w:rPr>
          <w:rFonts w:ascii="Times New Roman" w:hAnsi="Times New Roman"/>
          <w:noProof/>
          <w:sz w:val="24"/>
        </w:rPr>
        <w:t xml:space="preserve"> privind politica externă și de securitate</w:t>
      </w:r>
      <w:r>
        <w:rPr>
          <w:rStyle w:val="FootnoteReference"/>
          <w:rFonts w:ascii="Times New Roman" w:hAnsi="Times New Roman"/>
          <w:noProof/>
          <w:sz w:val="24"/>
        </w:rPr>
        <w:footnoteReference w:id="16"/>
      </w:r>
      <w:r>
        <w:rPr>
          <w:rFonts w:ascii="Times New Roman" w:hAnsi="Times New Roman"/>
          <w:noProof/>
          <w:sz w:val="24"/>
        </w:rPr>
        <w:t xml:space="preserve"> și a </w:t>
      </w:r>
      <w:r>
        <w:rPr>
          <w:rFonts w:ascii="Times New Roman" w:hAnsi="Times New Roman"/>
          <w:i/>
          <w:noProof/>
          <w:sz w:val="24"/>
        </w:rPr>
        <w:t>Agendei europene privind securitatea</w:t>
      </w:r>
      <w:r>
        <w:rPr>
          <w:rStyle w:val="FootnoteReference"/>
          <w:rFonts w:ascii="Times New Roman" w:hAnsi="Times New Roman"/>
          <w:noProof/>
          <w:sz w:val="24"/>
        </w:rPr>
        <w:footnoteReference w:id="17"/>
      </w:r>
      <w:r>
        <w:rPr>
          <w:rFonts w:ascii="Times New Roman" w:hAnsi="Times New Roman"/>
          <w:noProof/>
          <w:sz w:val="24"/>
        </w:rPr>
        <w:t>. De asemenea, aceasta ia în considerare deciziile CAD-OCDE relevante</w:t>
      </w:r>
      <w:r>
        <w:rPr>
          <w:rFonts w:ascii="Times New Roman" w:hAnsi="Times New Roman"/>
          <w:noProof/>
          <w:sz w:val="24"/>
          <w:vertAlign w:val="superscript"/>
        </w:rPr>
        <w:footnoteReference w:id="18"/>
      </w:r>
      <w:r>
        <w:rPr>
          <w:rFonts w:ascii="Times New Roman" w:hAnsi="Times New Roman"/>
          <w:noProof/>
          <w:sz w:val="24"/>
        </w:rPr>
        <w:t xml:space="preserve"> și, după caz, directivele CAD al OCDE în domeniul păcii și securității.</w:t>
      </w:r>
    </w:p>
    <w:p>
      <w:pPr>
        <w:keepNext/>
        <w:keepLines/>
        <w:shd w:val="clear" w:color="auto" w:fill="FFFFFF"/>
        <w:spacing w:after="240" w:line="240" w:lineRule="auto"/>
        <w:jc w:val="both"/>
        <w:rPr>
          <w:rFonts w:ascii="Times New Roman" w:hAnsi="Times New Roman"/>
          <w:noProof/>
          <w:sz w:val="24"/>
          <w:szCs w:val="24"/>
        </w:rPr>
      </w:pPr>
      <w:r>
        <w:rPr>
          <w:rFonts w:ascii="Times New Roman" w:hAnsi="Times New Roman"/>
          <w:noProof/>
          <w:sz w:val="24"/>
        </w:rPr>
        <w:t>Acest cadru:</w:t>
      </w:r>
    </w:p>
    <w:p>
      <w:pPr>
        <w:numPr>
          <w:ilvl w:val="0"/>
          <w:numId w:val="15"/>
        </w:numPr>
        <w:shd w:val="clear" w:color="auto" w:fill="FFFFFF"/>
        <w:tabs>
          <w:tab w:val="left" w:pos="851"/>
        </w:tabs>
        <w:spacing w:after="240" w:line="240" w:lineRule="auto"/>
        <w:ind w:left="851" w:hanging="431"/>
        <w:jc w:val="both"/>
        <w:rPr>
          <w:rFonts w:ascii="Times New Roman" w:hAnsi="Times New Roman"/>
          <w:noProof/>
          <w:sz w:val="24"/>
          <w:szCs w:val="24"/>
        </w:rPr>
      </w:pPr>
      <w:r>
        <w:rPr>
          <w:rFonts w:ascii="Times New Roman" w:hAnsi="Times New Roman"/>
          <w:b/>
          <w:noProof/>
          <w:sz w:val="24"/>
        </w:rPr>
        <w:t>se aplică tuturor actorilor și instrumentelor UE</w:t>
      </w:r>
      <w:r>
        <w:rPr>
          <w:rFonts w:ascii="Times New Roman" w:hAnsi="Times New Roman"/>
          <w:noProof/>
          <w:sz w:val="24"/>
        </w:rPr>
        <w:t>: politice/diplomatice, instrumente de acțiune externă, răspuns în caz de criză</w:t>
      </w:r>
      <w:r>
        <w:rPr>
          <w:rFonts w:ascii="Times New Roman" w:hAnsi="Times New Roman"/>
          <w:noProof/>
          <w:sz w:val="24"/>
          <w:vertAlign w:val="superscript"/>
        </w:rPr>
        <w:footnoteReference w:id="19"/>
      </w:r>
      <w:r>
        <w:rPr>
          <w:rFonts w:ascii="Times New Roman" w:hAnsi="Times New Roman"/>
          <w:noProof/>
          <w:sz w:val="24"/>
        </w:rPr>
        <w:t xml:space="preserve"> și actori civili și militari ai PSAC de la toate nivelurile. Statele membre ale UE sunt încurajate să își elaboreze programele bilaterale RSS în acest cadru, printre altele, prin exerciții comune de programare, în conformitate cu concluziile Consiliului privind „consolidarea programării comune”</w:t>
      </w:r>
      <w:r>
        <w:rPr>
          <w:rStyle w:val="FootnoteReference"/>
          <w:rFonts w:ascii="Times New Roman" w:hAnsi="Times New Roman"/>
          <w:noProof/>
          <w:sz w:val="24"/>
        </w:rPr>
        <w:footnoteReference w:id="20"/>
      </w:r>
      <w:r>
        <w:rPr>
          <w:rFonts w:ascii="Times New Roman" w:hAnsi="Times New Roman"/>
          <w:noProof/>
          <w:sz w:val="24"/>
        </w:rPr>
        <w:t>;</w:t>
      </w:r>
    </w:p>
    <w:p>
      <w:pPr>
        <w:numPr>
          <w:ilvl w:val="0"/>
          <w:numId w:val="15"/>
        </w:numPr>
        <w:shd w:val="clear" w:color="auto" w:fill="FFFFFF"/>
        <w:tabs>
          <w:tab w:val="left" w:pos="851"/>
        </w:tabs>
        <w:spacing w:after="240" w:line="240" w:lineRule="auto"/>
        <w:ind w:left="851" w:hanging="431"/>
        <w:jc w:val="both"/>
        <w:rPr>
          <w:rFonts w:ascii="Times New Roman" w:hAnsi="Times New Roman"/>
          <w:noProof/>
          <w:sz w:val="24"/>
          <w:szCs w:val="24"/>
        </w:rPr>
      </w:pPr>
      <w:r>
        <w:rPr>
          <w:rFonts w:ascii="Times New Roman" w:hAnsi="Times New Roman"/>
          <w:b/>
          <w:noProof/>
          <w:sz w:val="24"/>
        </w:rPr>
        <w:t>va orienta identificarea, planificarea și/sau punerea în aplicare/executarea tuturor instrumentelor/programelor/proiectelor UE de acțiune externă legate de RSS</w:t>
      </w:r>
      <w:r>
        <w:rPr>
          <w:rFonts w:ascii="Times New Roman" w:hAnsi="Times New Roman"/>
          <w:noProof/>
          <w:sz w:val="24"/>
        </w:rPr>
        <w:t>, inclusiv instrumentele PSAC cu mandate specifice și/sau parțiale care implică activități legate de RSS. Cu toate că pune accentul pe sprijinul pe sprijinul acordat de UE pentru sectorul de securitate din alte țări, prezenta comunicare comună recunoaște interdependența dintre securitate și justiție. Principiile definite în prezenta comunicare pot fi aplicate, de asemenea, actorilor din justiție, în cazul în care rolurile și funcțiile acestora au implicații clare pentru sectorul securității.</w:t>
      </w:r>
    </w:p>
    <w:p>
      <w:pPr>
        <w:numPr>
          <w:ilvl w:val="0"/>
          <w:numId w:val="15"/>
        </w:numPr>
        <w:shd w:val="clear" w:color="auto" w:fill="FFFFFF"/>
        <w:tabs>
          <w:tab w:val="left" w:pos="851"/>
        </w:tabs>
        <w:spacing w:after="240" w:line="240" w:lineRule="auto"/>
        <w:ind w:left="851" w:hanging="431"/>
        <w:jc w:val="both"/>
        <w:rPr>
          <w:rFonts w:ascii="Times New Roman" w:hAnsi="Times New Roman"/>
          <w:noProof/>
          <w:sz w:val="24"/>
          <w:szCs w:val="24"/>
        </w:rPr>
      </w:pPr>
      <w:r>
        <w:rPr>
          <w:rFonts w:ascii="Times New Roman" w:hAnsi="Times New Roman"/>
          <w:b/>
          <w:noProof/>
          <w:sz w:val="24"/>
        </w:rPr>
        <w:t>se aplică în toate contextele</w:t>
      </w:r>
      <w:r>
        <w:rPr>
          <w:rFonts w:ascii="Times New Roman" w:hAnsi="Times New Roman"/>
          <w:noProof/>
          <w:sz w:val="24"/>
        </w:rPr>
        <w:t>, nu numai în situațiile de conflict și postconflict</w:t>
      </w:r>
      <w:r>
        <w:rPr>
          <w:rFonts w:ascii="Times New Roman" w:hAnsi="Times New Roman"/>
          <w:noProof/>
          <w:sz w:val="24"/>
          <w:vertAlign w:val="superscript"/>
        </w:rPr>
        <w:footnoteReference w:id="21"/>
      </w:r>
      <w:r>
        <w:rPr>
          <w:rFonts w:ascii="Times New Roman" w:hAnsi="Times New Roman"/>
          <w:noProof/>
          <w:sz w:val="24"/>
        </w:rPr>
        <w:t xml:space="preserve"> și este suficient de amplu pentru a permite adaptarea la necesitățile fiecărei situații specifice.</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rPr>
      </w:pPr>
      <w:bookmarkStart w:id="5" w:name="_Toc451796324"/>
      <w:r>
        <w:rPr>
          <w:rFonts w:ascii="Times New Roman" w:hAnsi="Times New Roman"/>
          <w:b/>
          <w:caps/>
          <w:noProof/>
          <w:kern w:val="32"/>
          <w:sz w:val="24"/>
        </w:rPr>
        <w:t xml:space="preserve">2. </w:t>
      </w:r>
      <w:r>
        <w:rPr>
          <w:noProof/>
        </w:rPr>
        <w:tab/>
      </w:r>
      <w:r>
        <w:rPr>
          <w:rFonts w:ascii="Times New Roman" w:hAnsi="Times New Roman"/>
          <w:b/>
          <w:caps/>
          <w:noProof/>
          <w:kern w:val="32"/>
          <w:sz w:val="24"/>
        </w:rPr>
        <w:t>Obiectivele urmărite</w:t>
      </w:r>
      <w:bookmarkEnd w:id="5"/>
    </w:p>
    <w:p>
      <w:pPr>
        <w:spacing w:after="240" w:line="240" w:lineRule="auto"/>
        <w:jc w:val="both"/>
        <w:rPr>
          <w:rFonts w:ascii="Times New Roman" w:hAnsi="Times New Roman"/>
          <w:noProof/>
          <w:sz w:val="24"/>
          <w:szCs w:val="24"/>
        </w:rPr>
      </w:pPr>
      <w:r>
        <w:rPr>
          <w:rFonts w:ascii="Times New Roman" w:hAnsi="Times New Roman"/>
          <w:noProof/>
          <w:sz w:val="24"/>
        </w:rPr>
        <w:t xml:space="preserve">Obiectivul principal al acestui cadru strategic la nivelul UE este de a sprijini statele să devină mai stabile, precum și indivizii să fie mai în siguranță. În acest scop, cadrul își propune să îmbunătățească eficacitatea UE în promovarea și sprijinirea: </w:t>
      </w:r>
    </w:p>
    <w:p>
      <w:pPr>
        <w:numPr>
          <w:ilvl w:val="0"/>
          <w:numId w:val="7"/>
        </w:numPr>
        <w:tabs>
          <w:tab w:val="left" w:pos="851"/>
        </w:tabs>
        <w:spacing w:after="120" w:line="240" w:lineRule="auto"/>
        <w:ind w:left="850" w:hanging="425"/>
        <w:jc w:val="both"/>
        <w:rPr>
          <w:rFonts w:ascii="Times New Roman" w:hAnsi="Times New Roman"/>
          <w:noProof/>
          <w:sz w:val="24"/>
          <w:szCs w:val="24"/>
        </w:rPr>
      </w:pPr>
      <w:r>
        <w:rPr>
          <w:rFonts w:ascii="Times New Roman" w:hAnsi="Times New Roman"/>
          <w:noProof/>
          <w:sz w:val="24"/>
        </w:rPr>
        <w:t>eforturilor țărilor partenere pentru a asigura securitatea pentru indivizi și pentru stat; și</w:t>
      </w:r>
    </w:p>
    <w:p>
      <w:pPr>
        <w:numPr>
          <w:ilvl w:val="0"/>
          <w:numId w:val="7"/>
        </w:numPr>
        <w:tabs>
          <w:tab w:val="left" w:pos="851"/>
        </w:tabs>
        <w:spacing w:after="240" w:line="240" w:lineRule="auto"/>
        <w:ind w:left="851" w:hanging="425"/>
        <w:jc w:val="both"/>
        <w:rPr>
          <w:rFonts w:ascii="Times New Roman" w:hAnsi="Times New Roman"/>
          <w:noProof/>
          <w:sz w:val="24"/>
          <w:szCs w:val="24"/>
        </w:rPr>
      </w:pPr>
      <w:r>
        <w:rPr>
          <w:rFonts w:ascii="Times New Roman" w:hAnsi="Times New Roman"/>
          <w:noProof/>
          <w:sz w:val="24"/>
        </w:rPr>
        <w:t>legitimității, bunei guvernanțe, integrității și sustenabilității sectorului de securitate din țările partenere.</w:t>
      </w:r>
    </w:p>
    <w:p>
      <w:pPr>
        <w:keepNext/>
        <w:spacing w:after="240" w:line="240" w:lineRule="auto"/>
        <w:ind w:left="426" w:hanging="426"/>
        <w:jc w:val="both"/>
        <w:rPr>
          <w:rFonts w:ascii="Times New Roman" w:hAnsi="Times New Roman"/>
          <w:b/>
          <w:i/>
          <w:smallCaps/>
          <w:noProof/>
          <w:sz w:val="24"/>
          <w:szCs w:val="24"/>
        </w:rPr>
      </w:pPr>
      <w:r>
        <w:rPr>
          <w:rFonts w:ascii="Times New Roman" w:hAnsi="Times New Roman"/>
          <w:b/>
          <w:i/>
          <w:smallCaps/>
          <w:noProof/>
          <w:sz w:val="24"/>
        </w:rPr>
        <w:t>A.</w:t>
      </w:r>
      <w:r>
        <w:rPr>
          <w:noProof/>
        </w:rPr>
        <w:tab/>
      </w:r>
      <w:r>
        <w:rPr>
          <w:rFonts w:ascii="Times New Roman" w:hAnsi="Times New Roman"/>
          <w:b/>
          <w:i/>
          <w:smallCaps/>
          <w:noProof/>
          <w:sz w:val="24"/>
        </w:rPr>
        <w:t>Asigurarea securității pentru indivizi și pentru stat</w:t>
      </w:r>
    </w:p>
    <w:p>
      <w:pPr>
        <w:spacing w:after="240" w:line="240" w:lineRule="auto"/>
        <w:jc w:val="both"/>
        <w:rPr>
          <w:rFonts w:ascii="Times New Roman" w:hAnsi="Times New Roman"/>
          <w:noProof/>
          <w:sz w:val="24"/>
          <w:szCs w:val="24"/>
        </w:rPr>
      </w:pPr>
      <w:r>
        <w:rPr>
          <w:rFonts w:ascii="Times New Roman" w:hAnsi="Times New Roman"/>
          <w:noProof/>
          <w:sz w:val="24"/>
        </w:rPr>
        <w:t>Pentru a fi eficace, un sector de securitate națională trebuie:</w:t>
      </w:r>
    </w:p>
    <w:p>
      <w:pPr>
        <w:numPr>
          <w:ilvl w:val="0"/>
          <w:numId w:val="13"/>
        </w:numPr>
        <w:tabs>
          <w:tab w:val="left" w:pos="851"/>
        </w:tabs>
        <w:spacing w:after="120" w:line="240" w:lineRule="auto"/>
        <w:ind w:left="851" w:hanging="431"/>
        <w:jc w:val="both"/>
        <w:rPr>
          <w:rFonts w:ascii="Times New Roman" w:hAnsi="Times New Roman"/>
          <w:noProof/>
          <w:sz w:val="24"/>
          <w:szCs w:val="24"/>
        </w:rPr>
      </w:pPr>
      <w:r>
        <w:rPr>
          <w:rFonts w:ascii="Times New Roman" w:hAnsi="Times New Roman"/>
          <w:noProof/>
          <w:sz w:val="24"/>
        </w:rPr>
        <w:t xml:space="preserve">să beneficieze de un </w:t>
      </w:r>
      <w:r>
        <w:rPr>
          <w:rFonts w:ascii="Times New Roman" w:hAnsi="Times New Roman"/>
          <w:b/>
          <w:noProof/>
          <w:sz w:val="24"/>
        </w:rPr>
        <w:t>cadru juridic</w:t>
      </w:r>
      <w:r>
        <w:rPr>
          <w:rFonts w:ascii="Times New Roman" w:hAnsi="Times New Roman"/>
          <w:noProof/>
          <w:sz w:val="24"/>
        </w:rPr>
        <w:t xml:space="preserve"> clar și adecvat; </w:t>
      </w:r>
    </w:p>
    <w:p>
      <w:pPr>
        <w:numPr>
          <w:ilvl w:val="0"/>
          <w:numId w:val="13"/>
        </w:numPr>
        <w:tabs>
          <w:tab w:val="left" w:pos="851"/>
        </w:tabs>
        <w:spacing w:after="120" w:line="240" w:lineRule="auto"/>
        <w:ind w:left="851" w:hanging="431"/>
        <w:jc w:val="both"/>
        <w:rPr>
          <w:rFonts w:ascii="Times New Roman" w:hAnsi="Times New Roman"/>
          <w:noProof/>
          <w:sz w:val="24"/>
          <w:szCs w:val="24"/>
        </w:rPr>
      </w:pPr>
      <w:r>
        <w:rPr>
          <w:rFonts w:ascii="Times New Roman" w:hAnsi="Times New Roman"/>
          <w:noProof/>
          <w:sz w:val="24"/>
        </w:rPr>
        <w:t xml:space="preserve">să fie condus prin </w:t>
      </w:r>
      <w:r>
        <w:rPr>
          <w:rFonts w:ascii="Times New Roman" w:hAnsi="Times New Roman"/>
          <w:b/>
          <w:noProof/>
          <w:sz w:val="24"/>
        </w:rPr>
        <w:t>politici și strategii</w:t>
      </w:r>
      <w:r>
        <w:rPr>
          <w:rFonts w:ascii="Times New Roman" w:hAnsi="Times New Roman"/>
          <w:noProof/>
          <w:sz w:val="24"/>
        </w:rPr>
        <w:t xml:space="preserve"> adecvate de securitate și justiție; și </w:t>
      </w:r>
    </w:p>
    <w:p>
      <w:pPr>
        <w:numPr>
          <w:ilvl w:val="0"/>
          <w:numId w:val="13"/>
        </w:numPr>
        <w:tabs>
          <w:tab w:val="left" w:pos="851"/>
        </w:tabs>
        <w:spacing w:after="240" w:line="240" w:lineRule="auto"/>
        <w:ind w:left="851" w:hanging="431"/>
        <w:jc w:val="both"/>
        <w:rPr>
          <w:rFonts w:ascii="Times New Roman" w:hAnsi="Times New Roman"/>
          <w:noProof/>
          <w:sz w:val="24"/>
          <w:szCs w:val="24"/>
        </w:rPr>
      </w:pPr>
      <w:r>
        <w:rPr>
          <w:rFonts w:ascii="Times New Roman" w:hAnsi="Times New Roman"/>
          <w:noProof/>
          <w:sz w:val="24"/>
        </w:rPr>
        <w:t xml:space="preserve">să fie constituit din </w:t>
      </w:r>
      <w:r>
        <w:rPr>
          <w:rFonts w:ascii="Times New Roman" w:hAnsi="Times New Roman"/>
          <w:b/>
          <w:noProof/>
          <w:sz w:val="24"/>
        </w:rPr>
        <w:t>instituții</w:t>
      </w:r>
      <w:r>
        <w:rPr>
          <w:rFonts w:ascii="Times New Roman" w:hAnsi="Times New Roman"/>
          <w:noProof/>
          <w:sz w:val="24"/>
        </w:rPr>
        <w:t xml:space="preserve"> bine coordonate și cooperante, fiecare dintre acestea fiind structurate și organizate în mod corespunzător, cu un rol clar definit, proceduri, personal calificat și resurse adecvate. </w:t>
      </w:r>
    </w:p>
    <w:p>
      <w:pPr>
        <w:spacing w:after="240" w:line="240" w:lineRule="auto"/>
        <w:jc w:val="both"/>
        <w:rPr>
          <w:rFonts w:ascii="Times New Roman" w:hAnsi="Times New Roman"/>
          <w:noProof/>
          <w:sz w:val="24"/>
          <w:szCs w:val="24"/>
        </w:rPr>
      </w:pPr>
      <w:r>
        <w:rPr>
          <w:rFonts w:ascii="Times New Roman" w:hAnsi="Times New Roman"/>
          <w:noProof/>
          <w:sz w:val="24"/>
        </w:rPr>
        <w:t>Acesta trebuie să ia în considerare furnizorii de securitate informali sau neguvernamentali existenți și să respecte statul de drept.</w:t>
      </w:r>
    </w:p>
    <w:p>
      <w:pPr>
        <w:keepNext/>
        <w:spacing w:after="240" w:line="240" w:lineRule="auto"/>
        <w:jc w:val="both"/>
        <w:rPr>
          <w:rFonts w:ascii="Times New Roman" w:hAnsi="Times New Roman"/>
          <w:b/>
          <w:noProof/>
          <w:sz w:val="24"/>
          <w:szCs w:val="24"/>
        </w:rPr>
      </w:pPr>
      <w:r>
        <w:rPr>
          <w:rFonts w:ascii="Times New Roman" w:hAnsi="Times New Roman"/>
          <w:b/>
          <w:noProof/>
          <w:sz w:val="24"/>
        </w:rPr>
        <w:t>Securitatea umană</w:t>
      </w:r>
    </w:p>
    <w:p>
      <w:pPr>
        <w:tabs>
          <w:tab w:val="left" w:pos="1177"/>
        </w:tabs>
        <w:spacing w:after="240" w:line="240" w:lineRule="auto"/>
        <w:jc w:val="both"/>
        <w:rPr>
          <w:rFonts w:ascii="Times New Roman" w:hAnsi="Times New Roman"/>
          <w:noProof/>
          <w:sz w:val="24"/>
          <w:szCs w:val="24"/>
        </w:rPr>
      </w:pPr>
      <w:r>
        <w:rPr>
          <w:rFonts w:ascii="Times New Roman" w:hAnsi="Times New Roman"/>
          <w:noProof/>
          <w:sz w:val="24"/>
        </w:rPr>
        <w:t xml:space="preserve">Primul obiectiv al unui sistem de securitate național trebuie să fie asigurarea securității </w:t>
      </w:r>
      <w:r>
        <w:rPr>
          <w:rFonts w:ascii="Times New Roman" w:hAnsi="Times New Roman"/>
          <w:b/>
          <w:noProof/>
          <w:sz w:val="24"/>
        </w:rPr>
        <w:t>indivizilor</w:t>
      </w:r>
      <w:r>
        <w:rPr>
          <w:rFonts w:ascii="Times New Roman" w:hAnsi="Times New Roman"/>
          <w:noProof/>
          <w:sz w:val="24"/>
        </w:rPr>
        <w:t>, astfel cum este percepută și trăită de către aceștia. Acest lucru implică respectarea libertăților fundamentale ale acestora</w:t>
      </w:r>
      <w:r>
        <w:rPr>
          <w:rFonts w:ascii="Times New Roman" w:hAnsi="Times New Roman"/>
          <w:noProof/>
          <w:sz w:val="24"/>
          <w:vertAlign w:val="superscript"/>
        </w:rPr>
        <w:footnoteReference w:id="22"/>
      </w:r>
      <w:r>
        <w:rPr>
          <w:rFonts w:ascii="Times New Roman" w:hAnsi="Times New Roman"/>
          <w:noProof/>
          <w:sz w:val="24"/>
        </w:rPr>
        <w:t xml:space="preserve"> și evaluarea corespunzătoare, într-un mod participativ, a nevoilor în materie de securitate ale diferitor </w:t>
      </w:r>
      <w:r>
        <w:rPr>
          <w:rFonts w:ascii="Times New Roman" w:hAnsi="Times New Roman"/>
          <w:b/>
          <w:noProof/>
          <w:sz w:val="24"/>
        </w:rPr>
        <w:t>grupuri</w:t>
      </w:r>
      <w:r>
        <w:rPr>
          <w:rFonts w:ascii="Times New Roman" w:hAnsi="Times New Roman"/>
          <w:noProof/>
          <w:sz w:val="24"/>
        </w:rPr>
        <w:t xml:space="preserve">, inclusiv ale celor mai vulnerabile. Sistemul ar trebui să răspundă necesităților de securitate specifice ale femeilor, copiilor, persoanelor în vârstă și minorităților. </w:t>
      </w:r>
    </w:p>
    <w:p>
      <w:pPr>
        <w:tabs>
          <w:tab w:val="left" w:pos="1177"/>
        </w:tabs>
        <w:spacing w:after="240" w:line="240" w:lineRule="auto"/>
        <w:jc w:val="both"/>
        <w:rPr>
          <w:rFonts w:ascii="Times New Roman" w:hAnsi="Times New Roman"/>
          <w:noProof/>
          <w:sz w:val="24"/>
          <w:szCs w:val="24"/>
        </w:rPr>
      </w:pPr>
      <w:r>
        <w:rPr>
          <w:rFonts w:ascii="Times New Roman" w:hAnsi="Times New Roman"/>
          <w:noProof/>
          <w:sz w:val="24"/>
        </w:rPr>
        <w:t xml:space="preserve">Eforturile de reformă trebuie să ia în considerare </w:t>
      </w:r>
      <w:r>
        <w:rPr>
          <w:rFonts w:ascii="Times New Roman" w:hAnsi="Times New Roman"/>
          <w:b/>
          <w:noProof/>
          <w:sz w:val="24"/>
        </w:rPr>
        <w:t>problematica genului</w:t>
      </w:r>
      <w:r>
        <w:rPr>
          <w:rFonts w:ascii="Times New Roman" w:hAnsi="Times New Roman"/>
          <w:noProof/>
          <w:sz w:val="24"/>
          <w:vertAlign w:val="superscript"/>
        </w:rPr>
        <w:footnoteReference w:id="23"/>
      </w:r>
      <w:r>
        <w:rPr>
          <w:rFonts w:ascii="Times New Roman" w:hAnsi="Times New Roman"/>
          <w:noProof/>
          <w:sz w:val="24"/>
        </w:rPr>
        <w:t>, să garanteze că femeile și bărbații beneficiază de acces efectiv și egal la serviciile judiciare și de securitate. În acest scop, elaborarea sau revizuirea politicilor naționale în materie de securitate ar trebui să se bazeze pe analize pe criterii de gen. În plus, sprijinul pentru victimele violenței ar trebui să fie însoțit de măsuri preventive (de exemplu, legislație, sensibilizare în ceea ce privește genul în structurile polițienești și militare, combaterea impunității autorului).</w:t>
      </w:r>
    </w:p>
    <w:p>
      <w:pPr>
        <w:keepNext/>
        <w:spacing w:after="240" w:line="240" w:lineRule="auto"/>
        <w:jc w:val="both"/>
        <w:rPr>
          <w:rFonts w:ascii="Times New Roman" w:hAnsi="Times New Roman"/>
          <w:b/>
          <w:noProof/>
          <w:sz w:val="24"/>
          <w:szCs w:val="24"/>
        </w:rPr>
      </w:pPr>
      <w:r>
        <w:rPr>
          <w:rFonts w:ascii="Times New Roman" w:hAnsi="Times New Roman"/>
          <w:b/>
          <w:noProof/>
          <w:sz w:val="24"/>
        </w:rPr>
        <w:t>Prevenirea și abordarea amenințărilor transnaționale la adresa securității</w:t>
      </w:r>
    </w:p>
    <w:p>
      <w:pPr>
        <w:spacing w:after="240" w:line="240" w:lineRule="auto"/>
        <w:jc w:val="both"/>
        <w:rPr>
          <w:rFonts w:ascii="Times New Roman" w:hAnsi="Times New Roman"/>
          <w:noProof/>
          <w:sz w:val="24"/>
          <w:szCs w:val="24"/>
        </w:rPr>
      </w:pPr>
      <w:r>
        <w:rPr>
          <w:rFonts w:ascii="Times New Roman" w:hAnsi="Times New Roman"/>
          <w:noProof/>
          <w:sz w:val="24"/>
        </w:rPr>
        <w:t xml:space="preserve">Sistemele naționale de securitate trebuie să fie eficace, de asemenea, în combaterea amenințărilor transnaționale la adresa securității, cum ar fi terorismul și crima organizată în toate formele acesteia. Răspunsurile trebuie să includă stabilirea sau consolidarea cooperării internaționale. </w:t>
      </w:r>
    </w:p>
    <w:p>
      <w:pPr>
        <w:keepNext/>
        <w:spacing w:after="240" w:line="240" w:lineRule="auto"/>
        <w:ind w:left="426" w:hanging="426"/>
        <w:jc w:val="both"/>
        <w:rPr>
          <w:rFonts w:ascii="Times New Roman" w:hAnsi="Times New Roman"/>
          <w:b/>
          <w:i/>
          <w:smallCaps/>
          <w:noProof/>
          <w:sz w:val="24"/>
          <w:szCs w:val="24"/>
        </w:rPr>
      </w:pPr>
      <w:r>
        <w:rPr>
          <w:rFonts w:ascii="Times New Roman" w:hAnsi="Times New Roman"/>
          <w:b/>
          <w:i/>
          <w:smallCaps/>
          <w:noProof/>
          <w:sz w:val="24"/>
        </w:rPr>
        <w:t xml:space="preserve">B. </w:t>
      </w:r>
      <w:r>
        <w:rPr>
          <w:noProof/>
        </w:rPr>
        <w:tab/>
      </w:r>
      <w:r>
        <w:rPr>
          <w:rFonts w:ascii="Times New Roman" w:hAnsi="Times New Roman"/>
          <w:b/>
          <w:i/>
          <w:smallCaps/>
          <w:noProof/>
          <w:sz w:val="24"/>
        </w:rPr>
        <w:t>Legitimitate</w:t>
      </w:r>
      <w:r>
        <w:rPr>
          <w:rFonts w:ascii="Times New Roman" w:hAnsi="Times New Roman"/>
          <w:i/>
          <w:smallCaps/>
          <w:noProof/>
          <w:sz w:val="24"/>
          <w:vertAlign w:val="superscript"/>
        </w:rPr>
        <w:footnoteReference w:id="24"/>
      </w:r>
      <w:r>
        <w:rPr>
          <w:rFonts w:ascii="Times New Roman" w:hAnsi="Times New Roman"/>
          <w:b/>
          <w:i/>
          <w:smallCaps/>
          <w:noProof/>
          <w:sz w:val="24"/>
        </w:rPr>
        <w:t>, bună guvernanță, integritate și sustenabilitate</w:t>
      </w:r>
    </w:p>
    <w:p>
      <w:pPr>
        <w:keepNext/>
        <w:spacing w:after="240" w:line="240" w:lineRule="auto"/>
        <w:jc w:val="both"/>
        <w:rPr>
          <w:rFonts w:ascii="Times New Roman" w:hAnsi="Times New Roman"/>
          <w:b/>
          <w:noProof/>
          <w:sz w:val="24"/>
          <w:szCs w:val="24"/>
        </w:rPr>
      </w:pPr>
      <w:r>
        <w:rPr>
          <w:rFonts w:ascii="Times New Roman" w:hAnsi="Times New Roman"/>
          <w:b/>
          <w:noProof/>
          <w:sz w:val="24"/>
        </w:rPr>
        <w:t>Drepturile omului, statul de drept și principiile democratice</w:t>
      </w:r>
      <w:r>
        <w:rPr>
          <w:rFonts w:ascii="Times New Roman" w:hAnsi="Times New Roman"/>
          <w:noProof/>
          <w:sz w:val="24"/>
          <w:vertAlign w:val="superscript"/>
        </w:rPr>
        <w:footnoteReference w:id="25"/>
      </w:r>
    </w:p>
    <w:p>
      <w:pPr>
        <w:spacing w:after="240" w:line="240" w:lineRule="auto"/>
        <w:jc w:val="both"/>
        <w:rPr>
          <w:rFonts w:ascii="Times New Roman" w:hAnsi="Times New Roman"/>
          <w:noProof/>
          <w:sz w:val="24"/>
          <w:szCs w:val="24"/>
        </w:rPr>
      </w:pPr>
      <w:r>
        <w:rPr>
          <w:rFonts w:ascii="Times New Roman" w:hAnsi="Times New Roman"/>
          <w:noProof/>
          <w:sz w:val="24"/>
        </w:rPr>
        <w:t xml:space="preserve">Actorii din domeniul securității trebuie să respecte și să sprijine drepturile omului, fără discriminare, pentru populația generală și pentru membrii acesteia. Sectorul securității ar trebui să fie supus </w:t>
      </w:r>
      <w:r>
        <w:rPr>
          <w:rFonts w:ascii="Times New Roman" w:hAnsi="Times New Roman"/>
          <w:b/>
          <w:noProof/>
          <w:sz w:val="24"/>
        </w:rPr>
        <w:t>controlului</w:t>
      </w:r>
      <w:r>
        <w:rPr>
          <w:rFonts w:ascii="Times New Roman" w:hAnsi="Times New Roman"/>
          <w:noProof/>
          <w:sz w:val="24"/>
        </w:rPr>
        <w:t xml:space="preserve"> și </w:t>
      </w:r>
      <w:r>
        <w:rPr>
          <w:rFonts w:ascii="Times New Roman" w:hAnsi="Times New Roman"/>
          <w:b/>
          <w:noProof/>
          <w:sz w:val="24"/>
        </w:rPr>
        <w:t>supravegherii</w:t>
      </w:r>
      <w:r>
        <w:rPr>
          <w:rFonts w:ascii="Times New Roman" w:hAnsi="Times New Roman"/>
          <w:noProof/>
          <w:sz w:val="24"/>
        </w:rPr>
        <w:t xml:space="preserve"> democratice eficace</w:t>
      </w:r>
      <w:r>
        <w:rPr>
          <w:rFonts w:ascii="Times New Roman" w:hAnsi="Times New Roman"/>
          <w:noProof/>
          <w:sz w:val="24"/>
          <w:vertAlign w:val="superscript"/>
        </w:rPr>
        <w:footnoteReference w:id="26"/>
      </w:r>
      <w:r>
        <w:rPr>
          <w:rFonts w:ascii="Times New Roman" w:hAnsi="Times New Roman"/>
          <w:noProof/>
          <w:sz w:val="24"/>
        </w:rPr>
        <w:t>. Acesta ar trebui să funcționeze într-un cadru juridic clar și neambiguu, aprobat de legiuitorul național, incluzând controlul civil eficace. Bugetul acestuia ar trebui să fie parte integrantă din bugetul național și să poată fi discutat și aprobat de către legiuitor, care trebuie să fie în măsură să exercite o supraveghere eficace. Consultarea și implicarea societății civile ar trebui să constituie o practică standard în elaborarea și monitorizarea politicilor și activităților de securitate și justiție.</w:t>
      </w:r>
    </w:p>
    <w:p>
      <w:pPr>
        <w:keepNext/>
        <w:spacing w:after="240" w:line="240" w:lineRule="auto"/>
        <w:jc w:val="both"/>
        <w:rPr>
          <w:rFonts w:ascii="Times New Roman" w:hAnsi="Times New Roman"/>
          <w:b/>
          <w:noProof/>
          <w:sz w:val="24"/>
          <w:szCs w:val="24"/>
        </w:rPr>
      </w:pPr>
      <w:r>
        <w:rPr>
          <w:rFonts w:ascii="Times New Roman" w:hAnsi="Times New Roman"/>
          <w:b/>
          <w:noProof/>
          <w:sz w:val="24"/>
        </w:rPr>
        <w:t>Principiile bunei guvernanțe</w:t>
      </w:r>
      <w:r>
        <w:rPr>
          <w:rFonts w:ascii="Times New Roman" w:hAnsi="Times New Roman"/>
          <w:noProof/>
          <w:sz w:val="24"/>
          <w:vertAlign w:val="superscript"/>
        </w:rPr>
        <w:footnoteReference w:id="27"/>
      </w:r>
    </w:p>
    <w:p>
      <w:pPr>
        <w:spacing w:after="240" w:line="240" w:lineRule="auto"/>
        <w:jc w:val="both"/>
        <w:rPr>
          <w:rFonts w:ascii="Times New Roman" w:hAnsi="Times New Roman"/>
          <w:noProof/>
          <w:sz w:val="24"/>
          <w:szCs w:val="24"/>
        </w:rPr>
      </w:pPr>
      <w:r>
        <w:rPr>
          <w:rFonts w:ascii="Times New Roman" w:hAnsi="Times New Roman"/>
          <w:noProof/>
          <w:sz w:val="24"/>
        </w:rPr>
        <w:t xml:space="preserve">Trebuie să se aplice </w:t>
      </w:r>
      <w:r>
        <w:rPr>
          <w:rFonts w:ascii="Times New Roman" w:hAnsi="Times New Roman"/>
          <w:b/>
          <w:noProof/>
          <w:sz w:val="24"/>
        </w:rPr>
        <w:t>transparența</w:t>
      </w:r>
      <w:r>
        <w:rPr>
          <w:rFonts w:ascii="Times New Roman" w:hAnsi="Times New Roman"/>
          <w:noProof/>
          <w:sz w:val="24"/>
        </w:rPr>
        <w:t xml:space="preserve"> și </w:t>
      </w:r>
      <w:r>
        <w:rPr>
          <w:rFonts w:ascii="Times New Roman" w:hAnsi="Times New Roman"/>
          <w:b/>
          <w:noProof/>
          <w:sz w:val="24"/>
        </w:rPr>
        <w:t>deschiderea</w:t>
      </w:r>
      <w:r>
        <w:rPr>
          <w:rFonts w:ascii="Times New Roman" w:hAnsi="Times New Roman"/>
          <w:noProof/>
          <w:sz w:val="24"/>
        </w:rPr>
        <w:t xml:space="preserve"> și să se instituie garanții juridice pentru a preveni luarea de decizii arbitrare. Procedurile de recrutare și de promovare, precum și numirile în funcții de conducere în cadrul structurii de securitate ar trebui să se bazeze pe criterii clar definite, la dispoziția publicului. Lanțurile de comandă oficiale trebuie să fie respectate. Clasificarea și diseminarea documentelor din sectorul securității (inclusiv procedurile de achiziții) și accesul la acestea ar trebui să facă obiectul unor proceduri acceptate în mod oficial și previzibile. Informațiile ar trebui să fie publice, astfel încât să sporească transparența și înțelegerea. Limitările în ceea ce privește deschiderea și transparența pot fi justificate din motive de politică publică clar definită (de exemplu, protecția datelor), dar ar trebui să fie menținute întotdeauna la un nivel minim.</w:t>
      </w:r>
    </w:p>
    <w:p>
      <w:pPr>
        <w:spacing w:after="240" w:line="240" w:lineRule="auto"/>
        <w:jc w:val="both"/>
        <w:rPr>
          <w:rFonts w:ascii="Times New Roman" w:hAnsi="Times New Roman"/>
          <w:noProof/>
          <w:sz w:val="24"/>
          <w:szCs w:val="24"/>
        </w:rPr>
      </w:pPr>
      <w:r>
        <w:rPr>
          <w:rFonts w:ascii="Times New Roman" w:hAnsi="Times New Roman"/>
          <w:b/>
          <w:noProof/>
          <w:sz w:val="24"/>
        </w:rPr>
        <w:t>Participarea tuturor părților interesate</w:t>
      </w:r>
      <w:r>
        <w:rPr>
          <w:rFonts w:ascii="Times New Roman" w:hAnsi="Times New Roman"/>
          <w:noProof/>
          <w:sz w:val="24"/>
        </w:rPr>
        <w:t xml:space="preserve"> la procesul de reformă implică faptul că politicile și strategiile naționale de securitate sunt elaborate prin procese de consultare favorabile incluziunii. În special, ar trebui să se asigure participarea femeilor în conformitate cu rezoluțiile pertinente ale Consiliului de Securitate al ONU</w:t>
      </w:r>
      <w:r>
        <w:rPr>
          <w:rFonts w:ascii="Times New Roman" w:hAnsi="Times New Roman"/>
          <w:noProof/>
          <w:sz w:val="24"/>
          <w:vertAlign w:val="superscript"/>
        </w:rPr>
        <w:footnoteReference w:id="28"/>
      </w:r>
      <w:r>
        <w:rPr>
          <w:rFonts w:ascii="Times New Roman" w:hAnsi="Times New Roman"/>
          <w:noProof/>
          <w:sz w:val="24"/>
        </w:rPr>
        <w:t xml:space="preserve">. </w:t>
      </w:r>
    </w:p>
    <w:p>
      <w:pPr>
        <w:spacing w:after="240" w:line="240" w:lineRule="auto"/>
        <w:jc w:val="both"/>
        <w:rPr>
          <w:rFonts w:ascii="Times New Roman" w:hAnsi="Times New Roman"/>
          <w:noProof/>
          <w:sz w:val="24"/>
          <w:szCs w:val="24"/>
        </w:rPr>
      </w:pPr>
      <w:r>
        <w:rPr>
          <w:rFonts w:ascii="Times New Roman" w:hAnsi="Times New Roman"/>
          <w:noProof/>
          <w:sz w:val="24"/>
        </w:rPr>
        <w:t xml:space="preserve">Sectorul de securitate în sine ar trebui să fie </w:t>
      </w:r>
      <w:r>
        <w:rPr>
          <w:rFonts w:ascii="Times New Roman" w:hAnsi="Times New Roman"/>
          <w:b/>
          <w:noProof/>
          <w:sz w:val="24"/>
        </w:rPr>
        <w:t>incluziv</w:t>
      </w:r>
      <w:r>
        <w:rPr>
          <w:rFonts w:ascii="Times New Roman" w:hAnsi="Times New Roman"/>
          <w:noProof/>
          <w:sz w:val="24"/>
        </w:rPr>
        <w:t xml:space="preserve">. Forțele de securitate nu ar trebui să excludă sau să discrimineze un anumit grup. Pentru a evita generarea de tensiuni, alocarea resurselor ar trebui să fie publică, justificată și să reflecte roluri/sarcini definite din punct de vedere juridic. Femeile ar trebui să beneficieze de egalitate de șanse și să fie împuternicite în cadrul forțelor de securitate. </w:t>
      </w:r>
    </w:p>
    <w:p>
      <w:pPr>
        <w:spacing w:after="240" w:line="240" w:lineRule="auto"/>
        <w:jc w:val="both"/>
        <w:rPr>
          <w:rFonts w:ascii="Times New Roman" w:hAnsi="Times New Roman"/>
          <w:noProof/>
          <w:sz w:val="24"/>
          <w:szCs w:val="24"/>
        </w:rPr>
      </w:pPr>
      <w:r>
        <w:rPr>
          <w:rFonts w:ascii="Times New Roman" w:hAnsi="Times New Roman"/>
          <w:noProof/>
          <w:sz w:val="24"/>
        </w:rPr>
        <w:t xml:space="preserve">Sistemele interne de </w:t>
      </w:r>
      <w:r>
        <w:rPr>
          <w:rFonts w:ascii="Times New Roman" w:hAnsi="Times New Roman"/>
          <w:b/>
          <w:noProof/>
          <w:sz w:val="24"/>
        </w:rPr>
        <w:t>responsabilizare</w:t>
      </w:r>
      <w:r>
        <w:rPr>
          <w:rFonts w:ascii="Times New Roman" w:hAnsi="Times New Roman"/>
          <w:noProof/>
          <w:sz w:val="24"/>
        </w:rPr>
        <w:t xml:space="preserve"> eficace, precum serviciile de inspecție internă și auditurile, ar trebui să fie puse în aplicare în instituțiile de securitate individuale, care, de asemenea, ar trebui să facă obiectul controlului extern al conduitei financiare și operaționale efectuat de curtea de conturi națională și de alte organisme de supraveghere sau echivalente. Mecanisme precum controlul, codurile de conduită, organismele independente care se ocupă de soluționarea reclamațiilor și controlul exercitat de societatea civilă contribuie, de asemenea, la procesul de responsabilizare. Pentru a evita impunitatea, este importantă susținerea principiului egalității în fața legii, evitarea caracterului arbitrar, precum și transparența procedurală și juridică în cazul în care un actor în domeniul securității este adus în fața justiției. Misiunea oricărui sistem judiciar militar separat ar trebui să fie clară și delimitată; în toate cazurile, civilii ar trebui să fie judecați de instanțe civile.</w:t>
      </w:r>
    </w:p>
    <w:p>
      <w:pPr>
        <w:keepNext/>
        <w:spacing w:after="240" w:line="240" w:lineRule="auto"/>
        <w:jc w:val="both"/>
        <w:rPr>
          <w:rFonts w:ascii="Times New Roman" w:hAnsi="Times New Roman"/>
          <w:b/>
          <w:noProof/>
          <w:sz w:val="24"/>
          <w:szCs w:val="24"/>
        </w:rPr>
      </w:pPr>
      <w:r>
        <w:rPr>
          <w:rFonts w:ascii="Times New Roman" w:hAnsi="Times New Roman"/>
          <w:b/>
          <w:noProof/>
          <w:sz w:val="24"/>
        </w:rPr>
        <w:t>Integritatea și lupta împotriva corupției</w:t>
      </w:r>
    </w:p>
    <w:p>
      <w:pPr>
        <w:spacing w:after="240" w:line="240" w:lineRule="auto"/>
        <w:jc w:val="both"/>
        <w:rPr>
          <w:rFonts w:ascii="Times New Roman" w:hAnsi="Times New Roman"/>
          <w:noProof/>
          <w:sz w:val="24"/>
          <w:szCs w:val="24"/>
        </w:rPr>
      </w:pPr>
      <w:r>
        <w:rPr>
          <w:rFonts w:ascii="Times New Roman" w:hAnsi="Times New Roman"/>
          <w:noProof/>
          <w:sz w:val="24"/>
        </w:rPr>
        <w:t xml:space="preserve">Încrederea între populație și actorii din domeniul securității este crucială pentru eficacitatea sectorului de securitate. Acesta este subminată de orice situație de dare sau luare de mită, extorcare, deturnare de fonduri, favoritism și nepotism. Resursele financiare alocate pentru sectorul de securitate ar trebui să fie gestionate pe baza acelorași principii de bună guvernanță care se aplică altor sectoare publice. La fel precum alte proceduri de achiziții publice, achiziția de echipamente și de servicii militare și polițienești ar trebui să facă obiectul unor proceduri, constrângeri și controale corespunzătoare. Strategiile anticorupție la nivel național ar trebui să se aplice în aceeași măsură actorilor din domeniul securității. </w:t>
      </w:r>
    </w:p>
    <w:p>
      <w:pPr>
        <w:keepNext/>
        <w:spacing w:after="240" w:line="240" w:lineRule="auto"/>
        <w:jc w:val="both"/>
        <w:rPr>
          <w:rFonts w:ascii="Times New Roman" w:hAnsi="Times New Roman"/>
          <w:noProof/>
          <w:sz w:val="24"/>
          <w:szCs w:val="24"/>
        </w:rPr>
      </w:pPr>
      <w:r>
        <w:rPr>
          <w:rFonts w:ascii="Times New Roman" w:hAnsi="Times New Roman"/>
          <w:b/>
          <w:noProof/>
          <w:sz w:val="24"/>
        </w:rPr>
        <w:t>Sustenabilitate</w:t>
      </w:r>
    </w:p>
    <w:p>
      <w:pPr>
        <w:spacing w:after="240" w:line="240" w:lineRule="auto"/>
        <w:jc w:val="both"/>
        <w:rPr>
          <w:rFonts w:ascii="Times New Roman" w:hAnsi="Times New Roman"/>
          <w:bCs/>
          <w:noProof/>
          <w:sz w:val="24"/>
          <w:szCs w:val="24"/>
        </w:rPr>
      </w:pPr>
      <w:r>
        <w:rPr>
          <w:rFonts w:ascii="Times New Roman" w:hAnsi="Times New Roman"/>
          <w:noProof/>
          <w:sz w:val="24"/>
        </w:rPr>
        <w:t>Pentru a fi aplicabile și eficace, legislația, instituțiile și procedurile de securitate ar trebui să fie dezvoltate pe baza proceselor elaborate la nivel național, în conformitate cu abordarea „întregii societăți”</w:t>
      </w:r>
      <w:r>
        <w:rPr>
          <w:rFonts w:ascii="Times New Roman" w:hAnsi="Times New Roman"/>
          <w:noProof/>
          <w:sz w:val="24"/>
          <w:vertAlign w:val="superscript"/>
        </w:rPr>
        <w:footnoteReference w:id="29"/>
      </w:r>
      <w:r>
        <w:rPr>
          <w:rFonts w:ascii="Times New Roman" w:hAnsi="Times New Roman"/>
          <w:noProof/>
          <w:sz w:val="24"/>
        </w:rPr>
        <w:t xml:space="preserve">. Angajamentul principalelor părți interesate din domeniul politicii, securității și justiției, precum și sprijinul societății civile sunt esențiale. </w:t>
      </w:r>
    </w:p>
    <w:p>
      <w:pPr>
        <w:spacing w:after="240" w:line="240" w:lineRule="auto"/>
        <w:jc w:val="both"/>
        <w:rPr>
          <w:rFonts w:ascii="Times New Roman" w:hAnsi="Times New Roman"/>
          <w:noProof/>
          <w:sz w:val="24"/>
          <w:szCs w:val="24"/>
        </w:rPr>
      </w:pPr>
      <w:r>
        <w:rPr>
          <w:rFonts w:ascii="Times New Roman" w:hAnsi="Times New Roman"/>
          <w:noProof/>
          <w:sz w:val="24"/>
        </w:rPr>
        <w:t xml:space="preserve">În principiu, nivelurile de personal, investițiile și resursele financiare ar trebui să se bazeze pe o planificare corespunzătoare și să fie </w:t>
      </w:r>
      <w:r>
        <w:rPr>
          <w:rFonts w:ascii="Times New Roman" w:hAnsi="Times New Roman"/>
          <w:b/>
          <w:noProof/>
          <w:sz w:val="24"/>
        </w:rPr>
        <w:t>sustenabile din punct de vedere fiscal,</w:t>
      </w:r>
      <w:r>
        <w:rPr>
          <w:rFonts w:ascii="Times New Roman" w:hAnsi="Times New Roman"/>
          <w:noProof/>
          <w:sz w:val="24"/>
        </w:rPr>
        <w:t xml:space="preserve"> astfel încât să nu pericliteze furnizarea altor servicii publice esențiale.</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rPr>
      </w:pPr>
      <w:bookmarkStart w:id="6" w:name="_Toc451796325"/>
      <w:bookmarkStart w:id="7" w:name="_Toc420082963"/>
      <w:bookmarkStart w:id="8" w:name="_Toc435784251"/>
      <w:bookmarkStart w:id="9" w:name="_Toc440292880"/>
      <w:r>
        <w:rPr>
          <w:rFonts w:ascii="Times New Roman" w:hAnsi="Times New Roman"/>
          <w:b/>
          <w:caps/>
          <w:noProof/>
          <w:kern w:val="32"/>
          <w:sz w:val="24"/>
        </w:rPr>
        <w:t xml:space="preserve">3. </w:t>
      </w:r>
      <w:r>
        <w:rPr>
          <w:noProof/>
        </w:rPr>
        <w:tab/>
      </w:r>
      <w:r>
        <w:rPr>
          <w:rFonts w:ascii="Times New Roman" w:hAnsi="Times New Roman"/>
          <w:b/>
          <w:caps/>
          <w:noProof/>
          <w:kern w:val="32"/>
          <w:sz w:val="24"/>
        </w:rPr>
        <w:t>Modalitatea de obținere</w:t>
      </w:r>
      <w:bookmarkEnd w:id="6"/>
      <w:r>
        <w:rPr>
          <w:rFonts w:ascii="Times New Roman" w:hAnsi="Times New Roman"/>
          <w:b/>
          <w:caps/>
          <w:noProof/>
          <w:kern w:val="32"/>
          <w:sz w:val="24"/>
        </w:rPr>
        <w:t xml:space="preserve"> </w:t>
      </w:r>
    </w:p>
    <w:p>
      <w:pPr>
        <w:spacing w:after="240" w:line="240" w:lineRule="auto"/>
        <w:jc w:val="both"/>
        <w:rPr>
          <w:rFonts w:ascii="Times New Roman" w:hAnsi="Times New Roman"/>
          <w:noProof/>
          <w:sz w:val="24"/>
          <w:szCs w:val="24"/>
        </w:rPr>
      </w:pPr>
      <w:r>
        <w:rPr>
          <w:rFonts w:ascii="Times New Roman" w:hAnsi="Times New Roman"/>
          <w:noProof/>
          <w:sz w:val="24"/>
        </w:rPr>
        <w:t>Implicarea UE în domeniul securității se bazează pe o serie de elemente și principii esențiale, inclusiv principiile eficacității ajutorului</w:t>
      </w:r>
      <w:r>
        <w:rPr>
          <w:rFonts w:ascii="Times New Roman" w:hAnsi="Times New Roman"/>
          <w:noProof/>
          <w:sz w:val="24"/>
          <w:vertAlign w:val="superscript"/>
        </w:rPr>
        <w:footnoteReference w:id="30"/>
      </w:r>
      <w:r>
        <w:rPr>
          <w:rFonts w:ascii="Times New Roman" w:hAnsi="Times New Roman"/>
          <w:noProof/>
          <w:sz w:val="24"/>
        </w:rPr>
        <w:t>, care se aplică securității la fel ca altor domenii de cooperare.</w:t>
      </w:r>
    </w:p>
    <w:p>
      <w:pPr>
        <w:keepNext/>
        <w:spacing w:after="240" w:line="240" w:lineRule="auto"/>
        <w:jc w:val="both"/>
        <w:rPr>
          <w:rFonts w:ascii="Times New Roman" w:hAnsi="Times New Roman"/>
          <w:b/>
          <w:noProof/>
          <w:sz w:val="24"/>
          <w:szCs w:val="24"/>
        </w:rPr>
      </w:pPr>
      <w:r>
        <w:rPr>
          <w:rFonts w:ascii="Times New Roman" w:hAnsi="Times New Roman"/>
          <w:b/>
          <w:noProof/>
          <w:sz w:val="24"/>
        </w:rPr>
        <w:t>Înțelegerea sectorului de securitate în contextul mai larg al acestuia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Implicarea UE în sectorul securității unei țări sau regiuni partenere va presupune înțelegerea și luarea în calcul a normelor formale și informale care reglementează modul de funcționare al actorilor din domeniul securității și al justiției. O apreciere similară este necesară pentru interacțiunile și relațiile de putere între actorii din domeniul securității și al justiției și actorii din alte domenii, precum și pentru dinamicile de conflict existente</w:t>
      </w:r>
      <w:r>
        <w:rPr>
          <w:rStyle w:val="FootnoteReference"/>
          <w:rFonts w:ascii="Times New Roman" w:hAnsi="Times New Roman"/>
          <w:noProof/>
          <w:sz w:val="24"/>
        </w:rPr>
        <w:footnoteReference w:id="31"/>
      </w:r>
      <w:r>
        <w:rPr>
          <w:noProof/>
        </w:rPr>
        <w:t>.</w:t>
      </w:r>
      <w:r>
        <w:rPr>
          <w:rFonts w:ascii="Times New Roman" w:hAnsi="Times New Roman"/>
          <w:noProof/>
          <w:sz w:val="24"/>
        </w:rPr>
        <w:t xml:space="preserve"> Sensibilizarea politică, socioeconomică, culturală și istorică este esențială. </w:t>
      </w:r>
    </w:p>
    <w:p>
      <w:pPr>
        <w:spacing w:after="240" w:line="240" w:lineRule="auto"/>
        <w:jc w:val="both"/>
        <w:rPr>
          <w:rFonts w:ascii="Times New Roman" w:hAnsi="Times New Roman"/>
          <w:noProof/>
          <w:sz w:val="24"/>
          <w:szCs w:val="24"/>
        </w:rPr>
      </w:pPr>
      <w:r>
        <w:rPr>
          <w:rFonts w:ascii="Times New Roman" w:hAnsi="Times New Roman"/>
          <w:noProof/>
          <w:sz w:val="24"/>
        </w:rPr>
        <w:t>UE ar trebui să își bazeze dialogul și acțiunea politică pe analiza prealabilă a sectorului de securitate al unei țări și pe modul în care aceasta este situată în contextul său mai larg. Delegațiile UE au fost instruite să analizeze și să raporteze cu privire la sectorul de securitate utilizând mecanismele de raportare existente. În cazul unei misiuni PSAC, astfel de analize și rapoarte vor fi reunite în conformitate cu „abordarea globală”. Ambasadele statelor membre, în special cele cu atașați în materie de securitate și/sau de apărare, vor fi invitate să contribuie cu informații și expertiză.</w:t>
      </w:r>
    </w:p>
    <w:p>
      <w:pPr>
        <w:spacing w:after="240" w:line="240" w:lineRule="auto"/>
        <w:jc w:val="both"/>
        <w:rPr>
          <w:rFonts w:ascii="Times New Roman" w:hAnsi="Times New Roman"/>
          <w:noProof/>
          <w:sz w:val="24"/>
          <w:szCs w:val="24"/>
        </w:rPr>
      </w:pPr>
      <w:r>
        <w:rPr>
          <w:rFonts w:ascii="Times New Roman" w:hAnsi="Times New Roman"/>
          <w:noProof/>
          <w:sz w:val="24"/>
        </w:rPr>
        <w:t xml:space="preserve">În cazul în care se preconizează un sprijin RSS la scară largă, UE va efectua o evaluare cu context structurat (de exemplu, analiza economiei politice) care vizează toate părțile interesate (de exemplu, actori din domeniul securității și justiției, inclusiv sursele de rezistență preconizate, factori de schimbare și grupurile excluse în mod tradițional din instituțiile judiciare și de securitate precum femei, tineri și minorități). Această evaluare ar trebui să se concentreze asupra necesităților în materie de securitate astfel cum au fost percepute și trăite de principalele grupuri demografice și pe modul în care acestea sunt abordate în domeniul securității. </w:t>
      </w:r>
    </w:p>
    <w:p>
      <w:pPr>
        <w:spacing w:after="240" w:line="240" w:lineRule="auto"/>
        <w:jc w:val="both"/>
        <w:rPr>
          <w:rFonts w:ascii="Times New Roman" w:hAnsi="Times New Roman"/>
          <w:noProof/>
          <w:sz w:val="24"/>
          <w:szCs w:val="24"/>
        </w:rPr>
      </w:pPr>
      <w:r>
        <w:rPr>
          <w:rFonts w:ascii="Times New Roman" w:hAnsi="Times New Roman"/>
          <w:noProof/>
          <w:sz w:val="24"/>
        </w:rPr>
        <w:t xml:space="preserve">Evaluarea ar trebui să includă analiza politicilor/strategiilor naționale existente și a bugetului, practicile de securitate locală și judiciare, sursele de insecuritate și instabilitate, factorii potențiali de risc, respectarea principiilor guvernanței democratice și securității umane, gradul de eficacitate al protejării securității indivizilor, cooperarea și coordonarea existente la nivel internațional și posibilitățile de sprijin. Aceasta ar trebui să identifice problemele specifice în materie de securitate cărora asistența din partea UE le-ar putea acorda prioritate și procesul de schimbare la care poate contribui această asistență. UE ar trebui să promoveze o analiză comună prin implicarea actorilor locali și internaționali și a surselor de expertiză relevante. Ori de câte ori este posibil, autoritățile naționale vor fi implicate și, în mod ideal, vor conduce astfel de evaluări. Expertiza </w:t>
      </w:r>
      <w:r>
        <w:rPr>
          <w:rFonts w:ascii="Times New Roman" w:hAnsi="Times New Roman"/>
          <w:i/>
          <w:noProof/>
          <w:sz w:val="24"/>
        </w:rPr>
        <w:t>inter pares</w:t>
      </w:r>
      <w:r>
        <w:rPr>
          <w:rFonts w:ascii="Times New Roman" w:hAnsi="Times New Roman"/>
          <w:noProof/>
          <w:sz w:val="24"/>
        </w:rPr>
        <w:t xml:space="preserve"> poate fi mobilizată. </w:t>
      </w:r>
    </w:p>
    <w:p>
      <w:pPr>
        <w:spacing w:after="240" w:line="240" w:lineRule="auto"/>
        <w:jc w:val="both"/>
        <w:rPr>
          <w:rFonts w:ascii="Times New Roman" w:hAnsi="Times New Roman"/>
          <w:noProof/>
          <w:sz w:val="24"/>
          <w:szCs w:val="24"/>
        </w:rPr>
      </w:pPr>
      <w:r>
        <w:rPr>
          <w:rFonts w:ascii="Times New Roman" w:hAnsi="Times New Roman"/>
          <w:noProof/>
          <w:sz w:val="24"/>
        </w:rPr>
        <w:t xml:space="preserve">Astfel de evaluări vor sta la baza conceperii sprijinului RSS și, de asemenea, vor servi la stabilirea liniilor de bază pornind de la care se va monitoriza impactul implicării UE. Acestea vor fi actualizate în mod regulat pentru a ține evidența schimbărilor și pentru a păstra utilitatea acestora pentru punerea în aplicare a sprijinului.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Casetă privind acțiunile</w:t>
      </w:r>
      <w:r>
        <w:rPr>
          <w:rFonts w:ascii="Times New Roman" w:hAnsi="Times New Roman"/>
          <w:i/>
          <w:noProof/>
          <w:sz w:val="24"/>
        </w:rPr>
        <w:t xml:space="preserve">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Conform instrucțiunilor primite, delegațiile UE vor include analiza sectorului de securitate în cadrul rapoartelor lor periodice (împreună cu misiunile PSAC, atunci când sunt prezente). UE ar trebui să inițieze evaluări mai aprofundate ale sectorului de securitate, în cazurile în care este preconizată o implicare semnificativă.</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Pornind de la documentele metodologice existente, SEAE/serviciile Comisiei vor furniza orientări privind modul de efectuare a analizelor sectorului de securitate.</w:t>
      </w:r>
    </w:p>
    <w:p>
      <w:pPr>
        <w:keepNext/>
        <w:spacing w:after="240" w:line="240" w:lineRule="auto"/>
        <w:jc w:val="both"/>
        <w:rPr>
          <w:rFonts w:ascii="Times New Roman" w:hAnsi="Times New Roman"/>
          <w:b/>
          <w:noProof/>
          <w:sz w:val="24"/>
          <w:szCs w:val="24"/>
        </w:rPr>
      </w:pPr>
      <w:r>
        <w:rPr>
          <w:rFonts w:ascii="Times New Roman" w:hAnsi="Times New Roman"/>
          <w:b/>
          <w:noProof/>
          <w:sz w:val="24"/>
        </w:rPr>
        <w:t xml:space="preserve">Susținerea unei largi asumări a responsabilității la nivel național </w:t>
      </w:r>
    </w:p>
    <w:p>
      <w:pPr>
        <w:spacing w:after="240" w:line="240" w:lineRule="auto"/>
        <w:jc w:val="both"/>
        <w:rPr>
          <w:rFonts w:ascii="Times New Roman" w:hAnsi="Times New Roman"/>
          <w:noProof/>
          <w:sz w:val="24"/>
          <w:szCs w:val="24"/>
        </w:rPr>
      </w:pPr>
      <w:r>
        <w:rPr>
          <w:rFonts w:ascii="Times New Roman" w:hAnsi="Times New Roman"/>
          <w:noProof/>
          <w:sz w:val="24"/>
        </w:rPr>
        <w:t xml:space="preserve">„Asumarea responsabilității la nivel național” nu se limitează la o acceptare de către guvern a intervențiilor actorilor internaționali. Eforturile de reformă vor fi eficace și durabile numai în cazul în care acestea se bazează pe instituțiile țării (inclusiv prin angajament bugetar), sunt asumate de actorii în domeniul securității naționale și al justiției și sunt considerate legitime de către societate în ansamblul său. Acest lucru înseamnă că actorii naționali ar trebui să orienteze procesul și să își asume responsabilitatea generală pentru rezultatele intervențiilor, în colaborare cu parteneri externi care furnizează consultanță și sprijin. Acest lucru înseamnă, de asemenea, că toate părțile interesate (statale și nestatale), inclusiv grupurile marginalizate, ar trebui să fie implicate în eforturile de a construi treptat consensul cu privire la intervenția în sectorul de securitate, pe baza unor strategii asumate și acceptate la nivel național, după caz. Aceasta este o provocare, având în vedere faptul că actorii vor avea interese divergente și unii se vor opune reformei. </w:t>
      </w:r>
    </w:p>
    <w:p>
      <w:pPr>
        <w:spacing w:after="240" w:line="240" w:lineRule="auto"/>
        <w:jc w:val="both"/>
        <w:rPr>
          <w:rFonts w:ascii="Times New Roman" w:hAnsi="Times New Roman"/>
          <w:noProof/>
          <w:sz w:val="24"/>
          <w:szCs w:val="24"/>
        </w:rPr>
      </w:pPr>
      <w:r>
        <w:rPr>
          <w:rFonts w:ascii="Times New Roman" w:hAnsi="Times New Roman"/>
          <w:noProof/>
          <w:sz w:val="24"/>
        </w:rPr>
        <w:t>Într-o situație de criză sau în perioada imediat următoare unui conflict, atunci când instituțiile de stat pot fi slăbite sau absente, primele etape ale sprijinului acordat de UE ar trebui să pregătească calea pentru asumarea responsabilității la nivel național pe baza unui proces participativ care include societatea civilă.</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Casetă privind acțiunile</w:t>
      </w:r>
      <w:r>
        <w:rPr>
          <w:rFonts w:ascii="Times New Roman" w:hAnsi="Times New Roman"/>
          <w:i/>
          <w:noProof/>
          <w:sz w:val="24"/>
        </w:rPr>
        <w:t xml:space="preserve">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 xml:space="preserve">Atunci când desfășoară activități în sprijinul RSS, UE ar trebui: </w:t>
      </w:r>
    </w:p>
    <w:p>
      <w:pPr>
        <w:numPr>
          <w:ilvl w:val="0"/>
          <w:numId w:val="3"/>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să evalueze angajamentul politic față de reformă, posibilele surse de rezistență și modalitățile în care sprijinul său poate construi circumscripții care pot veni în sprijinul procesului de schimbare;</w:t>
      </w:r>
    </w:p>
    <w:p>
      <w:pPr>
        <w:numPr>
          <w:ilvl w:val="0"/>
          <w:numId w:val="3"/>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să își fundamenteze sprijinul pe politici, planuri și strategii naționale și aspecte prioritare, după caz, pornind de la procese naționale sau acțiuni în curs; și</w:t>
      </w:r>
    </w:p>
    <w:p>
      <w:pPr>
        <w:numPr>
          <w:ilvl w:val="0"/>
          <w:numId w:val="3"/>
        </w:num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să implice toate părțile interesate, inclusiv actorii nestatali și actorii societății civile, începând cu etapa de identificare, pentru a construi cel mai larg consens posibil în jurul intervențiilor.</w:t>
      </w:r>
    </w:p>
    <w:p>
      <w:pPr>
        <w:keepNext/>
        <w:spacing w:after="240" w:line="240" w:lineRule="auto"/>
        <w:jc w:val="both"/>
        <w:rPr>
          <w:rFonts w:ascii="Times New Roman" w:hAnsi="Times New Roman"/>
          <w:b/>
          <w:i/>
          <w:noProof/>
          <w:sz w:val="24"/>
          <w:szCs w:val="24"/>
        </w:rPr>
      </w:pPr>
      <w:r>
        <w:rPr>
          <w:rFonts w:ascii="Times New Roman" w:hAnsi="Times New Roman"/>
          <w:b/>
          <w:noProof/>
          <w:sz w:val="24"/>
        </w:rPr>
        <w:t xml:space="preserve">Vizualizarea imaginii de ansamblu </w:t>
      </w:r>
    </w:p>
    <w:p>
      <w:pPr>
        <w:spacing w:after="240" w:line="240" w:lineRule="auto"/>
        <w:jc w:val="both"/>
        <w:rPr>
          <w:rFonts w:ascii="Times New Roman" w:hAnsi="Times New Roman"/>
          <w:noProof/>
          <w:sz w:val="24"/>
          <w:szCs w:val="24"/>
        </w:rPr>
      </w:pPr>
      <w:r>
        <w:rPr>
          <w:rFonts w:ascii="Times New Roman" w:hAnsi="Times New Roman"/>
          <w:noProof/>
          <w:sz w:val="24"/>
        </w:rPr>
        <w:t xml:space="preserve">Guvernanța sectorului de securitate reflectă situația generală în materie de guvernanță a țării în cauză și ar trebui să fie dezvoltată în contextul unor inițiative mai extinse privind guvernanța. UE ar trebui să încurajeze guvernele partenere și societatea civilă să integreze aspectele legate de sectorul de securitate în strategii multianuale de dezvoltare la nivel național și să le coreleze pe cât posibil cu eforturile de guvernanță în curs sau planificate în alte sectoare. În egală măsură, dialogurile de politică privind gestionarea finanțelor publice și supravegherea transparenței/a bugetului trebuie să includă sectorul de securitate. </w:t>
      </w:r>
    </w:p>
    <w:p>
      <w:pPr>
        <w:spacing w:after="240" w:line="240" w:lineRule="auto"/>
        <w:jc w:val="both"/>
        <w:rPr>
          <w:rFonts w:ascii="Times New Roman" w:hAnsi="Times New Roman"/>
          <w:noProof/>
          <w:sz w:val="24"/>
          <w:szCs w:val="24"/>
        </w:rPr>
      </w:pPr>
      <w:r>
        <w:rPr>
          <w:rFonts w:ascii="Times New Roman" w:hAnsi="Times New Roman"/>
          <w:noProof/>
          <w:sz w:val="24"/>
        </w:rPr>
        <w:t xml:space="preserve">Sprijinul RSS ar trebui să anticipeze impactul pe care îl va avea în cadrul sectorului de securitate și în afara acestuia. Gestionarea lanțului sistemului de justiție penală și a frontierelor sunt exemple clare ale unei interconexiuni puternice între diferiți actori din domeniul securității și al justiției, care necesită o abordare holistică. Acest lucru nu înseamnă că sprijinul UE trebuie să cuprindă întregul sector de securitate al țării partenere; acest sprijin se poate dovedi a fi mai eficace atunci când vizează puncte de intrare selectate care sunt mai accesibile, susceptibile la dezvoltarea pozitivă și/sau care maximizează efectul de pârghie. </w:t>
      </w:r>
    </w:p>
    <w:p>
      <w:pPr>
        <w:spacing w:after="240" w:line="240" w:lineRule="auto"/>
        <w:jc w:val="both"/>
        <w:rPr>
          <w:rFonts w:ascii="Times New Roman" w:hAnsi="Times New Roman"/>
          <w:noProof/>
          <w:sz w:val="24"/>
          <w:szCs w:val="24"/>
        </w:rPr>
      </w:pPr>
      <w:r>
        <w:rPr>
          <w:rFonts w:ascii="Times New Roman" w:hAnsi="Times New Roman"/>
          <w:noProof/>
          <w:sz w:val="24"/>
        </w:rPr>
        <w:t>Pentru a răspunde provocărilor identificate în materie de securitate, UE poate avea în vedere adoptarea unei abordări de soluționare a problemelor prin elaborarea de programe compuse din diferite seturi de intervenții. Este posibil ca nu toate acestea să implice actori din domeniul securității și al justiției în mod direct, ci să urmărească să implice o serie de părți interesate din diferite sectoare. De exemplu, programele de securitate urbană pot include sprijin pentru servicii de securitate locale, planificarea urbană și formare profesională pentru tineri.</w:t>
      </w:r>
    </w:p>
    <w:p>
      <w:pPr>
        <w:spacing w:after="240" w:line="240" w:lineRule="auto"/>
        <w:jc w:val="both"/>
        <w:rPr>
          <w:rFonts w:ascii="Times New Roman" w:hAnsi="Times New Roman"/>
          <w:noProof/>
          <w:sz w:val="24"/>
          <w:szCs w:val="24"/>
        </w:rPr>
      </w:pPr>
      <w:r>
        <w:rPr>
          <w:rFonts w:ascii="Times New Roman" w:hAnsi="Times New Roman"/>
          <w:noProof/>
          <w:sz w:val="24"/>
        </w:rPr>
        <w:t>Acolo unde este posibil, sunt încurajate operațiunile de sprijin bugetar eficace și eficiente din punct de vedere al costurilor, bazate pe politică sau strategie națională și pe indicatori în materie de securitate clari și realizabili, astfel încât să consolideze asumarea responsabilității și guvernanța la nivel național, în deplină conformitate cu orientările relevante privind sprijinul bugetar</w:t>
      </w:r>
      <w:r>
        <w:rPr>
          <w:rFonts w:ascii="Times New Roman" w:hAnsi="Times New Roman"/>
          <w:noProof/>
          <w:sz w:val="24"/>
          <w:vertAlign w:val="superscript"/>
        </w:rPr>
        <w:footnoteReference w:id="32"/>
      </w:r>
      <w:r>
        <w:rPr>
          <w:rFonts w:ascii="Times New Roman" w:hAnsi="Times New Roman"/>
          <w:noProof/>
          <w:sz w:val="24"/>
        </w:rPr>
        <w:t>.</w:t>
      </w:r>
    </w:p>
    <w:p>
      <w:pPr>
        <w:keepNext/>
        <w:spacing w:after="240" w:line="240" w:lineRule="auto"/>
        <w:jc w:val="both"/>
        <w:rPr>
          <w:rFonts w:ascii="Times New Roman" w:hAnsi="Times New Roman"/>
          <w:b/>
          <w:noProof/>
          <w:sz w:val="24"/>
          <w:szCs w:val="24"/>
        </w:rPr>
      </w:pPr>
      <w:r>
        <w:rPr>
          <w:rFonts w:ascii="Times New Roman" w:hAnsi="Times New Roman"/>
          <w:b/>
          <w:noProof/>
          <w:sz w:val="24"/>
        </w:rPr>
        <w:t>Dialogul politic și strategic sistematic</w:t>
      </w:r>
    </w:p>
    <w:p>
      <w:pPr>
        <w:spacing w:after="240" w:line="240" w:lineRule="auto"/>
        <w:jc w:val="both"/>
        <w:rPr>
          <w:rFonts w:ascii="Times New Roman" w:hAnsi="Times New Roman"/>
          <w:noProof/>
          <w:sz w:val="24"/>
          <w:szCs w:val="24"/>
        </w:rPr>
      </w:pPr>
      <w:r>
        <w:rPr>
          <w:rFonts w:ascii="Times New Roman" w:hAnsi="Times New Roman"/>
          <w:noProof/>
          <w:sz w:val="24"/>
        </w:rPr>
        <w:t>Intervenția în materie de RSS ar trebui să fie însoțită în mod sistematic de un dialog sectorial amplu și să fie susținută de un angajament politic la nivel înalt. Trebuie să existe o corespondență a dialogului (dialogurilor) politic(e) și strategic(e) privind drepturile omului, statul de drept, democrația și aspectele legate de buna guvernanță, precum și respectarea obligațiilor internaționale, printre altele, în domeniul dreptului internațional umanitar. Progresele înregistrate în acest sens vor fi monitorizate și evaluate pe parcursul intervenției. Dialogul politic și strategic poate contribui, de asemenea, la promovarea asumării responsabilității la nivel național.</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b/>
          <w:i/>
          <w:noProof/>
          <w:sz w:val="24"/>
        </w:rPr>
        <w:t>Casetă privind acțiunile</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În cazul în care există un angajament important, UE și țara parteneră pot discuta și conveni asupra unor valori de referință și asupra unor mecanisme relevante de revizuire periodică pentru a evalua progresele înregistrate în ceea ce privește guvernanța și eficacitatea sectorului de securitate. Acestea pot lua forma unui instrument fără caracter juridic obligatoriu care implică angajamente politice</w:t>
      </w:r>
      <w:r>
        <w:rPr>
          <w:rFonts w:ascii="Times New Roman" w:hAnsi="Times New Roman"/>
          <w:i/>
          <w:noProof/>
          <w:sz w:val="24"/>
          <w:vertAlign w:val="superscript"/>
        </w:rPr>
        <w:footnoteReference w:id="33"/>
      </w:r>
      <w:r>
        <w:rPr>
          <w:rFonts w:ascii="Times New Roman" w:hAnsi="Times New Roman"/>
          <w:i/>
          <w:noProof/>
          <w:sz w:val="24"/>
        </w:rPr>
        <w:t xml:space="preserve">; de la caz la caz, se vor încheia acorduri specifice. </w:t>
      </w:r>
    </w:p>
    <w:p>
      <w:pPr>
        <w:keepNext/>
        <w:spacing w:after="240" w:line="240" w:lineRule="auto"/>
        <w:jc w:val="both"/>
        <w:rPr>
          <w:rFonts w:ascii="Times New Roman" w:hAnsi="Times New Roman"/>
          <w:b/>
          <w:noProof/>
          <w:sz w:val="24"/>
          <w:szCs w:val="24"/>
        </w:rPr>
      </w:pPr>
      <w:r>
        <w:rPr>
          <w:rFonts w:ascii="Times New Roman" w:hAnsi="Times New Roman"/>
          <w:b/>
          <w:noProof/>
          <w:sz w:val="24"/>
        </w:rPr>
        <w:t>Coordonarea sprijinului UE</w:t>
      </w:r>
    </w:p>
    <w:p>
      <w:pPr>
        <w:spacing w:after="240" w:line="240" w:lineRule="auto"/>
        <w:jc w:val="both"/>
        <w:rPr>
          <w:rFonts w:ascii="Times New Roman" w:hAnsi="Times New Roman"/>
          <w:noProof/>
          <w:sz w:val="24"/>
          <w:szCs w:val="24"/>
        </w:rPr>
      </w:pPr>
      <w:r>
        <w:rPr>
          <w:rFonts w:ascii="Times New Roman" w:hAnsi="Times New Roman"/>
          <w:noProof/>
          <w:sz w:val="24"/>
        </w:rPr>
        <w:t xml:space="preserve">În conformitate cu „abordarea globală” a conflictelor și crizelor externe, toate acțiunile UE de sprijin diplomatic, de dezvoltare și PSAC ar trebui să fie coerente, coordonate, complementare și să se desfășoare pe baza unui calendar corespunzător și în conformitate cu cadrele juridice, de politică și instituționale. Obiectivul este de a promova eficacitatea sprijinului UE în domeniul RSS. În cazul în care se planifică o intervenție semnificativă a UE în domeniul securității, UE și statele sale membre ar trebui să pună în corespondență activitățile în domeniul RSS, de preferință, cu alți actori internaționali. Acest lucru va permite schimbul de informații pentru a obține o înțelegere comună a contextului și pentru a reuni lecțiile identificate și recomandările care vor putea contribui la dialogul politic și strategic, ajustări ale programelor în curs, formularea intervenției planificate și procesele de programare. </w:t>
      </w:r>
    </w:p>
    <w:p>
      <w:pPr>
        <w:spacing w:after="240" w:line="240" w:lineRule="auto"/>
        <w:jc w:val="both"/>
        <w:rPr>
          <w:rFonts w:ascii="Times New Roman" w:hAnsi="Times New Roman"/>
          <w:noProof/>
          <w:sz w:val="24"/>
          <w:szCs w:val="24"/>
        </w:rPr>
      </w:pPr>
      <w:r>
        <w:rPr>
          <w:rFonts w:ascii="Times New Roman" w:hAnsi="Times New Roman"/>
          <w:noProof/>
          <w:sz w:val="24"/>
        </w:rPr>
        <w:t>Această punere în corespondență ar putea forma, de asemenea, baza pe care actorii UE definesc de comun acord obiective comune și elaborează o „</w:t>
      </w:r>
      <w:r>
        <w:rPr>
          <w:rFonts w:ascii="Times New Roman" w:hAnsi="Times New Roman"/>
          <w:b/>
          <w:noProof/>
          <w:sz w:val="24"/>
        </w:rPr>
        <w:t>matrice de coordonare</w:t>
      </w:r>
      <w:r>
        <w:rPr>
          <w:rFonts w:ascii="Times New Roman" w:hAnsi="Times New Roman"/>
          <w:noProof/>
          <w:sz w:val="24"/>
        </w:rPr>
        <w:t>” (coordonată în domeniu de către delegația UE), care le-ar permite acestora să identifice legăturile adecvate și secvențierea între dialogul politic, activitățile/instrumentele de cooperare și posibilele misiuni/operațiuni PSAC. Matricea de coordonare ar fi un document evolutiv, bazându-se, după caz, pe cadre politice existente în materie de abordare a crizelor (PFCA) și/sau cadre și strategii de programare de țară, inclusiv în contextul programării comune.</w:t>
      </w:r>
    </w:p>
    <w:p>
      <w:pPr>
        <w:spacing w:after="240" w:line="240" w:lineRule="auto"/>
        <w:jc w:val="both"/>
        <w:rPr>
          <w:rFonts w:ascii="Times New Roman" w:hAnsi="Times New Roman"/>
          <w:noProof/>
          <w:sz w:val="24"/>
          <w:szCs w:val="24"/>
        </w:rPr>
      </w:pPr>
      <w:r>
        <w:rPr>
          <w:rFonts w:ascii="Times New Roman" w:hAnsi="Times New Roman"/>
          <w:noProof/>
          <w:sz w:val="24"/>
        </w:rPr>
        <w:t>Instrumentele UE fac obiectul diferitelor proceduri de programare și decizionale, precum și constrângerilor normative care rezultă din temeiurile juridice respective ale acestora. Matricele de coordonare ale UE la nivel de țară nu vor modifica aceste norme, ci mai degrabă vor reflecta o înțelegere comună în rândul tuturor actorilor UE în ceea ce privește prioritățile, obiectivele și posibilele roluri ale acestora.</w:t>
      </w:r>
    </w:p>
    <w:p>
      <w:pPr>
        <w:spacing w:after="240" w:line="240" w:lineRule="auto"/>
        <w:jc w:val="both"/>
        <w:rPr>
          <w:rFonts w:ascii="Times New Roman" w:hAnsi="Times New Roman"/>
          <w:noProof/>
          <w:sz w:val="24"/>
          <w:szCs w:val="24"/>
        </w:rPr>
      </w:pPr>
      <w:r>
        <w:rPr>
          <w:rFonts w:ascii="Times New Roman" w:hAnsi="Times New Roman"/>
          <w:noProof/>
          <w:sz w:val="24"/>
        </w:rPr>
        <w:t xml:space="preserve">Astfel de „matrice de coordonare” vor identifica riscuri, măsuri de atenuare și, în măsura posibilului, o strategie de ieșire coerentă cu planul național pe termen lung și cu capacitatea financiară a țării partenere. Acestea vor constitui baza pentru un sistem de monitorizare și de evaluare care să permită măsurarea progreselor și a impactului avut de sprijinul UE. În cazul în care se elaborează o singură strategie de susținere, astfel de elemente vor fi discutate direct și convenite la nivelul respectiv.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b/>
          <w:i/>
          <w:noProof/>
          <w:sz w:val="24"/>
        </w:rPr>
        <w:t>Casetă privind acțiunile</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O „matrice de coordonare” cuprinzătoare a UE va fi elaborată în cel puțin două țări în termen de doi ani de la adoptarea prezentei comunicări comune, în concordanță cu orice matrice existentă a donatorilor de programare în comun.</w:t>
      </w:r>
    </w:p>
    <w:p>
      <w:pPr>
        <w:keepNext/>
        <w:spacing w:after="240" w:line="240" w:lineRule="auto"/>
        <w:jc w:val="both"/>
        <w:rPr>
          <w:rFonts w:ascii="Times New Roman" w:hAnsi="Times New Roman"/>
          <w:b/>
          <w:noProof/>
          <w:sz w:val="24"/>
          <w:szCs w:val="24"/>
        </w:rPr>
      </w:pPr>
      <w:r>
        <w:rPr>
          <w:rFonts w:ascii="Times New Roman" w:hAnsi="Times New Roman"/>
          <w:b/>
          <w:noProof/>
          <w:sz w:val="24"/>
        </w:rPr>
        <w:t>Coordonarea cu alți actori internaționali</w:t>
      </w:r>
    </w:p>
    <w:p>
      <w:pPr>
        <w:spacing w:after="240" w:line="240" w:lineRule="auto"/>
        <w:jc w:val="both"/>
        <w:rPr>
          <w:rFonts w:ascii="Times New Roman" w:hAnsi="Times New Roman"/>
          <w:noProof/>
          <w:sz w:val="24"/>
          <w:szCs w:val="24"/>
        </w:rPr>
      </w:pPr>
      <w:r>
        <w:rPr>
          <w:rFonts w:ascii="Times New Roman" w:hAnsi="Times New Roman"/>
          <w:noProof/>
          <w:sz w:val="24"/>
        </w:rPr>
        <w:t>UE, în coordonare cu statele sale membre, ar trebui să urmărească realizarea de sinergii cu alți actori internaționali și să vizeze ajungerea la un consens cu aceștia, în conformitate cu articolul 210 din TFUE. În acest scop, se va urmări o cooperare strânsă cu ONU, alte organizații internaționale și regionale (în special cele cu un mandat de securitate), parteneri bilaterali activi în aspecte legate de securitate și, atunci când este cazul, ONG-uri internaționale specializate. Sectorul de securitate ar trebui să facă parte integrantă din coordonarea la nivel național între actori/donatori internaționali. Dacă este posibil și necesar, actorii internaționali ar trebui să aibă în vederea planificarea acțiunilor lor în cadrul unei strategii de sprijin unice, asumate la nivel național, pentru dezvoltarea sectorului de securitate.</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b/>
          <w:i/>
          <w:noProof/>
          <w:sz w:val="24"/>
        </w:rPr>
        <w:t>Casetă privind acțiunile</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 xml:space="preserve">Pe baza „matricei de coordonare”, UE, în coordonare cu statele sale membre și cu alți parteneri internaționali, vor promova un angajament internațional cuprinzător în jurul unei strategii de sprijin unice pentru sectorul de securitate, care urmează să fie elaborată împreună cu țara parteneră. </w:t>
      </w:r>
    </w:p>
    <w:p>
      <w:pPr>
        <w:keepNext/>
        <w:spacing w:after="240" w:line="240" w:lineRule="auto"/>
        <w:jc w:val="both"/>
        <w:rPr>
          <w:rFonts w:ascii="Times New Roman" w:hAnsi="Times New Roman"/>
          <w:b/>
          <w:noProof/>
          <w:sz w:val="24"/>
          <w:szCs w:val="24"/>
        </w:rPr>
      </w:pPr>
      <w:r>
        <w:rPr>
          <w:rFonts w:ascii="Times New Roman" w:hAnsi="Times New Roman"/>
          <w:b/>
          <w:noProof/>
          <w:sz w:val="24"/>
        </w:rPr>
        <w:t>Flexibilitate și echilibrarea schimbărilor sistemice pe termen lung cu necesitățile imediate în materie de securitate</w:t>
      </w:r>
    </w:p>
    <w:p>
      <w:pPr>
        <w:spacing w:after="240" w:line="240" w:lineRule="auto"/>
        <w:jc w:val="both"/>
        <w:rPr>
          <w:rFonts w:ascii="Times New Roman" w:hAnsi="Times New Roman"/>
          <w:noProof/>
          <w:sz w:val="24"/>
          <w:szCs w:val="24"/>
        </w:rPr>
      </w:pPr>
      <w:r>
        <w:rPr>
          <w:rFonts w:ascii="Times New Roman" w:hAnsi="Times New Roman"/>
          <w:noProof/>
          <w:sz w:val="24"/>
        </w:rPr>
        <w:t xml:space="preserve">Transformarea oricărui sector de securitate este un proces îndelungat care trebuie să ia în considerare culturile instituționale specifice și sensibilitatea la schimbare. Acest lucru necesită viziune și angajament pe termen lung. În fiecare context specific, UE trebuie să găsească echilibrul adecvat și coerența între astfel de eforturi pe termen lung și necesitatea de a satisface necesitățile în materie de securitate, mai presante și de multe ori imediate, ale indivizilor. </w:t>
      </w:r>
    </w:p>
    <w:p>
      <w:pPr>
        <w:spacing w:after="240" w:line="240" w:lineRule="auto"/>
        <w:jc w:val="both"/>
        <w:rPr>
          <w:rFonts w:ascii="Times New Roman" w:hAnsi="Times New Roman"/>
          <w:noProof/>
          <w:sz w:val="24"/>
          <w:szCs w:val="24"/>
        </w:rPr>
      </w:pPr>
      <w:r>
        <w:rPr>
          <w:rFonts w:ascii="Times New Roman" w:hAnsi="Times New Roman"/>
          <w:noProof/>
          <w:sz w:val="24"/>
        </w:rPr>
        <w:t xml:space="preserve">Având în vedere faptul că mediul operațional se poate schimba rapid, în special în statele fragile sau care se află în situații de postconflict, unele acțiuni pot stagna sau este posibil să fie încălcate drepturile omului sau principiile de guvernanță. Programele de sprijin pentru RSS vor trebui să fie adaptabile.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rPr>
      </w:pPr>
      <w:r>
        <w:rPr>
          <w:rFonts w:ascii="Times New Roman" w:hAnsi="Times New Roman"/>
          <w:b/>
          <w:i/>
          <w:noProof/>
          <w:sz w:val="24"/>
        </w:rPr>
        <w:t>Casetă privind acțiunile</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Atunci când se implică în activități legate de RSS, UE ar trebui:</w:t>
      </w:r>
    </w:p>
    <w:p>
      <w:pPr>
        <w:numPr>
          <w:ilvl w:val="0"/>
          <w:numId w:val="4"/>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să stabilească obiective progresive și realizabile;</w:t>
      </w:r>
    </w:p>
    <w:p>
      <w:pPr>
        <w:numPr>
          <w:ilvl w:val="0"/>
          <w:numId w:val="4"/>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 xml:space="preserve">să se implice în activități pe termen scurt pentru a construi încrederea actorilor din domeniul securității și al justiției, să deschidă porțile pentru cooperarea pe viitor și să sprijine dialogul politic și strategic; </w:t>
      </w:r>
    </w:p>
    <w:p>
      <w:pPr>
        <w:numPr>
          <w:ilvl w:val="0"/>
          <w:numId w:val="4"/>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să se adapteze la schimbarea rapidă a condițiilor operaționale, în special în statele fragile sau aflate în situație de postconflict. Acolo unde este cazul, intervenția va fi pusă în aplicare utilizând flexibilitatea în temeiul normelor și procedurilor financiare ale UE; și</w:t>
      </w:r>
    </w:p>
    <w:p>
      <w:pPr>
        <w:numPr>
          <w:ilvl w:val="0"/>
          <w:numId w:val="4"/>
        </w:num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să planifice misiuni PSAC în sprijinul RSS pentru a reflecta necesitatea implicării durabile și pe termen lung în sectorul de securitate și să determine cooperarea strânsă cu delegațiile UE.</w:t>
      </w:r>
    </w:p>
    <w:p>
      <w:pPr>
        <w:keepNext/>
        <w:spacing w:after="240" w:line="240" w:lineRule="auto"/>
        <w:jc w:val="both"/>
        <w:rPr>
          <w:rFonts w:ascii="Times New Roman" w:hAnsi="Times New Roman"/>
          <w:b/>
          <w:noProof/>
          <w:sz w:val="24"/>
          <w:szCs w:val="24"/>
        </w:rPr>
      </w:pPr>
      <w:r>
        <w:rPr>
          <w:rFonts w:ascii="Times New Roman" w:hAnsi="Times New Roman"/>
          <w:b/>
          <w:noProof/>
          <w:sz w:val="24"/>
        </w:rPr>
        <w:t>Evoluția măsurilor: monitorizarea și evaluarea</w:t>
      </w:r>
    </w:p>
    <w:p>
      <w:pPr>
        <w:spacing w:after="240" w:line="240" w:lineRule="auto"/>
        <w:jc w:val="both"/>
        <w:rPr>
          <w:rFonts w:ascii="Times New Roman" w:hAnsi="Times New Roman"/>
          <w:noProof/>
          <w:sz w:val="24"/>
          <w:szCs w:val="24"/>
        </w:rPr>
      </w:pPr>
      <w:r>
        <w:rPr>
          <w:rFonts w:ascii="Times New Roman" w:hAnsi="Times New Roman"/>
          <w:noProof/>
          <w:sz w:val="24"/>
        </w:rPr>
        <w:t>Principiile generale privind monitorizarea și evaluarea pentru proiecte și programe se aplică tuturor intervențiilor în sectorul de securitate; în special, este important:</w:t>
      </w:r>
    </w:p>
    <w:p>
      <w:pPr>
        <w:numPr>
          <w:ilvl w:val="0"/>
          <w:numId w:val="4"/>
        </w:numPr>
        <w:tabs>
          <w:tab w:val="left" w:pos="851"/>
        </w:tabs>
        <w:spacing w:after="240" w:line="240" w:lineRule="auto"/>
        <w:ind w:left="851" w:hanging="425"/>
        <w:jc w:val="both"/>
        <w:rPr>
          <w:rFonts w:ascii="Times New Roman" w:hAnsi="Times New Roman"/>
          <w:noProof/>
          <w:sz w:val="24"/>
          <w:szCs w:val="24"/>
        </w:rPr>
      </w:pPr>
      <w:r>
        <w:rPr>
          <w:rFonts w:ascii="Times New Roman" w:hAnsi="Times New Roman"/>
          <w:noProof/>
          <w:sz w:val="24"/>
        </w:rPr>
        <w:t>să se definească linii de bază de la început;</w:t>
      </w:r>
    </w:p>
    <w:p>
      <w:pPr>
        <w:numPr>
          <w:ilvl w:val="0"/>
          <w:numId w:val="4"/>
        </w:numPr>
        <w:tabs>
          <w:tab w:val="left" w:pos="851"/>
        </w:tabs>
        <w:spacing w:after="240" w:line="240" w:lineRule="auto"/>
        <w:ind w:left="851" w:hanging="425"/>
        <w:jc w:val="both"/>
        <w:rPr>
          <w:rFonts w:ascii="Times New Roman" w:hAnsi="Times New Roman"/>
          <w:noProof/>
          <w:sz w:val="24"/>
          <w:szCs w:val="24"/>
        </w:rPr>
      </w:pPr>
      <w:r>
        <w:rPr>
          <w:rFonts w:ascii="Times New Roman" w:hAnsi="Times New Roman"/>
          <w:noProof/>
          <w:sz w:val="24"/>
        </w:rPr>
        <w:t>să se stabilească obiective și indicatori de impact clar definiți, fezabili și cu termene precise, legați de criterii clare de măsurare a realizării rezultatelor și obiectivelor; și</w:t>
      </w:r>
    </w:p>
    <w:p>
      <w:pPr>
        <w:numPr>
          <w:ilvl w:val="0"/>
          <w:numId w:val="4"/>
        </w:numPr>
        <w:tabs>
          <w:tab w:val="left" w:pos="851"/>
        </w:tabs>
        <w:spacing w:after="240" w:line="240" w:lineRule="auto"/>
        <w:ind w:left="851" w:hanging="425"/>
        <w:jc w:val="both"/>
        <w:rPr>
          <w:rFonts w:ascii="Times New Roman" w:hAnsi="Times New Roman"/>
          <w:noProof/>
          <w:sz w:val="24"/>
          <w:szCs w:val="24"/>
        </w:rPr>
      </w:pPr>
      <w:r>
        <w:rPr>
          <w:rFonts w:ascii="Times New Roman" w:hAnsi="Times New Roman"/>
          <w:noProof/>
          <w:sz w:val="24"/>
        </w:rPr>
        <w:t xml:space="preserve">să se aloce suficiente resurse umane și financiare pentru monitorizarea internă. </w:t>
      </w:r>
    </w:p>
    <w:p>
      <w:pPr>
        <w:spacing w:after="240" w:line="240" w:lineRule="auto"/>
        <w:jc w:val="both"/>
        <w:rPr>
          <w:rFonts w:ascii="Times New Roman" w:hAnsi="Times New Roman"/>
          <w:noProof/>
          <w:sz w:val="24"/>
          <w:szCs w:val="24"/>
        </w:rPr>
      </w:pPr>
      <w:r>
        <w:rPr>
          <w:rFonts w:ascii="Times New Roman" w:hAnsi="Times New Roman"/>
          <w:noProof/>
          <w:sz w:val="24"/>
        </w:rPr>
        <w:t>Activitățile de monitorizare și evaluare ar trebui să includă colectarea și analizarea de date calitative și cantitative pentru a integra percepțiile comunitare și individuale cu privire la schimbare în conformitate cu abordările de securitate umană axate pe oameni.</w:t>
      </w:r>
    </w:p>
    <w:p>
      <w:pPr>
        <w:spacing w:after="240" w:line="240" w:lineRule="auto"/>
        <w:jc w:val="both"/>
        <w:rPr>
          <w:rFonts w:ascii="Times New Roman" w:hAnsi="Times New Roman"/>
          <w:noProof/>
          <w:sz w:val="24"/>
          <w:szCs w:val="24"/>
        </w:rPr>
      </w:pPr>
      <w:r>
        <w:rPr>
          <w:rFonts w:ascii="Times New Roman" w:hAnsi="Times New Roman"/>
          <w:noProof/>
          <w:sz w:val="24"/>
        </w:rPr>
        <w:t>O monitorizare puternică și evaluări periodice ale intervențiilor în curs vor permite UE (și partenerilor activi din afara UE) să facă bilanțul progreselor, să extragă învățăminte și să își revizuiască activitatea.</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b/>
          <w:i/>
          <w:noProof/>
          <w:sz w:val="24"/>
        </w:rPr>
        <w:t>Casetă privind acțiunile</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 xml:space="preserve">SEAE/serviciile Comisiei vor pregăti orientări comune privind monitorizarea și evaluarea, inclusiv indicatori pentru activitățile de consolidare a capacităților de securitate și legate de RSS, aplicabile tuturor instrumentelor și misiunilor de acțiune externă. </w:t>
      </w:r>
    </w:p>
    <w:p>
      <w:pPr>
        <w:keepNext/>
        <w:spacing w:after="240" w:line="240" w:lineRule="auto"/>
        <w:jc w:val="both"/>
        <w:rPr>
          <w:rFonts w:ascii="Times New Roman" w:hAnsi="Times New Roman"/>
          <w:b/>
          <w:noProof/>
          <w:sz w:val="24"/>
          <w:szCs w:val="24"/>
        </w:rPr>
      </w:pPr>
      <w:r>
        <w:rPr>
          <w:rFonts w:ascii="Times New Roman" w:hAnsi="Times New Roman"/>
          <w:b/>
          <w:noProof/>
          <w:sz w:val="24"/>
        </w:rPr>
        <w:t>Gestionarea riscurilor</w:t>
      </w:r>
    </w:p>
    <w:p>
      <w:pPr>
        <w:spacing w:after="240" w:line="240" w:lineRule="auto"/>
        <w:jc w:val="both"/>
        <w:rPr>
          <w:rFonts w:ascii="Times New Roman" w:hAnsi="Times New Roman"/>
          <w:noProof/>
          <w:sz w:val="24"/>
          <w:szCs w:val="24"/>
        </w:rPr>
      </w:pPr>
      <w:r>
        <w:rPr>
          <w:rFonts w:ascii="Times New Roman" w:hAnsi="Times New Roman"/>
          <w:noProof/>
          <w:sz w:val="24"/>
        </w:rPr>
        <w:t>Sprijinul RSS implică riscuri care trebuie anticipate și pentru care trebuie să fie elaborate măsuri de atenuare; acestea includ:</w:t>
      </w:r>
    </w:p>
    <w:p>
      <w:pPr>
        <w:keepNext/>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 xml:space="preserve">i. </w:t>
      </w:r>
      <w:r>
        <w:rPr>
          <w:noProof/>
        </w:rPr>
        <w:tab/>
      </w:r>
      <w:r>
        <w:rPr>
          <w:rFonts w:ascii="Times New Roman" w:hAnsi="Times New Roman"/>
          <w:b/>
          <w:i/>
          <w:noProof/>
          <w:sz w:val="24"/>
        </w:rPr>
        <w:t>angajament politic național insuficient pentru schimbare</w:t>
      </w:r>
    </w:p>
    <w:p>
      <w:pPr>
        <w:spacing w:after="240" w:line="240" w:lineRule="auto"/>
        <w:ind w:left="851"/>
        <w:jc w:val="both"/>
        <w:rPr>
          <w:rFonts w:ascii="Times New Roman" w:hAnsi="Times New Roman"/>
          <w:noProof/>
          <w:sz w:val="24"/>
          <w:szCs w:val="24"/>
        </w:rPr>
      </w:pPr>
      <w:r>
        <w:rPr>
          <w:rFonts w:ascii="Times New Roman" w:hAnsi="Times New Roman"/>
          <w:noProof/>
          <w:sz w:val="24"/>
        </w:rPr>
        <w:t>Angajamentul politic față de reformă ar putea fi insuficient sau superficial; acesta poate să dispară în timp. UE trebuie să fie echipată pentru a evalua nivelul real al angajamentului din partea țării partenere și să își planifice angajamentul în consecință. În anumite cazuri, acesta ar putea începe cu intervenții la scară mică care să vizeze consolidarea încrederii și a angajamentului politic la nivel național, extinzându-le într-o etapă ulterioară. Colaborarea cu societatea civilă poate fi un punct de acces.</w:t>
      </w:r>
    </w:p>
    <w:p>
      <w:pPr>
        <w:keepNext/>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 xml:space="preserve">ii. </w:t>
      </w:r>
      <w:r>
        <w:rPr>
          <w:noProof/>
        </w:rPr>
        <w:tab/>
      </w:r>
      <w:r>
        <w:rPr>
          <w:rFonts w:ascii="Times New Roman" w:hAnsi="Times New Roman"/>
          <w:b/>
          <w:i/>
          <w:noProof/>
          <w:sz w:val="24"/>
        </w:rPr>
        <w:t>consecințe negative neintenționate</w:t>
      </w:r>
    </w:p>
    <w:p>
      <w:pPr>
        <w:spacing w:after="120" w:line="240" w:lineRule="auto"/>
        <w:ind w:left="851"/>
        <w:jc w:val="both"/>
        <w:rPr>
          <w:rFonts w:ascii="Times New Roman" w:hAnsi="Times New Roman"/>
          <w:noProof/>
          <w:sz w:val="24"/>
          <w:szCs w:val="24"/>
        </w:rPr>
      </w:pPr>
      <w:r>
        <w:rPr>
          <w:rFonts w:ascii="Times New Roman" w:hAnsi="Times New Roman"/>
          <w:noProof/>
          <w:sz w:val="24"/>
        </w:rPr>
        <w:t>Nicio intervenție nu este neutră și sprijinul sectorului de securitate necesită o abordare de tipul „a nu face rău”</w:t>
      </w:r>
      <w:r>
        <w:rPr>
          <w:rStyle w:val="FootnoteReference"/>
          <w:rFonts w:ascii="Times New Roman" w:hAnsi="Times New Roman"/>
          <w:noProof/>
          <w:sz w:val="24"/>
        </w:rPr>
        <w:footnoteReference w:id="34"/>
      </w:r>
      <w:r>
        <w:rPr>
          <w:rFonts w:ascii="Times New Roman" w:hAnsi="Times New Roman"/>
          <w:noProof/>
          <w:sz w:val="24"/>
        </w:rPr>
        <w:t xml:space="preserve"> care ia în considerare sursele subiacente de conflict. Analiza contextului va sprijinii actorii UE să evite efectele negative neintenționate asupra dinamicii conflictului, de exemplu prin:</w:t>
      </w:r>
    </w:p>
    <w:p>
      <w:pPr>
        <w:numPr>
          <w:ilvl w:val="0"/>
          <w:numId w:val="14"/>
        </w:numPr>
        <w:tabs>
          <w:tab w:val="left" w:pos="1560"/>
        </w:tabs>
        <w:spacing w:after="120" w:line="240" w:lineRule="auto"/>
        <w:ind w:hanging="437"/>
        <w:jc w:val="both"/>
        <w:rPr>
          <w:rFonts w:ascii="Times New Roman" w:hAnsi="Times New Roman"/>
          <w:noProof/>
          <w:sz w:val="24"/>
          <w:szCs w:val="24"/>
        </w:rPr>
      </w:pPr>
      <w:r>
        <w:rPr>
          <w:rFonts w:ascii="Times New Roman" w:hAnsi="Times New Roman"/>
          <w:noProof/>
          <w:sz w:val="24"/>
        </w:rPr>
        <w:t xml:space="preserve">reproducerea sau amplificarea în mod accidental a tensiunilor existente, cum ar fi prin consolidarea modelelor de dominare și excludere; </w:t>
      </w:r>
    </w:p>
    <w:p>
      <w:pPr>
        <w:numPr>
          <w:ilvl w:val="0"/>
          <w:numId w:val="14"/>
        </w:numPr>
        <w:tabs>
          <w:tab w:val="left" w:pos="1560"/>
        </w:tabs>
        <w:spacing w:after="240" w:line="240" w:lineRule="auto"/>
        <w:ind w:hanging="437"/>
        <w:jc w:val="both"/>
        <w:rPr>
          <w:rFonts w:ascii="Times New Roman" w:hAnsi="Times New Roman"/>
          <w:noProof/>
          <w:sz w:val="24"/>
          <w:szCs w:val="24"/>
        </w:rPr>
      </w:pPr>
      <w:r>
        <w:rPr>
          <w:rFonts w:ascii="Times New Roman" w:hAnsi="Times New Roman"/>
          <w:noProof/>
          <w:sz w:val="24"/>
        </w:rPr>
        <w:t>introducerea de reforme și resurse care favorizează interese particulare sau implicarea în sisteme de corupție și clientelism, generând, la rândul lor, noi nemulțumiri/instabilitate.</w:t>
      </w:r>
    </w:p>
    <w:p>
      <w:pPr>
        <w:keepNext/>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 xml:space="preserve">iii. </w:t>
      </w:r>
      <w:r>
        <w:rPr>
          <w:noProof/>
        </w:rPr>
        <w:tab/>
      </w:r>
      <w:r>
        <w:rPr>
          <w:rFonts w:ascii="Times New Roman" w:hAnsi="Times New Roman"/>
          <w:b/>
          <w:i/>
          <w:noProof/>
          <w:sz w:val="24"/>
        </w:rPr>
        <w:t>riscul reputațional</w:t>
      </w:r>
    </w:p>
    <w:p>
      <w:pPr>
        <w:spacing w:after="240" w:line="240" w:lineRule="auto"/>
        <w:ind w:left="851"/>
        <w:jc w:val="both"/>
        <w:rPr>
          <w:rFonts w:ascii="Times New Roman" w:hAnsi="Times New Roman"/>
          <w:noProof/>
          <w:sz w:val="24"/>
          <w:szCs w:val="24"/>
        </w:rPr>
      </w:pPr>
      <w:r>
        <w:rPr>
          <w:rFonts w:ascii="Times New Roman" w:hAnsi="Times New Roman"/>
          <w:noProof/>
          <w:sz w:val="24"/>
        </w:rPr>
        <w:t>Actorii din domeniul securității finanțați de UE pot acționa într-un mod părtinitor, discriminator sau abuziv față de populație; acest lucru va avea un efect negativ indirect asupra reputației UE. De asemenea, activele pot cădea în mâini nepotrivite. Colaborarea cu alți actori internaționali pentru a evalua riscul reputațional și elaborarea de măsuri de atenuare vor face parte integrantă din elaborarea sprijinului RSS. Dacă este cazul și pe baza unei analize riguroase de la caz la caz, se pot aplica derogări de la normele de vizibilitate pentru programele/instrumentele de acțiune externă ale UE.</w:t>
      </w:r>
    </w:p>
    <w:p>
      <w:pPr>
        <w:keepNext/>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 xml:space="preserve">iv. </w:t>
      </w:r>
      <w:r>
        <w:rPr>
          <w:noProof/>
        </w:rPr>
        <w:tab/>
      </w:r>
      <w:r>
        <w:rPr>
          <w:rFonts w:ascii="Times New Roman" w:hAnsi="Times New Roman"/>
          <w:b/>
          <w:i/>
          <w:noProof/>
          <w:sz w:val="24"/>
        </w:rPr>
        <w:t xml:space="preserve">riscul de neintervenție </w:t>
      </w:r>
    </w:p>
    <w:p>
      <w:pPr>
        <w:spacing w:after="240" w:line="240" w:lineRule="auto"/>
        <w:ind w:left="851"/>
        <w:jc w:val="both"/>
        <w:rPr>
          <w:rFonts w:ascii="Times New Roman" w:hAnsi="Times New Roman"/>
          <w:noProof/>
          <w:sz w:val="24"/>
          <w:szCs w:val="24"/>
        </w:rPr>
      </w:pPr>
      <w:r>
        <w:rPr>
          <w:rFonts w:ascii="Times New Roman" w:hAnsi="Times New Roman"/>
          <w:noProof/>
          <w:sz w:val="24"/>
        </w:rPr>
        <w:t xml:space="preserve">Este de datoria oricărui stat să își protejeze civilii. În unele cazuri, eșecul unui stat de a-și proteja cetățenii poate conduce la grave încălcări ale drepturilor omului sau ale principiilor democratice, la suferință umană sau pierderi de vieți, inclusiv atrocități. Atunci când acest lucru este considerat util pentru a preveni astfel de evenimente extreme și pentru a contribui la abordarea acestora acolo unde ar putea apărea, pe baza unei rezoluții a Consiliului de Securitate al ONU sau a unui acord bilateral cu țara parteneră, UE poate hotărî să se implice în activități de sprijin RSS, inclusiv în absența unor condiții importante precum un angajament real în vederea schimbării.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b/>
          <w:i/>
          <w:noProof/>
          <w:sz w:val="24"/>
        </w:rPr>
        <w:t>Casetă privind acțiunile</w:t>
      </w:r>
    </w:p>
    <w:p>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hAnsi="Times New Roman"/>
          <w:i/>
          <w:noProof/>
          <w:color w:val="000000"/>
          <w:sz w:val="24"/>
          <w:szCs w:val="24"/>
        </w:rPr>
      </w:pPr>
      <w:r>
        <w:rPr>
          <w:rFonts w:ascii="Times New Roman" w:hAnsi="Times New Roman"/>
          <w:i/>
          <w:noProof/>
          <w:color w:val="000000"/>
          <w:sz w:val="24"/>
        </w:rPr>
        <w:t>SEAE/serviciile Comisiei vor pregăti o metodologie de gestionare a riscurilor specifice pentru sprijinul UE. Aceasta va include măsuri de atenuare având la bază, printre altele, „mecanismul cadrului de gestionare a riscurilor pentru operațiunile de sprijin bugetar”</w:t>
      </w:r>
      <w:r>
        <w:rPr>
          <w:rStyle w:val="FootnoteReference"/>
          <w:rFonts w:ascii="Times New Roman" w:hAnsi="Times New Roman"/>
          <w:i/>
          <w:noProof/>
          <w:color w:val="000000"/>
          <w:sz w:val="24"/>
        </w:rPr>
        <w:footnoteReference w:id="35"/>
      </w:r>
      <w:r>
        <w:rPr>
          <w:noProof/>
        </w:rPr>
        <w:t>.</w:t>
      </w:r>
      <w:r>
        <w:rPr>
          <w:rFonts w:ascii="Times New Roman" w:hAnsi="Times New Roman"/>
          <w:i/>
          <w:noProof/>
          <w:color w:val="000000"/>
          <w:sz w:val="24"/>
        </w:rPr>
        <w:t xml:space="preserve"> </w:t>
      </w:r>
    </w:p>
    <w:p>
      <w:p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jc w:val="both"/>
        <w:rPr>
          <w:rFonts w:ascii="Times New Roman" w:hAnsi="Times New Roman"/>
          <w:i/>
          <w:noProof/>
          <w:sz w:val="24"/>
          <w:szCs w:val="24"/>
        </w:rPr>
      </w:pPr>
      <w:r>
        <w:rPr>
          <w:rFonts w:ascii="Times New Roman" w:hAnsi="Times New Roman"/>
          <w:i/>
          <w:noProof/>
          <w:sz w:val="24"/>
        </w:rPr>
        <w:t xml:space="preserve">Astfel cum se prevede în </w:t>
      </w:r>
      <w:r>
        <w:rPr>
          <w:rFonts w:ascii="Times New Roman" w:hAnsi="Times New Roman"/>
          <w:noProof/>
          <w:sz w:val="24"/>
        </w:rPr>
        <w:t>Planul său de acțiune privind drepturile omului și democrația pentru perioada 2015-2019</w:t>
      </w:r>
      <w:r>
        <w:rPr>
          <w:rStyle w:val="FootnoteReference"/>
          <w:rFonts w:ascii="Times New Roman" w:hAnsi="Times New Roman"/>
          <w:i/>
          <w:noProof/>
          <w:sz w:val="24"/>
        </w:rPr>
        <w:footnoteReference w:id="36"/>
      </w:r>
      <w:r>
        <w:rPr>
          <w:rFonts w:ascii="Times New Roman" w:hAnsi="Times New Roman"/>
          <w:i/>
          <w:noProof/>
          <w:sz w:val="24"/>
        </w:rPr>
        <w:t xml:space="preserve">, UE trebuie să elaboreze o „politică privind diligența necesară în domeniul drepturilor omului” care să prezinte măsuri menite să asigure faptul că sprijinul UE și al statelor sale membre pentru sectorul de securitate este în conformitate cu/contribuie la promovarea, protecția și aplicarea drepturilor internaționale ale omului și dreptului internațional umanitar și este consecvent cu politicile UE în domeniul drepturilor omului. </w:t>
      </w:r>
    </w:p>
    <w:p>
      <w:pPr>
        <w:keepNext/>
        <w:spacing w:after="240" w:line="240" w:lineRule="auto"/>
        <w:jc w:val="both"/>
        <w:rPr>
          <w:rFonts w:ascii="Times New Roman" w:hAnsi="Times New Roman"/>
          <w:b/>
          <w:noProof/>
          <w:sz w:val="24"/>
          <w:szCs w:val="24"/>
        </w:rPr>
      </w:pPr>
      <w:r>
        <w:rPr>
          <w:rFonts w:ascii="Times New Roman" w:hAnsi="Times New Roman"/>
          <w:b/>
          <w:noProof/>
          <w:sz w:val="24"/>
        </w:rPr>
        <w:t xml:space="preserve">Utilizarea cât mai eficientă a expertizei UE în domeniul RSS </w:t>
      </w:r>
    </w:p>
    <w:p>
      <w:pPr>
        <w:spacing w:after="240" w:line="240" w:lineRule="auto"/>
        <w:jc w:val="both"/>
        <w:rPr>
          <w:rFonts w:ascii="Times New Roman" w:hAnsi="Times New Roman"/>
          <w:noProof/>
          <w:sz w:val="24"/>
          <w:szCs w:val="24"/>
        </w:rPr>
      </w:pPr>
      <w:r>
        <w:rPr>
          <w:rFonts w:ascii="Times New Roman" w:hAnsi="Times New Roman"/>
          <w:noProof/>
          <w:sz w:val="24"/>
        </w:rPr>
        <w:t>UE ar trebui să mobilizeze personal cu o expertiză și experiență adecvate și o înțelegere solidă a aspectelor tehnice și politice cu privire la RSS. Aceasta trebuie să se bazeze pe expertiza statelor membre și, în domenii specifice în care acestea aduc o valoare adăugată clară, pe agențiile relevante ale UE (de exemplu, Europol, CEPOL, FRONTEX) sub rezerva mandatelor, priorităților și resurselor respective ale acestora.</w:t>
      </w:r>
    </w:p>
    <w:p>
      <w:pPr>
        <w:spacing w:after="240" w:line="240" w:lineRule="auto"/>
        <w:jc w:val="both"/>
        <w:rPr>
          <w:rFonts w:ascii="Times New Roman" w:hAnsi="Times New Roman"/>
          <w:noProof/>
          <w:sz w:val="24"/>
          <w:szCs w:val="24"/>
        </w:rPr>
      </w:pPr>
      <w:r>
        <w:rPr>
          <w:rFonts w:ascii="Times New Roman" w:hAnsi="Times New Roman"/>
          <w:noProof/>
          <w:sz w:val="24"/>
        </w:rPr>
        <w:t xml:space="preserve">Acest cadru de politică pentru RSS la nivelul UE are în vedere o strânsă coordonare și cooperare între actorii UE și statele membre pentru a promova sinergii și complementarități între instrumente și misiuni într-o abordare „la nivelul UE”. Acesta prevede, de asemenea, coordonarea cu activitățile organizațiilor internaționale și regionale și ale ONG-urilor relevante. </w:t>
      </w:r>
    </w:p>
    <w:p>
      <w:pPr>
        <w:keepNext/>
        <w:spacing w:after="240" w:line="240" w:lineRule="auto"/>
        <w:jc w:val="both"/>
        <w:rPr>
          <w:rFonts w:ascii="Times New Roman" w:hAnsi="Times New Roman"/>
          <w:b/>
          <w:i/>
          <w:noProof/>
          <w:sz w:val="24"/>
          <w:szCs w:val="24"/>
        </w:rPr>
      </w:pPr>
      <w:r>
        <w:rPr>
          <w:rFonts w:ascii="Times New Roman" w:hAnsi="Times New Roman"/>
          <w:b/>
          <w:i/>
          <w:noProof/>
          <w:sz w:val="24"/>
        </w:rPr>
        <w:t>La sediu</w:t>
      </w:r>
    </w:p>
    <w:p>
      <w:pPr>
        <w:spacing w:after="240" w:line="240" w:lineRule="auto"/>
        <w:jc w:val="both"/>
        <w:rPr>
          <w:rFonts w:ascii="Times New Roman" w:hAnsi="Times New Roman"/>
          <w:noProof/>
          <w:sz w:val="24"/>
          <w:szCs w:val="24"/>
        </w:rPr>
      </w:pPr>
      <w:r>
        <w:rPr>
          <w:rFonts w:ascii="Times New Roman" w:hAnsi="Times New Roman"/>
          <w:noProof/>
          <w:sz w:val="24"/>
        </w:rPr>
        <w:t xml:space="preserve">Comisia și Înaltul Reprezentant vor stabili un </w:t>
      </w:r>
      <w:r>
        <w:rPr>
          <w:rFonts w:ascii="Times New Roman" w:hAnsi="Times New Roman"/>
          <w:b/>
          <w:noProof/>
          <w:sz w:val="24"/>
        </w:rPr>
        <w:t>grup operativ interservicii informal permanent privind RSS</w:t>
      </w:r>
      <w:r>
        <w:rPr>
          <w:rFonts w:ascii="Times New Roman" w:hAnsi="Times New Roman"/>
          <w:noProof/>
          <w:sz w:val="24"/>
        </w:rPr>
        <w:t>, cu reprezentanți ai SEAE și ai serviciilor Comisiei relevante tematic, care vor furniza consiliere și sprijin delegațiilor UE, SEAE și serviciilor Comisiei și misiunilor PSAC. Acesta va contribui la asigurarea coerenței și complementarității activităților UE în domeniul RSS și va sprijini planificarea și elaborarea proiectelor de cooperare pentru dezvoltarea RSS și a documentelor de planificare ale PSAC. Rolul acestuia ar trebui, de asemenea, să fie reflectat în următoarea ediție a procedurilor de gestionare a crizelor. Acesta va elabora instrumente metodologice, standarde, proceduri și practici pentru activitățile UE în domeniul RSS și va furniza instruire, printre altele, prin sprijinirea Colegiului European de Securitate și Apărare (CESA). Grupul operativ va supraveghea monitorizarea, evaluarea, cadrul de învățare și mecanismele de gestionare a riscurilor.</w:t>
      </w:r>
    </w:p>
    <w:p>
      <w:pPr>
        <w:keepNext/>
        <w:spacing w:after="240" w:line="240" w:lineRule="auto"/>
        <w:jc w:val="both"/>
        <w:rPr>
          <w:rFonts w:ascii="Times New Roman" w:hAnsi="Times New Roman"/>
          <w:b/>
          <w:i/>
          <w:noProof/>
          <w:sz w:val="24"/>
          <w:szCs w:val="24"/>
        </w:rPr>
      </w:pPr>
      <w:r>
        <w:rPr>
          <w:rFonts w:ascii="Times New Roman" w:hAnsi="Times New Roman"/>
          <w:b/>
          <w:i/>
          <w:noProof/>
          <w:sz w:val="24"/>
        </w:rPr>
        <w:t>Pe teren</w:t>
      </w:r>
    </w:p>
    <w:p>
      <w:pPr>
        <w:spacing w:after="240" w:line="240" w:lineRule="auto"/>
        <w:jc w:val="both"/>
        <w:rPr>
          <w:rFonts w:ascii="Times New Roman" w:hAnsi="Times New Roman"/>
          <w:noProof/>
          <w:sz w:val="24"/>
          <w:szCs w:val="24"/>
        </w:rPr>
      </w:pPr>
      <w:r>
        <w:rPr>
          <w:rFonts w:ascii="Times New Roman" w:hAnsi="Times New Roman"/>
          <w:noProof/>
          <w:sz w:val="24"/>
        </w:rPr>
        <w:t xml:space="preserve">Responsabilitatea de coordonare a sprijinului pentru sectorul de securitate la fața locului revine șefului delegației UE din țara sau regiunea parteneră în cauză. În cazul în care în țară este prezentă o misiune PSAC, Consiliul este invitat să asigure faptul că mandatul acesteia îi permite să sprijine delegația UE în aspecte legate de RSS. În acest sens, șeful misiunii va fi disponibil pentru a consilia șeful delegației. </w:t>
      </w:r>
    </w:p>
    <w:p>
      <w:pPr>
        <w:spacing w:after="240" w:line="240" w:lineRule="auto"/>
        <w:jc w:val="both"/>
        <w:rPr>
          <w:rFonts w:ascii="Times New Roman" w:hAnsi="Times New Roman"/>
          <w:noProof/>
          <w:sz w:val="24"/>
          <w:szCs w:val="24"/>
        </w:rPr>
      </w:pPr>
      <w:r>
        <w:rPr>
          <w:rFonts w:ascii="Times New Roman" w:hAnsi="Times New Roman"/>
          <w:noProof/>
          <w:sz w:val="24"/>
        </w:rPr>
        <w:t xml:space="preserve">Delegațiile UE și misiunile diplomatice ale statelor membre ar trebui să facă schimb de informații și analize, să participe la analiza comună și să contribuie la formularea matricelor de coordonare a RSS. </w:t>
      </w:r>
    </w:p>
    <w:p>
      <w:pPr>
        <w:spacing w:after="240" w:line="240" w:lineRule="auto"/>
        <w:jc w:val="both"/>
        <w:rPr>
          <w:rFonts w:ascii="Times New Roman" w:hAnsi="Times New Roman"/>
          <w:noProof/>
          <w:sz w:val="24"/>
          <w:szCs w:val="24"/>
        </w:rPr>
      </w:pPr>
      <w:r>
        <w:rPr>
          <w:rFonts w:ascii="Times New Roman" w:hAnsi="Times New Roman"/>
          <w:noProof/>
          <w:sz w:val="24"/>
        </w:rPr>
        <w:t xml:space="preserve">În cazul în care UE are o implicare deosebit de semnificativă și diversificată în sectorul de securitate și nu sunt instituite structuri de coordonare relevante, aceasta va urmări să stabilească </w:t>
      </w:r>
      <w:r>
        <w:rPr>
          <w:rFonts w:ascii="Times New Roman" w:hAnsi="Times New Roman"/>
          <w:b/>
          <w:noProof/>
          <w:sz w:val="24"/>
        </w:rPr>
        <w:t>grupuri operative de coordonare</w:t>
      </w:r>
      <w:r>
        <w:rPr>
          <w:rFonts w:ascii="Times New Roman" w:hAnsi="Times New Roman"/>
          <w:noProof/>
          <w:sz w:val="24"/>
        </w:rPr>
        <w:t xml:space="preserve"> pentru sprijinul sectorului de securitate la nivel de țară (cu secțiunile politice și operaționale ale delegațiilor UE, misiunile PSAC, statele membre și, acolo unde este posibil, parteneri relevanți precum ONU, Banca Mondială și țări din afara UE implicate în domeniul securității).</w:t>
      </w:r>
    </w:p>
    <w:p>
      <w:pPr>
        <w:keepNext/>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b/>
          <w:i/>
          <w:noProof/>
          <w:sz w:val="24"/>
        </w:rPr>
        <w:t>Casetă privind acțiunile</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 xml:space="preserve">Un grup operativ interservicii informal permanent privind RSS va fi instituit pentru a monitoriza activitățile UE în domeniul RSS. </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Programele de formare ale CESA privind RSS ar trebui să fie actualizate pentru a lua în considerare acest cadru strategic la nivelul UE. De asemenea, cooperarea între CESA și serviciile de formare relevante ale Comisiei ar trebui să fie consolidată pentru a reflecta abordarea la nivelul UE.</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Instrucțiunile către șefii de delegație vor include sarcina de a asigura coordonarea la nivel local a tuturor părților interesate din UE în dialogul și sprijinul sectorului de securitate. Acest lucru nu va avea un impact asupra liniei de comandă a misiunilor PSAC.</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rPr>
        <w:t xml:space="preserve">Mandatul misiunilor PSAC ar trebui să includă furnizarea de asistență tehnică delegațiilor UE. </w:t>
      </w:r>
    </w:p>
    <w:p>
      <w:pPr>
        <w:pBdr>
          <w:top w:val="single" w:sz="4" w:space="1" w:color="auto"/>
          <w:left w:val="single" w:sz="4" w:space="4" w:color="auto"/>
          <w:bottom w:val="single" w:sz="4" w:space="0" w:color="auto"/>
          <w:right w:val="single" w:sz="4" w:space="4" w:color="auto"/>
        </w:pBdr>
        <w:spacing w:after="240" w:line="240" w:lineRule="auto"/>
        <w:jc w:val="both"/>
        <w:rPr>
          <w:rFonts w:ascii="Times New Roman" w:hAnsi="Times New Roman"/>
          <w:i/>
          <w:noProof/>
          <w:sz w:val="24"/>
          <w:szCs w:val="24"/>
        </w:rPr>
      </w:pPr>
      <w:r>
        <w:rPr>
          <w:rFonts w:ascii="Times New Roman" w:hAnsi="Times New Roman"/>
          <w:i/>
          <w:noProof/>
          <w:sz w:val="24"/>
        </w:rPr>
        <w:t>În țările în care UE are un angajament semnificativ în domeniul RSS, aceasta ar trebui să se asigure faptul că delegația are o expertiză adecvată în sectorul de securitate.</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rPr>
      </w:pPr>
      <w:bookmarkStart w:id="10" w:name="_Toc451796326"/>
      <w:r>
        <w:rPr>
          <w:rFonts w:ascii="Times New Roman" w:hAnsi="Times New Roman"/>
          <w:b/>
          <w:caps/>
          <w:noProof/>
          <w:kern w:val="32"/>
          <w:sz w:val="24"/>
        </w:rPr>
        <w:t xml:space="preserve">4. </w:t>
      </w:r>
      <w:r>
        <w:rPr>
          <w:noProof/>
        </w:rPr>
        <w:tab/>
      </w:r>
      <w:r>
        <w:rPr>
          <w:rFonts w:ascii="Times New Roman" w:hAnsi="Times New Roman"/>
          <w:b/>
          <w:caps/>
          <w:noProof/>
          <w:kern w:val="32"/>
          <w:sz w:val="24"/>
        </w:rPr>
        <w:t>Domenii de angajament</w:t>
      </w:r>
      <w:bookmarkEnd w:id="10"/>
    </w:p>
    <w:p>
      <w:pPr>
        <w:spacing w:after="240" w:line="240" w:lineRule="auto"/>
        <w:jc w:val="both"/>
        <w:rPr>
          <w:rFonts w:ascii="Times New Roman" w:hAnsi="Times New Roman"/>
          <w:noProof/>
          <w:sz w:val="24"/>
          <w:szCs w:val="24"/>
        </w:rPr>
      </w:pPr>
      <w:r>
        <w:rPr>
          <w:rFonts w:ascii="Times New Roman" w:hAnsi="Times New Roman"/>
          <w:noProof/>
          <w:sz w:val="24"/>
        </w:rPr>
        <w:t>UE poate sprijini toate componentele sectorului de securitate, inclusiv forțele militare, în limitele legislației UE, prin următoarele activități (listă neexhaustivă):</w:t>
      </w:r>
    </w:p>
    <w:p>
      <w:pPr>
        <w:keepNext/>
        <w:numPr>
          <w:ilvl w:val="0"/>
          <w:numId w:val="1"/>
        </w:numPr>
        <w:tabs>
          <w:tab w:val="left" w:pos="851"/>
        </w:tabs>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Sprijin instituțional</w:t>
      </w:r>
    </w:p>
    <w:p>
      <w:pPr>
        <w:spacing w:after="240" w:line="240" w:lineRule="auto"/>
        <w:ind w:left="851"/>
        <w:jc w:val="both"/>
        <w:rPr>
          <w:rFonts w:ascii="Times New Roman" w:hAnsi="Times New Roman"/>
          <w:noProof/>
          <w:sz w:val="24"/>
          <w:szCs w:val="24"/>
        </w:rPr>
      </w:pPr>
      <w:r>
        <w:rPr>
          <w:rFonts w:ascii="Times New Roman" w:hAnsi="Times New Roman"/>
          <w:noProof/>
          <w:sz w:val="24"/>
        </w:rPr>
        <w:t xml:space="preserve">Sprijinul pentru instituțiile de securitate și judiciare include acordarea de asistență pentru dezvoltarea apărării naționale a țărilor partenere, politici și strategii de securitate și justiție, mecanisme naționale de coordonare, proceduri administrative, de comunicare și operaționale, mecanisme interne de responsabilizare, planificarea și gestionarea resurselor umane, informații și date și sisteme de gestiune bugetară și financiară, cu respectarea pe deplin a principiilor drepturilor omului și în conformitate cu dreptul internațional umanitar. </w:t>
      </w:r>
    </w:p>
    <w:p>
      <w:pPr>
        <w:spacing w:after="240" w:line="240" w:lineRule="auto"/>
        <w:ind w:left="851"/>
        <w:jc w:val="both"/>
        <w:rPr>
          <w:rFonts w:ascii="Times New Roman" w:hAnsi="Times New Roman"/>
          <w:noProof/>
          <w:sz w:val="24"/>
          <w:szCs w:val="24"/>
        </w:rPr>
      </w:pPr>
      <w:r>
        <w:rPr>
          <w:rFonts w:ascii="Times New Roman" w:hAnsi="Times New Roman"/>
          <w:noProof/>
          <w:sz w:val="24"/>
        </w:rPr>
        <w:t>Sprijinul instituțional poate include asistență pentru planificarea de reforme, care ar trebui să fie adaptată și contextuală și să aibă ca scop sprijinirea statelor partenere în evaluarea propriilor nevoi și în exprimarea și realizarea viziunii acestora prin stabilirea de rezultate realiste pe termen scurt, mediu și lung. Acest sprijin ar trebui să ajute statele respective la alocarea de resurse umane, tehnice și financiare, după caz. În acest sens, UE va colabora, de asemenea, cu actorii nestatali și ai societății civile.</w:t>
      </w:r>
    </w:p>
    <w:p>
      <w:pPr>
        <w:spacing w:after="240" w:line="240" w:lineRule="auto"/>
        <w:ind w:left="851"/>
        <w:jc w:val="both"/>
        <w:rPr>
          <w:rFonts w:ascii="Times New Roman" w:hAnsi="Times New Roman"/>
          <w:noProof/>
          <w:sz w:val="24"/>
          <w:szCs w:val="24"/>
        </w:rPr>
      </w:pPr>
      <w:r>
        <w:rPr>
          <w:rFonts w:ascii="Times New Roman" w:hAnsi="Times New Roman"/>
          <w:noProof/>
          <w:sz w:val="24"/>
        </w:rPr>
        <w:t xml:space="preserve">UE ar trebui să asigure faptul că eforturile sale de a consolida instituțiile generează beneficii directe pe termen scurt pentru populație în ceea ce privește furnizarea unui serviciu de securitate îmbunătățit. </w:t>
      </w:r>
    </w:p>
    <w:p>
      <w:pPr>
        <w:keepNext/>
        <w:numPr>
          <w:ilvl w:val="0"/>
          <w:numId w:val="1"/>
        </w:numPr>
        <w:tabs>
          <w:tab w:val="left" w:pos="851"/>
        </w:tabs>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Formare</w:t>
      </w:r>
    </w:p>
    <w:p>
      <w:pPr>
        <w:spacing w:after="240" w:line="240" w:lineRule="auto"/>
        <w:ind w:left="851"/>
        <w:jc w:val="both"/>
        <w:rPr>
          <w:rFonts w:ascii="Times New Roman" w:hAnsi="Times New Roman"/>
          <w:noProof/>
          <w:sz w:val="24"/>
          <w:szCs w:val="24"/>
        </w:rPr>
      </w:pPr>
      <w:r>
        <w:rPr>
          <w:rFonts w:ascii="Times New Roman" w:hAnsi="Times New Roman"/>
          <w:noProof/>
          <w:sz w:val="24"/>
        </w:rPr>
        <w:t>Sprijinul UE include consolidarea capacităților instituțiilor de formare naționale sau regionale. Aceasta poate include asistență tehnică și îndrumare, evaluarea necesităților de formare, elaborarea de noi programe și „formarea formatorilor”. Asistența UE în materie de formare va preciza cunoștințele, competențele și/sau atitudinile pe care intenționează să le transmită astfel încât să promoveze schimbarea comportamentală în ceea ce privește personalul, unitățile și instituțiile din sectorul de securitate. Aceasta va urmări, de asemenea, să asigure că formarea este valorificată în ceea ce privește perspectivele de carieră și că personalul îndeplinește sarcinile pentru care a fost format.</w:t>
      </w:r>
    </w:p>
    <w:p>
      <w:pPr>
        <w:spacing w:after="240" w:line="240" w:lineRule="auto"/>
        <w:ind w:left="851"/>
        <w:jc w:val="both"/>
        <w:rPr>
          <w:rFonts w:ascii="Times New Roman" w:hAnsi="Times New Roman"/>
          <w:noProof/>
          <w:sz w:val="24"/>
          <w:szCs w:val="24"/>
        </w:rPr>
      </w:pPr>
      <w:r>
        <w:rPr>
          <w:rFonts w:ascii="Times New Roman" w:hAnsi="Times New Roman"/>
          <w:noProof/>
          <w:sz w:val="24"/>
        </w:rPr>
        <w:t xml:space="preserve">Susținerea poate fi legată de dialogul cu privire la sistemele naționale de gestionare a resurselor umane și sprijinul pentru acestea, care implică identificarea profilurilor necesare de către instituțiile de securitate și judiciare, recrutarea și promovarea în mod echitabil și transparent etc. </w:t>
      </w:r>
    </w:p>
    <w:p>
      <w:pPr>
        <w:spacing w:after="240" w:line="240" w:lineRule="auto"/>
        <w:ind w:left="851"/>
        <w:jc w:val="both"/>
        <w:rPr>
          <w:rFonts w:ascii="Times New Roman" w:hAnsi="Times New Roman"/>
          <w:noProof/>
          <w:sz w:val="24"/>
          <w:szCs w:val="24"/>
        </w:rPr>
      </w:pPr>
      <w:r>
        <w:rPr>
          <w:rFonts w:ascii="Times New Roman" w:hAnsi="Times New Roman"/>
          <w:noProof/>
          <w:sz w:val="24"/>
        </w:rPr>
        <w:t xml:space="preserve">În cazul în care există o necesitate de restabilire rapidă a serviciilor de bază în materie de securitate și justiție, UE poate furniza formare în mod direct, în special prin intermediul misiunilor PSAC. În măsura în care este posibil, acest lucru va fi realizat în cooperare cu instituțiile naționale de formare, în vederea consolidării acestora și, în cele din urmă, în scopul de a le preda responsabilitatea pentru formare. </w:t>
      </w:r>
    </w:p>
    <w:p>
      <w:pPr>
        <w:keepNext/>
        <w:numPr>
          <w:ilvl w:val="0"/>
          <w:numId w:val="1"/>
        </w:numPr>
        <w:tabs>
          <w:tab w:val="left" w:pos="851"/>
        </w:tabs>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Echipament</w:t>
      </w:r>
    </w:p>
    <w:p>
      <w:pPr>
        <w:spacing w:after="240" w:line="240" w:lineRule="auto"/>
        <w:ind w:left="851"/>
        <w:jc w:val="both"/>
        <w:rPr>
          <w:rFonts w:ascii="Times New Roman" w:hAnsi="Times New Roman"/>
          <w:noProof/>
          <w:sz w:val="24"/>
          <w:szCs w:val="24"/>
        </w:rPr>
      </w:pPr>
      <w:r>
        <w:rPr>
          <w:rFonts w:ascii="Times New Roman" w:hAnsi="Times New Roman"/>
          <w:noProof/>
          <w:sz w:val="24"/>
        </w:rPr>
        <w:t>UE poate furniza echipament neletal</w:t>
      </w:r>
      <w:r>
        <w:rPr>
          <w:rStyle w:val="FootnoteReference"/>
          <w:rFonts w:ascii="Times New Roman" w:hAnsi="Times New Roman"/>
          <w:noProof/>
          <w:sz w:val="24"/>
        </w:rPr>
        <w:footnoteReference w:id="37"/>
      </w:r>
      <w:r>
        <w:rPr>
          <w:rFonts w:ascii="Times New Roman" w:hAnsi="Times New Roman"/>
          <w:noProof/>
          <w:sz w:val="24"/>
        </w:rPr>
        <w:t xml:space="preserve"> actorilor din sectorul de securitate. Acest lucru se va realiza într-un cadru mai larg de sprijin pentru securitate pentru țara în cauză. UE va trebui să solicite garanții adecvate că echipamentele nu vor fi utilizate pentru a încălca drepturile omului, libertățile fundamentale sau statul de drept. Pentru a evita riscul ca echipamentul să devină inutilizabil, abandonat, necontabilizat sau utilizat în mod abuziv, existența și funcționarea lanțurilor de sprijin logistic și de înregistrare/urmărire vor fi evaluate și, dacă este necesar, se va furniza sprijin pentru îmbunătățirea eficacității acestora. Dezvoltarea unor bune practici de bază în domeniul gestionării echipamentelor va fi parte integrantă din orice pachet de echipamente pentru a asigura întreținerea, refurnizarea și eliminarea acestora. </w:t>
      </w:r>
    </w:p>
    <w:p>
      <w:pPr>
        <w:keepNext/>
        <w:numPr>
          <w:ilvl w:val="0"/>
          <w:numId w:val="1"/>
        </w:numPr>
        <w:tabs>
          <w:tab w:val="left" w:pos="851"/>
        </w:tabs>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Sprijin pentru mecanismele de supraveghere</w:t>
      </w:r>
    </w:p>
    <w:p>
      <w:pPr>
        <w:spacing w:after="120" w:line="240" w:lineRule="auto"/>
        <w:ind w:left="851"/>
        <w:jc w:val="both"/>
        <w:rPr>
          <w:rFonts w:ascii="Times New Roman" w:hAnsi="Times New Roman"/>
          <w:noProof/>
          <w:sz w:val="24"/>
          <w:szCs w:val="24"/>
        </w:rPr>
      </w:pPr>
      <w:r>
        <w:rPr>
          <w:rFonts w:ascii="Times New Roman" w:hAnsi="Times New Roman"/>
          <w:noProof/>
          <w:sz w:val="24"/>
        </w:rPr>
        <w:t>UE ar trebui să sprijine crearea sau consolidarea controlului și supravegherii civile eficace, printre altele, prin:</w:t>
      </w:r>
    </w:p>
    <w:p>
      <w:pPr>
        <w:numPr>
          <w:ilvl w:val="0"/>
          <w:numId w:val="14"/>
        </w:numPr>
        <w:tabs>
          <w:tab w:val="left" w:pos="1560"/>
        </w:tabs>
        <w:spacing w:after="120" w:line="240" w:lineRule="auto"/>
        <w:ind w:hanging="437"/>
        <w:jc w:val="both"/>
        <w:rPr>
          <w:rFonts w:ascii="Times New Roman" w:hAnsi="Times New Roman"/>
          <w:noProof/>
          <w:sz w:val="24"/>
          <w:szCs w:val="24"/>
        </w:rPr>
      </w:pPr>
      <w:r>
        <w:rPr>
          <w:rFonts w:ascii="Times New Roman" w:hAnsi="Times New Roman"/>
          <w:noProof/>
          <w:sz w:val="24"/>
        </w:rPr>
        <w:t xml:space="preserve">promovarea și sprijinirea formulării și aplicării legislației și procedurilor relevante; și </w:t>
      </w:r>
    </w:p>
    <w:p>
      <w:pPr>
        <w:numPr>
          <w:ilvl w:val="0"/>
          <w:numId w:val="14"/>
        </w:numPr>
        <w:tabs>
          <w:tab w:val="left" w:pos="1560"/>
        </w:tabs>
        <w:spacing w:after="240" w:line="240" w:lineRule="auto"/>
        <w:ind w:hanging="437"/>
        <w:jc w:val="both"/>
        <w:rPr>
          <w:rFonts w:ascii="Times New Roman" w:hAnsi="Times New Roman"/>
          <w:noProof/>
          <w:sz w:val="24"/>
          <w:szCs w:val="24"/>
        </w:rPr>
      </w:pPr>
      <w:r>
        <w:rPr>
          <w:rFonts w:ascii="Times New Roman" w:hAnsi="Times New Roman"/>
          <w:noProof/>
          <w:sz w:val="24"/>
        </w:rPr>
        <w:t>creșterea capacității instituțiilor și mecanismelor independente pentru reclamații și supraveghere civilă.</w:t>
      </w:r>
    </w:p>
    <w:p>
      <w:pPr>
        <w:spacing w:after="240" w:line="240" w:lineRule="auto"/>
        <w:ind w:left="851"/>
        <w:jc w:val="both"/>
        <w:rPr>
          <w:rFonts w:ascii="Times New Roman" w:hAnsi="Times New Roman"/>
          <w:noProof/>
          <w:sz w:val="24"/>
          <w:szCs w:val="24"/>
        </w:rPr>
      </w:pPr>
      <w:r>
        <w:rPr>
          <w:rFonts w:ascii="Times New Roman" w:hAnsi="Times New Roman"/>
          <w:noProof/>
          <w:sz w:val="24"/>
        </w:rPr>
        <w:t>Beneficiarii pot fi organisme naționale legislative și organisme independente sau cvasi-independente precum avocații poporului, instituțiile sau comisiile din domeniul drepturilor omului, comisiile anticorupție, comisiile independente pentru reclamații ale poliției și autoritățile judiciare în rolul acestora de supraveghere a agențiilor de aplicare a legii etc.</w:t>
      </w:r>
    </w:p>
    <w:p>
      <w:pPr>
        <w:spacing w:after="240" w:line="240" w:lineRule="auto"/>
        <w:ind w:left="851"/>
        <w:jc w:val="both"/>
        <w:rPr>
          <w:rFonts w:ascii="Times New Roman" w:hAnsi="Times New Roman"/>
          <w:noProof/>
          <w:sz w:val="24"/>
          <w:szCs w:val="24"/>
        </w:rPr>
      </w:pPr>
      <w:r>
        <w:rPr>
          <w:rFonts w:ascii="Times New Roman" w:hAnsi="Times New Roman"/>
          <w:noProof/>
          <w:sz w:val="24"/>
        </w:rPr>
        <w:t>UE ar trebui să promoveze participarea activă a societății civile la aceste mecanisme de supraveghere și, dacă este cazul, să sprijine inițiativele societății civile de a monitoriza desfășurarea forțelor de securitate. Aceasta va promova, de asemenea, libertatea presei și va consolida capacitatea acesteia de a raporta în mod responsabil cu privire la sectorul de securitate.</w:t>
      </w:r>
    </w:p>
    <w:p>
      <w:pPr>
        <w:keepNext/>
        <w:numPr>
          <w:ilvl w:val="0"/>
          <w:numId w:val="1"/>
        </w:numPr>
        <w:tabs>
          <w:tab w:val="left" w:pos="851"/>
        </w:tabs>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 xml:space="preserve">Securitatea comunitară </w:t>
      </w:r>
    </w:p>
    <w:p>
      <w:pPr>
        <w:spacing w:after="240" w:line="240" w:lineRule="auto"/>
        <w:ind w:left="851"/>
        <w:jc w:val="both"/>
        <w:rPr>
          <w:rFonts w:ascii="Times New Roman" w:hAnsi="Times New Roman"/>
          <w:noProof/>
          <w:sz w:val="24"/>
          <w:szCs w:val="24"/>
        </w:rPr>
      </w:pPr>
      <w:r>
        <w:rPr>
          <w:rFonts w:ascii="Times New Roman" w:hAnsi="Times New Roman"/>
          <w:noProof/>
          <w:sz w:val="24"/>
        </w:rPr>
        <w:t xml:space="preserve">Acolo unde violența și conflictele sunt legate de aspecte politice, sociale și economice care sunt strict locale sau forțele naționale de securitate nu sunt în măsură să asigure servicii esențiale de securitate, UE poate finanța inițiative de sprijin prin care se furnizează beneficii de securitate și justiție populației prin intermediul unei abordări de securitate comunitară care implică autorități locale (oficiale și/sau tradiționale), acolo unde este posibil, locuitorii din comunitățile și cartierele în cauză și forțe de securitate locale. Scopul va fi de a îmbunătăți securitatea comunităților locale, de a soluționa conflicte și de a aborda cauzele violenței la nivel local și, în cele din urmă, de a se asigura că autoritățile naționale sunt în măsură să soluționeze problemele de securitate și conflictuale la nivel local. </w:t>
      </w:r>
    </w:p>
    <w:p>
      <w:pPr>
        <w:keepNext/>
        <w:pageBreakBefore/>
        <w:numPr>
          <w:ilvl w:val="0"/>
          <w:numId w:val="1"/>
        </w:numPr>
        <w:tabs>
          <w:tab w:val="left" w:pos="851"/>
        </w:tabs>
        <w:spacing w:after="120" w:line="240" w:lineRule="auto"/>
        <w:ind w:left="850" w:hanging="425"/>
        <w:jc w:val="both"/>
        <w:rPr>
          <w:rFonts w:ascii="Times New Roman" w:hAnsi="Times New Roman"/>
          <w:b/>
          <w:i/>
          <w:noProof/>
          <w:sz w:val="24"/>
          <w:szCs w:val="24"/>
        </w:rPr>
      </w:pPr>
      <w:r>
        <w:rPr>
          <w:rFonts w:ascii="Times New Roman" w:hAnsi="Times New Roman"/>
          <w:b/>
          <w:i/>
          <w:noProof/>
          <w:sz w:val="24"/>
        </w:rPr>
        <w:t>Legături între RSS și alte domenii de implicare</w:t>
      </w:r>
    </w:p>
    <w:bookmarkEnd w:id="7"/>
    <w:bookmarkEnd w:id="8"/>
    <w:bookmarkEnd w:id="9"/>
    <w:p>
      <w:pPr>
        <w:spacing w:after="120" w:line="240" w:lineRule="auto"/>
        <w:ind w:left="851"/>
        <w:jc w:val="both"/>
        <w:rPr>
          <w:rFonts w:ascii="Times New Roman" w:hAnsi="Times New Roman"/>
          <w:i/>
          <w:noProof/>
          <w:sz w:val="24"/>
          <w:szCs w:val="24"/>
          <w:u w:val="single"/>
        </w:rPr>
      </w:pPr>
      <w:r>
        <w:rPr>
          <w:rFonts w:ascii="Times New Roman" w:hAnsi="Times New Roman"/>
          <w:i/>
          <w:noProof/>
          <w:sz w:val="24"/>
          <w:u w:val="single"/>
        </w:rPr>
        <w:t>Dezarmarea, demobilizarea și reintegrarea foștilor combatanți</w:t>
      </w:r>
    </w:p>
    <w:p>
      <w:pPr>
        <w:spacing w:after="240" w:line="240" w:lineRule="auto"/>
        <w:ind w:left="851"/>
        <w:jc w:val="both"/>
        <w:rPr>
          <w:rFonts w:ascii="Times New Roman" w:hAnsi="Times New Roman"/>
          <w:noProof/>
          <w:sz w:val="24"/>
          <w:szCs w:val="24"/>
        </w:rPr>
      </w:pPr>
      <w:r>
        <w:rPr>
          <w:rFonts w:ascii="Times New Roman" w:hAnsi="Times New Roman"/>
          <w:noProof/>
          <w:sz w:val="24"/>
        </w:rPr>
        <w:t>Dezarmarea, demobilizarea și reintegrarea foștilor combatanți (DDR) se referă la o serie de intervenții într-un proces de demilitarizare a grupărilor armate oficiale și neoficiale prin dezarmarea și desființarea grupărilor nestatale sau reducerea forțelor armate și reintegrarea acestora în viața civilă</w:t>
      </w:r>
      <w:r>
        <w:rPr>
          <w:rStyle w:val="FootnoteReference"/>
          <w:rFonts w:ascii="Times New Roman" w:hAnsi="Times New Roman"/>
          <w:noProof/>
          <w:sz w:val="24"/>
        </w:rPr>
        <w:footnoteReference w:id="38"/>
      </w:r>
      <w:r>
        <w:rPr>
          <w:rFonts w:ascii="Times New Roman" w:hAnsi="Times New Roman"/>
          <w:noProof/>
          <w:sz w:val="24"/>
        </w:rPr>
        <w:t>. Procesele DDR ar trebui să răspundă necesităților imediate în materie de securitate și să contribuie la punerea bazelor pentru stabilitatea pe termen lung într-o țară sau regiune. Prin urmare, acestea ar trebui să asigure legătura cu un proces de pace global și, de preferință, cu o RSS mai amplă. În contexte de conflict și postconflict, sprijinul RSS și DDR din partea UE va pune în echilibru necesitatea de a restabili serviciile de securitate de bază ca o măsură urgentă de stabilizare, cu necesitatea de a nu prejudicia stabilitatea pe termen lung prin, de exemplu, legitimarea neincluzivă a forțelor de securitate.</w:t>
      </w:r>
    </w:p>
    <w:p>
      <w:pPr>
        <w:keepNext/>
        <w:keepLines/>
        <w:spacing w:after="120" w:line="240" w:lineRule="auto"/>
        <w:ind w:left="851"/>
        <w:jc w:val="both"/>
        <w:rPr>
          <w:rFonts w:ascii="Times New Roman" w:hAnsi="Times New Roman"/>
          <w:i/>
          <w:noProof/>
          <w:sz w:val="24"/>
          <w:szCs w:val="24"/>
          <w:u w:val="single"/>
        </w:rPr>
      </w:pPr>
      <w:r>
        <w:rPr>
          <w:rFonts w:ascii="Times New Roman" w:hAnsi="Times New Roman"/>
          <w:i/>
          <w:noProof/>
          <w:sz w:val="24"/>
          <w:u w:val="single"/>
        </w:rPr>
        <w:t xml:space="preserve">Justiția de tranziție </w:t>
      </w:r>
    </w:p>
    <w:p>
      <w:pPr>
        <w:spacing w:after="240" w:line="240" w:lineRule="auto"/>
        <w:ind w:left="851"/>
        <w:jc w:val="both"/>
        <w:rPr>
          <w:rFonts w:ascii="Times New Roman" w:hAnsi="Times New Roman"/>
          <w:noProof/>
          <w:sz w:val="24"/>
          <w:szCs w:val="24"/>
        </w:rPr>
      </w:pPr>
      <w:r>
        <w:rPr>
          <w:rFonts w:ascii="Times New Roman" w:hAnsi="Times New Roman"/>
          <w:noProof/>
          <w:sz w:val="24"/>
        </w:rPr>
        <w:t>Justiția de tranziție cuprinde „întreaga gamă de procesele și mecanisme asociate cu încercările unei societăți de a face față unei moșteniri de abuzuri pe scară largă din trecut pentru a asigura asumarea responsabilității, pentru a servi justiția și pentru a realiza reconcilierea”</w:t>
      </w:r>
      <w:r>
        <w:rPr>
          <w:rStyle w:val="FootnoteReference"/>
          <w:rFonts w:ascii="Times New Roman" w:hAnsi="Times New Roman"/>
          <w:noProof/>
          <w:sz w:val="24"/>
        </w:rPr>
        <w:footnoteReference w:id="39"/>
      </w:r>
      <w:r>
        <w:rPr>
          <w:noProof/>
        </w:rPr>
        <w:t>.</w:t>
      </w:r>
      <w:r>
        <w:rPr>
          <w:rFonts w:ascii="Times New Roman" w:hAnsi="Times New Roman"/>
          <w:noProof/>
          <w:sz w:val="24"/>
        </w:rPr>
        <w:t xml:space="preserve"> Măsurile justiției de tranziție ar trebui să contribuie, în cele din urmă, la restabilirea și consolidarea statului de drept.</w:t>
      </w:r>
    </w:p>
    <w:p>
      <w:pPr>
        <w:spacing w:after="240" w:line="240" w:lineRule="auto"/>
        <w:ind w:left="851"/>
        <w:jc w:val="both"/>
        <w:rPr>
          <w:rFonts w:ascii="Times New Roman" w:hAnsi="Times New Roman"/>
          <w:noProof/>
          <w:sz w:val="24"/>
          <w:szCs w:val="24"/>
        </w:rPr>
      </w:pPr>
      <w:r>
        <w:rPr>
          <w:rFonts w:ascii="Times New Roman" w:hAnsi="Times New Roman"/>
          <w:noProof/>
          <w:sz w:val="24"/>
        </w:rPr>
        <w:t>În țările în situație de postconflict și în țările în tranziție, RSS ca o componentă a reformei instituționale, poate contribui la prevenirea reizbucnirii de conflicte; astfel, RSS contribuie la asigurarea asumării responsabilității și la respectarea drepturilor omului, precum și la prevenirea viitoarelor încălcări. Concluziile Consiliului privind sprijinirea justiției de tranziție</w:t>
      </w:r>
      <w:r>
        <w:rPr>
          <w:rStyle w:val="FootnoteReference"/>
          <w:rFonts w:ascii="Times New Roman" w:hAnsi="Times New Roman"/>
          <w:noProof/>
          <w:sz w:val="24"/>
        </w:rPr>
        <w:footnoteReference w:id="40"/>
      </w:r>
      <w:r>
        <w:rPr>
          <w:rFonts w:ascii="Times New Roman" w:hAnsi="Times New Roman"/>
          <w:noProof/>
          <w:sz w:val="24"/>
        </w:rPr>
        <w:t xml:space="preserve"> subliniază importanța RSS.</w:t>
      </w:r>
    </w:p>
    <w:p>
      <w:pPr>
        <w:keepNext/>
        <w:spacing w:after="120" w:line="240" w:lineRule="auto"/>
        <w:ind w:left="851"/>
        <w:jc w:val="both"/>
        <w:rPr>
          <w:rFonts w:ascii="Times New Roman" w:hAnsi="Times New Roman"/>
          <w:i/>
          <w:noProof/>
          <w:sz w:val="24"/>
          <w:szCs w:val="24"/>
          <w:u w:val="single"/>
        </w:rPr>
      </w:pPr>
      <w:r>
        <w:rPr>
          <w:rFonts w:ascii="Times New Roman" w:hAnsi="Times New Roman"/>
          <w:i/>
          <w:noProof/>
          <w:sz w:val="24"/>
          <w:u w:val="single"/>
        </w:rPr>
        <w:t>Arme de calibru mic și armament ușor (SALW)</w:t>
      </w:r>
    </w:p>
    <w:p>
      <w:pPr>
        <w:spacing w:after="240" w:line="240" w:lineRule="auto"/>
        <w:ind w:left="851"/>
        <w:jc w:val="both"/>
        <w:rPr>
          <w:rFonts w:ascii="Times New Roman" w:hAnsi="Times New Roman"/>
          <w:noProof/>
          <w:sz w:val="24"/>
          <w:szCs w:val="24"/>
        </w:rPr>
      </w:pPr>
      <w:r>
        <w:rPr>
          <w:rFonts w:ascii="Times New Roman" w:hAnsi="Times New Roman"/>
          <w:noProof/>
          <w:sz w:val="24"/>
        </w:rPr>
        <w:t>Disponibilitatea SALW este adesea un factor cheie în provocarea și propagarea lipsei de securitate. „Conflictele reziduale” susținute de răspândirea ilicită a SALW estompează adesea linia de demarcație dintre conflictele armate și criminalitate</w:t>
      </w:r>
      <w:r>
        <w:rPr>
          <w:rStyle w:val="FootnoteReference"/>
          <w:rFonts w:ascii="Times New Roman" w:hAnsi="Times New Roman"/>
          <w:noProof/>
          <w:sz w:val="24"/>
        </w:rPr>
        <w:footnoteReference w:id="41"/>
      </w:r>
      <w:r>
        <w:rPr>
          <w:rFonts w:ascii="Times New Roman" w:hAnsi="Times New Roman"/>
          <w:noProof/>
          <w:sz w:val="24"/>
        </w:rPr>
        <w:t>. Controlul SALW este legat în mod intrinsec de eforturile depuse în ceea ce privește RSS, nu în ultimul rând prin limitarea percepută sau reală a necesității sau propensiunii indivizilor sau comunității de a-și asigura propria apărare.</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rPr>
      </w:pPr>
      <w:bookmarkStart w:id="11" w:name="_Toc451796327"/>
      <w:bookmarkStart w:id="12" w:name="_Toc435784262"/>
      <w:bookmarkStart w:id="13" w:name="_Toc440292883"/>
      <w:r>
        <w:rPr>
          <w:rFonts w:ascii="Times New Roman" w:hAnsi="Times New Roman"/>
          <w:b/>
          <w:caps/>
          <w:noProof/>
          <w:kern w:val="32"/>
          <w:sz w:val="24"/>
        </w:rPr>
        <w:t xml:space="preserve">5. </w:t>
      </w:r>
      <w:r>
        <w:rPr>
          <w:noProof/>
        </w:rPr>
        <w:tab/>
      </w:r>
      <w:r>
        <w:rPr>
          <w:rFonts w:ascii="Times New Roman" w:hAnsi="Times New Roman"/>
          <w:b/>
          <w:caps/>
          <w:noProof/>
          <w:kern w:val="32"/>
          <w:sz w:val="24"/>
        </w:rPr>
        <w:t>Monitorizarea și evaluarea punerii în aplicare a politicii</w:t>
      </w:r>
      <w:bookmarkEnd w:id="11"/>
    </w:p>
    <w:bookmarkEnd w:id="12"/>
    <w:bookmarkEnd w:id="13"/>
    <w:p>
      <w:pPr>
        <w:spacing w:after="240" w:line="240" w:lineRule="auto"/>
        <w:jc w:val="both"/>
        <w:rPr>
          <w:rFonts w:ascii="Times New Roman" w:hAnsi="Times New Roman"/>
          <w:noProof/>
          <w:sz w:val="24"/>
          <w:szCs w:val="24"/>
        </w:rPr>
      </w:pPr>
      <w:r>
        <w:rPr>
          <w:rFonts w:ascii="Times New Roman" w:hAnsi="Times New Roman"/>
          <w:noProof/>
          <w:sz w:val="24"/>
        </w:rPr>
        <w:t>Punerea în aplicare a acestui cadru politic va fi monitorizată și evaluată în mod regulat. În fiecare an, o echipă interservicii constituită din reprezentanți ai SEAE și ai Comisiei, cu sprijinul consultanților externi, după caz, va revizui angajamentul general al UE în domeniul securității în cel puțin o țară prioritară.</w:t>
      </w:r>
    </w:p>
    <w:p>
      <w:pPr>
        <w:spacing w:after="240" w:line="240" w:lineRule="auto"/>
        <w:jc w:val="both"/>
        <w:rPr>
          <w:rFonts w:ascii="Times New Roman" w:hAnsi="Times New Roman"/>
          <w:noProof/>
          <w:sz w:val="24"/>
          <w:szCs w:val="24"/>
        </w:rPr>
      </w:pPr>
      <w:r>
        <w:rPr>
          <w:rFonts w:ascii="Times New Roman" w:hAnsi="Times New Roman"/>
          <w:noProof/>
          <w:sz w:val="24"/>
        </w:rPr>
        <w:t>Criteriile de evaluare se vor baza pe obiectivele și principiile enunțate în prezenta comunicare comună, pe orientările comune privind monitorizarea și evaluarea și pe punerea în aplicare efectivă a cadrului de gestionare a riscurilor relevant.</w:t>
      </w:r>
    </w:p>
    <w:p>
      <w:pPr>
        <w:spacing w:after="240" w:line="240" w:lineRule="auto"/>
        <w:jc w:val="both"/>
        <w:rPr>
          <w:rFonts w:ascii="Times New Roman" w:hAnsi="Times New Roman"/>
          <w:noProof/>
          <w:sz w:val="24"/>
          <w:szCs w:val="24"/>
        </w:rPr>
      </w:pPr>
      <w:r>
        <w:rPr>
          <w:rFonts w:ascii="Times New Roman" w:hAnsi="Times New Roman"/>
          <w:noProof/>
          <w:sz w:val="24"/>
        </w:rPr>
        <w:t>Relevanța angajamentului UE va fi evaluată, de asemenea, pe baza unor criterii precum:</w:t>
      </w:r>
    </w:p>
    <w:p>
      <w:pPr>
        <w:numPr>
          <w:ilvl w:val="0"/>
          <w:numId w:val="2"/>
        </w:numPr>
        <w:tabs>
          <w:tab w:val="left" w:pos="851"/>
        </w:tabs>
        <w:spacing w:after="240" w:line="240" w:lineRule="auto"/>
        <w:ind w:left="851" w:hanging="425"/>
        <w:jc w:val="both"/>
        <w:rPr>
          <w:rFonts w:ascii="Times New Roman" w:hAnsi="Times New Roman"/>
          <w:noProof/>
          <w:sz w:val="24"/>
          <w:szCs w:val="24"/>
        </w:rPr>
      </w:pPr>
      <w:r>
        <w:rPr>
          <w:rFonts w:ascii="Times New Roman" w:hAnsi="Times New Roman"/>
          <w:noProof/>
          <w:sz w:val="24"/>
        </w:rPr>
        <w:t>calitatea și exhaustivitatea analizei acesteia privind sectorul de securitate;</w:t>
      </w:r>
    </w:p>
    <w:p>
      <w:pPr>
        <w:numPr>
          <w:ilvl w:val="0"/>
          <w:numId w:val="2"/>
        </w:numPr>
        <w:tabs>
          <w:tab w:val="left" w:pos="851"/>
        </w:tabs>
        <w:spacing w:after="240" w:line="240" w:lineRule="auto"/>
        <w:ind w:left="851" w:hanging="425"/>
        <w:jc w:val="both"/>
        <w:rPr>
          <w:rFonts w:ascii="Times New Roman" w:hAnsi="Times New Roman"/>
          <w:noProof/>
          <w:sz w:val="24"/>
          <w:szCs w:val="24"/>
        </w:rPr>
      </w:pPr>
      <w:r>
        <w:rPr>
          <w:rFonts w:ascii="Times New Roman" w:hAnsi="Times New Roman"/>
          <w:noProof/>
          <w:sz w:val="24"/>
        </w:rPr>
        <w:t>capacitatea acesteia de reacție la crizele urgente și la oportunitățile emergente; și</w:t>
      </w:r>
    </w:p>
    <w:p>
      <w:pPr>
        <w:numPr>
          <w:ilvl w:val="0"/>
          <w:numId w:val="2"/>
        </w:numPr>
        <w:tabs>
          <w:tab w:val="left" w:pos="851"/>
        </w:tabs>
        <w:spacing w:after="240" w:line="240" w:lineRule="auto"/>
        <w:ind w:left="851" w:hanging="425"/>
        <w:jc w:val="both"/>
        <w:rPr>
          <w:rFonts w:ascii="Times New Roman" w:hAnsi="Times New Roman"/>
          <w:noProof/>
          <w:sz w:val="24"/>
          <w:szCs w:val="24"/>
        </w:rPr>
      </w:pPr>
      <w:r>
        <w:rPr>
          <w:rFonts w:ascii="Times New Roman" w:hAnsi="Times New Roman"/>
          <w:noProof/>
          <w:sz w:val="24"/>
        </w:rPr>
        <w:t>coerența între sprijinul UE, obiectivele mai ample de securitate și dezvoltare ale UE și obiectivele de securitate ale țărilor partenere.</w:t>
      </w:r>
    </w:p>
    <w:p>
      <w:pPr>
        <w:spacing w:after="240" w:line="240" w:lineRule="auto"/>
        <w:jc w:val="both"/>
        <w:rPr>
          <w:rFonts w:ascii="Times New Roman" w:hAnsi="Times New Roman"/>
          <w:noProof/>
          <w:sz w:val="24"/>
          <w:szCs w:val="24"/>
        </w:rPr>
      </w:pPr>
      <w:r>
        <w:rPr>
          <w:rFonts w:ascii="Times New Roman" w:hAnsi="Times New Roman"/>
          <w:noProof/>
          <w:sz w:val="24"/>
        </w:rPr>
        <w:t>Evaluările vor fi puse la dispoziția publicului. Vor fi elaborate recomandări, iar acțiunile ulterioare vor fi monitorizate. Evaluările vor fi utilizate, de asemenea, pentru a colecta cele mai bune practici și învățăminte identificate, care vor fi incluse în formarea personalului UE și în reflecțiile privind instrumentele financiare ale UE. Acest lucru va contribui la îmbunătățirea procedurilor interne și a eficienței sprijinului.</w:t>
      </w:r>
    </w:p>
    <w:p>
      <w:pPr>
        <w:spacing w:after="240" w:line="240" w:lineRule="auto"/>
        <w:jc w:val="both"/>
        <w:rPr>
          <w:rFonts w:ascii="Times New Roman" w:hAnsi="Times New Roman"/>
          <w:noProof/>
          <w:sz w:val="24"/>
          <w:szCs w:val="24"/>
        </w:rPr>
      </w:pPr>
      <w:r>
        <w:rPr>
          <w:rFonts w:ascii="Times New Roman" w:hAnsi="Times New Roman"/>
          <w:noProof/>
          <w:sz w:val="24"/>
        </w:rPr>
        <w:t xml:space="preserve">Performanța globală a acestui cadru strategic va fi evaluată după cinci ani. </w:t>
      </w:r>
    </w:p>
    <w:p>
      <w:pPr>
        <w:spacing w:after="240" w:line="240" w:lineRule="auto"/>
        <w:jc w:val="both"/>
        <w:rPr>
          <w:rFonts w:ascii="Times New Roman" w:hAnsi="Times New Roman"/>
          <w:noProof/>
          <w:sz w:val="24"/>
          <w:szCs w:val="24"/>
        </w:rPr>
      </w:pPr>
      <w:r>
        <w:rPr>
          <w:rFonts w:ascii="Times New Roman" w:hAnsi="Times New Roman"/>
          <w:i/>
          <w:noProof/>
          <w:sz w:val="24"/>
        </w:rPr>
        <w:t>Comisia Europeană și Înaltul Reprezentant invită Parlamentul European și Consiliul să aprobe și să sprijine abordarea expusă în prezenta comunicare comună și să se angajeze pe deplin în direcția unei implicări mai coerente și mai eficace a UE pentru sprijinirea RSS în țările partenere.</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993" w:right="1418" w:bottom="1134" w:left="1418"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spacing w:after="120" w:line="240" w:lineRule="auto"/>
        <w:ind w:left="284" w:hanging="284"/>
        <w:jc w:val="both"/>
        <w:rPr>
          <w:rFonts w:ascii="Times New Roman" w:hAnsi="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 xml:space="preserve">În conformitate cu orientările CAD ale OCDE privind RSS, un sector de securitate națională este considerat a include instituțiile de aplicare a legii (poliție, jandarmerie, autorități vamale, poliție de frontieră etc.), sistemul de justiție penală (și anume: instanțe penale, parchet, corecții), forțele armate, serviciile de informații, instituțiile care furnizează supraveghere politică, financiară și judiciară (ministere de resort, comitete parlamentare, curți de conturi, sistemul judiciar etc.) și actorii nestatali în materie de securitate, inclusiv autoritățile obișnuite, instanțele tradiționale, trupele de gherilă și armatele de eliberare, companiile militare și de securitate private. A se vedea </w:t>
      </w:r>
      <w:r>
        <w:rPr>
          <w:rFonts w:ascii="Times New Roman" w:hAnsi="Times New Roman"/>
          <w:i/>
          <w:sz w:val="20"/>
        </w:rPr>
        <w:t xml:space="preserve">Manualul OCDE DAC privind reforma sistemelor de securitate: sprijinirea securității și a justiției </w:t>
      </w:r>
      <w:r>
        <w:rPr>
          <w:rFonts w:ascii="Times New Roman" w:hAnsi="Times New Roman"/>
          <w:sz w:val="20"/>
        </w:rPr>
        <w:t>(OECD Publishing, Paris)</w:t>
      </w:r>
    </w:p>
  </w:footnote>
  <w:footnote w:id="3">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JOIN(2015) 50, </w:t>
      </w:r>
      <w:r>
        <w:rPr>
          <w:rFonts w:ascii="Times New Roman" w:hAnsi="Times New Roman"/>
          <w:i/>
        </w:rPr>
        <w:t>Revizuirea politicii europene de vecinătate</w:t>
      </w:r>
    </w:p>
  </w:footnote>
  <w:footnote w:id="4">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43 % dintre persoanele care trăiesc în sărăcie absolută locuiesc în țări fragile și afectate de conflicte.</w:t>
      </w:r>
    </w:p>
  </w:footnote>
  <w:footnote w:id="5">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COM(2011) 637 și Concluziile Consiliului intitulate</w:t>
      </w:r>
      <w:r>
        <w:rPr>
          <w:rFonts w:ascii="Times New Roman" w:hAnsi="Times New Roman"/>
          <w:i/>
        </w:rPr>
        <w:t xml:space="preserve"> Creșterea impactului politicii UE în domeniul dezvoltării: o agendă a schimbării,</w:t>
      </w:r>
      <w:r>
        <w:rPr>
          <w:rFonts w:ascii="Times New Roman" w:hAnsi="Times New Roman"/>
        </w:rPr>
        <w:t xml:space="preserve"> cea de a 3166-a reuniune a Consiliului Afaceri Externe, 14 mai 2012.</w:t>
      </w:r>
    </w:p>
  </w:footnote>
  <w:footnote w:id="6">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Transformarea lumii în care trăim: Agenda 2030 pentru dezvoltare durabilă</w:t>
      </w:r>
      <w:r>
        <w:rPr>
          <w:rFonts w:ascii="Times New Roman" w:hAnsi="Times New Roman"/>
        </w:rPr>
        <w:t xml:space="preserve"> (Rezoluție adoptată de Adunarea Generală a ONU la 25 septembrie 2015; UNGA A/RES/70/1); obiectivul 16: „promovarea unei societăți pacifiste și favorabile incluziunii pentru o dezvoltare durabilă, asigurarea accesului la justiție al tuturor și realizarea unor instituții eficace, responsabile și favorabile incluziunii, la toate nivelurile”.</w:t>
      </w:r>
    </w:p>
  </w:footnote>
  <w:footnote w:id="7">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conformitate cu dispozițiile tratatelor UE referitoare la acțiunea externă a UE în general (articolele 21-22 TUE), PESC/PSAC (articolele 23-46 TUE), politica de cooperare pentru dezvoltare (articolele 208-211 din TFUE) și alte politici de cooperare (articolele 212-213 din TFUE).</w:t>
      </w:r>
    </w:p>
  </w:footnote>
  <w:footnote w:id="8">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Agenda europeană privind securitatea</w:t>
      </w:r>
      <w:r>
        <w:rPr>
          <w:rFonts w:ascii="Times New Roman" w:hAnsi="Times New Roman"/>
        </w:rPr>
        <w:t>, Comunicarea Comisiei către Parlamentul European, Consiliu, Comitetul Economic și Social European și Comitetul Regiunilor [COM(2015) 185].</w:t>
      </w:r>
    </w:p>
  </w:footnote>
  <w:footnote w:id="9">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SWD(2016) 221</w:t>
      </w:r>
    </w:p>
  </w:footnote>
  <w:footnote w:id="10">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Conform documentului JOIN(2013) 30 final, sprijinul umanitar trebuie furnizat în conformitate cu modalitatea de operare specifică a acesteia, care respectă principiile umanității, neutralității, imparțialității și independenței, exclusiv pe baza necesităților populațiilor afectate.</w:t>
      </w:r>
    </w:p>
  </w:footnote>
  <w:footnote w:id="11">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Inițiativa nr. 21 din anexa I la programul de lucru al Comisiei pentru 2016 [COM(2015) 610 final].</w:t>
      </w:r>
    </w:p>
  </w:footnote>
  <w:footnote w:id="12">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Concluziile Consiliului privind PSAC</w:t>
      </w:r>
      <w:r>
        <w:rPr>
          <w:rFonts w:ascii="Times New Roman" w:hAnsi="Times New Roman"/>
        </w:rPr>
        <w:t>, Consiliul Uniunii Europene (documentul 8971/15, mai 2015).</w:t>
      </w:r>
    </w:p>
  </w:footnote>
  <w:footnote w:id="13">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JOIN(2015) 17 final, </w:t>
      </w:r>
      <w:r>
        <w:rPr>
          <w:rFonts w:ascii="Times New Roman" w:hAnsi="Times New Roman"/>
          <w:i/>
        </w:rPr>
        <w:t>Consolidarea capacităților ca sprijin pentru securitate și dezvoltare – Înzestrarea partenerilor pentru prevenirea și gestionarea crizelor.</w:t>
      </w:r>
    </w:p>
  </w:footnote>
  <w:footnote w:id="14">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JOIN (2013) 30 final, </w:t>
      </w:r>
      <w:r>
        <w:rPr>
          <w:rFonts w:ascii="Times New Roman" w:hAnsi="Times New Roman"/>
          <w:i/>
        </w:rPr>
        <w:t>Abordarea globală a UE în materie de conflicte și crize externe.</w:t>
      </w:r>
    </w:p>
  </w:footnote>
  <w:footnote w:id="15">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Un concept pentru sprijinul acordat de Comunitatea Europeană reformei sectorului de securitate</w:t>
      </w:r>
      <w:r>
        <w:rPr>
          <w:rFonts w:ascii="Times New Roman" w:hAnsi="Times New Roman"/>
        </w:rPr>
        <w:t>, Comunicarea Comisiei către Parlamentul European și Consiliu [SEC(2006) 658]; și</w:t>
      </w:r>
      <w:r>
        <w:rPr>
          <w:rFonts w:ascii="Times New Roman" w:hAnsi="Times New Roman"/>
          <w:i/>
        </w:rPr>
        <w:t xml:space="preserve"> Conceptul UE pentru sprijinul PSAC în domeniul RSS</w:t>
      </w:r>
      <w:r>
        <w:rPr>
          <w:rFonts w:ascii="Times New Roman" w:hAnsi="Times New Roman"/>
        </w:rPr>
        <w:t xml:space="preserve"> (Consiliu 12566/4/05), care a fost produs pe baza </w:t>
      </w:r>
      <w:r>
        <w:rPr>
          <w:rFonts w:ascii="Times New Roman" w:hAnsi="Times New Roman"/>
          <w:i/>
        </w:rPr>
        <w:t>Strategiei europene de securitate - O Europă sigură într-o lume mai bună</w:t>
      </w:r>
      <w:r>
        <w:rPr>
          <w:rFonts w:ascii="Times New Roman" w:hAnsi="Times New Roman"/>
        </w:rPr>
        <w:t xml:space="preserve">, adoptată de Consiliul European în decembrie 2003. </w:t>
      </w:r>
    </w:p>
  </w:footnote>
  <w:footnote w:id="16">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Viziune comună, acțiuni comune: O Europă mai puternică - O strategie globală pentru politica externă și de securitate a Uniunii Europene</w:t>
      </w:r>
      <w:r>
        <w:rPr>
          <w:rFonts w:ascii="Times New Roman" w:hAnsi="Times New Roman"/>
        </w:rPr>
        <w:t>, Înaltul Reprezentant al Uniunii pentru afaceri externe și politica de securitate, iunie 2016.</w:t>
      </w:r>
    </w:p>
  </w:footnote>
  <w:footnote w:id="17">
    <w:p>
      <w:pPr>
        <w:pStyle w:val="FootnoteText"/>
        <w:spacing w:after="120"/>
        <w:ind w:left="284" w:hanging="284"/>
        <w:jc w:val="both"/>
        <w:rPr>
          <w:rStyle w:val="FootnoteReference"/>
          <w:rFonts w:ascii="Times New Roman" w:hAnsi="Times New Roman" w:cs="Times New Roman"/>
          <w:sz w:val="22"/>
          <w:szCs w:val="22"/>
          <w:vertAlign w:val="baseline"/>
          <w:lang w:val="it-IT"/>
        </w:rPr>
      </w:pPr>
      <w:r>
        <w:rPr>
          <w:rStyle w:val="FootnoteReference"/>
          <w:rFonts w:ascii="Times New Roman" w:hAnsi="Times New Roman"/>
        </w:rPr>
        <w:footnoteRef/>
      </w:r>
      <w:r>
        <w:rPr>
          <w:rFonts w:ascii="Times New Roman" w:hAnsi="Times New Roman"/>
        </w:rPr>
        <w:t xml:space="preserve"> </w:t>
      </w:r>
      <w:r>
        <w:tab/>
      </w:r>
      <w:r>
        <w:rPr>
          <w:rStyle w:val="FootnoteReference"/>
          <w:rFonts w:ascii="Times New Roman" w:hAnsi="Times New Roman"/>
          <w:vertAlign w:val="baseline"/>
        </w:rPr>
        <w:t>COM(2015) 185 final,</w:t>
      </w:r>
      <w:r>
        <w:rPr>
          <w:rStyle w:val="FootnoteReference"/>
          <w:vertAlign w:val="baseline"/>
        </w:rPr>
        <w:t xml:space="preserve"> </w:t>
      </w:r>
      <w:r>
        <w:rPr>
          <w:rFonts w:ascii="Times New Roman" w:hAnsi="Times New Roman"/>
          <w:i/>
        </w:rPr>
        <w:t>Agenda europeană privind securitatea.</w:t>
      </w:r>
      <w:r>
        <w:t xml:space="preserve"> </w:t>
      </w:r>
    </w:p>
  </w:footnote>
  <w:footnote w:id="18">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i/>
        </w:rPr>
        <w:t xml:space="preserve"> </w:t>
      </w:r>
      <w:r>
        <w:tab/>
      </w:r>
      <w:r>
        <w:rPr>
          <w:rFonts w:ascii="Times New Roman" w:hAnsi="Times New Roman"/>
        </w:rPr>
        <w:t>De exemplu, acordul privind „actualizarea și modernizarea directivelor AOD de raportare privind cheltuielile de pace și securitate”; a se vedea comunicarea finală a reuniunii de nivel înalt (OECD CAD, 19 februarie 2016).</w:t>
      </w:r>
    </w:p>
  </w:footnote>
  <w:footnote w:id="19">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scopul prezentei comunicări, răspunsul în caz de criză nu include ajutorul umanitar.</w:t>
      </w:r>
    </w:p>
  </w:footnote>
  <w:footnote w:id="20">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se vedea documentul Consiliului 8831/16. </w:t>
      </w:r>
    </w:p>
  </w:footnote>
  <w:footnote w:id="21">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timp ce principiile subliniate în prezenta comunicare comună se aplică, de asemenea, țărilor implicate în procesul de aderare, procesul de aderare implică diferite măsuri și proceduri pentru a se asigura că țările respective îndeplinesc criteriile de aderare.</w:t>
      </w:r>
    </w:p>
  </w:footnote>
  <w:footnote w:id="22">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Începând cu libertatea de a trăi la adăpost de nevoi, de teamă, precum și libertatea de a acționa în nume propriu.</w:t>
      </w:r>
    </w:p>
  </w:footnote>
  <w:footnote w:id="23">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se vedea concluziile Consiliului privind </w:t>
      </w:r>
      <w:r>
        <w:rPr>
          <w:rFonts w:ascii="Times New Roman" w:hAnsi="Times New Roman"/>
          <w:i/>
        </w:rPr>
        <w:t>Planul de acțiune privind aspectele legate de gen</w:t>
      </w:r>
      <w:r>
        <w:rPr>
          <w:rFonts w:ascii="Times New Roman" w:hAnsi="Times New Roman"/>
        </w:rPr>
        <w:t xml:space="preserve"> 2016-2020 (documentul 13201/15).</w:t>
      </w:r>
    </w:p>
  </w:footnote>
  <w:footnote w:id="24">
    <w:p>
      <w:pPr>
        <w:pStyle w:val="FootnoteText"/>
        <w:spacing w:after="120"/>
        <w:ind w:left="284" w:hanging="284"/>
        <w:jc w:val="both"/>
        <w:rPr>
          <w:rFonts w:ascii="Times New Roman" w:hAnsi="Times New Roman" w:cs="Times New Roman"/>
          <w:lang w:val="it-I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sensul prezentului document, un sector de securitate este considerat legitim în cazul în care: i. respectă drepturile omului acceptate la nivel internațional, statul de drept și principiile democratice; ii. aplică principiile bunei guvernanțe privind transparența și deschiderea, participarea și incluziunea, responsabilitatea; și iii. luptă împotriva corupției.</w:t>
      </w:r>
    </w:p>
  </w:footnote>
  <w:footnote w:id="25">
    <w:p>
      <w:pPr>
        <w:pStyle w:val="FootnoteText"/>
        <w:spacing w:after="120"/>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Acest lucru este în conformitate cu articolele 3 și 21c din Tratatul privind Uniunea Europeană, care prevede că Uniunea, în relațiile sale cu întreaga lume, trebuie să susțină și să promoveze valorile și interesele acesteia, inclusiv democrația, statul de drept, universalitatea și indivizibilitatea drepturilor omului și a libertăților fundamentale. Tratatul de la Lisabona prevede că politicile Uniunii, inclusiv cele în domeniul relațiilor externe, trebuie să fie în conformitate cu Carta drepturilor fundamentale a UE.</w:t>
      </w:r>
    </w:p>
  </w:footnote>
  <w:footnote w:id="26">
    <w:p>
      <w:pPr>
        <w:spacing w:after="120" w:line="240" w:lineRule="auto"/>
        <w:ind w:left="284" w:hanging="284"/>
        <w:jc w:val="both"/>
        <w:rPr>
          <w:rFonts w:ascii="Times New Roman" w:hAnsi="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 xml:space="preserve">În cazul specific al puterii judiciare, ar trebui să se asigure separarea puterilor astfel încât să se garanteze independența judiciară, iar instanțele să nu facă obiectul unei influențe inadecvate din partea altor niveluri de guvernare sau a unor interese private ori partizane. </w:t>
      </w:r>
    </w:p>
  </w:footnote>
  <w:footnote w:id="27">
    <w:p>
      <w:pPr>
        <w:pStyle w:val="FootnoteText"/>
        <w:spacing w:after="120"/>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se vedea </w:t>
      </w:r>
      <w:r>
        <w:rPr>
          <w:rFonts w:ascii="Times New Roman" w:hAnsi="Times New Roman"/>
          <w:i/>
        </w:rPr>
        <w:t>Cartea albă privind guvernanța europeană</w:t>
      </w:r>
      <w:r>
        <w:rPr>
          <w:rFonts w:ascii="Times New Roman" w:hAnsi="Times New Roman"/>
        </w:rPr>
        <w:t xml:space="preserve"> [COM(2001) 428]; alte două principii ale bunei guvernanțe (eficacitate și coerență) sunt prezentate la obiectivul A și, respectiv, în capitolul 3.</w:t>
      </w:r>
    </w:p>
  </w:footnote>
  <w:footnote w:id="28">
    <w:p>
      <w:pPr>
        <w:pStyle w:val="FootnoteText"/>
        <w:spacing w:after="120"/>
        <w:ind w:left="284" w:hanging="284"/>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CSONU S/REZ/1325 (2000); CSONU S/REZ/2242 (2015) privind femeile, pacea și securitatea.</w:t>
      </w:r>
    </w:p>
  </w:footnote>
  <w:footnote w:id="29">
    <w:p>
      <w:pPr>
        <w:pStyle w:val="FootnoteText"/>
        <w:spacing w:after="120"/>
        <w:ind w:left="284" w:hanging="284"/>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Astfel cum s-a subliniat în </w:t>
      </w:r>
      <w:r>
        <w:rPr>
          <w:rFonts w:ascii="Times New Roman" w:hAnsi="Times New Roman"/>
          <w:i/>
        </w:rPr>
        <w:t>Programul de lucru Orizont 2020 pentru 2016-2017,</w:t>
      </w:r>
      <w:r>
        <w:rPr>
          <w:rFonts w:ascii="Times New Roman" w:hAnsi="Times New Roman"/>
        </w:rPr>
        <w:t xml:space="preserve"> provocarea societală 7: Societăți sigure - protejarea libertății și a securității Europei și a cetățenilor săi și provocarea societală 6: Europa într-o lume în schimbare - societăți favorabile incluziunii, inovatoare și reflexive. </w:t>
      </w:r>
    </w:p>
  </w:footnote>
  <w:footnote w:id="30">
    <w:p>
      <w:pPr>
        <w:pStyle w:val="FootnoteText"/>
        <w:spacing w:after="120"/>
        <w:ind w:left="284" w:hanging="284"/>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se vedea CAD al OCDE </w:t>
      </w:r>
      <w:r>
        <w:rPr>
          <w:rFonts w:ascii="Times New Roman" w:hAnsi="Times New Roman"/>
          <w:i/>
        </w:rPr>
        <w:t>Declarația de la Paris privind eficacitatea ajutorului</w:t>
      </w:r>
      <w:r>
        <w:rPr>
          <w:rFonts w:ascii="Times New Roman" w:hAnsi="Times New Roman"/>
        </w:rPr>
        <w:t xml:space="preserve"> (2005) și </w:t>
      </w:r>
      <w:r>
        <w:rPr>
          <w:rFonts w:ascii="Times New Roman" w:hAnsi="Times New Roman"/>
          <w:i/>
        </w:rPr>
        <w:t>Agenda pentru acțiune de la Accra</w:t>
      </w:r>
      <w:r>
        <w:rPr>
          <w:rFonts w:ascii="Times New Roman" w:hAnsi="Times New Roman"/>
        </w:rPr>
        <w:t xml:space="preserve"> (2008); </w:t>
      </w:r>
      <w:r>
        <w:rPr>
          <w:rFonts w:ascii="Times New Roman" w:hAnsi="Times New Roman"/>
          <w:i/>
        </w:rPr>
        <w:t>Parteneriatul de la Busan pentru eficacitatea cooperării pentru dezvoltare;</w:t>
      </w:r>
      <w:r>
        <w:rPr>
          <w:rFonts w:ascii="Times New Roman" w:hAnsi="Times New Roman"/>
        </w:rPr>
        <w:t xml:space="preserve"> cel de-al patrulea Forum la nivel înalt privind eficacitatea ajutorului (Busan, Republica Coreea, 29 noiembrie - 1 decembrie 2011).</w:t>
      </w:r>
    </w:p>
  </w:footnote>
  <w:footnote w:id="31">
    <w:p>
      <w:pPr>
        <w:pStyle w:val="FootnoteText"/>
        <w:spacing w:after="120"/>
        <w:ind w:left="284" w:hanging="284"/>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se vedea documentul intitulat „</w:t>
      </w:r>
      <w:r>
        <w:rPr>
          <w:rFonts w:ascii="Times New Roman" w:hAnsi="Times New Roman"/>
          <w:i/>
        </w:rPr>
        <w:t>Notă de orientare privind utilizarea analizei conflictelor în sprijinul acțiunilor externe ale UE</w:t>
      </w:r>
      <w:r>
        <w:rPr>
          <w:rFonts w:ascii="Times New Roman" w:hAnsi="Times New Roman"/>
        </w:rPr>
        <w:t>”, elaborat în comun de SEAE și de serviciile Comisiei.</w:t>
      </w:r>
    </w:p>
  </w:footnote>
  <w:footnote w:id="32">
    <w:p>
      <w:pPr>
        <w:pStyle w:val="FootnoteText"/>
        <w:spacing w:after="120"/>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Orientări privind sprijinul bugetar. Programare, concepere și gestionare – O abordare modernă a sprijinului bugetar</w:t>
      </w:r>
      <w:r>
        <w:rPr>
          <w:rFonts w:ascii="Times New Roman" w:hAnsi="Times New Roman"/>
        </w:rPr>
        <w:t>, document de lucru, Direcția Generală Dezvoltare și Cooperare - EuropeAid, Comisia Europeană, septembrie 2012.</w:t>
      </w:r>
    </w:p>
  </w:footnote>
  <w:footnote w:id="33">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De exemplu, memorandum de înțelegere, declarații comune, aranjamente etc.</w:t>
      </w:r>
    </w:p>
  </w:footnote>
  <w:footnote w:id="34">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COM(2010) 126, </w:t>
      </w:r>
      <w:r>
        <w:rPr>
          <w:rFonts w:ascii="Times New Roman" w:hAnsi="Times New Roman"/>
          <w:i/>
        </w:rPr>
        <w:t xml:space="preserve">Asistență alimentară umanitară. </w:t>
      </w:r>
    </w:p>
  </w:footnote>
  <w:footnote w:id="35">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Orientări privind sprijinul bugetar: Programare, concepere și gestionare – O abordare modernă a sprijinului bugetar</w:t>
      </w:r>
      <w:r>
        <w:rPr>
          <w:rFonts w:ascii="Times New Roman" w:hAnsi="Times New Roman"/>
        </w:rPr>
        <w:t>, document de lucru, Direcția Generală Dezvoltare și Cooperare — EuropeAid, Comisia Europeană, septembrie 2012.</w:t>
      </w:r>
    </w:p>
  </w:footnote>
  <w:footnote w:id="36">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JOIN(2015) 16</w:t>
      </w:r>
    </w:p>
  </w:footnote>
  <w:footnote w:id="37">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JOIN(2015) 17 final</w:t>
      </w:r>
    </w:p>
  </w:footnote>
  <w:footnote w:id="38">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Conceptul UE de sprijin pentru dezarmare, demobilizare și reintegrare (DDR)</w:t>
      </w:r>
      <w:r>
        <w:rPr>
          <w:rFonts w:ascii="Times New Roman" w:hAnsi="Times New Roman"/>
        </w:rPr>
        <w:t>, aprobat de Comisie la 14 decembrie 2006 și de Consiliul Uniunii Europene la 11 decembrie 2006.</w:t>
      </w:r>
    </w:p>
  </w:footnote>
  <w:footnote w:id="39">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Documentul S/2004/616 al Consiliului de Securitate al ONU.</w:t>
      </w:r>
    </w:p>
  </w:footnote>
  <w:footnote w:id="40">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Concluziile Consiliului privind sprijinul UE pentru justiția de tranziție, 16 noiembrie 2015 (13576/15).</w:t>
      </w:r>
    </w:p>
  </w:footnote>
  <w:footnote w:id="41">
    <w:p>
      <w:pPr>
        <w:pStyle w:val="FootnoteText"/>
        <w:spacing w:after="120"/>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Strategia Uniunii Europene de combatere a acumulării ilicite și a traficului ilicit de arme de calibru mic și armament ușor (SALW), precum și de muniție aferentă</w:t>
      </w:r>
      <w:r>
        <w:rPr>
          <w:rFonts w:ascii="Times New Roman" w:hAnsi="Times New Roman"/>
        </w:rPr>
        <w:t>, Concluziile Consiliului (5319/06).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74AC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00B0B"/>
    <w:multiLevelType w:val="hybridMultilevel"/>
    <w:tmpl w:val="DD6E5A3E"/>
    <w:lvl w:ilvl="0" w:tplc="080C0001">
      <w:start w:val="1"/>
      <w:numFmt w:val="bullet"/>
      <w:lvlText w:val=""/>
      <w:lvlJc w:val="left"/>
      <w:pPr>
        <w:ind w:left="720" w:hanging="360"/>
      </w:pPr>
      <w:rPr>
        <w:rFonts w:ascii="Symbol" w:hAnsi="Symbol" w:hint="default"/>
      </w:rPr>
    </w:lvl>
    <w:lvl w:ilvl="1" w:tplc="04B0387C">
      <w:numFmt w:val="bullet"/>
      <w:lvlText w:val="-"/>
      <w:lvlJc w:val="left"/>
      <w:pPr>
        <w:ind w:left="1440" w:hanging="360"/>
      </w:pPr>
      <w:rPr>
        <w:rFonts w:ascii="Arial" w:eastAsia="Calibr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5A81E8C"/>
    <w:multiLevelType w:val="multilevel"/>
    <w:tmpl w:val="D13A22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81F46D9"/>
    <w:multiLevelType w:val="hybridMultilevel"/>
    <w:tmpl w:val="67D6031A"/>
    <w:lvl w:ilvl="0" w:tplc="3DF2C38E">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79B49A1"/>
    <w:multiLevelType w:val="hybridMultilevel"/>
    <w:tmpl w:val="D4FE97F6"/>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2CFA3602"/>
    <w:multiLevelType w:val="hybridMultilevel"/>
    <w:tmpl w:val="6DC00252"/>
    <w:lvl w:ilvl="0" w:tplc="08090015">
      <w:start w:val="1"/>
      <w:numFmt w:val="upperLetter"/>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2E9074D9"/>
    <w:multiLevelType w:val="hybridMultilevel"/>
    <w:tmpl w:val="DADE04D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46BC5E41"/>
    <w:multiLevelType w:val="hybridMultilevel"/>
    <w:tmpl w:val="6D4440C4"/>
    <w:lvl w:ilvl="0" w:tplc="3DF2C38E">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4A2F25C5"/>
    <w:multiLevelType w:val="hybridMultilevel"/>
    <w:tmpl w:val="78F6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D06792"/>
    <w:multiLevelType w:val="hybridMultilevel"/>
    <w:tmpl w:val="2DE2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AD0FC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B047E66"/>
    <w:multiLevelType w:val="hybridMultilevel"/>
    <w:tmpl w:val="ACD87358"/>
    <w:lvl w:ilvl="0" w:tplc="6B144028">
      <w:start w:val="3"/>
      <w:numFmt w:val="bullet"/>
      <w:lvlText w:val="-"/>
      <w:lvlJc w:val="left"/>
      <w:pPr>
        <w:ind w:left="360" w:hanging="360"/>
      </w:pPr>
      <w:rPr>
        <w:rFonts w:ascii="Arial" w:eastAsia="Times New Roman" w:hAnsi="Arial" w:cs="Aria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6299495C"/>
    <w:multiLevelType w:val="hybridMultilevel"/>
    <w:tmpl w:val="38AA4F5C"/>
    <w:lvl w:ilvl="0" w:tplc="931AE310">
      <w:start w:val="1"/>
      <w:numFmt w:val="bullet"/>
      <w:lvlText w:val="-"/>
      <w:lvlJc w:val="left"/>
      <w:pPr>
        <w:ind w:left="360" w:hanging="360"/>
      </w:pPr>
      <w:rPr>
        <w:rFonts w:ascii="Times New Roman" w:hAnsi="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636A18F0"/>
    <w:multiLevelType w:val="hybridMultilevel"/>
    <w:tmpl w:val="CC4AAF04"/>
    <w:lvl w:ilvl="0" w:tplc="931AE310">
      <w:start w:val="1"/>
      <w:numFmt w:val="bullet"/>
      <w:lvlText w:val="-"/>
      <w:lvlJc w:val="left"/>
      <w:pPr>
        <w:ind w:left="360" w:hanging="360"/>
      </w:pPr>
      <w:rPr>
        <w:rFonts w:ascii="Times New Roman" w:hAnsi="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7B582BE2"/>
    <w:multiLevelType w:val="hybridMultilevel"/>
    <w:tmpl w:val="68725826"/>
    <w:lvl w:ilvl="0" w:tplc="931AE310">
      <w:start w:val="1"/>
      <w:numFmt w:val="bullet"/>
      <w:lvlText w:val="-"/>
      <w:lvlJc w:val="left"/>
      <w:pPr>
        <w:ind w:left="360" w:hanging="360"/>
      </w:pPr>
      <w:rPr>
        <w:rFonts w:ascii="Times New Roman" w:hAnsi="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12"/>
  </w:num>
  <w:num w:numId="4">
    <w:abstractNumId w:val="11"/>
  </w:num>
  <w:num w:numId="5">
    <w:abstractNumId w:val="2"/>
  </w:num>
  <w:num w:numId="6">
    <w:abstractNumId w:val="14"/>
  </w:num>
  <w:num w:numId="7">
    <w:abstractNumId w:val="5"/>
  </w:num>
  <w:num w:numId="8">
    <w:abstractNumId w:val="8"/>
  </w:num>
  <w:num w:numId="9">
    <w:abstractNumId w:val="9"/>
  </w:num>
  <w:num w:numId="10">
    <w:abstractNumId w:val="0"/>
  </w:num>
  <w:num w:numId="11">
    <w:abstractNumId w:val="10"/>
  </w:num>
  <w:num w:numId="12">
    <w:abstractNumId w:val="4"/>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4A2CA85DC9940B3BA5B8B8E9F6DA7E2"/>
    <w:docVar w:name="LW_CROSSREFERENCE" w:val="{SWD(2016) 221 final}"/>
    <w:docVar w:name="LW_DocType" w:val="NORMAL"/>
    <w:docVar w:name="LW_EMISSION" w:val="5.7.2016"/>
    <w:docVar w:name="LW_EMISSION_ISODATE" w:val="2016-07-05"/>
    <w:docVar w:name="LW_EMISSION_LOCATION" w:val="STR"/>
    <w:docVar w:name="LW_EMISSION_PREFIX" w:val="Strasbourg, "/>
    <w:docVar w:name="LW_EMISSION_SUFFIX" w:val=" "/>
    <w:docVar w:name="LW_ID_DOCTYPE_NONLW" w:val="CP-015"/>
    <w:docVar w:name="LW_LANGUE" w:val="RO"/>
    <w:docVar w:name="LW_MARKING" w:val="&lt;UNUSED&gt;"/>
    <w:docVar w:name="LW_NOM.INST" w:val="COMISIA EUROPEAN\u258?"/>
    <w:docVar w:name="LW_NOM.INST_JOINTDOC" w:val="ÎNALTUL REPREZENTANT AL_x000b_UNIUNII PENTRU AFACERI_x000b_ EXTERNE \u536?I POLITICA_x000b_DE SECURITATE"/>
    <w:docVar w:name="LW_PART_NBR" w:val="1"/>
    <w:docVar w:name="LW_PART_NBR_TOTAL" w:val="1"/>
    <w:docVar w:name="LW_REF.INST.NEW" w:val="JOIN"/>
    <w:docVar w:name="LW_REF.INST.NEW_ADOPTED" w:val="final"/>
    <w:docVar w:name="LW_REF.INST.NEW_TEXT" w:val="(2016) 31"/>
    <w:docVar w:name="LW_REF.INTERNE" w:val="&lt;UNUSED&gt;"/>
    <w:docVar w:name="LW_SOUS.TITRE.OBJ.CP" w:val="&lt;UNUSED&gt;"/>
    <w:docVar w:name="LW_SUPERTITRE" w:val="&lt;UNUSED&gt;"/>
    <w:docVar w:name="LW_TITRE.OBJ.CP" w:val="Elemente pentru un cadru strategic la nivelul UE pentru sprijinirea reformei sectorului de securitate"/>
    <w:docVar w:name="LW_TYPE.DOC.CP" w:val="COMUNICARE COMUN\u258? C\u258?TRE PARLAMENTUL EUROPEAN \u350?I CONSILI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1"/>
      </w:numPr>
      <w:spacing w:before="240" w:after="240" w:line="240" w:lineRule="auto"/>
      <w:outlineLvl w:val="0"/>
    </w:pPr>
    <w:rPr>
      <w:rFonts w:ascii="Arial" w:eastAsia="Times New Roman" w:hAnsi="Arial" w:cs="Arial"/>
      <w:b/>
      <w:bCs/>
      <w:kern w:val="32"/>
      <w:sz w:val="28"/>
      <w:szCs w:val="28"/>
    </w:rPr>
  </w:style>
  <w:style w:type="paragraph" w:styleId="Heading2">
    <w:name w:val="heading 2"/>
    <w:basedOn w:val="Normal"/>
    <w:next w:val="Normal"/>
    <w:link w:val="Heading2Char"/>
    <w:uiPriority w:val="9"/>
    <w:qFormat/>
    <w:pPr>
      <w:keepNext/>
      <w:numPr>
        <w:ilvl w:val="1"/>
        <w:numId w:val="11"/>
      </w:numPr>
      <w:spacing w:before="240" w:after="240" w:line="240" w:lineRule="auto"/>
      <w:outlineLvl w:val="1"/>
    </w:pPr>
    <w:rPr>
      <w:rFonts w:ascii="Arial" w:eastAsia="Times New Roman" w:hAnsi="Arial" w:cs="Arial"/>
      <w:b/>
      <w:bCs/>
      <w:i/>
      <w:iCs/>
      <w:sz w:val="24"/>
      <w:szCs w:val="24"/>
    </w:rPr>
  </w:style>
  <w:style w:type="paragraph" w:styleId="Heading3">
    <w:name w:val="heading 3"/>
    <w:basedOn w:val="Normal"/>
    <w:next w:val="Normal"/>
    <w:link w:val="Heading3Char"/>
    <w:uiPriority w:val="9"/>
    <w:qFormat/>
    <w:pPr>
      <w:keepNext/>
      <w:numPr>
        <w:ilvl w:val="2"/>
        <w:numId w:val="11"/>
      </w:numPr>
      <w:spacing w:before="240" w:after="240" w:line="240" w:lineRule="auto"/>
      <w:outlineLvl w:val="2"/>
    </w:pPr>
    <w:rPr>
      <w:rFonts w:ascii="Arial" w:eastAsia="Times New Roman" w:hAnsi="Arial" w:cs="Arial"/>
      <w:b/>
      <w:bCs/>
    </w:rPr>
  </w:style>
  <w:style w:type="paragraph" w:styleId="Heading4">
    <w:name w:val="heading 4"/>
    <w:basedOn w:val="Normal"/>
    <w:next w:val="Normal"/>
    <w:link w:val="Heading4Char"/>
    <w:uiPriority w:val="9"/>
    <w:qFormat/>
    <w:pPr>
      <w:keepNext/>
      <w:numPr>
        <w:ilvl w:val="3"/>
        <w:numId w:val="1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qFormat/>
    <w:pPr>
      <w:numPr>
        <w:ilvl w:val="4"/>
        <w:numId w:val="1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qFormat/>
    <w:pPr>
      <w:numPr>
        <w:ilvl w:val="5"/>
        <w:numId w:val="11"/>
      </w:numPr>
      <w:spacing w:before="240" w:after="60" w:line="240" w:lineRule="auto"/>
      <w:outlineLvl w:val="5"/>
    </w:pPr>
    <w:rPr>
      <w:rFonts w:eastAsia="Times New Roman"/>
      <w:b/>
      <w:bCs/>
    </w:rPr>
  </w:style>
  <w:style w:type="paragraph" w:styleId="Heading7">
    <w:name w:val="heading 7"/>
    <w:basedOn w:val="Normal"/>
    <w:next w:val="Normal"/>
    <w:link w:val="Heading7Char"/>
    <w:uiPriority w:val="9"/>
    <w:qFormat/>
    <w:pPr>
      <w:numPr>
        <w:ilvl w:val="6"/>
        <w:numId w:val="11"/>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qFormat/>
    <w:pPr>
      <w:numPr>
        <w:ilvl w:val="7"/>
        <w:numId w:val="11"/>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qFormat/>
    <w:pPr>
      <w:numPr>
        <w:ilvl w:val="8"/>
        <w:numId w:val="11"/>
      </w:numPr>
      <w:spacing w:before="240" w:after="60" w:line="240" w:lineRule="auto"/>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ro-RO"/>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ro-R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Arial" w:eastAsia="Times New Roman" w:hAnsi="Arial" w:cs="Arial"/>
      <w:b/>
      <w:bCs/>
      <w:kern w:val="32"/>
      <w:sz w:val="28"/>
      <w:szCs w:val="28"/>
      <w:lang w:val="ro-RO" w:eastAsia="ro-RO"/>
    </w:rPr>
  </w:style>
  <w:style w:type="character" w:customStyle="1" w:styleId="Heading2Char">
    <w:name w:val="Heading 2 Char"/>
    <w:link w:val="Heading2"/>
    <w:uiPriority w:val="9"/>
    <w:rPr>
      <w:rFonts w:ascii="Arial" w:eastAsia="Times New Roman" w:hAnsi="Arial" w:cs="Arial"/>
      <w:b/>
      <w:bCs/>
      <w:i/>
      <w:iCs/>
      <w:sz w:val="24"/>
      <w:szCs w:val="24"/>
      <w:lang w:val="ro-RO" w:eastAsia="ro-RO"/>
    </w:rPr>
  </w:style>
  <w:style w:type="character" w:customStyle="1" w:styleId="Heading3Char">
    <w:name w:val="Heading 3 Char"/>
    <w:link w:val="Heading3"/>
    <w:uiPriority w:val="9"/>
    <w:rPr>
      <w:rFonts w:ascii="Arial" w:eastAsia="Times New Roman" w:hAnsi="Arial" w:cs="Arial"/>
      <w:b/>
      <w:bCs/>
      <w:sz w:val="22"/>
      <w:szCs w:val="22"/>
      <w:lang w:val="ro-RO" w:eastAsia="ro-RO"/>
    </w:rPr>
  </w:style>
  <w:style w:type="character" w:customStyle="1" w:styleId="Heading4Char">
    <w:name w:val="Heading 4 Char"/>
    <w:link w:val="Heading4"/>
    <w:uiPriority w:val="9"/>
    <w:rPr>
      <w:rFonts w:eastAsia="Times New Roman"/>
      <w:b/>
      <w:bCs/>
      <w:sz w:val="28"/>
      <w:szCs w:val="28"/>
      <w:lang w:val="ro-RO" w:eastAsia="ro-RO"/>
    </w:rPr>
  </w:style>
  <w:style w:type="character" w:customStyle="1" w:styleId="Heading5Char">
    <w:name w:val="Heading 5 Char"/>
    <w:link w:val="Heading5"/>
    <w:uiPriority w:val="9"/>
    <w:rPr>
      <w:rFonts w:eastAsia="Times New Roman"/>
      <w:b/>
      <w:bCs/>
      <w:i/>
      <w:iCs/>
      <w:sz w:val="26"/>
      <w:szCs w:val="26"/>
      <w:lang w:val="ro-RO" w:eastAsia="ro-RO"/>
    </w:rPr>
  </w:style>
  <w:style w:type="character" w:customStyle="1" w:styleId="Heading6Char">
    <w:name w:val="Heading 6 Char"/>
    <w:link w:val="Heading6"/>
    <w:uiPriority w:val="9"/>
    <w:rPr>
      <w:rFonts w:eastAsia="Times New Roman"/>
      <w:b/>
      <w:bCs/>
      <w:sz w:val="22"/>
      <w:szCs w:val="22"/>
      <w:lang w:val="ro-RO" w:eastAsia="ro-RO"/>
    </w:rPr>
  </w:style>
  <w:style w:type="character" w:customStyle="1" w:styleId="Heading7Char">
    <w:name w:val="Heading 7 Char"/>
    <w:link w:val="Heading7"/>
    <w:uiPriority w:val="9"/>
    <w:rPr>
      <w:rFonts w:eastAsia="Times New Roman"/>
      <w:sz w:val="24"/>
      <w:szCs w:val="24"/>
      <w:lang w:val="ro-RO" w:eastAsia="ro-RO"/>
    </w:rPr>
  </w:style>
  <w:style w:type="character" w:customStyle="1" w:styleId="Heading8Char">
    <w:name w:val="Heading 8 Char"/>
    <w:link w:val="Heading8"/>
    <w:uiPriority w:val="9"/>
    <w:rPr>
      <w:rFonts w:eastAsia="Times New Roman"/>
      <w:i/>
      <w:iCs/>
      <w:sz w:val="24"/>
      <w:szCs w:val="24"/>
      <w:lang w:val="ro-RO" w:eastAsia="ro-RO"/>
    </w:rPr>
  </w:style>
  <w:style w:type="character" w:customStyle="1" w:styleId="Heading9Char">
    <w:name w:val="Heading 9 Char"/>
    <w:link w:val="Heading9"/>
    <w:uiPriority w:val="9"/>
    <w:rPr>
      <w:rFonts w:ascii="Cambria" w:eastAsia="Times New Roman" w:hAnsi="Cambria"/>
      <w:sz w:val="22"/>
      <w:szCs w:val="22"/>
      <w:lang w:val="ro-RO" w:eastAsia="ro-RO"/>
    </w:rPr>
  </w:style>
  <w:style w:type="numbering" w:customStyle="1" w:styleId="NoList1">
    <w:name w:val="No List1"/>
    <w:next w:val="NoList"/>
    <w:uiPriority w:val="99"/>
    <w:semiHidden/>
    <w:unhideWhenUsed/>
  </w:style>
  <w:style w:type="paragraph" w:customStyle="1" w:styleId="TOCHeading1">
    <w:name w:val="TOC Heading1"/>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TOCHeading2">
    <w:name w:val="TOC Heading2"/>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TOCHeading3">
    <w:name w:val="TOC Heading3"/>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TOCHeading4">
    <w:name w:val="TOC Heading4"/>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Pr>
      <w:sz w:val="18"/>
      <w:szCs w:val="18"/>
    </w:rPr>
  </w:style>
  <w:style w:type="paragraph" w:styleId="TOC1">
    <w:name w:val="toc 1"/>
    <w:basedOn w:val="Normal"/>
    <w:next w:val="Normal"/>
    <w:autoRedefine/>
    <w:uiPriority w:val="39"/>
    <w:pPr>
      <w:tabs>
        <w:tab w:val="left" w:pos="400"/>
        <w:tab w:val="right" w:leader="dot" w:pos="9062"/>
      </w:tabs>
      <w:spacing w:before="240" w:after="120" w:line="240" w:lineRule="auto"/>
    </w:pPr>
    <w:rPr>
      <w:rFonts w:ascii="Times New Roman" w:hAnsi="Times New Roman"/>
      <w:b/>
      <w:bCs/>
      <w:caps/>
      <w:noProof/>
      <w:sz w:val="20"/>
      <w:szCs w:val="20"/>
    </w:rPr>
  </w:style>
  <w:style w:type="paragraph" w:styleId="TOC2">
    <w:name w:val="toc 2"/>
    <w:basedOn w:val="Normal"/>
    <w:next w:val="Normal"/>
    <w:autoRedefine/>
    <w:uiPriority w:val="39"/>
    <w:pPr>
      <w:spacing w:after="0" w:line="240" w:lineRule="auto"/>
      <w:ind w:left="200"/>
    </w:pPr>
    <w:rPr>
      <w:rFonts w:ascii="Times New Roman" w:hAnsi="Times New Roman"/>
      <w:smallCaps/>
      <w:sz w:val="20"/>
      <w:szCs w:val="20"/>
    </w:rPr>
  </w:style>
  <w:style w:type="paragraph" w:styleId="TOC3">
    <w:name w:val="toc 3"/>
    <w:basedOn w:val="Normal"/>
    <w:next w:val="Normal"/>
    <w:autoRedefine/>
    <w:uiPriority w:val="39"/>
    <w:pPr>
      <w:spacing w:after="0" w:line="240" w:lineRule="auto"/>
      <w:ind w:left="400"/>
    </w:pPr>
    <w:rPr>
      <w:rFonts w:ascii="Times New Roman" w:hAnsi="Times New Roman"/>
      <w:i/>
      <w:iCs/>
      <w:sz w:val="20"/>
      <w:szCs w:val="20"/>
    </w:rPr>
  </w:style>
  <w:style w:type="paragraph" w:styleId="TOC4">
    <w:name w:val="toc 4"/>
    <w:basedOn w:val="Normal"/>
    <w:next w:val="Normal"/>
    <w:autoRedefine/>
    <w:semiHidden/>
    <w:pPr>
      <w:spacing w:after="0" w:line="240" w:lineRule="auto"/>
      <w:ind w:left="600"/>
    </w:pPr>
    <w:rPr>
      <w:rFonts w:ascii="Times New Roman" w:hAnsi="Times New Roman"/>
      <w:sz w:val="18"/>
      <w:szCs w:val="18"/>
    </w:rPr>
  </w:style>
  <w:style w:type="paragraph" w:styleId="TOC5">
    <w:name w:val="toc 5"/>
    <w:basedOn w:val="Normal"/>
    <w:next w:val="Normal"/>
    <w:autoRedefine/>
    <w:semiHidden/>
    <w:pPr>
      <w:spacing w:after="0" w:line="240" w:lineRule="auto"/>
      <w:ind w:left="800"/>
    </w:pPr>
    <w:rPr>
      <w:rFonts w:ascii="Times New Roman" w:hAnsi="Times New Roman"/>
      <w:sz w:val="18"/>
      <w:szCs w:val="18"/>
    </w:rPr>
  </w:style>
  <w:style w:type="paragraph" w:styleId="TOC6">
    <w:name w:val="toc 6"/>
    <w:basedOn w:val="Normal"/>
    <w:next w:val="Normal"/>
    <w:autoRedefine/>
    <w:semiHidden/>
    <w:pPr>
      <w:spacing w:after="0" w:line="240" w:lineRule="auto"/>
      <w:ind w:left="1000"/>
    </w:pPr>
    <w:rPr>
      <w:rFonts w:ascii="Times New Roman" w:hAnsi="Times New Roman"/>
      <w:sz w:val="18"/>
      <w:szCs w:val="18"/>
    </w:rPr>
  </w:style>
  <w:style w:type="paragraph" w:styleId="TOC7">
    <w:name w:val="toc 7"/>
    <w:basedOn w:val="Normal"/>
    <w:next w:val="Normal"/>
    <w:autoRedefine/>
    <w:semiHidden/>
    <w:pPr>
      <w:spacing w:after="0" w:line="240" w:lineRule="auto"/>
      <w:ind w:left="1200"/>
    </w:pPr>
    <w:rPr>
      <w:rFonts w:ascii="Times New Roman" w:hAnsi="Times New Roman"/>
      <w:sz w:val="18"/>
      <w:szCs w:val="18"/>
    </w:rPr>
  </w:style>
  <w:style w:type="paragraph" w:styleId="TOC8">
    <w:name w:val="toc 8"/>
    <w:basedOn w:val="Normal"/>
    <w:next w:val="Normal"/>
    <w:autoRedefine/>
    <w:semiHidden/>
    <w:pPr>
      <w:spacing w:after="0" w:line="240" w:lineRule="auto"/>
      <w:ind w:left="1400"/>
    </w:pPr>
    <w:rPr>
      <w:rFonts w:ascii="Times New Roman" w:hAnsi="Times New Roman"/>
      <w:sz w:val="18"/>
      <w:szCs w:val="18"/>
    </w:rPr>
  </w:style>
  <w:style w:type="paragraph" w:styleId="TOC9">
    <w:name w:val="toc 9"/>
    <w:basedOn w:val="Normal"/>
    <w:next w:val="Normal"/>
    <w:autoRedefine/>
    <w:semiHidden/>
    <w:pPr>
      <w:spacing w:after="0" w:line="240" w:lineRule="auto"/>
      <w:ind w:left="1600"/>
    </w:pPr>
    <w:rPr>
      <w:rFonts w:ascii="Times New Roman" w:hAnsi="Times New Roman"/>
      <w:sz w:val="18"/>
      <w:szCs w:val="18"/>
    </w:rPr>
  </w:style>
  <w:style w:type="character" w:styleId="Hyperlink">
    <w:name w:val="Hyperlink"/>
    <w:uiPriority w:val="99"/>
    <w:rPr>
      <w:color w:val="0000FF"/>
      <w:u w:val="single"/>
    </w:rPr>
  </w:style>
  <w:style w:type="paragraph" w:styleId="FootnoteText">
    <w:name w:val="footnote text"/>
    <w:basedOn w:val="Normal"/>
    <w:link w:val="FootnoteTextChar"/>
    <w:uiPriority w:val="99"/>
    <w:unhideWhenUsed/>
    <w:pPr>
      <w:spacing w:after="0" w:line="240" w:lineRule="auto"/>
    </w:pPr>
    <w:rPr>
      <w:rFonts w:ascii="Arial" w:hAnsi="Arial" w:cs="Arial"/>
      <w:sz w:val="20"/>
      <w:szCs w:val="20"/>
    </w:rPr>
  </w:style>
  <w:style w:type="character" w:customStyle="1" w:styleId="FootnoteTextChar">
    <w:name w:val="Footnote Text Char"/>
    <w:link w:val="FootnoteText"/>
    <w:uiPriority w:val="99"/>
    <w:rPr>
      <w:rFonts w:ascii="Arial" w:hAnsi="Arial" w:cs="Arial"/>
      <w:lang w:val="ro-RO" w:eastAsia="ro-RO"/>
    </w:rPr>
  </w:style>
  <w:style w:type="character" w:styleId="FootnoteReference">
    <w:name w:val="footnote reference"/>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ro-RO" w:eastAsia="ro-RO"/>
    </w:rPr>
  </w:style>
  <w:style w:type="paragraph" w:customStyle="1" w:styleId="TOCHeading5">
    <w:name w:val="TOC Heading5"/>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rPr>
  </w:style>
  <w:style w:type="paragraph" w:styleId="CommentText">
    <w:name w:val="annotation text"/>
    <w:basedOn w:val="Normal"/>
    <w:link w:val="CommentTextChar"/>
    <w:uiPriority w:val="99"/>
    <w:unhideWhenUsed/>
    <w:pPr>
      <w:spacing w:after="0" w:line="240" w:lineRule="auto"/>
    </w:pPr>
    <w:rPr>
      <w:rFonts w:ascii="Arial" w:hAnsi="Arial" w:cs="Arial"/>
      <w:sz w:val="24"/>
      <w:szCs w:val="24"/>
    </w:rPr>
  </w:style>
  <w:style w:type="character" w:customStyle="1" w:styleId="CommentTextChar">
    <w:name w:val="Comment Text Char"/>
    <w:link w:val="CommentText"/>
    <w:uiPriority w:val="99"/>
    <w:rPr>
      <w:rFonts w:ascii="Arial" w:hAnsi="Arial" w:cs="Arial"/>
      <w:sz w:val="24"/>
      <w:szCs w:val="24"/>
      <w:lang w:val="ro-RO" w:eastAsia="ro-RO"/>
    </w:rPr>
  </w:style>
  <w:style w:type="character" w:styleId="Strong">
    <w:name w:val="Strong"/>
    <w:uiPriority w:val="22"/>
    <w:qFormat/>
    <w:rPr>
      <w:b/>
      <w:bC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link w:val="CommentSubject"/>
    <w:uiPriority w:val="99"/>
    <w:semiHidden/>
    <w:rPr>
      <w:rFonts w:ascii="Arial" w:hAnsi="Arial" w:cs="Arial"/>
      <w:b/>
      <w:bCs/>
      <w:sz w:val="24"/>
      <w:szCs w:val="24"/>
      <w:lang w:val="ro-RO" w:eastAsia="ro-RO"/>
    </w:rPr>
  </w:style>
  <w:style w:type="paragraph" w:customStyle="1" w:styleId="ColorfulShading-Accent11">
    <w:name w:val="Colorful Shading - Accent 11"/>
    <w:hidden/>
    <w:uiPriority w:val="99"/>
    <w:semiHidden/>
    <w:rPr>
      <w:rFonts w:ascii="Arial" w:hAnsi="Arial" w:cs="Arial"/>
    </w:rPr>
  </w:style>
  <w:style w:type="paragraph" w:customStyle="1" w:styleId="MediumGrid21">
    <w:name w:val="Medium Grid 21"/>
    <w:uiPriority w:val="1"/>
    <w:qFormat/>
    <w:rPr>
      <w:rFonts w:ascii="Arial" w:hAnsi="Arial" w:cs="Arial"/>
    </w:rPr>
  </w:style>
  <w:style w:type="character" w:customStyle="1" w:styleId="talk-transcriptparatext">
    <w:name w:val="talk-transcript__para__text"/>
  </w:style>
  <w:style w:type="character" w:customStyle="1" w:styleId="talk-transcriptfragment">
    <w:name w:val="talk-transcript__fragme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pPr>
      <w:spacing w:after="0" w:line="240" w:lineRule="auto"/>
    </w:pPr>
    <w:rPr>
      <w:rFonts w:cs="Consolas"/>
      <w:szCs w:val="21"/>
    </w:rPr>
  </w:style>
  <w:style w:type="character" w:customStyle="1" w:styleId="PlainTextChar">
    <w:name w:val="Plain Text Char"/>
    <w:link w:val="PlainText"/>
    <w:uiPriority w:val="99"/>
    <w:rPr>
      <w:rFonts w:cs="Consolas"/>
      <w:sz w:val="22"/>
      <w:szCs w:val="21"/>
      <w:lang w:val="ro-RO" w:eastAsia="ro-RO"/>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Arial" w:hAnsi="Arial" w:cs="Arial"/>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1"/>
      </w:numPr>
      <w:spacing w:before="240" w:after="240" w:line="240" w:lineRule="auto"/>
      <w:outlineLvl w:val="0"/>
    </w:pPr>
    <w:rPr>
      <w:rFonts w:ascii="Arial" w:eastAsia="Times New Roman" w:hAnsi="Arial" w:cs="Arial"/>
      <w:b/>
      <w:bCs/>
      <w:kern w:val="32"/>
      <w:sz w:val="28"/>
      <w:szCs w:val="28"/>
    </w:rPr>
  </w:style>
  <w:style w:type="paragraph" w:styleId="Heading2">
    <w:name w:val="heading 2"/>
    <w:basedOn w:val="Normal"/>
    <w:next w:val="Normal"/>
    <w:link w:val="Heading2Char"/>
    <w:uiPriority w:val="9"/>
    <w:qFormat/>
    <w:pPr>
      <w:keepNext/>
      <w:numPr>
        <w:ilvl w:val="1"/>
        <w:numId w:val="11"/>
      </w:numPr>
      <w:spacing w:before="240" w:after="240" w:line="240" w:lineRule="auto"/>
      <w:outlineLvl w:val="1"/>
    </w:pPr>
    <w:rPr>
      <w:rFonts w:ascii="Arial" w:eastAsia="Times New Roman" w:hAnsi="Arial" w:cs="Arial"/>
      <w:b/>
      <w:bCs/>
      <w:i/>
      <w:iCs/>
      <w:sz w:val="24"/>
      <w:szCs w:val="24"/>
    </w:rPr>
  </w:style>
  <w:style w:type="paragraph" w:styleId="Heading3">
    <w:name w:val="heading 3"/>
    <w:basedOn w:val="Normal"/>
    <w:next w:val="Normal"/>
    <w:link w:val="Heading3Char"/>
    <w:uiPriority w:val="9"/>
    <w:qFormat/>
    <w:pPr>
      <w:keepNext/>
      <w:numPr>
        <w:ilvl w:val="2"/>
        <w:numId w:val="11"/>
      </w:numPr>
      <w:spacing w:before="240" w:after="240" w:line="240" w:lineRule="auto"/>
      <w:outlineLvl w:val="2"/>
    </w:pPr>
    <w:rPr>
      <w:rFonts w:ascii="Arial" w:eastAsia="Times New Roman" w:hAnsi="Arial" w:cs="Arial"/>
      <w:b/>
      <w:bCs/>
    </w:rPr>
  </w:style>
  <w:style w:type="paragraph" w:styleId="Heading4">
    <w:name w:val="heading 4"/>
    <w:basedOn w:val="Normal"/>
    <w:next w:val="Normal"/>
    <w:link w:val="Heading4Char"/>
    <w:uiPriority w:val="9"/>
    <w:qFormat/>
    <w:pPr>
      <w:keepNext/>
      <w:numPr>
        <w:ilvl w:val="3"/>
        <w:numId w:val="1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qFormat/>
    <w:pPr>
      <w:numPr>
        <w:ilvl w:val="4"/>
        <w:numId w:val="1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qFormat/>
    <w:pPr>
      <w:numPr>
        <w:ilvl w:val="5"/>
        <w:numId w:val="11"/>
      </w:numPr>
      <w:spacing w:before="240" w:after="60" w:line="240" w:lineRule="auto"/>
      <w:outlineLvl w:val="5"/>
    </w:pPr>
    <w:rPr>
      <w:rFonts w:eastAsia="Times New Roman"/>
      <w:b/>
      <w:bCs/>
    </w:rPr>
  </w:style>
  <w:style w:type="paragraph" w:styleId="Heading7">
    <w:name w:val="heading 7"/>
    <w:basedOn w:val="Normal"/>
    <w:next w:val="Normal"/>
    <w:link w:val="Heading7Char"/>
    <w:uiPriority w:val="9"/>
    <w:qFormat/>
    <w:pPr>
      <w:numPr>
        <w:ilvl w:val="6"/>
        <w:numId w:val="11"/>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qFormat/>
    <w:pPr>
      <w:numPr>
        <w:ilvl w:val="7"/>
        <w:numId w:val="11"/>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qFormat/>
    <w:pPr>
      <w:numPr>
        <w:ilvl w:val="8"/>
        <w:numId w:val="11"/>
      </w:numPr>
      <w:spacing w:before="240" w:after="60" w:line="240" w:lineRule="auto"/>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ro-RO"/>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ro-R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Arial" w:eastAsia="Times New Roman" w:hAnsi="Arial" w:cs="Arial"/>
      <w:b/>
      <w:bCs/>
      <w:kern w:val="32"/>
      <w:sz w:val="28"/>
      <w:szCs w:val="28"/>
      <w:lang w:val="ro-RO" w:eastAsia="ro-RO"/>
    </w:rPr>
  </w:style>
  <w:style w:type="character" w:customStyle="1" w:styleId="Heading2Char">
    <w:name w:val="Heading 2 Char"/>
    <w:link w:val="Heading2"/>
    <w:uiPriority w:val="9"/>
    <w:rPr>
      <w:rFonts w:ascii="Arial" w:eastAsia="Times New Roman" w:hAnsi="Arial" w:cs="Arial"/>
      <w:b/>
      <w:bCs/>
      <w:i/>
      <w:iCs/>
      <w:sz w:val="24"/>
      <w:szCs w:val="24"/>
      <w:lang w:val="ro-RO" w:eastAsia="ro-RO"/>
    </w:rPr>
  </w:style>
  <w:style w:type="character" w:customStyle="1" w:styleId="Heading3Char">
    <w:name w:val="Heading 3 Char"/>
    <w:link w:val="Heading3"/>
    <w:uiPriority w:val="9"/>
    <w:rPr>
      <w:rFonts w:ascii="Arial" w:eastAsia="Times New Roman" w:hAnsi="Arial" w:cs="Arial"/>
      <w:b/>
      <w:bCs/>
      <w:sz w:val="22"/>
      <w:szCs w:val="22"/>
      <w:lang w:val="ro-RO" w:eastAsia="ro-RO"/>
    </w:rPr>
  </w:style>
  <w:style w:type="character" w:customStyle="1" w:styleId="Heading4Char">
    <w:name w:val="Heading 4 Char"/>
    <w:link w:val="Heading4"/>
    <w:uiPriority w:val="9"/>
    <w:rPr>
      <w:rFonts w:eastAsia="Times New Roman"/>
      <w:b/>
      <w:bCs/>
      <w:sz w:val="28"/>
      <w:szCs w:val="28"/>
      <w:lang w:val="ro-RO" w:eastAsia="ro-RO"/>
    </w:rPr>
  </w:style>
  <w:style w:type="character" w:customStyle="1" w:styleId="Heading5Char">
    <w:name w:val="Heading 5 Char"/>
    <w:link w:val="Heading5"/>
    <w:uiPriority w:val="9"/>
    <w:rPr>
      <w:rFonts w:eastAsia="Times New Roman"/>
      <w:b/>
      <w:bCs/>
      <w:i/>
      <w:iCs/>
      <w:sz w:val="26"/>
      <w:szCs w:val="26"/>
      <w:lang w:val="ro-RO" w:eastAsia="ro-RO"/>
    </w:rPr>
  </w:style>
  <w:style w:type="character" w:customStyle="1" w:styleId="Heading6Char">
    <w:name w:val="Heading 6 Char"/>
    <w:link w:val="Heading6"/>
    <w:uiPriority w:val="9"/>
    <w:rPr>
      <w:rFonts w:eastAsia="Times New Roman"/>
      <w:b/>
      <w:bCs/>
      <w:sz w:val="22"/>
      <w:szCs w:val="22"/>
      <w:lang w:val="ro-RO" w:eastAsia="ro-RO"/>
    </w:rPr>
  </w:style>
  <w:style w:type="character" w:customStyle="1" w:styleId="Heading7Char">
    <w:name w:val="Heading 7 Char"/>
    <w:link w:val="Heading7"/>
    <w:uiPriority w:val="9"/>
    <w:rPr>
      <w:rFonts w:eastAsia="Times New Roman"/>
      <w:sz w:val="24"/>
      <w:szCs w:val="24"/>
      <w:lang w:val="ro-RO" w:eastAsia="ro-RO"/>
    </w:rPr>
  </w:style>
  <w:style w:type="character" w:customStyle="1" w:styleId="Heading8Char">
    <w:name w:val="Heading 8 Char"/>
    <w:link w:val="Heading8"/>
    <w:uiPriority w:val="9"/>
    <w:rPr>
      <w:rFonts w:eastAsia="Times New Roman"/>
      <w:i/>
      <w:iCs/>
      <w:sz w:val="24"/>
      <w:szCs w:val="24"/>
      <w:lang w:val="ro-RO" w:eastAsia="ro-RO"/>
    </w:rPr>
  </w:style>
  <w:style w:type="character" w:customStyle="1" w:styleId="Heading9Char">
    <w:name w:val="Heading 9 Char"/>
    <w:link w:val="Heading9"/>
    <w:uiPriority w:val="9"/>
    <w:rPr>
      <w:rFonts w:ascii="Cambria" w:eastAsia="Times New Roman" w:hAnsi="Cambria"/>
      <w:sz w:val="22"/>
      <w:szCs w:val="22"/>
      <w:lang w:val="ro-RO" w:eastAsia="ro-RO"/>
    </w:rPr>
  </w:style>
  <w:style w:type="numbering" w:customStyle="1" w:styleId="NoList1">
    <w:name w:val="No List1"/>
    <w:next w:val="NoList"/>
    <w:uiPriority w:val="99"/>
    <w:semiHidden/>
    <w:unhideWhenUsed/>
  </w:style>
  <w:style w:type="paragraph" w:customStyle="1" w:styleId="TOCHeading1">
    <w:name w:val="TOC Heading1"/>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TOCHeading2">
    <w:name w:val="TOC Heading2"/>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TOCHeading3">
    <w:name w:val="TOC Heading3"/>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TOCHeading4">
    <w:name w:val="TOC Heading4"/>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Pr>
      <w:sz w:val="18"/>
      <w:szCs w:val="18"/>
    </w:rPr>
  </w:style>
  <w:style w:type="paragraph" w:styleId="TOC1">
    <w:name w:val="toc 1"/>
    <w:basedOn w:val="Normal"/>
    <w:next w:val="Normal"/>
    <w:autoRedefine/>
    <w:uiPriority w:val="39"/>
    <w:pPr>
      <w:tabs>
        <w:tab w:val="left" w:pos="400"/>
        <w:tab w:val="right" w:leader="dot" w:pos="9062"/>
      </w:tabs>
      <w:spacing w:before="240" w:after="120" w:line="240" w:lineRule="auto"/>
    </w:pPr>
    <w:rPr>
      <w:rFonts w:ascii="Times New Roman" w:hAnsi="Times New Roman"/>
      <w:b/>
      <w:bCs/>
      <w:caps/>
      <w:noProof/>
      <w:sz w:val="20"/>
      <w:szCs w:val="20"/>
    </w:rPr>
  </w:style>
  <w:style w:type="paragraph" w:styleId="TOC2">
    <w:name w:val="toc 2"/>
    <w:basedOn w:val="Normal"/>
    <w:next w:val="Normal"/>
    <w:autoRedefine/>
    <w:uiPriority w:val="39"/>
    <w:pPr>
      <w:spacing w:after="0" w:line="240" w:lineRule="auto"/>
      <w:ind w:left="200"/>
    </w:pPr>
    <w:rPr>
      <w:rFonts w:ascii="Times New Roman" w:hAnsi="Times New Roman"/>
      <w:smallCaps/>
      <w:sz w:val="20"/>
      <w:szCs w:val="20"/>
    </w:rPr>
  </w:style>
  <w:style w:type="paragraph" w:styleId="TOC3">
    <w:name w:val="toc 3"/>
    <w:basedOn w:val="Normal"/>
    <w:next w:val="Normal"/>
    <w:autoRedefine/>
    <w:uiPriority w:val="39"/>
    <w:pPr>
      <w:spacing w:after="0" w:line="240" w:lineRule="auto"/>
      <w:ind w:left="400"/>
    </w:pPr>
    <w:rPr>
      <w:rFonts w:ascii="Times New Roman" w:hAnsi="Times New Roman"/>
      <w:i/>
      <w:iCs/>
      <w:sz w:val="20"/>
      <w:szCs w:val="20"/>
    </w:rPr>
  </w:style>
  <w:style w:type="paragraph" w:styleId="TOC4">
    <w:name w:val="toc 4"/>
    <w:basedOn w:val="Normal"/>
    <w:next w:val="Normal"/>
    <w:autoRedefine/>
    <w:semiHidden/>
    <w:pPr>
      <w:spacing w:after="0" w:line="240" w:lineRule="auto"/>
      <w:ind w:left="600"/>
    </w:pPr>
    <w:rPr>
      <w:rFonts w:ascii="Times New Roman" w:hAnsi="Times New Roman"/>
      <w:sz w:val="18"/>
      <w:szCs w:val="18"/>
    </w:rPr>
  </w:style>
  <w:style w:type="paragraph" w:styleId="TOC5">
    <w:name w:val="toc 5"/>
    <w:basedOn w:val="Normal"/>
    <w:next w:val="Normal"/>
    <w:autoRedefine/>
    <w:semiHidden/>
    <w:pPr>
      <w:spacing w:after="0" w:line="240" w:lineRule="auto"/>
      <w:ind w:left="800"/>
    </w:pPr>
    <w:rPr>
      <w:rFonts w:ascii="Times New Roman" w:hAnsi="Times New Roman"/>
      <w:sz w:val="18"/>
      <w:szCs w:val="18"/>
    </w:rPr>
  </w:style>
  <w:style w:type="paragraph" w:styleId="TOC6">
    <w:name w:val="toc 6"/>
    <w:basedOn w:val="Normal"/>
    <w:next w:val="Normal"/>
    <w:autoRedefine/>
    <w:semiHidden/>
    <w:pPr>
      <w:spacing w:after="0" w:line="240" w:lineRule="auto"/>
      <w:ind w:left="1000"/>
    </w:pPr>
    <w:rPr>
      <w:rFonts w:ascii="Times New Roman" w:hAnsi="Times New Roman"/>
      <w:sz w:val="18"/>
      <w:szCs w:val="18"/>
    </w:rPr>
  </w:style>
  <w:style w:type="paragraph" w:styleId="TOC7">
    <w:name w:val="toc 7"/>
    <w:basedOn w:val="Normal"/>
    <w:next w:val="Normal"/>
    <w:autoRedefine/>
    <w:semiHidden/>
    <w:pPr>
      <w:spacing w:after="0" w:line="240" w:lineRule="auto"/>
      <w:ind w:left="1200"/>
    </w:pPr>
    <w:rPr>
      <w:rFonts w:ascii="Times New Roman" w:hAnsi="Times New Roman"/>
      <w:sz w:val="18"/>
      <w:szCs w:val="18"/>
    </w:rPr>
  </w:style>
  <w:style w:type="paragraph" w:styleId="TOC8">
    <w:name w:val="toc 8"/>
    <w:basedOn w:val="Normal"/>
    <w:next w:val="Normal"/>
    <w:autoRedefine/>
    <w:semiHidden/>
    <w:pPr>
      <w:spacing w:after="0" w:line="240" w:lineRule="auto"/>
      <w:ind w:left="1400"/>
    </w:pPr>
    <w:rPr>
      <w:rFonts w:ascii="Times New Roman" w:hAnsi="Times New Roman"/>
      <w:sz w:val="18"/>
      <w:szCs w:val="18"/>
    </w:rPr>
  </w:style>
  <w:style w:type="paragraph" w:styleId="TOC9">
    <w:name w:val="toc 9"/>
    <w:basedOn w:val="Normal"/>
    <w:next w:val="Normal"/>
    <w:autoRedefine/>
    <w:semiHidden/>
    <w:pPr>
      <w:spacing w:after="0" w:line="240" w:lineRule="auto"/>
      <w:ind w:left="1600"/>
    </w:pPr>
    <w:rPr>
      <w:rFonts w:ascii="Times New Roman" w:hAnsi="Times New Roman"/>
      <w:sz w:val="18"/>
      <w:szCs w:val="18"/>
    </w:rPr>
  </w:style>
  <w:style w:type="character" w:styleId="Hyperlink">
    <w:name w:val="Hyperlink"/>
    <w:uiPriority w:val="99"/>
    <w:rPr>
      <w:color w:val="0000FF"/>
      <w:u w:val="single"/>
    </w:rPr>
  </w:style>
  <w:style w:type="paragraph" w:styleId="FootnoteText">
    <w:name w:val="footnote text"/>
    <w:basedOn w:val="Normal"/>
    <w:link w:val="FootnoteTextChar"/>
    <w:uiPriority w:val="99"/>
    <w:unhideWhenUsed/>
    <w:pPr>
      <w:spacing w:after="0" w:line="240" w:lineRule="auto"/>
    </w:pPr>
    <w:rPr>
      <w:rFonts w:ascii="Arial" w:hAnsi="Arial" w:cs="Arial"/>
      <w:sz w:val="20"/>
      <w:szCs w:val="20"/>
    </w:rPr>
  </w:style>
  <w:style w:type="character" w:customStyle="1" w:styleId="FootnoteTextChar">
    <w:name w:val="Footnote Text Char"/>
    <w:link w:val="FootnoteText"/>
    <w:uiPriority w:val="99"/>
    <w:rPr>
      <w:rFonts w:ascii="Arial" w:hAnsi="Arial" w:cs="Arial"/>
      <w:lang w:val="ro-RO" w:eastAsia="ro-RO"/>
    </w:rPr>
  </w:style>
  <w:style w:type="character" w:styleId="FootnoteReference">
    <w:name w:val="footnote reference"/>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ro-RO" w:eastAsia="ro-RO"/>
    </w:rPr>
  </w:style>
  <w:style w:type="paragraph" w:customStyle="1" w:styleId="TOCHeading5">
    <w:name w:val="TOC Heading5"/>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rPr>
  </w:style>
  <w:style w:type="paragraph" w:styleId="CommentText">
    <w:name w:val="annotation text"/>
    <w:basedOn w:val="Normal"/>
    <w:link w:val="CommentTextChar"/>
    <w:uiPriority w:val="99"/>
    <w:unhideWhenUsed/>
    <w:pPr>
      <w:spacing w:after="0" w:line="240" w:lineRule="auto"/>
    </w:pPr>
    <w:rPr>
      <w:rFonts w:ascii="Arial" w:hAnsi="Arial" w:cs="Arial"/>
      <w:sz w:val="24"/>
      <w:szCs w:val="24"/>
    </w:rPr>
  </w:style>
  <w:style w:type="character" w:customStyle="1" w:styleId="CommentTextChar">
    <w:name w:val="Comment Text Char"/>
    <w:link w:val="CommentText"/>
    <w:uiPriority w:val="99"/>
    <w:rPr>
      <w:rFonts w:ascii="Arial" w:hAnsi="Arial" w:cs="Arial"/>
      <w:sz w:val="24"/>
      <w:szCs w:val="24"/>
      <w:lang w:val="ro-RO" w:eastAsia="ro-RO"/>
    </w:rPr>
  </w:style>
  <w:style w:type="character" w:styleId="Strong">
    <w:name w:val="Strong"/>
    <w:uiPriority w:val="22"/>
    <w:qFormat/>
    <w:rPr>
      <w:b/>
      <w:bC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link w:val="CommentSubject"/>
    <w:uiPriority w:val="99"/>
    <w:semiHidden/>
    <w:rPr>
      <w:rFonts w:ascii="Arial" w:hAnsi="Arial" w:cs="Arial"/>
      <w:b/>
      <w:bCs/>
      <w:sz w:val="24"/>
      <w:szCs w:val="24"/>
      <w:lang w:val="ro-RO" w:eastAsia="ro-RO"/>
    </w:rPr>
  </w:style>
  <w:style w:type="paragraph" w:customStyle="1" w:styleId="ColorfulShading-Accent11">
    <w:name w:val="Colorful Shading - Accent 11"/>
    <w:hidden/>
    <w:uiPriority w:val="99"/>
    <w:semiHidden/>
    <w:rPr>
      <w:rFonts w:ascii="Arial" w:hAnsi="Arial" w:cs="Arial"/>
    </w:rPr>
  </w:style>
  <w:style w:type="paragraph" w:customStyle="1" w:styleId="MediumGrid21">
    <w:name w:val="Medium Grid 21"/>
    <w:uiPriority w:val="1"/>
    <w:qFormat/>
    <w:rPr>
      <w:rFonts w:ascii="Arial" w:hAnsi="Arial" w:cs="Arial"/>
    </w:rPr>
  </w:style>
  <w:style w:type="character" w:customStyle="1" w:styleId="talk-transcriptparatext">
    <w:name w:val="talk-transcript__para__text"/>
  </w:style>
  <w:style w:type="character" w:customStyle="1" w:styleId="talk-transcriptfragment">
    <w:name w:val="talk-transcript__fragme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pPr>
      <w:spacing w:after="0" w:line="240" w:lineRule="auto"/>
    </w:pPr>
    <w:rPr>
      <w:rFonts w:cs="Consolas"/>
      <w:szCs w:val="21"/>
    </w:rPr>
  </w:style>
  <w:style w:type="character" w:customStyle="1" w:styleId="PlainTextChar">
    <w:name w:val="Plain Text Char"/>
    <w:link w:val="PlainText"/>
    <w:uiPriority w:val="99"/>
    <w:rPr>
      <w:rFonts w:cs="Consolas"/>
      <w:sz w:val="22"/>
      <w:szCs w:val="21"/>
      <w:lang w:val="ro-RO" w:eastAsia="ro-RO"/>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Arial" w:hAnsi="Arial" w:cs="Arial"/>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928B5-70BB-4E57-82CD-76B3113A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6811</Words>
  <Characters>40667</Characters>
  <Application>Microsoft Office Word</Application>
  <DocSecurity>0</DocSecurity>
  <Lines>606</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47288</CharactersWithSpaces>
  <SharedDoc>false</SharedDoc>
  <HLinks>
    <vt:vector size="42" baseType="variant">
      <vt:variant>
        <vt:i4>1114175</vt:i4>
      </vt:variant>
      <vt:variant>
        <vt:i4>26</vt:i4>
      </vt:variant>
      <vt:variant>
        <vt:i4>0</vt:i4>
      </vt:variant>
      <vt:variant>
        <vt:i4>5</vt:i4>
      </vt:variant>
      <vt:variant>
        <vt:lpwstr/>
      </vt:variant>
      <vt:variant>
        <vt:lpwstr>_Toc451796327</vt:lpwstr>
      </vt:variant>
      <vt:variant>
        <vt:i4>1114175</vt:i4>
      </vt:variant>
      <vt:variant>
        <vt:i4>20</vt:i4>
      </vt:variant>
      <vt:variant>
        <vt:i4>0</vt:i4>
      </vt:variant>
      <vt:variant>
        <vt:i4>5</vt:i4>
      </vt:variant>
      <vt:variant>
        <vt:lpwstr/>
      </vt:variant>
      <vt:variant>
        <vt:lpwstr>_Toc451796326</vt:lpwstr>
      </vt:variant>
      <vt:variant>
        <vt:i4>1114175</vt:i4>
      </vt:variant>
      <vt:variant>
        <vt:i4>14</vt:i4>
      </vt:variant>
      <vt:variant>
        <vt:i4>0</vt:i4>
      </vt:variant>
      <vt:variant>
        <vt:i4>5</vt:i4>
      </vt:variant>
      <vt:variant>
        <vt:lpwstr/>
      </vt:variant>
      <vt:variant>
        <vt:lpwstr>_Toc451796325</vt:lpwstr>
      </vt:variant>
      <vt:variant>
        <vt:i4>1114175</vt:i4>
      </vt:variant>
      <vt:variant>
        <vt:i4>8</vt:i4>
      </vt:variant>
      <vt:variant>
        <vt:i4>0</vt:i4>
      </vt:variant>
      <vt:variant>
        <vt:i4>5</vt:i4>
      </vt:variant>
      <vt:variant>
        <vt:lpwstr/>
      </vt:variant>
      <vt:variant>
        <vt:lpwstr>_Toc451796324</vt:lpwstr>
      </vt:variant>
      <vt:variant>
        <vt:i4>1114175</vt:i4>
      </vt:variant>
      <vt:variant>
        <vt:i4>2</vt:i4>
      </vt:variant>
      <vt:variant>
        <vt:i4>0</vt:i4>
      </vt:variant>
      <vt:variant>
        <vt:i4>5</vt:i4>
      </vt:variant>
      <vt:variant>
        <vt:lpwstr/>
      </vt:variant>
      <vt:variant>
        <vt:lpwstr>_Toc451796323</vt:lpwstr>
      </vt:variant>
      <vt:variant>
        <vt:i4>3866724</vt:i4>
      </vt:variant>
      <vt:variant>
        <vt:i4>3</vt:i4>
      </vt:variant>
      <vt:variant>
        <vt:i4>0</vt:i4>
      </vt:variant>
      <vt:variant>
        <vt:i4>5</vt:i4>
      </vt:variant>
      <vt:variant>
        <vt:lpwstr>http://www.oecd.org/dac/effectiveness/34428351.pdf</vt:lpwstr>
      </vt:variant>
      <vt:variant>
        <vt:lpwstr/>
      </vt:variant>
      <vt:variant>
        <vt:i4>2490464</vt:i4>
      </vt:variant>
      <vt:variant>
        <vt:i4>0</vt:i4>
      </vt:variant>
      <vt:variant>
        <vt:i4>0</vt:i4>
      </vt:variant>
      <vt:variant>
        <vt:i4>5</vt:i4>
      </vt:variant>
      <vt:variant>
        <vt:lpwstr>http://www.oecd.org/dac/DAC-HLM-Communique-2016.pdf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26</cp:revision>
  <cp:lastPrinted>2016-06-29T16:03:00Z</cp:lastPrinted>
  <dcterms:created xsi:type="dcterms:W3CDTF">2016-07-01T10:21:00Z</dcterms:created>
  <dcterms:modified xsi:type="dcterms:W3CDTF">2016-07-11T08:41:00Z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