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5D16142C683F45689A5495A8BDA2C753" style="width:450.75pt;height:402pt">
            <v:imagedata r:id="rId10" o:title=""/>
          </v:shape>
        </w:pict>
      </w:r>
    </w:p>
    <w:bookmarkEnd w:id="0"/>
    <w:p>
      <w:pPr>
        <w:rPr>
          <w:noProof/>
        </w:rPr>
        <w:sectPr>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1"/>
          <w:cols w:space="720"/>
          <w:docGrid w:linePitch="360"/>
        </w:sectPr>
      </w:pPr>
    </w:p>
    <w:p>
      <w:pPr>
        <w:pStyle w:val="Heading1"/>
        <w:keepLines w:val="0"/>
        <w:numPr>
          <w:ilvl w:val="0"/>
          <w:numId w:val="35"/>
        </w:numPr>
        <w:spacing w:before="100" w:beforeAutospacing="1" w:after="100" w:afterAutospacing="1" w:line="240" w:lineRule="auto"/>
        <w:ind w:right="0"/>
        <w:jc w:val="both"/>
        <w:rPr>
          <w:noProof/>
          <w:sz w:val="24"/>
          <w:szCs w:val="24"/>
        </w:rPr>
      </w:pPr>
      <w:bookmarkStart w:id="1" w:name="_Toc387228706"/>
      <w:bookmarkStart w:id="2" w:name="_Toc388541836"/>
      <w:bookmarkStart w:id="3" w:name="_Toc387229283"/>
      <w:bookmarkStart w:id="4" w:name="_Toc388542045"/>
      <w:bookmarkStart w:id="5" w:name="_GoBack"/>
      <w:bookmarkEnd w:id="5"/>
      <w:r>
        <w:rPr>
          <w:noProof/>
          <w:sz w:val="24"/>
        </w:rPr>
        <w:lastRenderedPageBreak/>
        <w:t>INTRODUCERE</w:t>
      </w:r>
    </w:p>
    <w:p>
      <w:pPr>
        <w:pStyle w:val="Point0number"/>
        <w:numPr>
          <w:ilvl w:val="0"/>
          <w:numId w:val="0"/>
        </w:numPr>
        <w:tabs>
          <w:tab w:val="left" w:pos="720"/>
        </w:tabs>
        <w:spacing w:before="100" w:beforeAutospacing="1" w:after="100" w:afterAutospacing="1"/>
        <w:rPr>
          <w:noProof/>
          <w:szCs w:val="24"/>
        </w:rPr>
      </w:pPr>
      <w:r>
        <w:rPr>
          <w:noProof/>
        </w:rPr>
        <w:t>În conformitate cu articolul 4 din Decizia nr. 562/2014/UE</w:t>
      </w:r>
      <w:r>
        <w:rPr>
          <w:rStyle w:val="FootnoteReference"/>
          <w:noProof/>
        </w:rPr>
        <w:footnoteReference w:id="2"/>
      </w:r>
      <w:r>
        <w:rPr>
          <w:noProof/>
        </w:rPr>
        <w:t>, prezentul raport intermediar evaluează, pentru perioada cuprinsă între anul 2014 și al treilea trimestru al anului 2016, modul în care a fost îndeplinit obiectivul de creștere a sprijinului acordat de Fondul european de investiții (FEI) acțiunilor care vin în completarea acțiunilor realizate de statele membre în favoarea întreprinderilor, îndeosebi a întreprinderilor mici și mijlocii (IMM-uri).</w:t>
      </w:r>
    </w:p>
    <w:p>
      <w:pPr>
        <w:pStyle w:val="Point0number"/>
        <w:numPr>
          <w:ilvl w:val="0"/>
          <w:numId w:val="0"/>
        </w:numPr>
        <w:tabs>
          <w:tab w:val="left" w:pos="720"/>
        </w:tabs>
        <w:spacing w:before="100" w:beforeAutospacing="1" w:after="100" w:afterAutospacing="1"/>
        <w:rPr>
          <w:b/>
          <w:noProof/>
          <w:szCs w:val="24"/>
        </w:rPr>
      </w:pPr>
      <w:r>
        <w:rPr>
          <w:b/>
          <w:noProof/>
        </w:rPr>
        <w:t>1.1 Fondul european de investiții</w:t>
      </w:r>
    </w:p>
    <w:p>
      <w:pPr>
        <w:pStyle w:val="Point0number"/>
        <w:numPr>
          <w:ilvl w:val="0"/>
          <w:numId w:val="0"/>
        </w:numPr>
        <w:tabs>
          <w:tab w:val="left" w:pos="720"/>
        </w:tabs>
        <w:spacing w:before="100" w:beforeAutospacing="1" w:after="100" w:afterAutospacing="1"/>
        <w:rPr>
          <w:b/>
          <w:noProof/>
          <w:szCs w:val="24"/>
        </w:rPr>
      </w:pPr>
      <w:r>
        <w:rPr>
          <w:b/>
          <w:noProof/>
        </w:rPr>
        <w:t>a) Structura capitalului</w:t>
      </w:r>
    </w:p>
    <w:p>
      <w:pPr>
        <w:pStyle w:val="Point0number"/>
        <w:numPr>
          <w:ilvl w:val="0"/>
          <w:numId w:val="0"/>
        </w:numPr>
        <w:tabs>
          <w:tab w:val="left" w:pos="720"/>
        </w:tabs>
        <w:spacing w:before="100" w:beforeAutospacing="1" w:after="100" w:afterAutospacing="1"/>
        <w:rPr>
          <w:noProof/>
          <w:szCs w:val="24"/>
        </w:rPr>
      </w:pPr>
      <w:r>
        <w:rPr>
          <w:noProof/>
        </w:rPr>
        <w:t>Fondul european de investiții (FEI) a fost creat în anul 1994</w:t>
      </w:r>
      <w:r>
        <w:rPr>
          <w:rStyle w:val="FootnoteReference"/>
          <w:noProof/>
        </w:rPr>
        <w:footnoteReference w:id="3"/>
      </w:r>
      <w:r>
        <w:rPr>
          <w:noProof/>
        </w:rPr>
        <w:t xml:space="preserve"> de către Banca Europeană de Investiții (BEI), Comunitatea Europeană, în prezent Uniunea Europeană (UE), reprezentată de Comisia Europeană, precum și de o serie de instituții financiare publice și private cu un capital autorizat de două miliarde de ECU (convertite ulterior în euro la o rată de 1 la 1), structurat în 2 000 de acțiuni. Nivelul capitalului vărsat de acționari a fost stabilit la 20 % din capitalul subscris. Comisia a subscris 600 de acțiuni, la o valoare nominală de 600 de milioane de ECU, din care 120 de milioane a fost capital vărsat.</w:t>
      </w:r>
    </w:p>
    <w:p>
      <w:pPr>
        <w:pStyle w:val="Point0number"/>
        <w:numPr>
          <w:ilvl w:val="0"/>
          <w:numId w:val="0"/>
        </w:numPr>
        <w:tabs>
          <w:tab w:val="left" w:pos="720"/>
        </w:tabs>
        <w:spacing w:before="100" w:beforeAutospacing="1" w:after="100" w:afterAutospacing="1"/>
        <w:rPr>
          <w:noProof/>
          <w:szCs w:val="24"/>
        </w:rPr>
      </w:pPr>
      <w:r>
        <w:rPr>
          <w:noProof/>
        </w:rPr>
        <w:t>Prima majorare de capital, inițiată în anul 2007, a ridicat capitalul autorizat al FEI la nivelul de 3 miliarde EUR (au fost emise 1 000 de noi acțiuni). Comisia a subscris încă 300 de acțiuni la un preț stabilit anual pe baza unei formule convenite cu acționarii FEI. Dividendele încasate în perioada 2007-2010 pentru participarea la FEI au acoperit o parte din costurile de subscriere, restul acestora fiind acoperite din buget. Astfel s-a menținut participarea UE în proporție de 30 %.</w:t>
      </w:r>
    </w:p>
    <w:p>
      <w:pPr>
        <w:pStyle w:val="Point0number"/>
        <w:numPr>
          <w:ilvl w:val="0"/>
          <w:numId w:val="0"/>
        </w:numPr>
        <w:tabs>
          <w:tab w:val="left" w:pos="720"/>
        </w:tabs>
        <w:spacing w:before="100" w:beforeAutospacing="1" w:after="100" w:afterAutospacing="1"/>
        <w:rPr>
          <w:noProof/>
          <w:szCs w:val="24"/>
        </w:rPr>
      </w:pPr>
      <w:r>
        <w:rPr>
          <w:noProof/>
        </w:rPr>
        <w:t>În anul 2014, cea de a doua majorare de capital a adus capitalul FEI la 4,5 miliarde EUR prin emisiunea de 1 500 de noi acțiuni. Comisia are dreptul de a subscrie până la 450 de acțiuni suplimentare în perioada 2014-2017. O sumă totală de până la 178 de milioane EUR a fost pusă la dispoziție în cadrul bugetului general al Uniunii. Decizia privind tratamentul dividendelor FEI a fost suspendată până la următoarea revizuire a normelor financiare aplicabile bugetului general al Uniunii sau, cel mai târziu, în contextul prezentului raport intermediar</w:t>
      </w:r>
      <w:r>
        <w:rPr>
          <w:rStyle w:val="FootnoteReference"/>
          <w:noProof/>
        </w:rPr>
        <w:footnoteReference w:id="4"/>
      </w:r>
      <w:r>
        <w:rPr>
          <w:noProof/>
        </w:rPr>
        <w:t xml:space="preserve">. </w:t>
      </w:r>
    </w:p>
    <w:p>
      <w:pPr>
        <w:pStyle w:val="Point0number"/>
        <w:numPr>
          <w:ilvl w:val="0"/>
          <w:numId w:val="0"/>
        </w:numPr>
        <w:tabs>
          <w:tab w:val="left" w:pos="720"/>
        </w:tabs>
        <w:spacing w:before="100" w:beforeAutospacing="1" w:after="100" w:afterAutospacing="1"/>
        <w:rPr>
          <w:noProof/>
          <w:szCs w:val="24"/>
        </w:rPr>
      </w:pPr>
      <w:r>
        <w:rPr>
          <w:noProof/>
        </w:rPr>
        <w:t>La data întocmirii prezentului raport, capitalul autorizat al FEI se ridică la 4 500 de acțiuni, dintre care 4 382 emise. BEI deține 2 624 de acțiuni (59,9 %), Comisia (în numele UE) deține 1 232 de acțiuni (28,1 %) și un număr de 30 de instituții financiare dețin împreună 526 (12,0 %) din acțiunile emise.</w:t>
      </w:r>
    </w:p>
    <w:p>
      <w:pPr>
        <w:pStyle w:val="Point0number"/>
        <w:numPr>
          <w:ilvl w:val="0"/>
          <w:numId w:val="0"/>
        </w:numPr>
        <w:tabs>
          <w:tab w:val="left" w:pos="720"/>
        </w:tabs>
        <w:spacing w:before="100" w:beforeAutospacing="1" w:after="100" w:afterAutospacing="1"/>
        <w:rPr>
          <w:b/>
          <w:noProof/>
          <w:szCs w:val="24"/>
        </w:rPr>
      </w:pPr>
      <w:r>
        <w:rPr>
          <w:b/>
          <w:noProof/>
        </w:rPr>
        <w:t>b) Guvernanța</w:t>
      </w:r>
    </w:p>
    <w:p>
      <w:pPr>
        <w:pStyle w:val="Point0number"/>
        <w:numPr>
          <w:ilvl w:val="0"/>
          <w:numId w:val="0"/>
        </w:numPr>
        <w:tabs>
          <w:tab w:val="left" w:pos="720"/>
        </w:tabs>
        <w:spacing w:before="100" w:beforeAutospacing="1" w:after="100" w:afterAutospacing="1"/>
        <w:rPr>
          <w:noProof/>
          <w:szCs w:val="24"/>
        </w:rPr>
      </w:pPr>
      <w:r>
        <w:rPr>
          <w:noProof/>
        </w:rPr>
        <w:t>Statutul și normele de procedură ale FEI stabilesc cadrul pentru instituirea, rolul și procedurile organelor sale de decizie</w:t>
      </w:r>
      <w:r>
        <w:rPr>
          <w:rStyle w:val="FootnoteReference"/>
          <w:noProof/>
        </w:rPr>
        <w:footnoteReference w:id="5"/>
      </w:r>
      <w:r>
        <w:rPr>
          <w:noProof/>
        </w:rPr>
        <w:t>: adunarea generală a fondului, consiliul de administrație și directorul general, sub controlul comisiei de audit.</w:t>
      </w:r>
    </w:p>
    <w:p>
      <w:pPr>
        <w:pStyle w:val="Point0number"/>
        <w:numPr>
          <w:ilvl w:val="0"/>
          <w:numId w:val="0"/>
        </w:numPr>
        <w:tabs>
          <w:tab w:val="left" w:pos="720"/>
        </w:tabs>
        <w:spacing w:before="100" w:beforeAutospacing="1" w:after="100" w:afterAutospacing="1"/>
        <w:rPr>
          <w:b/>
          <w:noProof/>
          <w:szCs w:val="24"/>
        </w:rPr>
      </w:pPr>
      <w:r>
        <w:rPr>
          <w:b/>
          <w:noProof/>
        </w:rPr>
        <w:t>c) Activitățile operaționale</w:t>
      </w:r>
    </w:p>
    <w:p>
      <w:pPr>
        <w:pStyle w:val="Point0number"/>
        <w:numPr>
          <w:ilvl w:val="0"/>
          <w:numId w:val="0"/>
        </w:numPr>
        <w:tabs>
          <w:tab w:val="left" w:pos="720"/>
        </w:tabs>
        <w:spacing w:before="100" w:beforeAutospacing="1" w:after="100" w:afterAutospacing="1"/>
        <w:rPr>
          <w:noProof/>
          <w:szCs w:val="24"/>
        </w:rPr>
      </w:pPr>
      <w:r>
        <w:rPr>
          <w:noProof/>
        </w:rPr>
        <w:t xml:space="preserve">Misiunea FEI este de a sprijini IMM-urile din Europa ajutându-le să aibă acces la finanțare. FEI creează, dezvoltă și alocă capital de risc și de creștere, garanții și instrumente de microfinanțare destinate în mod specific IMM-urilor și segmentelor de piață aferente întreprinderilor cu capitalizare medie, urmărind catalizarea de investiții suplimentare în cadrul Uniunii și creșterea efectului de levier al resurselor bugetare ale UE și al contribuțiilor statelor membre, în cooperare cu serviciile relevante ale Comisiei. FEI contribuie la obiectivele UE de sprijinire a inovării, cercetării și dezvoltării, antreprenoriatului, creșterii și ocupării forței de muncă prin oferirea de produse financiare intermediarilor financiari precum băncile, instituțiile de garantare, leasing și microfinanțare, fondurile de investiții în societăți necotate și fondurile cu capital de risc. </w:t>
      </w:r>
    </w:p>
    <w:p>
      <w:pPr>
        <w:pStyle w:val="Point0number"/>
        <w:numPr>
          <w:ilvl w:val="0"/>
          <w:numId w:val="0"/>
        </w:numPr>
        <w:tabs>
          <w:tab w:val="left" w:pos="720"/>
        </w:tabs>
        <w:spacing w:before="100" w:beforeAutospacing="1" w:after="100" w:afterAutospacing="1"/>
        <w:rPr>
          <w:noProof/>
          <w:szCs w:val="24"/>
        </w:rPr>
      </w:pPr>
      <w:r>
        <w:rPr>
          <w:noProof/>
        </w:rPr>
        <w:t>FEI este activ în special în statele membre, în țările candidate și potențial candidate, precum și în țările care fac parte din Asociația Europeană a Liberului Schimb.</w:t>
      </w:r>
    </w:p>
    <w:p>
      <w:pPr>
        <w:pStyle w:val="Point0number"/>
        <w:numPr>
          <w:ilvl w:val="0"/>
          <w:numId w:val="0"/>
        </w:numPr>
        <w:tabs>
          <w:tab w:val="left" w:pos="720"/>
        </w:tabs>
        <w:spacing w:before="100" w:beforeAutospacing="1" w:after="100" w:afterAutospacing="1"/>
        <w:rPr>
          <w:noProof/>
          <w:szCs w:val="24"/>
        </w:rPr>
      </w:pPr>
      <w:r>
        <w:rPr>
          <w:noProof/>
        </w:rPr>
        <w:t>În prezent, FEI duce la îndeplinire peste 80 de mandate în numele mandanților săi, în special BEI și Comisia, iar în beneficiul (și pe riscul) acestora realizează investiții de capital și oferă garanții. Mandatul BEI privind resursele de capital de risc (RCR) și mandatul BEI pentru consolidarea administrării riscului (</w:t>
      </w:r>
      <w:r>
        <w:rPr>
          <w:i/>
          <w:noProof/>
        </w:rPr>
        <w:t>EIB Risk Enhancement Mandate</w:t>
      </w:r>
      <w:r>
        <w:rPr>
          <w:noProof/>
        </w:rPr>
        <w:t xml:space="preserve"> – EREM) sunt cele mai mari mecanisme de capital și datorie ale FEI. Cu ajutorul resurselor bugetare ale UE, FEI alocă instrumente de capital și de datorie în cadrul mecanismelor și programelor COSME</w:t>
      </w:r>
      <w:r>
        <w:rPr>
          <w:rStyle w:val="FootnoteReference"/>
          <w:noProof/>
        </w:rPr>
        <w:footnoteReference w:id="6"/>
      </w:r>
      <w:r>
        <w:rPr>
          <w:noProof/>
        </w:rPr>
        <w:t>, InnovFin</w:t>
      </w:r>
      <w:r>
        <w:rPr>
          <w:rStyle w:val="FootnoteReference"/>
          <w:noProof/>
        </w:rPr>
        <w:footnoteReference w:id="7"/>
      </w:r>
      <w:r>
        <w:rPr>
          <w:noProof/>
        </w:rPr>
        <w:t>, Erasmus+</w:t>
      </w:r>
      <w:r>
        <w:rPr>
          <w:rStyle w:val="FootnoteReference"/>
          <w:noProof/>
        </w:rPr>
        <w:footnoteReference w:id="8"/>
      </w:r>
      <w:r>
        <w:rPr>
          <w:noProof/>
        </w:rPr>
        <w:t xml:space="preserve"> și EaSI</w:t>
      </w:r>
      <w:r>
        <w:rPr>
          <w:rStyle w:val="FootnoteReference"/>
          <w:noProof/>
        </w:rPr>
        <w:footnoteReference w:id="9"/>
      </w:r>
      <w:r>
        <w:rPr>
          <w:noProof/>
        </w:rPr>
        <w:t>. În contextul unui efort conjugat la nivel european de a revitaliza canalele de creditare blocate destinate IMM-urilor, în mod complementar și în sinergie cu alte instrumente financiare disponibile pentru acestea la nivel paneuropean, FEI realizează mandate substanțiale încredințate de statele membre și de autoritățile care gestionează resurse în cadrul fondurilor structurale și de investiții europene (fondurile ESI), fonduri de fonduri, corporații și instituții publice și private și, de asemenea, coinvestește propriile resurse în activități economice cu capital și datorie.</w:t>
      </w:r>
    </w:p>
    <w:p>
      <w:pPr>
        <w:pStyle w:val="Point0number"/>
        <w:numPr>
          <w:ilvl w:val="0"/>
          <w:numId w:val="0"/>
        </w:numPr>
        <w:tabs>
          <w:tab w:val="left" w:pos="720"/>
        </w:tabs>
        <w:spacing w:before="100" w:beforeAutospacing="1" w:after="100" w:afterAutospacing="1"/>
        <w:rPr>
          <w:b/>
          <w:noProof/>
          <w:szCs w:val="24"/>
        </w:rPr>
      </w:pPr>
      <w:r>
        <w:rPr>
          <w:b/>
          <w:noProof/>
        </w:rPr>
        <w:t xml:space="preserve">d) Cerințele pentru acordarea de capital și nivelul așteptat de bonitate </w:t>
      </w:r>
    </w:p>
    <w:p>
      <w:pPr>
        <w:pStyle w:val="Point0number"/>
        <w:numPr>
          <w:ilvl w:val="0"/>
          <w:numId w:val="0"/>
        </w:numPr>
        <w:tabs>
          <w:tab w:val="left" w:pos="720"/>
        </w:tabs>
        <w:spacing w:before="100" w:beforeAutospacing="1" w:after="100" w:afterAutospacing="1"/>
        <w:rPr>
          <w:noProof/>
          <w:szCs w:val="24"/>
        </w:rPr>
      </w:pPr>
      <w:r>
        <w:rPr>
          <w:noProof/>
        </w:rPr>
        <w:t>Liniile de activitate ale FEI presupun riscuri diferite, reflectate de un anumit nivel de alocare a capitalului economic care trebuie rezervat.</w:t>
      </w:r>
    </w:p>
    <w:p>
      <w:pPr>
        <w:pStyle w:val="Point0number"/>
        <w:numPr>
          <w:ilvl w:val="0"/>
          <w:numId w:val="0"/>
        </w:numPr>
        <w:tabs>
          <w:tab w:val="left" w:pos="720"/>
        </w:tabs>
        <w:spacing w:before="100" w:beforeAutospacing="1" w:after="100" w:afterAutospacing="1"/>
        <w:rPr>
          <w:noProof/>
          <w:szCs w:val="24"/>
        </w:rPr>
      </w:pPr>
      <w:r>
        <w:rPr>
          <w:noProof/>
        </w:rPr>
        <w:t>Angajamentele FEI din resursele proprii în domeniul participărilor la capital sunt limitate în prezent prin statutul FEI la 50 % din fondurile proprii ale FEI (fără rezerva de valoare justă). Plafonul pentru angajamentele din resurse proprii în cadrul operațiunilor de garantare reprezintă de trei ori valoarea capitalului subscris.</w:t>
      </w:r>
    </w:p>
    <w:p>
      <w:pPr>
        <w:pStyle w:val="Point0number"/>
        <w:numPr>
          <w:ilvl w:val="0"/>
          <w:numId w:val="0"/>
        </w:numPr>
        <w:tabs>
          <w:tab w:val="left" w:pos="720"/>
        </w:tabs>
        <w:spacing w:before="100" w:beforeAutospacing="1" w:after="100" w:afterAutospacing="1"/>
        <w:rPr>
          <w:noProof/>
          <w:szCs w:val="24"/>
        </w:rPr>
      </w:pPr>
      <w:r>
        <w:rPr>
          <w:noProof/>
        </w:rPr>
        <w:t>Gestionarea riscurilor și a capitalului de către FEI a contribuit la menținerea la un nivel stabil a ratingul de credit AAA, reconfirmat recent de agențiile mai mari de rating de credit. Amploarea produselor FEI și acoperirea lor geografică și sectorială definesc o expunere la risc moderată și sustenabilă.</w:t>
      </w:r>
    </w:p>
    <w:p>
      <w:pPr>
        <w:pStyle w:val="Point0number"/>
        <w:numPr>
          <w:ilvl w:val="0"/>
          <w:numId w:val="0"/>
        </w:numPr>
        <w:tabs>
          <w:tab w:val="left" w:pos="720"/>
        </w:tabs>
        <w:spacing w:before="100" w:beforeAutospacing="1" w:after="100" w:afterAutospacing="1"/>
        <w:rPr>
          <w:b/>
          <w:noProof/>
          <w:szCs w:val="24"/>
        </w:rPr>
      </w:pPr>
      <w:r>
        <w:rPr>
          <w:b/>
          <w:noProof/>
        </w:rPr>
        <w:t>1.2 Imagine generală a majorării de capital</w:t>
      </w:r>
    </w:p>
    <w:p>
      <w:pPr>
        <w:pStyle w:val="Point0number"/>
        <w:numPr>
          <w:ilvl w:val="0"/>
          <w:numId w:val="0"/>
        </w:numPr>
        <w:tabs>
          <w:tab w:val="left" w:pos="720"/>
        </w:tabs>
        <w:spacing w:before="100" w:beforeAutospacing="1" w:after="100" w:afterAutospacing="1"/>
        <w:rPr>
          <w:b/>
          <w:noProof/>
          <w:szCs w:val="24"/>
        </w:rPr>
      </w:pPr>
      <w:r>
        <w:rPr>
          <w:b/>
          <w:noProof/>
        </w:rPr>
        <w:t>a) Obiectivele principale</w:t>
      </w:r>
    </w:p>
    <w:p>
      <w:pPr>
        <w:pStyle w:val="Point0number"/>
        <w:numPr>
          <w:ilvl w:val="0"/>
          <w:numId w:val="0"/>
        </w:numPr>
        <w:tabs>
          <w:tab w:val="left" w:pos="720"/>
        </w:tabs>
        <w:spacing w:before="100" w:beforeAutospacing="1" w:after="100" w:afterAutospacing="1"/>
        <w:rPr>
          <w:noProof/>
          <w:szCs w:val="24"/>
        </w:rPr>
      </w:pPr>
      <w:r>
        <w:rPr>
          <w:noProof/>
        </w:rPr>
        <w:t>Obiectivele principale ale majorării de capital vizau:</w:t>
      </w:r>
    </w:p>
    <w:p>
      <w:pPr>
        <w:pStyle w:val="Point0number"/>
        <w:numPr>
          <w:ilvl w:val="0"/>
          <w:numId w:val="0"/>
        </w:numPr>
        <w:tabs>
          <w:tab w:val="left" w:pos="720"/>
        </w:tabs>
        <w:spacing w:before="100" w:beforeAutospacing="1" w:after="100" w:afterAutospacing="1"/>
        <w:rPr>
          <w:noProof/>
          <w:szCs w:val="24"/>
        </w:rPr>
      </w:pPr>
      <w:r>
        <w:rPr>
          <w:noProof/>
        </w:rPr>
        <w:t>•</w:t>
      </w:r>
      <w:r>
        <w:rPr>
          <w:noProof/>
        </w:rPr>
        <w:tab/>
        <w:t>dezvoltarea piețelor de credit de capital destinate IMM-urilor în vederea diversificării sursei de lichidități pentru băncile și instituțiile de leasing pentru IMM-uri;</w:t>
      </w:r>
    </w:p>
    <w:p>
      <w:pPr>
        <w:pStyle w:val="Point0number"/>
        <w:numPr>
          <w:ilvl w:val="0"/>
          <w:numId w:val="0"/>
        </w:numPr>
        <w:tabs>
          <w:tab w:val="left" w:pos="720"/>
        </w:tabs>
        <w:spacing w:before="100" w:beforeAutospacing="1" w:after="100" w:afterAutospacing="1"/>
        <w:rPr>
          <w:noProof/>
          <w:szCs w:val="24"/>
        </w:rPr>
      </w:pPr>
      <w:r>
        <w:rPr>
          <w:noProof/>
        </w:rPr>
        <w:t>•</w:t>
      </w:r>
      <w:r>
        <w:rPr>
          <w:noProof/>
        </w:rPr>
        <w:tab/>
        <w:t>îmbunătățirea accesului IMM-urilor la finanțare, dând curs solicitării Consiliului European de sporire a capacității unice a FEI de creștere a calității creditului;</w:t>
      </w:r>
    </w:p>
    <w:p>
      <w:pPr>
        <w:pStyle w:val="Point0number"/>
        <w:numPr>
          <w:ilvl w:val="0"/>
          <w:numId w:val="0"/>
        </w:numPr>
        <w:tabs>
          <w:tab w:val="left" w:pos="720"/>
        </w:tabs>
        <w:spacing w:before="100" w:beforeAutospacing="1" w:after="100" w:afterAutospacing="1"/>
        <w:rPr>
          <w:noProof/>
          <w:szCs w:val="24"/>
        </w:rPr>
      </w:pPr>
      <w:r>
        <w:rPr>
          <w:noProof/>
        </w:rPr>
        <w:t>•</w:t>
      </w:r>
      <w:r>
        <w:rPr>
          <w:noProof/>
        </w:rPr>
        <w:tab/>
        <w:t>sprijinirea creșterii FEI ca investitor fundamental pe piața de capital de risc și de creștere;</w:t>
      </w:r>
    </w:p>
    <w:p>
      <w:pPr>
        <w:pStyle w:val="Point0number"/>
        <w:numPr>
          <w:ilvl w:val="0"/>
          <w:numId w:val="0"/>
        </w:numPr>
        <w:tabs>
          <w:tab w:val="left" w:pos="720"/>
        </w:tabs>
        <w:spacing w:before="100" w:beforeAutospacing="1" w:after="100" w:afterAutospacing="1"/>
        <w:rPr>
          <w:noProof/>
          <w:szCs w:val="24"/>
        </w:rPr>
      </w:pPr>
      <w:r>
        <w:rPr>
          <w:noProof/>
        </w:rPr>
        <w:t>•</w:t>
      </w:r>
      <w:r>
        <w:rPr>
          <w:noProof/>
        </w:rPr>
        <w:tab/>
        <w:t>consolidarea rolului FEI în sectorul microfinanțării și al investițiilor cu impact social, favorizând participațiile inovatoare la capital în noi întreprinderi sociale și instituții financiare;</w:t>
      </w:r>
    </w:p>
    <w:p>
      <w:pPr>
        <w:pStyle w:val="Point0number"/>
        <w:numPr>
          <w:ilvl w:val="0"/>
          <w:numId w:val="0"/>
        </w:numPr>
        <w:tabs>
          <w:tab w:val="left" w:pos="720"/>
        </w:tabs>
        <w:spacing w:before="100" w:beforeAutospacing="1" w:after="100" w:afterAutospacing="1"/>
        <w:rPr>
          <w:noProof/>
          <w:szCs w:val="24"/>
        </w:rPr>
      </w:pPr>
      <w:r>
        <w:rPr>
          <w:noProof/>
        </w:rPr>
        <w:t>•</w:t>
      </w:r>
      <w:r>
        <w:rPr>
          <w:noProof/>
        </w:rPr>
        <w:tab/>
        <w:t>promovarea partajării riscurilor în cadrul mandatelor FEI prin intermediul coinvestițiilor;</w:t>
      </w:r>
    </w:p>
    <w:p>
      <w:pPr>
        <w:pStyle w:val="Point0number"/>
        <w:numPr>
          <w:ilvl w:val="0"/>
          <w:numId w:val="0"/>
        </w:numPr>
        <w:tabs>
          <w:tab w:val="left" w:pos="720"/>
        </w:tabs>
        <w:spacing w:before="100" w:beforeAutospacing="1" w:after="100" w:afterAutospacing="1"/>
        <w:rPr>
          <w:noProof/>
          <w:szCs w:val="24"/>
        </w:rPr>
      </w:pPr>
      <w:r>
        <w:rPr>
          <w:noProof/>
        </w:rPr>
        <w:t>•</w:t>
      </w:r>
      <w:r>
        <w:rPr>
          <w:noProof/>
        </w:rPr>
        <w:tab/>
        <w:t>sprijinirea nivelului AAA de rating al FEI prin injectarea de nou capital și prin demonstrarea importanței sale politice tot mai mari.</w:t>
      </w:r>
    </w:p>
    <w:p>
      <w:pPr>
        <w:pStyle w:val="Point0number"/>
        <w:numPr>
          <w:ilvl w:val="0"/>
          <w:numId w:val="0"/>
        </w:numPr>
        <w:tabs>
          <w:tab w:val="left" w:pos="720"/>
        </w:tabs>
        <w:spacing w:before="100" w:beforeAutospacing="1" w:after="100" w:afterAutospacing="1"/>
        <w:rPr>
          <w:b/>
          <w:noProof/>
          <w:szCs w:val="24"/>
        </w:rPr>
      </w:pPr>
      <w:r>
        <w:rPr>
          <w:b/>
          <w:noProof/>
        </w:rPr>
        <w:t>b) Procedurile de autorizare</w:t>
      </w:r>
    </w:p>
    <w:p>
      <w:pPr>
        <w:pStyle w:val="Point0number"/>
        <w:numPr>
          <w:ilvl w:val="0"/>
          <w:numId w:val="0"/>
        </w:numPr>
        <w:tabs>
          <w:tab w:val="left" w:pos="720"/>
        </w:tabs>
        <w:spacing w:before="100" w:beforeAutospacing="1" w:after="100" w:afterAutospacing="1"/>
        <w:rPr>
          <w:noProof/>
          <w:szCs w:val="24"/>
        </w:rPr>
      </w:pPr>
      <w:r>
        <w:rPr>
          <w:noProof/>
        </w:rPr>
        <w:t>La data de 14 aprilie 2014, Consiliul de administrație a aprobat majorarea de capital și modalitățile aferente, iar la 27 mai 2014, acestea au fost aprobate de Adunarea generală. La aceeași dată, adunarea a mai aprobat și mecanismele de emisiune și subscriere a noilor acțiuni, inclusiv cele de plată a prețului acestora.</w:t>
      </w:r>
    </w:p>
    <w:p>
      <w:pPr>
        <w:pStyle w:val="Point0number"/>
        <w:numPr>
          <w:ilvl w:val="0"/>
          <w:numId w:val="0"/>
        </w:numPr>
        <w:tabs>
          <w:tab w:val="left" w:pos="720"/>
        </w:tabs>
        <w:spacing w:before="100" w:beforeAutospacing="1" w:after="100" w:afterAutospacing="1"/>
        <w:rPr>
          <w:b/>
          <w:noProof/>
          <w:szCs w:val="24"/>
        </w:rPr>
      </w:pPr>
      <w:r>
        <w:rPr>
          <w:b/>
          <w:noProof/>
        </w:rPr>
        <w:t>c) Subscrierea acționarilor</w:t>
      </w:r>
    </w:p>
    <w:p>
      <w:pPr>
        <w:pStyle w:val="Point0number"/>
        <w:numPr>
          <w:ilvl w:val="0"/>
          <w:numId w:val="0"/>
        </w:numPr>
        <w:tabs>
          <w:tab w:val="left" w:pos="720"/>
        </w:tabs>
        <w:spacing w:before="100" w:beforeAutospacing="1" w:after="100" w:afterAutospacing="1"/>
        <w:rPr>
          <w:noProof/>
          <w:szCs w:val="24"/>
        </w:rPr>
      </w:pPr>
      <w:r>
        <w:rPr>
          <w:noProof/>
        </w:rPr>
        <w:t>Potrivit Deciziei nr. 562/2014, Uniunea poate subscrie până la 450 de noi acțiuni în perioada 2014-2017, acoperite de credite bugetare ce însumează până la 178 de milioane EUR. Comisia a subscris un număr total de 332 de acțiuni, la un cost total de 133 479 829,08 EUR (cu un preț mediu de 402 047,68 EUR/acțiune).</w:t>
      </w:r>
    </w:p>
    <w:p>
      <w:pPr>
        <w:pStyle w:val="Point0number"/>
        <w:numPr>
          <w:ilvl w:val="0"/>
          <w:numId w:val="0"/>
        </w:numPr>
        <w:tabs>
          <w:tab w:val="left" w:pos="720"/>
        </w:tabs>
        <w:spacing w:before="100" w:beforeAutospacing="1" w:after="100" w:afterAutospacing="1"/>
        <w:rPr>
          <w:noProof/>
          <w:szCs w:val="24"/>
        </w:rPr>
      </w:pPr>
      <w:bookmarkStart w:id="6" w:name="_Toc293906357"/>
      <w:r>
        <w:rPr>
          <w:noProof/>
        </w:rPr>
        <w:t>BEI a subscris integral cele 923 de acțiuni la care avea dreptul. Un număr de 15 instituții financiare au subscris integral drepturile de majorare de capital aferente, iar alte patru instituții au subscris peste 50 % din drepturile proprii, însumând un număr total de 193 de acțiuni.</w:t>
      </w:r>
    </w:p>
    <w:p>
      <w:pPr>
        <w:pStyle w:val="Point0number"/>
        <w:numPr>
          <w:ilvl w:val="0"/>
          <w:numId w:val="0"/>
        </w:numPr>
        <w:tabs>
          <w:tab w:val="left" w:pos="720"/>
        </w:tabs>
        <w:spacing w:before="100" w:beforeAutospacing="1" w:after="100" w:afterAutospacing="1"/>
        <w:rPr>
          <w:b/>
          <w:noProof/>
          <w:szCs w:val="24"/>
        </w:rPr>
      </w:pPr>
      <w:r>
        <w:rPr>
          <w:b/>
          <w:noProof/>
        </w:rPr>
        <w:t>d) Etapele pentru finalizarea majorării de capital până în anul 2017</w:t>
      </w:r>
    </w:p>
    <w:p>
      <w:pPr>
        <w:pStyle w:val="Point0number"/>
        <w:numPr>
          <w:ilvl w:val="0"/>
          <w:numId w:val="0"/>
        </w:numPr>
        <w:tabs>
          <w:tab w:val="left" w:pos="720"/>
        </w:tabs>
        <w:spacing w:before="100" w:beforeAutospacing="1" w:after="100" w:afterAutospacing="1"/>
        <w:rPr>
          <w:noProof/>
          <w:szCs w:val="24"/>
        </w:rPr>
      </w:pPr>
      <w:r>
        <w:rPr>
          <w:noProof/>
        </w:rPr>
        <w:t>Au mai rămas 118 acțiuni autorizate, dar neemise, toate rezervate de către Comisie. Au rămas 44,5 milioane EUR din resursele bugetare din suma totală inițială de 178 de milioane EUR pusă la dispoziție pentru acțiunile aferente ale UE. FEI a calculat provizoriu, pentru anul 2017, un nivel de aproximativ 436 000 EUR</w:t>
      </w:r>
      <w:r>
        <w:rPr>
          <w:rStyle w:val="FootnoteReference"/>
          <w:noProof/>
        </w:rPr>
        <w:footnoteReference w:id="10"/>
      </w:r>
      <w:r>
        <w:rPr>
          <w:noProof/>
        </w:rPr>
        <w:t xml:space="preserve"> al prețului de vânzare-cumpărare al unei acțiuni.</w:t>
      </w:r>
    </w:p>
    <w:p>
      <w:pPr>
        <w:pStyle w:val="Point0number"/>
        <w:numPr>
          <w:ilvl w:val="0"/>
          <w:numId w:val="0"/>
        </w:numPr>
        <w:tabs>
          <w:tab w:val="left" w:pos="720"/>
        </w:tabs>
        <w:spacing w:before="100" w:beforeAutospacing="1" w:after="100" w:afterAutospacing="1"/>
        <w:rPr>
          <w:noProof/>
          <w:szCs w:val="24"/>
        </w:rPr>
      </w:pPr>
      <w:r>
        <w:rPr>
          <w:noProof/>
        </w:rPr>
        <w:t>Bugetul rămas permite astfel Uniunii să subscrie încă 102 acțiuni la acest preț unitar. În consecință, UE va fi subscris 434 de noi acțiuni, în loc de 450, dată fiind o creștere mai mare decât cea preconizată a prețului unei acțiuni în perioada vizată. La finalul exercițiului de majorare a capitalului, Uniunea ar deține așadar 1 334 de acțiuni (29,6 % din capitalul autorizat). Participarea Uniunii ar fi astfel mai redusă în comparație cu ponderea de 30 % deținută anterior.</w:t>
      </w:r>
    </w:p>
    <w:p>
      <w:pPr>
        <w:pStyle w:val="Point0number"/>
        <w:numPr>
          <w:ilvl w:val="0"/>
          <w:numId w:val="0"/>
        </w:numPr>
        <w:tabs>
          <w:tab w:val="left" w:pos="720"/>
        </w:tabs>
        <w:spacing w:before="100" w:beforeAutospacing="1" w:after="100" w:afterAutospacing="1"/>
        <w:rPr>
          <w:b/>
          <w:smallCaps/>
          <w:noProof/>
          <w:szCs w:val="24"/>
        </w:rPr>
      </w:pPr>
      <w:r>
        <w:rPr>
          <w:b/>
          <w:smallCaps/>
          <w:noProof/>
        </w:rPr>
        <w:t xml:space="preserve">2. </w:t>
      </w:r>
      <w:r>
        <w:rPr>
          <w:noProof/>
        </w:rPr>
        <w:tab/>
      </w:r>
      <w:r>
        <w:rPr>
          <w:b/>
          <w:smallCaps/>
          <w:noProof/>
        </w:rPr>
        <w:t>Reușitele FEI în perioada 2014-2016, susținute de majorarea capitalului</w:t>
      </w:r>
    </w:p>
    <w:p>
      <w:pPr>
        <w:pStyle w:val="Point0number"/>
        <w:numPr>
          <w:ilvl w:val="0"/>
          <w:numId w:val="0"/>
        </w:numPr>
        <w:tabs>
          <w:tab w:val="left" w:pos="720"/>
        </w:tabs>
        <w:spacing w:before="100" w:beforeAutospacing="1" w:after="100" w:afterAutospacing="1"/>
        <w:rPr>
          <w:b/>
          <w:noProof/>
          <w:szCs w:val="24"/>
        </w:rPr>
      </w:pPr>
      <w:r>
        <w:rPr>
          <w:b/>
          <w:noProof/>
        </w:rPr>
        <w:t>2.1 Imagine generală asupra celui de al treilea trimestru al anului 2016</w:t>
      </w:r>
    </w:p>
    <w:p>
      <w:pPr>
        <w:pStyle w:val="Point0number"/>
        <w:numPr>
          <w:ilvl w:val="0"/>
          <w:numId w:val="0"/>
        </w:numPr>
        <w:tabs>
          <w:tab w:val="left" w:pos="720"/>
        </w:tabs>
        <w:spacing w:before="100" w:beforeAutospacing="1" w:after="100" w:afterAutospacing="1"/>
        <w:rPr>
          <w:noProof/>
          <w:szCs w:val="24"/>
        </w:rPr>
      </w:pPr>
      <w:r>
        <w:rPr>
          <w:noProof/>
        </w:rPr>
        <w:t>Până la data de 30 septembrie 2016, FEI își crescuse volumul de activitate în medie cu 40 % pe an</w:t>
      </w:r>
      <w:r>
        <w:rPr>
          <w:rStyle w:val="FootnoteReference"/>
          <w:noProof/>
        </w:rPr>
        <w:footnoteReference w:id="11"/>
      </w:r>
      <w:r>
        <w:rPr>
          <w:noProof/>
        </w:rPr>
        <w:t>, față de nivelul din 2013. FEI a participat la 607 tranzacții reprezentând un volum de investiții de 16,9 miliarde EUR. Dintre acestea, 370 de tranzacții au fost sprijinite de baza de capital a FEI. Acestea au mobilizat 5,8 miliarde EUR din resursele proprii ale FEI, dintre care peste 4 miliarde EUR s-au investit în mod conjugat cu resursele aferente mandatelor gestionate de FEI.</w:t>
      </w:r>
    </w:p>
    <w:p>
      <w:pPr>
        <w:pStyle w:val="Point0number"/>
        <w:numPr>
          <w:ilvl w:val="0"/>
          <w:numId w:val="0"/>
        </w:numPr>
        <w:tabs>
          <w:tab w:val="left" w:pos="720"/>
        </w:tabs>
        <w:spacing w:before="100" w:beforeAutospacing="1" w:after="100" w:afterAutospacing="1"/>
        <w:rPr>
          <w:noProof/>
          <w:szCs w:val="24"/>
        </w:rPr>
      </w:pPr>
      <w:r>
        <w:rPr>
          <w:noProof/>
        </w:rPr>
        <w:t>Capitalizarea puternică rezultată a constituit un factor determinant pentru gestionarea cu succes de către FEI a Fondului european pentru investiții strategice (FEIS)</w:t>
      </w:r>
      <w:r>
        <w:rPr>
          <w:rStyle w:val="FootnoteReference"/>
          <w:noProof/>
        </w:rPr>
        <w:footnoteReference w:id="12"/>
      </w:r>
      <w:r>
        <w:rPr>
          <w:noProof/>
        </w:rPr>
        <w:t>. Ea a permis FEI să prefinanțeze primele tranzacții și să pună în aplicare într-un ritm accelerat InnovFin (în cadrul căruia FEI deține tranșa senior) și investițiile în capital în contextul resurselor mandatului RCR specific pentru FEIS (în care FEI coinvestește sistematic 5 %).</w:t>
      </w:r>
    </w:p>
    <w:p>
      <w:pPr>
        <w:pStyle w:val="Point0number"/>
        <w:numPr>
          <w:ilvl w:val="0"/>
          <w:numId w:val="0"/>
        </w:numPr>
        <w:tabs>
          <w:tab w:val="left" w:pos="720"/>
        </w:tabs>
        <w:spacing w:before="100" w:beforeAutospacing="1" w:after="100" w:afterAutospacing="1"/>
        <w:rPr>
          <w:noProof/>
          <w:szCs w:val="24"/>
        </w:rPr>
      </w:pPr>
      <w:r>
        <w:rPr>
          <w:noProof/>
        </w:rPr>
        <w:t>În paralel, FEI a continuat să își consolideze legăturile cu acționarii existenți prin creșterea participării acestora și prin cooptarea de noi actori importanți din sectorul european al finanțării IMM-urilor în calitate de noi acționari.</w:t>
      </w:r>
    </w:p>
    <w:p>
      <w:pPr>
        <w:pStyle w:val="Point0number"/>
        <w:numPr>
          <w:ilvl w:val="0"/>
          <w:numId w:val="0"/>
        </w:numPr>
        <w:tabs>
          <w:tab w:val="left" w:pos="720"/>
        </w:tabs>
        <w:spacing w:before="100" w:beforeAutospacing="1" w:after="100" w:afterAutospacing="1"/>
        <w:rPr>
          <w:b/>
          <w:noProof/>
          <w:szCs w:val="24"/>
        </w:rPr>
      </w:pPr>
      <w:r>
        <w:rPr>
          <w:b/>
          <w:noProof/>
        </w:rPr>
        <w:t>2.2 Capitaluri proprii (capital de risc și de creștere)</w:t>
      </w:r>
    </w:p>
    <w:p>
      <w:pPr>
        <w:pStyle w:val="Point0number"/>
        <w:numPr>
          <w:ilvl w:val="0"/>
          <w:numId w:val="0"/>
        </w:numPr>
        <w:tabs>
          <w:tab w:val="left" w:pos="720"/>
        </w:tabs>
        <w:spacing w:before="100" w:beforeAutospacing="1" w:after="100" w:afterAutospacing="1"/>
        <w:rPr>
          <w:noProof/>
          <w:szCs w:val="24"/>
        </w:rPr>
      </w:pPr>
      <w:r>
        <w:rPr>
          <w:noProof/>
        </w:rPr>
        <w:t>Capacitatea suplimentară de asumare a riscurilor rezultată din majorarea capitalului a permis în mare măsură FEI să își extindă în mod semnificativ amploarea investițiilor de capital, atât în ceea ce privește volumul investit, cât și rapiditatea investiției.</w:t>
      </w:r>
    </w:p>
    <w:p>
      <w:pPr>
        <w:pStyle w:val="Point0number"/>
        <w:numPr>
          <w:ilvl w:val="0"/>
          <w:numId w:val="0"/>
        </w:numPr>
        <w:tabs>
          <w:tab w:val="left" w:pos="720"/>
        </w:tabs>
        <w:spacing w:before="100" w:beforeAutospacing="1" w:after="100" w:afterAutospacing="1"/>
        <w:rPr>
          <w:b/>
          <w:noProof/>
          <w:szCs w:val="24"/>
        </w:rPr>
      </w:pPr>
      <w:r>
        <w:rPr>
          <w:b/>
          <w:noProof/>
        </w:rPr>
        <w:t>a) Noile operațiuni FEIS/RCR susținute de capitalul majorat</w:t>
      </w:r>
    </w:p>
    <w:p>
      <w:pPr>
        <w:pStyle w:val="Point0number"/>
        <w:numPr>
          <w:ilvl w:val="0"/>
          <w:numId w:val="0"/>
        </w:numPr>
        <w:tabs>
          <w:tab w:val="left" w:pos="720"/>
        </w:tabs>
        <w:spacing w:before="100" w:beforeAutospacing="1" w:after="100" w:afterAutospacing="1"/>
        <w:rPr>
          <w:noProof/>
          <w:szCs w:val="24"/>
        </w:rPr>
      </w:pPr>
      <w:r>
        <w:rPr>
          <w:noProof/>
        </w:rPr>
        <w:t>RCR a permis FEI să îi urmeze strategia privind capitalurile proprii pe segmentele de capital de risc și de creștere timp de peste 15 ani și a determinat investiții sporite prin intermediul finanțării hibride cu capital propriu și capital împrumutat. FEI își coinvestește propriile resurse alături de resursele prin mandat.</w:t>
      </w:r>
    </w:p>
    <w:p>
      <w:pPr>
        <w:pStyle w:val="Point0number"/>
        <w:numPr>
          <w:ilvl w:val="0"/>
          <w:numId w:val="0"/>
        </w:numPr>
        <w:tabs>
          <w:tab w:val="left" w:pos="720"/>
        </w:tabs>
        <w:spacing w:before="100" w:beforeAutospacing="1" w:after="100" w:afterAutospacing="1"/>
        <w:rPr>
          <w:noProof/>
          <w:szCs w:val="24"/>
        </w:rPr>
      </w:pPr>
      <w:r>
        <w:rPr>
          <w:noProof/>
        </w:rPr>
        <w:t>În luna iulie 2015, BEI a crescut resursele RCR sub formă de capitaluri proprii cu 2,5 miliarde EUR (ajungând la 9,5 miliarde EUR) în cadrul componentei pentru IMM-uri din cadrul FEIS, destinată capitalului privat și investițiilor în transferul de tehnologie în IMM-uri și în întreprinderi cu capitalizare medie. La sfârșitul anului 2015, angajamentele specifice ale FEIS se ridicau la 1,4 miliarde EUR în 45 de fonduri. Finanțarea rezultată a atins 14,6 miliarde EUR (un nivel de aproape 1:11 al indicatorului efectului de levier).</w:t>
      </w:r>
    </w:p>
    <w:p>
      <w:pPr>
        <w:pStyle w:val="Point0number"/>
        <w:numPr>
          <w:ilvl w:val="0"/>
          <w:numId w:val="0"/>
        </w:numPr>
        <w:tabs>
          <w:tab w:val="left" w:pos="720"/>
        </w:tabs>
        <w:spacing w:before="100" w:beforeAutospacing="1" w:after="100" w:afterAutospacing="1"/>
        <w:rPr>
          <w:noProof/>
          <w:szCs w:val="24"/>
        </w:rPr>
      </w:pPr>
      <w:r>
        <w:rPr>
          <w:noProof/>
        </w:rPr>
        <w:t>Anul 2015 a marcat primul an complet operațional al Mecanismului de coinvestiții de tip mezanin (</w:t>
      </w:r>
      <w:r>
        <w:rPr>
          <w:i/>
          <w:noProof/>
        </w:rPr>
        <w:t>Mezzanine Co-Investment Facility</w:t>
      </w:r>
      <w:r>
        <w:rPr>
          <w:noProof/>
        </w:rPr>
        <w:t xml:space="preserve"> – MCIF) în cadrul mandatului RCR. Mecanismul hibrid de capital și datorie în valoare de 100 de milioane EUR a permis FEI să coinvestească în societăți țintă alături de fonduri de tip mezanin. Până în luna septembrie 2016, angajamentele în cadrul MCIF însumau 72 de milioane EUR (dintre care 4 milioane EUR din resursele proprii ale FEI), promovând o mai amplă utilizare a soluțiilor de coinvestiții și abordând reduceri identificate clar ale finanțării.</w:t>
      </w:r>
    </w:p>
    <w:p>
      <w:pPr>
        <w:pStyle w:val="Point0number"/>
        <w:numPr>
          <w:ilvl w:val="0"/>
          <w:numId w:val="0"/>
        </w:numPr>
        <w:tabs>
          <w:tab w:val="left" w:pos="720"/>
        </w:tabs>
        <w:spacing w:before="100" w:beforeAutospacing="1" w:after="100" w:afterAutospacing="1"/>
        <w:rPr>
          <w:noProof/>
          <w:szCs w:val="24"/>
        </w:rPr>
      </w:pPr>
      <w:r>
        <w:rPr>
          <w:noProof/>
        </w:rPr>
        <w:t>În perioada ianuarie 2014-septembrie 2016, FEI a angajat 5,0 miliarde EUR în cadrul RCR, inclusiv 250 de milioane EUR din resurse proprii.</w:t>
      </w:r>
    </w:p>
    <w:p>
      <w:pPr>
        <w:pStyle w:val="Point0number"/>
        <w:numPr>
          <w:ilvl w:val="0"/>
          <w:numId w:val="0"/>
        </w:numPr>
        <w:tabs>
          <w:tab w:val="left" w:pos="720"/>
        </w:tabs>
        <w:spacing w:before="100" w:beforeAutospacing="1" w:after="100" w:afterAutospacing="1"/>
        <w:rPr>
          <w:b/>
          <w:noProof/>
          <w:szCs w:val="24"/>
        </w:rPr>
      </w:pPr>
      <w:r>
        <w:rPr>
          <w:b/>
          <w:noProof/>
        </w:rPr>
        <w:t>b) Partajarea riscurilor de către FEI în cadrul mandatelor UE - instrumentul financiar de capitaluri proprii unic al UE</w:t>
      </w:r>
    </w:p>
    <w:p>
      <w:pPr>
        <w:pStyle w:val="Point0number"/>
        <w:numPr>
          <w:ilvl w:val="0"/>
          <w:numId w:val="0"/>
        </w:numPr>
        <w:tabs>
          <w:tab w:val="left" w:pos="720"/>
        </w:tabs>
        <w:spacing w:before="100" w:beforeAutospacing="1" w:after="100" w:afterAutospacing="1"/>
        <w:rPr>
          <w:noProof/>
          <w:szCs w:val="24"/>
        </w:rPr>
      </w:pPr>
      <w:r>
        <w:rPr>
          <w:noProof/>
        </w:rPr>
        <w:t>Instrumentul financiar de capitaluri proprii unic al UE cuprinde mecanismul COSME de capitaluri proprii pentru creștere (COSME EFG) și instrumentul de capital de risc InnovFin pentru IMM-uri din cadrul programului Orizont 2020 (InnovFin Equity), care acoperă de asemenea o inițiativă-pilot pentru investitori providențiali. În ambele cazuri, resursele bugetare ale UE sunt alocate împreună cu resursele proprii ale FEI.</w:t>
      </w:r>
    </w:p>
    <w:p>
      <w:pPr>
        <w:pStyle w:val="Point0number"/>
        <w:numPr>
          <w:ilvl w:val="0"/>
          <w:numId w:val="0"/>
        </w:numPr>
        <w:tabs>
          <w:tab w:val="left" w:pos="720"/>
        </w:tabs>
        <w:spacing w:before="100" w:beforeAutospacing="1" w:after="100" w:afterAutospacing="1"/>
        <w:rPr>
          <w:noProof/>
          <w:szCs w:val="24"/>
        </w:rPr>
      </w:pPr>
      <w:r>
        <w:rPr>
          <w:noProof/>
        </w:rPr>
        <w:t>COSME EFG permite FEI să investească în fonduri care oferă finanțare prin capitaluri proprii și finanțare de tip mezanin destinate IMM-urilor în fază de expansiune și de creștere, ce prezintă un înalt potențial de creștere, îndeosebi IMM-urilor care operează la nivel transfrontalier. Până în septembrie 2016, fuseseră semnate nouă investiții în cadrul mecanismului EFG, reprezentând angajamente agregate în valoare de 107 milioane EUR, dintre care 5 milioane EUR proveneau din resursele proprii ale FEI.</w:t>
      </w:r>
    </w:p>
    <w:p>
      <w:pPr>
        <w:pStyle w:val="Point0number"/>
        <w:numPr>
          <w:ilvl w:val="0"/>
          <w:numId w:val="0"/>
        </w:numPr>
        <w:tabs>
          <w:tab w:val="left" w:pos="720"/>
        </w:tabs>
        <w:spacing w:before="100" w:beforeAutospacing="1" w:after="100" w:afterAutospacing="1"/>
        <w:rPr>
          <w:noProof/>
          <w:szCs w:val="24"/>
        </w:rPr>
      </w:pPr>
      <w:r>
        <w:rPr>
          <w:noProof/>
        </w:rPr>
        <w:t>Prin intermediul InnovFin Equity, FEI vizează investiții în transferul de tehnologie, investitori providențiali, fonduri cu capital de risc și fond de fonduri, ce oferă capitaluri proprii pentru etapele de început ale societăților aflate în faza pre-seed, seed și start-up, care ar putea să nu fi generat încă venituri din comercializarea produselor proprii. El mobilizează peste 1,7 miliarde EUR pentru întreprinderi din statele membre și din țările asociate programului Orizont 2020. FEI a angajat o sumă totală de 130 de milioane EUR unui număr de șapte fonduri de capital, inclusiv 26,5 milioane EUR din resursele proprii ale FEI.</w:t>
      </w:r>
    </w:p>
    <w:p>
      <w:pPr>
        <w:spacing w:before="100" w:beforeAutospacing="1" w:after="100" w:afterAutospacing="1" w:line="240" w:lineRule="auto"/>
        <w:jc w:val="both"/>
        <w:rPr>
          <w:noProof/>
          <w:szCs w:val="24"/>
        </w:rPr>
      </w:pPr>
      <w:r>
        <w:rPr>
          <w:noProof/>
        </w:rPr>
        <w:t>În urma înființării unui nou instrument de capital în cadrul FEIS, a fost creat un produs financiar structurat în cadrul FEIS, care combină InnovFin Equity al UE cu un angajament de 270 de milioane EUR acoperite de garanția UE pentru FEIS și un angajament în valoare de 290 de milioane EUR pe baza resurselor proprii ale FEI.</w:t>
      </w:r>
    </w:p>
    <w:p>
      <w:pPr>
        <w:pStyle w:val="Point0number"/>
        <w:numPr>
          <w:ilvl w:val="0"/>
          <w:numId w:val="0"/>
        </w:numPr>
        <w:tabs>
          <w:tab w:val="left" w:pos="720"/>
        </w:tabs>
        <w:spacing w:before="100" w:beforeAutospacing="1" w:after="100" w:afterAutospacing="1"/>
        <w:rPr>
          <w:b/>
          <w:noProof/>
          <w:szCs w:val="24"/>
        </w:rPr>
      </w:pPr>
      <w:r>
        <w:rPr>
          <w:b/>
          <w:noProof/>
        </w:rPr>
        <w:t>c) Realizarea de investiții cu impact social: Acceleratorul de impact social (</w:t>
      </w:r>
      <w:r>
        <w:rPr>
          <w:b/>
          <w:i/>
          <w:noProof/>
        </w:rPr>
        <w:t>Social Impact Accelerator</w:t>
      </w:r>
      <w:r>
        <w:rPr>
          <w:b/>
          <w:noProof/>
        </w:rPr>
        <w:t xml:space="preserve"> – SIA)</w:t>
      </w:r>
    </w:p>
    <w:p>
      <w:pPr>
        <w:pStyle w:val="Point0number"/>
        <w:numPr>
          <w:ilvl w:val="0"/>
          <w:numId w:val="0"/>
        </w:numPr>
        <w:tabs>
          <w:tab w:val="left" w:pos="720"/>
        </w:tabs>
        <w:spacing w:before="100" w:beforeAutospacing="1" w:after="100" w:afterAutospacing="1"/>
        <w:rPr>
          <w:noProof/>
          <w:szCs w:val="24"/>
        </w:rPr>
      </w:pPr>
      <w:r>
        <w:rPr>
          <w:noProof/>
        </w:rPr>
        <w:t>SIA este o inițiativă a FEI lansată în anul 2013, ca parte a strategiei de investiții de impact a Grupului BEI, care răspunde obiectivului UE mai amplu de creare a unei piețe durabile de finanțare pentru antreprenoriatul social în Europa. SIA este un fond de fonduri care urmărește crearea unui portofoliu de investiții de capital în fonduri cu impact social. SIA promovează incluziunea socială, oferă surse alternative de ocupare a forței de muncă pentru grupurile sociale marginalizare și contribuie la creștere.</w:t>
      </w:r>
    </w:p>
    <w:p>
      <w:pPr>
        <w:pStyle w:val="Point0number"/>
        <w:numPr>
          <w:ilvl w:val="0"/>
          <w:numId w:val="0"/>
        </w:numPr>
        <w:tabs>
          <w:tab w:val="left" w:pos="720"/>
        </w:tabs>
        <w:spacing w:before="100" w:beforeAutospacing="1" w:after="100" w:afterAutospacing="1"/>
        <w:rPr>
          <w:noProof/>
          <w:szCs w:val="24"/>
        </w:rPr>
      </w:pPr>
      <w:r>
        <w:rPr>
          <w:noProof/>
        </w:rPr>
        <w:t>În perioada 2014-2015, FEI a continuat să construiască o rezervă a SIA solidă și diversificată, în întreaga Europă, garantând disponibilitatea unei ample game de opțiuni de finanțare, inclusiv instrumente de datorie sau instrumente hibride de capital și datorie.</w:t>
      </w:r>
    </w:p>
    <w:p>
      <w:pPr>
        <w:pStyle w:val="Point0number"/>
        <w:numPr>
          <w:ilvl w:val="0"/>
          <w:numId w:val="0"/>
        </w:numPr>
        <w:tabs>
          <w:tab w:val="left" w:pos="720"/>
        </w:tabs>
        <w:spacing w:before="100" w:beforeAutospacing="1" w:after="100" w:afterAutospacing="1"/>
        <w:rPr>
          <w:noProof/>
          <w:szCs w:val="24"/>
        </w:rPr>
      </w:pPr>
      <w:r>
        <w:rPr>
          <w:noProof/>
        </w:rPr>
        <w:t>SIA beneficiază de finanțare în cadrul instrumentului de finanțare de impact social al EREM, un mandat al BEI (în valoare de 189 de milioane EUR). Angajamentele totale ale SIA au ajuns la 243 de milioane EUR la data închiderii sale definitive, în luna iulie 2015, prin investiții suplimentare din partea Băncii pentru Dezvoltare a Bulgariei, a fondului finlandez pentru inovare Sitra, precum și prin acordarea sumei de 11,5 milioane EUR din resursele proprii ale FEI.</w:t>
      </w:r>
    </w:p>
    <w:p>
      <w:pPr>
        <w:pStyle w:val="Point0number"/>
        <w:numPr>
          <w:ilvl w:val="0"/>
          <w:numId w:val="0"/>
        </w:numPr>
        <w:tabs>
          <w:tab w:val="left" w:pos="720"/>
        </w:tabs>
        <w:spacing w:before="100" w:beforeAutospacing="1" w:after="100" w:afterAutospacing="1"/>
        <w:rPr>
          <w:b/>
          <w:noProof/>
          <w:szCs w:val="24"/>
        </w:rPr>
      </w:pPr>
      <w:r>
        <w:rPr>
          <w:b/>
          <w:noProof/>
        </w:rPr>
        <w:t>d) Acoperirea regională</w:t>
      </w:r>
    </w:p>
    <w:p>
      <w:pPr>
        <w:pStyle w:val="Point0number"/>
        <w:numPr>
          <w:ilvl w:val="0"/>
          <w:numId w:val="0"/>
        </w:numPr>
        <w:tabs>
          <w:tab w:val="left" w:pos="720"/>
        </w:tabs>
        <w:spacing w:before="100" w:beforeAutospacing="1" w:after="100" w:afterAutospacing="1"/>
        <w:rPr>
          <w:noProof/>
          <w:szCs w:val="24"/>
        </w:rPr>
      </w:pPr>
      <w:r>
        <w:rPr>
          <w:noProof/>
        </w:rPr>
        <w:t>FEI și-a extins acoperirea regională a capitalurilor proprii inițiată în anul 2006, gestionând în prezent 12 fonduri de fonduri la nivel regional și însumând angajamente de 3,7 miliarde EUR în sectorul fondurilor de fonduri. În anul 2016, FEI și partenerii săi regionali au înființat trei fonduri de fonduri, vizând în principal Estonia (60 de milioane EUR), Suedia (582 de milioane SEK, adică aproximativ 60,5 milioane EUR) și Țările de Jos (200 de milioane EUR), inclusiv din resurse ale fondurilor ESI și/sau din resurse FEIS. De asemenea, FEI investește resurse proprii, alături de fondurile mandanților săi, în cadrul altor fonduri de fonduri la nivel regional, prin intermediul coinvestirii FEI în cadrul mandatului RCR, care finanțează parțial aceste inițiative.</w:t>
      </w:r>
    </w:p>
    <w:p>
      <w:pPr>
        <w:pStyle w:val="Point0number"/>
        <w:numPr>
          <w:ilvl w:val="0"/>
          <w:numId w:val="0"/>
        </w:numPr>
        <w:tabs>
          <w:tab w:val="left" w:pos="720"/>
        </w:tabs>
        <w:spacing w:before="100" w:beforeAutospacing="1" w:after="100" w:afterAutospacing="1"/>
        <w:rPr>
          <w:noProof/>
          <w:szCs w:val="24"/>
        </w:rPr>
      </w:pPr>
      <w:r>
        <w:rPr>
          <w:noProof/>
        </w:rPr>
        <w:t>În plus, FEI și-a extins activitățile în cadrul inițiativei Fondului european al investitorilor providențiali (</w:t>
      </w:r>
      <w:r>
        <w:rPr>
          <w:i/>
          <w:noProof/>
        </w:rPr>
        <w:t>European Angels Fund</w:t>
      </w:r>
      <w:r>
        <w:rPr>
          <w:noProof/>
        </w:rPr>
        <w:t xml:space="preserve"> - EAF). În cadrul EAF, FEI oferă capital propriu investitorilor providențiali și altor investitori neinstituționali, sporindu-le capacitatea de investiții prin coinvestirea în societăți inovatoare aflate în etapele seed, de început sau de creștere. În prezent, EAF acoperă Austria, Germania, Irlanda, Țările de Jos, Spania și Danemarca, ceea ce reprezintă o extindere semnificativă de la lansarea sa, în anul 2012. La sfârșitul lunii septembrie 2016, inițiativa EAF dispunea de un volum de 265 de milioane EUR, din care minimum 8 milioane EUR de angajat din resursele proprii ale FEI.</w:t>
      </w:r>
    </w:p>
    <w:p>
      <w:pPr>
        <w:pStyle w:val="Point0number"/>
        <w:numPr>
          <w:ilvl w:val="0"/>
          <w:numId w:val="0"/>
        </w:numPr>
        <w:tabs>
          <w:tab w:val="left" w:pos="720"/>
        </w:tabs>
        <w:spacing w:before="100" w:beforeAutospacing="1" w:after="100" w:afterAutospacing="1"/>
        <w:rPr>
          <w:b/>
          <w:noProof/>
          <w:szCs w:val="24"/>
        </w:rPr>
      </w:pPr>
      <w:r>
        <w:rPr>
          <w:b/>
          <w:noProof/>
        </w:rPr>
        <w:t>2.3.</w:t>
      </w:r>
      <w:r>
        <w:rPr>
          <w:noProof/>
        </w:rPr>
        <w:tab/>
      </w:r>
      <w:r>
        <w:rPr>
          <w:b/>
          <w:noProof/>
        </w:rPr>
        <w:t>Îndatorarea (garanții, securitizare și microfinanțare)</w:t>
      </w:r>
    </w:p>
    <w:p>
      <w:pPr>
        <w:pStyle w:val="Point0number"/>
        <w:numPr>
          <w:ilvl w:val="0"/>
          <w:numId w:val="0"/>
        </w:numPr>
        <w:tabs>
          <w:tab w:val="left" w:pos="720"/>
        </w:tabs>
        <w:spacing w:before="100" w:beforeAutospacing="1" w:after="100" w:afterAutospacing="1"/>
        <w:rPr>
          <w:noProof/>
          <w:szCs w:val="24"/>
        </w:rPr>
      </w:pPr>
      <w:r>
        <w:rPr>
          <w:noProof/>
        </w:rPr>
        <w:t>În paralel cu noile mandate realizate în perioada 2014-2016, care se bazează exclusiv pe mobilizarea resurselor mandanților, au fost lansate un număr semnificativ de mandate axate pe datorie, prin intermediul coinvestițiilor și/sau al partajării riscurilor de către FEI. În plus, FEI și-a sporit activitatea pe risc propriu în ceea ce privește operațiunile de îmbunătățire a calității creditului.</w:t>
      </w:r>
    </w:p>
    <w:p>
      <w:pPr>
        <w:pStyle w:val="Point0number"/>
        <w:numPr>
          <w:ilvl w:val="0"/>
          <w:numId w:val="0"/>
        </w:numPr>
        <w:tabs>
          <w:tab w:val="left" w:pos="720"/>
        </w:tabs>
        <w:spacing w:before="100" w:beforeAutospacing="1" w:after="100" w:afterAutospacing="1"/>
        <w:rPr>
          <w:b/>
          <w:noProof/>
          <w:szCs w:val="24"/>
        </w:rPr>
      </w:pPr>
      <w:r>
        <w:rPr>
          <w:b/>
          <w:noProof/>
        </w:rPr>
        <w:t>a) Mandatul BEI pentru consolidarea administrării riscului</w:t>
      </w:r>
    </w:p>
    <w:p>
      <w:pPr>
        <w:pStyle w:val="Point0number"/>
        <w:numPr>
          <w:ilvl w:val="0"/>
          <w:numId w:val="0"/>
        </w:numPr>
        <w:tabs>
          <w:tab w:val="left" w:pos="720"/>
        </w:tabs>
        <w:spacing w:before="100" w:beforeAutospacing="1" w:after="100" w:afterAutospacing="1"/>
        <w:rPr>
          <w:noProof/>
          <w:szCs w:val="24"/>
        </w:rPr>
      </w:pPr>
      <w:r>
        <w:rPr>
          <w:noProof/>
        </w:rPr>
        <w:t>EREM a fost semnat între BEI și FEI în luna martie 2014 cu scopul de a sprijini finanțarea deficitară a mediului de afaceri european prin garanții suplimentare și prin instrumente de datorie și de capital. A fost alocat un total de până la șase miliarde EUR, din care patru miliarde EUR provin de la BEI și până la două miliarde EUR sunt din partea FEI.</w:t>
      </w:r>
    </w:p>
    <w:p>
      <w:pPr>
        <w:pStyle w:val="Point0number"/>
        <w:numPr>
          <w:ilvl w:val="0"/>
          <w:numId w:val="0"/>
        </w:numPr>
        <w:tabs>
          <w:tab w:val="left" w:pos="720"/>
        </w:tabs>
        <w:spacing w:before="100" w:beforeAutospacing="1" w:after="100" w:afterAutospacing="1"/>
        <w:rPr>
          <w:noProof/>
          <w:szCs w:val="24"/>
        </w:rPr>
      </w:pPr>
      <w:r>
        <w:rPr>
          <w:noProof/>
        </w:rPr>
        <w:t>Produsele/componentele EREM sprijină activitățile existente sau consolidează instrumente alternative de finanțare care să răspundă noilor nevoi concrete ale pieței:</w:t>
      </w:r>
    </w:p>
    <w:p>
      <w:pPr>
        <w:pStyle w:val="Point0number"/>
        <w:numPr>
          <w:ilvl w:val="0"/>
          <w:numId w:val="0"/>
        </w:numPr>
        <w:tabs>
          <w:tab w:val="left" w:pos="720"/>
        </w:tabs>
        <w:spacing w:before="100" w:beforeAutospacing="1" w:after="100" w:afterAutospacing="1"/>
        <w:rPr>
          <w:noProof/>
          <w:szCs w:val="24"/>
        </w:rPr>
      </w:pPr>
      <w:r>
        <w:rPr>
          <w:noProof/>
        </w:rPr>
        <w:t>•</w:t>
      </w:r>
      <w:r>
        <w:rPr>
          <w:noProof/>
        </w:rPr>
        <w:tab/>
      </w:r>
      <w:r>
        <w:rPr>
          <w:b/>
          <w:noProof/>
        </w:rPr>
        <w:t>îmbunătățirea creditului TGA (</w:t>
      </w:r>
      <w:r>
        <w:rPr>
          <w:b/>
          <w:i/>
          <w:noProof/>
        </w:rPr>
        <w:t>ABS Credit Enhancement</w:t>
      </w:r>
      <w:r>
        <w:rPr>
          <w:b/>
          <w:noProof/>
        </w:rPr>
        <w:t xml:space="preserve"> – EREM ABS CE</w:t>
      </w:r>
      <w:r>
        <w:rPr>
          <w:noProof/>
        </w:rPr>
        <w:t>) oferă sprijin de până la 1,95 miliarde EUR unei capacități sporite de tranșe de tip mezanin a unor securitizări prin intermediul titlurilor garantate cu active, eliberând resurse astfel încât emitenții să poată credita IMM-urile și micile întreprinderi cu capitalizare medie;</w:t>
      </w:r>
    </w:p>
    <w:p>
      <w:pPr>
        <w:pStyle w:val="Point0number"/>
        <w:numPr>
          <w:ilvl w:val="0"/>
          <w:numId w:val="0"/>
        </w:numPr>
        <w:tabs>
          <w:tab w:val="left" w:pos="720"/>
        </w:tabs>
        <w:spacing w:before="100" w:beforeAutospacing="1" w:after="100" w:afterAutospacing="1"/>
        <w:rPr>
          <w:noProof/>
          <w:szCs w:val="24"/>
        </w:rPr>
      </w:pPr>
      <w:r>
        <w:rPr>
          <w:noProof/>
        </w:rPr>
        <w:t>•</w:t>
      </w:r>
      <w:r>
        <w:rPr>
          <w:noProof/>
        </w:rPr>
        <w:tab/>
      </w:r>
      <w:r>
        <w:rPr>
          <w:b/>
          <w:noProof/>
        </w:rPr>
        <w:t>băncile cooperative și instituțiile mai mici din cadrul EREM</w:t>
      </w:r>
      <w:r>
        <w:rPr>
          <w:noProof/>
        </w:rPr>
        <w:t xml:space="preserve"> extind gama intermediarilor Grupului BEI, în special micile bănci cooperative și alte instituții de mai mici dimensiuni axate îndeosebi asupra IMM-urilor mai mici și a start-up-urilor. La rândul lor, emitenții ar trebui să își utilizeze resursele libere pentru a crește creditarea către IMM-uri;</w:t>
      </w:r>
    </w:p>
    <w:p>
      <w:pPr>
        <w:pStyle w:val="Point0number"/>
        <w:numPr>
          <w:ilvl w:val="0"/>
          <w:numId w:val="0"/>
        </w:numPr>
        <w:tabs>
          <w:tab w:val="left" w:pos="720"/>
        </w:tabs>
        <w:spacing w:before="100" w:beforeAutospacing="1" w:after="100" w:afterAutospacing="1"/>
        <w:rPr>
          <w:noProof/>
          <w:szCs w:val="24"/>
        </w:rPr>
      </w:pPr>
      <w:r>
        <w:rPr>
          <w:noProof/>
        </w:rPr>
        <w:t>•</w:t>
      </w:r>
      <w:r>
        <w:rPr>
          <w:noProof/>
        </w:rPr>
        <w:tab/>
      </w:r>
      <w:r>
        <w:rPr>
          <w:b/>
          <w:noProof/>
        </w:rPr>
        <w:t>fondurile de creditare</w:t>
      </w:r>
      <w:r>
        <w:rPr>
          <w:noProof/>
        </w:rPr>
        <w:t xml:space="preserve"> – un nou segment vizat de FEI în vederea creșterii disponibilității finanțării pentru creditarea IMM-urilor și a micilor întreprinderi cu capitalizare medie, în afara canalelor bancare clasice. Rezerva consolidată a condus la o creștere de până la 725 de milioane EUR a resurselor disponibile în ianuarie 2016.</w:t>
      </w:r>
    </w:p>
    <w:p>
      <w:pPr>
        <w:pStyle w:val="Point0number"/>
        <w:numPr>
          <w:ilvl w:val="0"/>
          <w:numId w:val="0"/>
        </w:numPr>
        <w:tabs>
          <w:tab w:val="left" w:pos="720"/>
        </w:tabs>
        <w:spacing w:before="100" w:beforeAutospacing="1" w:after="100" w:afterAutospacing="1"/>
        <w:rPr>
          <w:noProof/>
          <w:szCs w:val="24"/>
        </w:rPr>
      </w:pPr>
      <w:r>
        <w:rPr>
          <w:noProof/>
        </w:rPr>
        <w:t>•</w:t>
      </w:r>
      <w:r>
        <w:rPr>
          <w:noProof/>
        </w:rPr>
        <w:tab/>
      </w:r>
      <w:r>
        <w:rPr>
          <w:b/>
          <w:noProof/>
        </w:rPr>
        <w:t>Inițiativa EREM-IMM</w:t>
      </w:r>
    </w:p>
    <w:p>
      <w:pPr>
        <w:pStyle w:val="Point0number"/>
        <w:numPr>
          <w:ilvl w:val="0"/>
          <w:numId w:val="0"/>
        </w:numPr>
        <w:tabs>
          <w:tab w:val="left" w:pos="720"/>
        </w:tabs>
        <w:spacing w:before="100" w:beforeAutospacing="1" w:after="100" w:afterAutospacing="1"/>
        <w:rPr>
          <w:noProof/>
          <w:szCs w:val="24"/>
        </w:rPr>
      </w:pPr>
      <w:r>
        <w:rPr>
          <w:noProof/>
        </w:rPr>
        <w:t>EREM solicită FEI să participe cu propriile resurse alături de finanțarea pusă la dispoziție de BEI. Până în prezent, a fost mobilizată, într-un număr de 42 de tranzacții, o sumă de până la 333 de milioane EUR din resursele proprii ale FEI, pentru un volum agregat investit de 1,2 miliarde EUR.</w:t>
      </w:r>
    </w:p>
    <w:p>
      <w:pPr>
        <w:pStyle w:val="Point0number"/>
        <w:numPr>
          <w:ilvl w:val="0"/>
          <w:numId w:val="0"/>
        </w:numPr>
        <w:tabs>
          <w:tab w:val="left" w:pos="720"/>
        </w:tabs>
        <w:spacing w:before="100" w:beforeAutospacing="1" w:after="100" w:afterAutospacing="1"/>
        <w:rPr>
          <w:b/>
          <w:noProof/>
          <w:szCs w:val="24"/>
        </w:rPr>
      </w:pPr>
      <w:r>
        <w:rPr>
          <w:b/>
          <w:noProof/>
        </w:rPr>
        <w:t>b) Contribuțiile cu capital ale FEI la instrumentele bugetare ale UE</w:t>
      </w:r>
    </w:p>
    <w:p>
      <w:pPr>
        <w:pStyle w:val="Point0number"/>
        <w:numPr>
          <w:ilvl w:val="0"/>
          <w:numId w:val="0"/>
        </w:numPr>
        <w:tabs>
          <w:tab w:val="left" w:pos="720"/>
        </w:tabs>
        <w:spacing w:before="100" w:beforeAutospacing="1" w:after="100" w:afterAutospacing="1"/>
        <w:rPr>
          <w:b/>
          <w:i/>
          <w:noProof/>
        </w:rPr>
      </w:pPr>
      <w:r>
        <w:rPr>
          <w:b/>
          <w:i/>
          <w:noProof/>
        </w:rPr>
        <w:t>i) Fondul de garantare InnovFin pentru IMM-uri (SMEG)</w:t>
      </w:r>
    </w:p>
    <w:p>
      <w:pPr>
        <w:pStyle w:val="Point0number"/>
        <w:numPr>
          <w:ilvl w:val="0"/>
          <w:numId w:val="0"/>
        </w:numPr>
        <w:tabs>
          <w:tab w:val="left" w:pos="720"/>
        </w:tabs>
        <w:spacing w:before="100" w:beforeAutospacing="1" w:after="100" w:afterAutospacing="1"/>
        <w:rPr>
          <w:noProof/>
          <w:szCs w:val="24"/>
        </w:rPr>
      </w:pPr>
      <w:r>
        <w:rPr>
          <w:noProof/>
        </w:rPr>
        <w:t>Începând din 2014, FEI a oferit garanții neplafonate sau contragaranții intermediarilor financiari, permițându-le să furnizeze finanțare prin îndatorare în condiții favorabile IMM-urilor inovatoare și micilor întreprinderi cu capitalizare medie din statele membre și din țările asociate</w:t>
      </w:r>
      <w:r>
        <w:rPr>
          <w:rStyle w:val="FootnoteReference"/>
          <w:noProof/>
        </w:rPr>
        <w:footnoteReference w:id="13"/>
      </w:r>
      <w:r>
        <w:rPr>
          <w:noProof/>
        </w:rPr>
        <w:t>.</w:t>
      </w:r>
    </w:p>
    <w:p>
      <w:pPr>
        <w:pStyle w:val="Point0number"/>
        <w:numPr>
          <w:ilvl w:val="0"/>
          <w:numId w:val="0"/>
        </w:numPr>
        <w:tabs>
          <w:tab w:val="left" w:pos="720"/>
        </w:tabs>
        <w:spacing w:before="100" w:beforeAutospacing="1" w:after="100" w:afterAutospacing="1"/>
        <w:rPr>
          <w:noProof/>
          <w:szCs w:val="24"/>
        </w:rPr>
      </w:pPr>
      <w:r>
        <w:rPr>
          <w:noProof/>
        </w:rPr>
        <w:t>Se preconizează că 1,1 miliarde EUR din bugetul Uniunii și până la 4,0 miliarde EUR din expunerea FEI voi furniza societăților inovatoare aproximativ 10 miliarde EUR de finanțare prin îndatorare, și, de asemenea, că vor cataliza investiții de aproximativ 14 miliarde EUR. FEI a încheiat 88 de tranzacții de garantare, însumând 3,8 miliarde EUR, dintre care 68 de tranzacții au fost sprijinite de FEIS, totalul împrumuturilor semnate atingând 3,0 miliarde EUR.</w:t>
      </w:r>
    </w:p>
    <w:p>
      <w:pPr>
        <w:pStyle w:val="Point0number"/>
        <w:numPr>
          <w:ilvl w:val="0"/>
          <w:numId w:val="0"/>
        </w:numPr>
        <w:tabs>
          <w:tab w:val="left" w:pos="720"/>
        </w:tabs>
        <w:spacing w:before="100" w:beforeAutospacing="1" w:after="100" w:afterAutospacing="1"/>
        <w:rPr>
          <w:noProof/>
          <w:szCs w:val="24"/>
        </w:rPr>
      </w:pPr>
      <w:r>
        <w:rPr>
          <w:noProof/>
        </w:rPr>
        <w:t>Începând din luna ianuarie 2015, punerea în aplicare a mecanismului SMEG a beneficiat de o accelerare semnificativă grație sprijinului oferit de FEIS.</w:t>
      </w:r>
    </w:p>
    <w:p>
      <w:pPr>
        <w:pStyle w:val="Point0number"/>
        <w:numPr>
          <w:ilvl w:val="0"/>
          <w:numId w:val="0"/>
        </w:numPr>
        <w:tabs>
          <w:tab w:val="left" w:pos="720"/>
        </w:tabs>
        <w:spacing w:before="100" w:beforeAutospacing="1" w:after="100" w:afterAutospacing="1"/>
        <w:rPr>
          <w:b/>
          <w:i/>
          <w:noProof/>
          <w:szCs w:val="24"/>
        </w:rPr>
      </w:pPr>
      <w:r>
        <w:rPr>
          <w:b/>
          <w:i/>
          <w:noProof/>
        </w:rPr>
        <w:t>ii) Fondul european pentru investiții strategice</w:t>
      </w:r>
    </w:p>
    <w:p>
      <w:pPr>
        <w:pStyle w:val="Point0number"/>
        <w:numPr>
          <w:ilvl w:val="0"/>
          <w:numId w:val="0"/>
        </w:numPr>
        <w:tabs>
          <w:tab w:val="left" w:pos="720"/>
        </w:tabs>
        <w:spacing w:before="100" w:beforeAutospacing="1" w:after="100" w:afterAutospacing="1"/>
        <w:rPr>
          <w:noProof/>
          <w:szCs w:val="24"/>
        </w:rPr>
      </w:pPr>
      <w:r>
        <w:rPr>
          <w:noProof/>
        </w:rPr>
        <w:t>FEIS a fost lansat în comun de Grupul BEI și de UE cu scopul de a contribui la depășirea decalajului actual în materie de investiții în UE prin mobilizarea de finanțare privată destinată investițiilor strategice. El este sprijinit de o garanție în valoare de 16 miliarde EUR din bugetul Uniunii și de o alocare de cinci miliarde EUR din capitalul propriu al BEI.</w:t>
      </w:r>
    </w:p>
    <w:p>
      <w:pPr>
        <w:pStyle w:val="Point0number"/>
        <w:numPr>
          <w:ilvl w:val="0"/>
          <w:numId w:val="0"/>
        </w:numPr>
        <w:tabs>
          <w:tab w:val="left" w:pos="720"/>
        </w:tabs>
        <w:spacing w:before="100" w:beforeAutospacing="1" w:after="100" w:afterAutospacing="1"/>
        <w:rPr>
          <w:noProof/>
          <w:szCs w:val="24"/>
        </w:rPr>
      </w:pPr>
      <w:r>
        <w:rPr>
          <w:noProof/>
        </w:rPr>
        <w:t>FEI pune în aplicare componenta FEIS pentru IMM-uri, oferind 5,5 miliarde EUR</w:t>
      </w:r>
      <w:r>
        <w:rPr>
          <w:rStyle w:val="FootnoteReference"/>
          <w:noProof/>
        </w:rPr>
        <w:footnoteReference w:id="14"/>
      </w:r>
      <w:r>
        <w:rPr>
          <w:noProof/>
        </w:rPr>
        <w:t xml:space="preserve"> în garanții și investiții în capitaluri proprii. Se preconizează lansarea unui volum de investiții de 82,5 miliarde EUR în IMM-uri și în întreprinderi cu capitalizare medie până în vara anului 2018 (cu un indicator de 15x al efectului de levier). Estimarea inițială este confirmată de stadiul actual al punerii în aplicare indicând, de asemenea, îndeplinirea obiectivelor cu mult înainte de termen</w:t>
      </w:r>
      <w:r>
        <w:rPr>
          <w:rStyle w:val="FootnoteReference"/>
          <w:noProof/>
        </w:rPr>
        <w:footnoteReference w:id="15"/>
      </w:r>
      <w:r>
        <w:rPr>
          <w:noProof/>
        </w:rPr>
        <w:t>.</w:t>
      </w:r>
    </w:p>
    <w:p>
      <w:pPr>
        <w:pStyle w:val="Point0number"/>
        <w:numPr>
          <w:ilvl w:val="0"/>
          <w:numId w:val="0"/>
        </w:numPr>
        <w:tabs>
          <w:tab w:val="left" w:pos="720"/>
        </w:tabs>
        <w:spacing w:before="100" w:beforeAutospacing="1" w:after="100" w:afterAutospacing="1"/>
        <w:rPr>
          <w:noProof/>
          <w:szCs w:val="24"/>
        </w:rPr>
      </w:pPr>
      <w:r>
        <w:rPr>
          <w:noProof/>
        </w:rPr>
        <w:t>FEI a apelat la resursele proprii pentru a stimula alocarea produselor FEIS, înainte de obținerea aprobării oficiale prevăzute în legislația privind FEIS, mobilizând până la 500 de milioane EUR din fondurile proprii cu titlu de prefinanțare, până când structura FEIS să devină pe deplin operațională.</w:t>
      </w:r>
    </w:p>
    <w:p>
      <w:pPr>
        <w:pStyle w:val="Point0number"/>
        <w:numPr>
          <w:ilvl w:val="0"/>
          <w:numId w:val="0"/>
        </w:numPr>
        <w:tabs>
          <w:tab w:val="left" w:pos="720"/>
        </w:tabs>
        <w:spacing w:before="100" w:beforeAutospacing="1" w:after="100" w:afterAutospacing="1"/>
        <w:rPr>
          <w:b/>
          <w:noProof/>
          <w:szCs w:val="24"/>
        </w:rPr>
      </w:pPr>
      <w:r>
        <w:rPr>
          <w:b/>
          <w:noProof/>
        </w:rPr>
        <w:t>c) Sprijinul FEI acordat Inițiativei privind IMM-urile</w:t>
      </w:r>
    </w:p>
    <w:p>
      <w:pPr>
        <w:pStyle w:val="Point0number"/>
        <w:numPr>
          <w:ilvl w:val="0"/>
          <w:numId w:val="0"/>
        </w:numPr>
        <w:tabs>
          <w:tab w:val="left" w:pos="720"/>
        </w:tabs>
        <w:spacing w:before="100" w:beforeAutospacing="1" w:after="100" w:afterAutospacing="1"/>
        <w:rPr>
          <w:noProof/>
          <w:szCs w:val="24"/>
        </w:rPr>
      </w:pPr>
      <w:r>
        <w:rPr>
          <w:noProof/>
        </w:rPr>
        <w:t>Inițiativa privind IMM-urile a Comisiei și a Grupului BEI stimulează finanțarea IMM-urilor prin oferirea de acoperire parțială a riscurilor pentru portofoliile de împrumuturi pentru IMM-uri ale instituțiilor financiare emitente. FEIS furnizează marea parte a fondurilor UE, care includ o contribuție din partea instrumentelor de la nivelul UE (COSME și/sau Orizont 2020), cu o cofinanțare din partea BEI și din resurse proprii ale FEI.</w:t>
      </w:r>
    </w:p>
    <w:p>
      <w:pPr>
        <w:pStyle w:val="Point0number"/>
        <w:numPr>
          <w:ilvl w:val="0"/>
          <w:numId w:val="0"/>
        </w:numPr>
        <w:tabs>
          <w:tab w:val="left" w:pos="720"/>
        </w:tabs>
        <w:spacing w:before="100" w:beforeAutospacing="1" w:after="100" w:afterAutospacing="1"/>
        <w:rPr>
          <w:noProof/>
          <w:szCs w:val="24"/>
        </w:rPr>
      </w:pPr>
      <w:r>
        <w:rPr>
          <w:noProof/>
        </w:rPr>
        <w:t>FEI oferă intermediarilor financiari selectați un instrument de garantare neplafonată a portofoliului sau un instrument de securitizare. Această protecție împotriva pierderilor și posibila recuperare a capitalului permite intermediarilor financiari să furnizeze IMM-urilor credite, leasing și/sau garanții în condiții favorabile.</w:t>
      </w:r>
    </w:p>
    <w:p>
      <w:pPr>
        <w:pStyle w:val="Point0number"/>
        <w:numPr>
          <w:ilvl w:val="0"/>
          <w:numId w:val="0"/>
        </w:numPr>
        <w:tabs>
          <w:tab w:val="left" w:pos="720"/>
        </w:tabs>
        <w:spacing w:before="100" w:beforeAutospacing="1" w:after="100" w:afterAutospacing="1"/>
        <w:rPr>
          <w:b/>
          <w:noProof/>
          <w:szCs w:val="24"/>
        </w:rPr>
      </w:pPr>
      <w:r>
        <w:rPr>
          <w:noProof/>
        </w:rPr>
        <w:t>În prezent beneficiază de acoperire Spania, Bulgaria, Finlanda, Malta, Italia și România, dar există planuri de extindere și către alte state membre. Până în prezent, aproximativ un miliard EUR din resursele FEIS a fost încredințat FEI, alături de angajamentul așteptat de până la 1,8 miliarde EUR din partea BEI și de 150 de milioane EUR din resursele proprii ale FEI.</w:t>
      </w:r>
    </w:p>
    <w:p>
      <w:pPr>
        <w:pStyle w:val="Point0number"/>
        <w:numPr>
          <w:ilvl w:val="0"/>
          <w:numId w:val="0"/>
        </w:numPr>
        <w:tabs>
          <w:tab w:val="left" w:pos="720"/>
        </w:tabs>
        <w:spacing w:before="100" w:beforeAutospacing="1" w:after="100" w:afterAutospacing="1"/>
        <w:rPr>
          <w:b/>
          <w:noProof/>
          <w:szCs w:val="24"/>
        </w:rPr>
      </w:pPr>
      <w:r>
        <w:rPr>
          <w:b/>
          <w:noProof/>
        </w:rPr>
        <w:t>d) Intensificarea activităților de securitizare a IMM-urilor din resursele proprii ale FEI</w:t>
      </w:r>
    </w:p>
    <w:p>
      <w:pPr>
        <w:pStyle w:val="Point0number"/>
        <w:numPr>
          <w:ilvl w:val="0"/>
          <w:numId w:val="0"/>
        </w:numPr>
        <w:tabs>
          <w:tab w:val="left" w:pos="720"/>
        </w:tabs>
        <w:spacing w:before="100" w:beforeAutospacing="1" w:after="100" w:afterAutospacing="1"/>
        <w:rPr>
          <w:noProof/>
          <w:szCs w:val="24"/>
        </w:rPr>
      </w:pPr>
      <w:r>
        <w:rPr>
          <w:noProof/>
        </w:rPr>
        <w:t xml:space="preserve">Facilitând tranzacțiile de securitizare prin îmbunătățirea creditului, FEI oferă garanții instituțiilor financiare, le diversifică astfel sursele de finanțare, le oferă asistență economică și de capital reglementat, prin transferul riscului de creditare, și sprijină capacitatea băncilor de a credita IMM-uri. </w:t>
      </w:r>
    </w:p>
    <w:p>
      <w:pPr>
        <w:pStyle w:val="Point0number"/>
        <w:numPr>
          <w:ilvl w:val="0"/>
          <w:numId w:val="0"/>
        </w:numPr>
        <w:tabs>
          <w:tab w:val="left" w:pos="720"/>
        </w:tabs>
        <w:spacing w:before="100" w:beforeAutospacing="1" w:after="100" w:afterAutospacing="1"/>
        <w:rPr>
          <w:noProof/>
          <w:szCs w:val="24"/>
        </w:rPr>
      </w:pPr>
      <w:r>
        <w:rPr>
          <w:noProof/>
        </w:rPr>
        <w:t>Începând din anul 2014, eforturile FEI de a sprijini revigorarea securitizării de înaltă calitate a IMM-urilor au generat semnarea de garanții în valoare de 2,8 miliarde EUR. Acoperirea geografică s-a extins la 12 țări. Volumul cu efect de levier al creditării suplimentare a IMM-urilor asumate de emitenți este estimat să ajungă la 9,6 miliarde EUR. În total, în aceeași perioadă, activitatea de securitizare a IMM-urilor de către FEI a mobilizat peste 2,2 miliarde EUR din resursele proprii ale FEI.</w:t>
      </w:r>
    </w:p>
    <w:p>
      <w:pPr>
        <w:pStyle w:val="Point0number"/>
        <w:numPr>
          <w:ilvl w:val="0"/>
          <w:numId w:val="0"/>
        </w:numPr>
        <w:tabs>
          <w:tab w:val="left" w:pos="720"/>
        </w:tabs>
        <w:spacing w:before="100" w:beforeAutospacing="1" w:after="100" w:afterAutospacing="1"/>
        <w:rPr>
          <w:b/>
          <w:noProof/>
        </w:rPr>
      </w:pPr>
      <w:r>
        <w:rPr>
          <w:noProof/>
        </w:rPr>
        <w:t>Mecanismul FEI de îmbunătățire a creditului TGA a sprijinit de asemenea tranșele mezanin ale IMM-urilor/micilor întreprinderi cu capitalizare medie pe baza tranzacțiilor de securitizare, incluzând atât tranzacții sintetice, cât și de tip „vânzare reală”. De asemenea, FEI a utilizat 105 milioane EUR din resursele proprii pentru a achiziționa mai multe tranșe senior în cadrul unui produs nou creat de investiții directe în securitizări ale IMM-urilor prin intermediul titlurilor garantate cu active.</w:t>
      </w:r>
    </w:p>
    <w:p>
      <w:pPr>
        <w:pStyle w:val="Point0number"/>
        <w:numPr>
          <w:ilvl w:val="0"/>
          <w:numId w:val="0"/>
        </w:numPr>
        <w:tabs>
          <w:tab w:val="left" w:pos="720"/>
        </w:tabs>
        <w:spacing w:before="100" w:beforeAutospacing="1" w:after="100" w:afterAutospacing="1"/>
        <w:rPr>
          <w:b/>
          <w:noProof/>
          <w:szCs w:val="24"/>
        </w:rPr>
      </w:pPr>
      <w:r>
        <w:rPr>
          <w:b/>
          <w:noProof/>
        </w:rPr>
        <w:t>2.4</w:t>
      </w:r>
      <w:r>
        <w:rPr>
          <w:noProof/>
        </w:rPr>
        <w:tab/>
      </w:r>
      <w:r>
        <w:rPr>
          <w:b/>
          <w:noProof/>
        </w:rPr>
        <w:t>Acționarii</w:t>
      </w:r>
    </w:p>
    <w:p>
      <w:pPr>
        <w:pStyle w:val="Point0number"/>
        <w:numPr>
          <w:ilvl w:val="0"/>
          <w:numId w:val="0"/>
        </w:numPr>
        <w:tabs>
          <w:tab w:val="left" w:pos="720"/>
        </w:tabs>
        <w:spacing w:before="100" w:beforeAutospacing="1" w:after="100" w:afterAutospacing="1"/>
        <w:rPr>
          <w:noProof/>
        </w:rPr>
      </w:pPr>
      <w:r>
        <w:rPr>
          <w:noProof/>
        </w:rPr>
        <w:t xml:space="preserve">FEI și-a consolidat structura public-privat a acționariatului prin participarea instituțiilor financiare la majorarea capitalului din anul 2014. În urma eforturilor sale de a-și extinde baza de acționari, au fost cooptate încă șase instituții financiare din Spania, Italia, Slovenia, Franța și Turcia, însumând în prezent 30 de instituții financiare acționare. </w:t>
      </w:r>
    </w:p>
    <w:p>
      <w:pPr>
        <w:pStyle w:val="Point0number"/>
        <w:numPr>
          <w:ilvl w:val="0"/>
          <w:numId w:val="0"/>
        </w:numPr>
        <w:tabs>
          <w:tab w:val="left" w:pos="720"/>
        </w:tabs>
        <w:spacing w:before="100" w:beforeAutospacing="1" w:after="100" w:afterAutospacing="1"/>
        <w:rPr>
          <w:noProof/>
          <w:szCs w:val="24"/>
        </w:rPr>
      </w:pPr>
      <w:r>
        <w:rPr>
          <w:noProof/>
        </w:rPr>
        <w:t xml:space="preserve">În plus, la data de 10 octombrie 2016, adunarea generală a aprobat includerea unui nou membru, Banca Ceho-Moravă de Garantare și Dezvoltare (CMZR). Orice posibilă extindere suplimentară a cercului instituțiilor financiare acționare va avea la bază creșterea acoperirii geografice și accentul pe sprijinirea IMM-urilor europene. </w:t>
      </w:r>
    </w:p>
    <w:p>
      <w:pPr>
        <w:pStyle w:val="Point0number"/>
        <w:numPr>
          <w:ilvl w:val="0"/>
          <w:numId w:val="0"/>
        </w:numPr>
        <w:tabs>
          <w:tab w:val="left" w:pos="720"/>
        </w:tabs>
        <w:spacing w:before="100" w:beforeAutospacing="1" w:after="100" w:afterAutospacing="1"/>
        <w:rPr>
          <w:noProof/>
          <w:szCs w:val="24"/>
        </w:rPr>
      </w:pPr>
      <w:r>
        <w:rPr>
          <w:noProof/>
        </w:rPr>
        <w:t>De asemenea, cooperarea cu instituțiile financiare a fost consolidată în continuare de FEI prin crearea, în 2015, a unei divizii de relații corporative.</w:t>
      </w:r>
    </w:p>
    <w:p>
      <w:pPr>
        <w:pStyle w:val="Point0number"/>
        <w:numPr>
          <w:ilvl w:val="0"/>
          <w:numId w:val="0"/>
        </w:numPr>
        <w:tabs>
          <w:tab w:val="left" w:pos="720"/>
        </w:tabs>
        <w:spacing w:before="100" w:beforeAutospacing="1" w:after="100" w:afterAutospacing="1"/>
        <w:rPr>
          <w:b/>
          <w:noProof/>
          <w:szCs w:val="24"/>
        </w:rPr>
      </w:pPr>
    </w:p>
    <w:p>
      <w:pPr>
        <w:pStyle w:val="Point0number"/>
        <w:numPr>
          <w:ilvl w:val="0"/>
          <w:numId w:val="0"/>
        </w:numPr>
        <w:tabs>
          <w:tab w:val="left" w:pos="720"/>
        </w:tabs>
        <w:spacing w:before="100" w:beforeAutospacing="1" w:after="100" w:afterAutospacing="1"/>
        <w:rPr>
          <w:b/>
          <w:noProof/>
          <w:szCs w:val="24"/>
        </w:rPr>
      </w:pPr>
      <w:r>
        <w:rPr>
          <w:b/>
          <w:noProof/>
        </w:rPr>
        <w:t xml:space="preserve">2.5 </w:t>
      </w:r>
      <w:r>
        <w:rPr>
          <w:noProof/>
        </w:rPr>
        <w:tab/>
      </w:r>
      <w:r>
        <w:rPr>
          <w:b/>
          <w:noProof/>
        </w:rPr>
        <w:t>Bonitatea</w:t>
      </w:r>
    </w:p>
    <w:p>
      <w:pPr>
        <w:pStyle w:val="Point0number"/>
        <w:numPr>
          <w:ilvl w:val="0"/>
          <w:numId w:val="0"/>
        </w:numPr>
        <w:tabs>
          <w:tab w:val="left" w:pos="720"/>
        </w:tabs>
        <w:spacing w:before="100" w:beforeAutospacing="1" w:after="100" w:afterAutospacing="1"/>
        <w:rPr>
          <w:b/>
          <w:noProof/>
          <w:szCs w:val="24"/>
        </w:rPr>
      </w:pPr>
      <w:r>
        <w:rPr>
          <w:noProof/>
        </w:rPr>
        <w:t>Agențiile de rating mai mari au reafirmat periodic ratingul AAA de credit al FEI și au evidențiat capitalizarea puternică a FEI, menționând în mod special majorarea de capital din anul 2014.</w:t>
      </w:r>
    </w:p>
    <w:p>
      <w:pPr>
        <w:pStyle w:val="Point0number"/>
        <w:numPr>
          <w:ilvl w:val="0"/>
          <w:numId w:val="0"/>
        </w:numPr>
        <w:tabs>
          <w:tab w:val="left" w:pos="720"/>
        </w:tabs>
        <w:spacing w:before="100" w:beforeAutospacing="1" w:after="100" w:afterAutospacing="1"/>
        <w:rPr>
          <w:b/>
          <w:smallCaps/>
          <w:noProof/>
          <w:szCs w:val="24"/>
        </w:rPr>
      </w:pPr>
      <w:r>
        <w:rPr>
          <w:b/>
          <w:smallCaps/>
          <w:noProof/>
        </w:rPr>
        <w:t>3.</w:t>
      </w:r>
      <w:r>
        <w:rPr>
          <w:noProof/>
        </w:rPr>
        <w:tab/>
      </w:r>
      <w:r>
        <w:rPr>
          <w:b/>
          <w:smallCaps/>
          <w:noProof/>
        </w:rPr>
        <w:t>Perspectivele de viitor ale activității principale a FEI</w:t>
      </w:r>
    </w:p>
    <w:p>
      <w:pPr>
        <w:pStyle w:val="Point0number"/>
        <w:numPr>
          <w:ilvl w:val="0"/>
          <w:numId w:val="0"/>
        </w:numPr>
        <w:tabs>
          <w:tab w:val="left" w:pos="720"/>
        </w:tabs>
        <w:spacing w:before="100" w:beforeAutospacing="1" w:after="100" w:afterAutospacing="1"/>
        <w:rPr>
          <w:b/>
          <w:noProof/>
          <w:szCs w:val="24"/>
        </w:rPr>
      </w:pPr>
      <w:r>
        <w:rPr>
          <w:b/>
          <w:noProof/>
        </w:rPr>
        <w:t>3.1</w:t>
      </w:r>
      <w:r>
        <w:rPr>
          <w:noProof/>
        </w:rPr>
        <w:tab/>
      </w:r>
      <w:r>
        <w:rPr>
          <w:b/>
          <w:noProof/>
        </w:rPr>
        <w:t>Activități viitoare suplimentare</w:t>
      </w:r>
    </w:p>
    <w:p>
      <w:pPr>
        <w:pStyle w:val="Point0number"/>
        <w:numPr>
          <w:ilvl w:val="0"/>
          <w:numId w:val="0"/>
        </w:numPr>
        <w:tabs>
          <w:tab w:val="left" w:pos="720"/>
        </w:tabs>
        <w:spacing w:before="100" w:beforeAutospacing="1" w:after="100" w:afterAutospacing="1"/>
        <w:rPr>
          <w:noProof/>
          <w:szCs w:val="24"/>
        </w:rPr>
      </w:pPr>
      <w:r>
        <w:rPr>
          <w:noProof/>
        </w:rPr>
        <w:t>FEI încearcă în continuu să acopere lacunele identificate pe piață în materie de finanțarea IMM-urilor și a întreprinderilor cu capitalizare medie din Europa, inclusiv prin mobilizarea resurselor proprii alături de resurse din mandate, cum sunt cele ale FEIS.</w:t>
      </w:r>
    </w:p>
    <w:p>
      <w:pPr>
        <w:pStyle w:val="Point0number"/>
        <w:numPr>
          <w:ilvl w:val="0"/>
          <w:numId w:val="0"/>
        </w:numPr>
        <w:tabs>
          <w:tab w:val="left" w:pos="720"/>
        </w:tabs>
        <w:spacing w:before="100" w:beforeAutospacing="1" w:after="100" w:afterAutospacing="1"/>
        <w:rPr>
          <w:b/>
          <w:noProof/>
          <w:szCs w:val="24"/>
        </w:rPr>
      </w:pPr>
      <w:r>
        <w:rPr>
          <w:b/>
          <w:noProof/>
        </w:rPr>
        <w:t>a) Instrumentul de capital al componentei pentru IMM-uri din cadrul FEIS (</w:t>
      </w:r>
      <w:r>
        <w:rPr>
          <w:b/>
          <w:i/>
          <w:noProof/>
        </w:rPr>
        <w:t>EFSI SMEW equity product</w:t>
      </w:r>
      <w:r>
        <w:rPr>
          <w:b/>
          <w:noProof/>
        </w:rPr>
        <w:t>)</w:t>
      </w:r>
    </w:p>
    <w:p>
      <w:pPr>
        <w:pStyle w:val="Point0number"/>
        <w:numPr>
          <w:ilvl w:val="0"/>
          <w:numId w:val="0"/>
        </w:numPr>
        <w:tabs>
          <w:tab w:val="left" w:pos="720"/>
        </w:tabs>
        <w:spacing w:before="100" w:beforeAutospacing="1" w:after="100" w:afterAutospacing="1"/>
        <w:rPr>
          <w:noProof/>
          <w:szCs w:val="24"/>
        </w:rPr>
      </w:pPr>
      <w:r>
        <w:rPr>
          <w:noProof/>
        </w:rPr>
        <w:t>În luna iulie 2016, FEI, BEI și Comisia au lansat un instrument destinat investițiilor în capitaluri proprii în Uniunea Europeană, a cărui capacitate generală de investiții de 2 068 milioane EUR vizează investiții în capitaluri proprii ce acoperă un spectru larg de necesități de finanțare și modalități de realizare (coinvestiții, transfer de tehnologie, fonduri de fonduri, impact social etc.). Instrumentul de capital al componentei pentru IMM-uri din cadrul FEIS conține două subcomponente, FEI investind până la 340 de milioane EUR din resursele proprii în creștere/extindere (subcomponenta 1) și în investiții în etape de început (subcomponenta 2).</w:t>
      </w:r>
    </w:p>
    <w:p>
      <w:pPr>
        <w:pStyle w:val="Point0number"/>
        <w:numPr>
          <w:ilvl w:val="0"/>
          <w:numId w:val="0"/>
        </w:numPr>
        <w:tabs>
          <w:tab w:val="left" w:pos="720"/>
        </w:tabs>
        <w:spacing w:before="100" w:beforeAutospacing="1" w:after="100" w:afterAutospacing="1"/>
        <w:rPr>
          <w:noProof/>
          <w:szCs w:val="24"/>
        </w:rPr>
      </w:pPr>
      <w:r>
        <w:rPr>
          <w:noProof/>
        </w:rPr>
        <w:t>O platformă de colaborare pentru băncile și instituțiile naționale de promovare le permite să completeze pe bază de 1:1 bugetul total pentru investiții în cadrul instrumentului de capital al componentei pentru IMM-uri din cadrul FEIS.</w:t>
      </w:r>
    </w:p>
    <w:p>
      <w:pPr>
        <w:pStyle w:val="Point0number"/>
        <w:numPr>
          <w:ilvl w:val="0"/>
          <w:numId w:val="0"/>
        </w:numPr>
        <w:tabs>
          <w:tab w:val="left" w:pos="720"/>
        </w:tabs>
        <w:spacing w:before="100" w:beforeAutospacing="1" w:after="100" w:afterAutospacing="1"/>
        <w:rPr>
          <w:b/>
          <w:noProof/>
          <w:szCs w:val="24"/>
        </w:rPr>
      </w:pPr>
      <w:r>
        <w:rPr>
          <w:b/>
          <w:noProof/>
        </w:rPr>
        <w:t>b) Activități suplimentare în materie de împrumuturi</w:t>
      </w:r>
    </w:p>
    <w:p>
      <w:pPr>
        <w:pStyle w:val="Point0number"/>
        <w:numPr>
          <w:ilvl w:val="0"/>
          <w:numId w:val="0"/>
        </w:numPr>
        <w:tabs>
          <w:tab w:val="left" w:pos="720"/>
        </w:tabs>
        <w:spacing w:before="100" w:beforeAutospacing="1" w:after="100" w:afterAutospacing="1"/>
        <w:rPr>
          <w:b/>
          <w:i/>
          <w:noProof/>
          <w:szCs w:val="24"/>
        </w:rPr>
      </w:pPr>
      <w:r>
        <w:rPr>
          <w:b/>
          <w:i/>
          <w:noProof/>
        </w:rPr>
        <w:t xml:space="preserve">i) Sprijin suplimentar din partea FEIS pentru InnovFin SMEG </w:t>
      </w:r>
    </w:p>
    <w:p>
      <w:pPr>
        <w:pStyle w:val="Point0number"/>
        <w:numPr>
          <w:ilvl w:val="0"/>
          <w:numId w:val="0"/>
        </w:numPr>
        <w:tabs>
          <w:tab w:val="left" w:pos="720"/>
        </w:tabs>
        <w:spacing w:before="100" w:beforeAutospacing="1" w:after="100" w:afterAutospacing="1"/>
        <w:rPr>
          <w:noProof/>
          <w:szCs w:val="24"/>
        </w:rPr>
      </w:pPr>
      <w:r>
        <w:rPr>
          <w:noProof/>
        </w:rPr>
        <w:t>Un nou mecanism de garantare în cadrul InnovFin SMEG, care acoperă creditele de tip mezanin, este în curs de elaborare. FEI participă cu resurse de până la 300 de milioane EUR, care vor fi combinate cu FEIS astfel încât să acopere un volum total de credite de până la două miliarde EUR în perioada 2017-2020.</w:t>
      </w:r>
    </w:p>
    <w:p>
      <w:pPr>
        <w:pStyle w:val="Point0number"/>
        <w:numPr>
          <w:ilvl w:val="0"/>
          <w:numId w:val="0"/>
        </w:numPr>
        <w:tabs>
          <w:tab w:val="left" w:pos="720"/>
        </w:tabs>
        <w:spacing w:before="100" w:beforeAutospacing="1" w:after="100" w:afterAutospacing="1"/>
        <w:rPr>
          <w:b/>
          <w:i/>
          <w:noProof/>
          <w:szCs w:val="24"/>
        </w:rPr>
      </w:pPr>
      <w:r>
        <w:rPr>
          <w:b/>
          <w:i/>
          <w:noProof/>
        </w:rPr>
        <w:t>ii) Instrumente finanțate pentru microfinanțare (EaSI)</w:t>
      </w:r>
    </w:p>
    <w:p>
      <w:pPr>
        <w:pStyle w:val="Point0number"/>
        <w:numPr>
          <w:ilvl w:val="0"/>
          <w:numId w:val="0"/>
        </w:numPr>
        <w:tabs>
          <w:tab w:val="left" w:pos="720"/>
        </w:tabs>
        <w:spacing w:before="100" w:beforeAutospacing="1" w:after="100" w:afterAutospacing="1"/>
        <w:rPr>
          <w:noProof/>
          <w:szCs w:val="24"/>
        </w:rPr>
      </w:pPr>
      <w:r>
        <w:rPr>
          <w:noProof/>
        </w:rPr>
        <w:t>În temeiul Regulamentului (UE) nr. 1296/2013, Comisia și Grupul BEI planifică suplimentarea mandatului de garantare cu un mecanism de furnizare de credite senior și subordonate pentru organismele de microfinanțare și instituțiile de susținere a antreprenoriatului social, care, la rândul lor, vor extinde finanțarea asupra microîntreprinderilor și a întreprinderilor sociale. Urmează să fie mobilizate resurse proprii ale FEI de până la 28,5 milioane EUR (inclusiv din mandatul EREM), alături de resurse ale BEI și EaSI, care să însumeze un volum agregat de 200 de milioane EUR.</w:t>
      </w:r>
    </w:p>
    <w:p>
      <w:pPr>
        <w:pStyle w:val="Point0number"/>
        <w:numPr>
          <w:ilvl w:val="0"/>
          <w:numId w:val="0"/>
        </w:numPr>
        <w:tabs>
          <w:tab w:val="left" w:pos="720"/>
        </w:tabs>
        <w:spacing w:before="100" w:beforeAutospacing="1" w:after="100" w:afterAutospacing="1"/>
        <w:rPr>
          <w:b/>
          <w:i/>
          <w:noProof/>
          <w:szCs w:val="24"/>
        </w:rPr>
      </w:pPr>
      <w:r>
        <w:rPr>
          <w:b/>
          <w:i/>
          <w:noProof/>
        </w:rPr>
        <w:t>iii) Activități suplimentare de securitizare pentru IMM-uri</w:t>
      </w:r>
    </w:p>
    <w:p>
      <w:pPr>
        <w:pStyle w:val="Point0number"/>
        <w:numPr>
          <w:ilvl w:val="0"/>
          <w:numId w:val="0"/>
        </w:numPr>
        <w:tabs>
          <w:tab w:val="left" w:pos="720"/>
        </w:tabs>
        <w:spacing w:before="100" w:beforeAutospacing="1" w:after="100" w:afterAutospacing="1"/>
        <w:rPr>
          <w:noProof/>
          <w:szCs w:val="24"/>
        </w:rPr>
      </w:pPr>
      <w:r>
        <w:rPr>
          <w:noProof/>
        </w:rPr>
        <w:t>În urma lansării cu succes a investițiilor directe ale FEI în securitizări destinate IMM-urilor, FEI ia în calcul în prezent ideea de a-și spori prezența pe acest segment de piață, cu un volum preconizat de 300 de milioane EUR din resursele proprii ale FEI în următorii trei ani.</w:t>
      </w:r>
    </w:p>
    <w:p>
      <w:pPr>
        <w:pStyle w:val="Point0number"/>
        <w:numPr>
          <w:ilvl w:val="0"/>
          <w:numId w:val="0"/>
        </w:numPr>
        <w:tabs>
          <w:tab w:val="left" w:pos="720"/>
        </w:tabs>
        <w:spacing w:before="100" w:beforeAutospacing="1" w:after="100" w:afterAutospacing="1"/>
        <w:rPr>
          <w:b/>
          <w:noProof/>
          <w:szCs w:val="24"/>
        </w:rPr>
      </w:pPr>
    </w:p>
    <w:p>
      <w:pPr>
        <w:pStyle w:val="Point0number"/>
        <w:numPr>
          <w:ilvl w:val="0"/>
          <w:numId w:val="0"/>
        </w:numPr>
        <w:tabs>
          <w:tab w:val="left" w:pos="720"/>
        </w:tabs>
        <w:spacing w:before="100" w:beforeAutospacing="1" w:after="100" w:afterAutospacing="1"/>
        <w:rPr>
          <w:b/>
          <w:noProof/>
          <w:szCs w:val="24"/>
        </w:rPr>
      </w:pPr>
      <w:r>
        <w:rPr>
          <w:b/>
          <w:noProof/>
        </w:rPr>
        <w:t>c) Consolidarea FEIS (FEIS 2.0)</w:t>
      </w:r>
    </w:p>
    <w:p>
      <w:pPr>
        <w:pStyle w:val="Point0number"/>
        <w:numPr>
          <w:ilvl w:val="0"/>
          <w:numId w:val="0"/>
        </w:numPr>
        <w:tabs>
          <w:tab w:val="left" w:pos="720"/>
        </w:tabs>
        <w:spacing w:before="100" w:beforeAutospacing="1" w:after="100" w:afterAutospacing="1"/>
        <w:rPr>
          <w:noProof/>
          <w:szCs w:val="24"/>
        </w:rPr>
      </w:pPr>
      <w:r>
        <w:rPr>
          <w:noProof/>
        </w:rPr>
        <w:t>În luna septembrie 2016, Comisia a propus o creștere a capacității generale de investiții a FEIS</w:t>
      </w:r>
      <w:r>
        <w:rPr>
          <w:rStyle w:val="FootnoteReference"/>
          <w:noProof/>
        </w:rPr>
        <w:footnoteReference w:id="16"/>
      </w:r>
      <w:r>
        <w:rPr>
          <w:noProof/>
        </w:rPr>
        <w:t xml:space="preserve"> (investiția totală catalizată ar urma să crească de la 315 miliarde EUR la 500 de miliarde EUR), împreună cu o prelungire a perioadei de investiții până în anul 2020. În plus, Comisia a propus creșterea garanției FEIS cu 10 miliarde EUR, până la o sumă totală de 26 de miliarde EUR. Având drept punct de pornire începutul de succes al punerii în aplicare a FEIS, în special al componentei pentru IMM-uri pusă în aplicare de FEI, noua propunere presupune o creștere a acestei componente cu 5 miliarde EUR, sumă pusă la dispoziție pentru investiții destinate IMM-urilor și întreprinderilor cu capitalizare medie prin intermediul FEI. În consecință, în perioada 2018-2020, FEI va mobiliza un nivel semnificativ mai mare de resurse proprii, alături de sprijinul din partea FEIS .</w:t>
      </w:r>
    </w:p>
    <w:p>
      <w:pPr>
        <w:spacing w:before="100" w:beforeAutospacing="1" w:after="100" w:afterAutospacing="1" w:line="240" w:lineRule="auto"/>
        <w:rPr>
          <w:b/>
          <w:noProof/>
          <w:szCs w:val="24"/>
        </w:rPr>
      </w:pPr>
      <w:r>
        <w:rPr>
          <w:b/>
          <w:noProof/>
        </w:rPr>
        <w:t>3.2</w:t>
      </w:r>
      <w:r>
        <w:rPr>
          <w:noProof/>
        </w:rPr>
        <w:tab/>
      </w:r>
      <w:r>
        <w:rPr>
          <w:b/>
          <w:noProof/>
        </w:rPr>
        <w:t>Impactul asupra consumului de capital al FEI</w:t>
      </w:r>
    </w:p>
    <w:p>
      <w:pPr>
        <w:pStyle w:val="Point0number"/>
        <w:numPr>
          <w:ilvl w:val="0"/>
          <w:numId w:val="0"/>
        </w:numPr>
        <w:tabs>
          <w:tab w:val="left" w:pos="720"/>
        </w:tabs>
        <w:spacing w:before="100" w:beforeAutospacing="1" w:after="100" w:afterAutospacing="1"/>
        <w:rPr>
          <w:b/>
          <w:noProof/>
          <w:szCs w:val="24"/>
        </w:rPr>
      </w:pPr>
      <w:r>
        <w:rPr>
          <w:b/>
          <w:noProof/>
        </w:rPr>
        <w:t>a) Consumul de capital</w:t>
      </w:r>
    </w:p>
    <w:p>
      <w:pPr>
        <w:pStyle w:val="Point0number"/>
        <w:numPr>
          <w:ilvl w:val="0"/>
          <w:numId w:val="0"/>
        </w:numPr>
        <w:tabs>
          <w:tab w:val="left" w:pos="720"/>
        </w:tabs>
        <w:spacing w:before="100" w:beforeAutospacing="1" w:after="100" w:afterAutospacing="1"/>
        <w:rPr>
          <w:b/>
          <w:i/>
          <w:noProof/>
          <w:szCs w:val="24"/>
        </w:rPr>
      </w:pPr>
      <w:r>
        <w:rPr>
          <w:b/>
          <w:i/>
          <w:noProof/>
        </w:rPr>
        <w:t>i) Capitaluri proprii</w:t>
      </w:r>
    </w:p>
    <w:p>
      <w:pPr>
        <w:pStyle w:val="Point0number"/>
        <w:numPr>
          <w:ilvl w:val="0"/>
          <w:numId w:val="0"/>
        </w:numPr>
        <w:tabs>
          <w:tab w:val="left" w:pos="720"/>
        </w:tabs>
        <w:spacing w:before="100" w:beforeAutospacing="1" w:after="100" w:afterAutospacing="1"/>
        <w:rPr>
          <w:noProof/>
          <w:szCs w:val="24"/>
        </w:rPr>
      </w:pPr>
      <w:r>
        <w:rPr>
          <w:noProof/>
        </w:rPr>
        <w:t>Angajamentele FEI din resurse proprii în domeniul participării la capital sunt plafonate la nivelul menționat în secțiunea 1.1. litera (d). Cu alte cuvinte, 891 de milioane EUR sunt disponibili pentru participarea la capital propriu începând cu luna septembrie 2016. Angajamentele totale nete de capital privat, în valoare de 659 de milioane EUR, reprezintă 74 % din acest plafon.</w:t>
      </w:r>
    </w:p>
    <w:p>
      <w:pPr>
        <w:pStyle w:val="Point0number"/>
        <w:numPr>
          <w:ilvl w:val="0"/>
          <w:numId w:val="0"/>
        </w:numPr>
        <w:tabs>
          <w:tab w:val="left" w:pos="5573"/>
        </w:tabs>
        <w:spacing w:before="100" w:beforeAutospacing="1" w:after="100" w:afterAutospacing="1"/>
        <w:rPr>
          <w:b/>
          <w:i/>
          <w:noProof/>
          <w:szCs w:val="24"/>
        </w:rPr>
      </w:pPr>
      <w:r>
        <w:rPr>
          <w:b/>
          <w:i/>
          <w:noProof/>
        </w:rPr>
        <w:t>ii) Garanții</w:t>
      </w:r>
    </w:p>
    <w:p>
      <w:pPr>
        <w:pStyle w:val="Point0number"/>
        <w:numPr>
          <w:ilvl w:val="0"/>
          <w:numId w:val="0"/>
        </w:numPr>
        <w:tabs>
          <w:tab w:val="left" w:pos="720"/>
        </w:tabs>
        <w:spacing w:before="100" w:beforeAutospacing="1" w:after="100" w:afterAutospacing="1"/>
        <w:rPr>
          <w:noProof/>
          <w:szCs w:val="24"/>
        </w:rPr>
      </w:pPr>
      <w:r>
        <w:rPr>
          <w:noProof/>
        </w:rPr>
        <w:t>La nivelul lunii septembrie 2013, expunerea FEI în urma operațiunilor de garantare pe risc propriu era de 2,9 miliarde EUR, rezultând o capacitate disponibilă de 6,1 miliarde EUR pentru astfel de tranzacții. Volumul mult mai mare de operațiuni de garantare înregistrat în perioada dintre anul 2014 și sfârșitul lunii septembrie 2016 a dublat expunerea FEI la 5,8 miliarde EUR, în raport cu plafonul de 12,9 miliarde EUR.</w:t>
      </w:r>
    </w:p>
    <w:p>
      <w:pPr>
        <w:pStyle w:val="Point0number"/>
        <w:numPr>
          <w:ilvl w:val="0"/>
          <w:numId w:val="0"/>
        </w:numPr>
        <w:tabs>
          <w:tab w:val="left" w:pos="720"/>
        </w:tabs>
        <w:spacing w:before="100" w:beforeAutospacing="1" w:after="100" w:afterAutospacing="1"/>
        <w:rPr>
          <w:b/>
          <w:i/>
          <w:noProof/>
          <w:szCs w:val="24"/>
        </w:rPr>
      </w:pPr>
      <w:r>
        <w:rPr>
          <w:b/>
          <w:i/>
          <w:noProof/>
        </w:rPr>
        <w:t>iii) Finalizarea majorării de capital din 2014</w:t>
      </w:r>
    </w:p>
    <w:p>
      <w:pPr>
        <w:pStyle w:val="Point0number"/>
        <w:numPr>
          <w:ilvl w:val="0"/>
          <w:numId w:val="0"/>
        </w:numPr>
        <w:tabs>
          <w:tab w:val="left" w:pos="720"/>
        </w:tabs>
        <w:spacing w:before="100" w:beforeAutospacing="1" w:after="100" w:afterAutospacing="1"/>
        <w:rPr>
          <w:noProof/>
          <w:szCs w:val="24"/>
        </w:rPr>
      </w:pPr>
      <w:r>
        <w:rPr>
          <w:noProof/>
        </w:rPr>
        <w:t>Majorarea de capital din anul 2014 ar trebui finalizată în anul 2017 printr-o ultimă perioadă de subscriere auxiliară a acțiunilor autorizate rămase ale FEI, care au fost rezervate de Uniunea Europeană. Valoarea unitară a acestora va fi confirmată imediat după adunarea generală anuală a FEI din 2017, în prima jumătate a anului</w:t>
      </w:r>
      <w:r>
        <w:rPr>
          <w:rStyle w:val="FootnoteReference"/>
          <w:noProof/>
        </w:rPr>
        <w:footnoteReference w:id="17"/>
      </w:r>
      <w:r>
        <w:rPr>
          <w:noProof/>
        </w:rPr>
        <w:t>. Subscrierea de către UE a acțiunilor rămase va crește capacitatea disponibilă pentru alte operațiuni ale FEI, care vor susține continuarea realizării investițiilor FEI prezentate la secțiunea 3.1.</w:t>
      </w:r>
    </w:p>
    <w:p>
      <w:pPr>
        <w:pStyle w:val="Point0number"/>
        <w:numPr>
          <w:ilvl w:val="0"/>
          <w:numId w:val="0"/>
        </w:numPr>
        <w:tabs>
          <w:tab w:val="left" w:pos="720"/>
        </w:tabs>
        <w:spacing w:before="100" w:beforeAutospacing="1" w:after="100" w:afterAutospacing="1"/>
        <w:rPr>
          <w:b/>
          <w:noProof/>
          <w:szCs w:val="24"/>
        </w:rPr>
      </w:pPr>
      <w:r>
        <w:rPr>
          <w:b/>
          <w:noProof/>
        </w:rPr>
        <w:t xml:space="preserve">b) Optimizarea utilizării capitalului </w:t>
      </w:r>
    </w:p>
    <w:p>
      <w:pPr>
        <w:pStyle w:val="Point0number"/>
        <w:numPr>
          <w:ilvl w:val="0"/>
          <w:numId w:val="0"/>
        </w:numPr>
        <w:tabs>
          <w:tab w:val="left" w:pos="720"/>
        </w:tabs>
        <w:spacing w:before="100" w:beforeAutospacing="1" w:after="100" w:afterAutospacing="1"/>
        <w:rPr>
          <w:noProof/>
          <w:szCs w:val="24"/>
        </w:rPr>
      </w:pPr>
      <w:r>
        <w:rPr>
          <w:noProof/>
        </w:rPr>
        <w:t>FEI depune eforturi pentru a-și gestiona durabil capitalul, astfel încât să existe o rată constantă de creștere preconizată pentru activitățile sale. Sunt prevăzute diferite măsuri de reducere a consumului capitalului FEI, inclusiv o gestionare mai activă a portofoliului, în special în domeniul capitalurilor proprii.</w:t>
      </w:r>
    </w:p>
    <w:p>
      <w:pPr>
        <w:pStyle w:val="Point0number"/>
        <w:numPr>
          <w:ilvl w:val="0"/>
          <w:numId w:val="0"/>
        </w:numPr>
        <w:tabs>
          <w:tab w:val="left" w:pos="720"/>
        </w:tabs>
        <w:spacing w:before="100" w:beforeAutospacing="1" w:after="100" w:afterAutospacing="1"/>
        <w:rPr>
          <w:b/>
          <w:smallCaps/>
          <w:noProof/>
          <w:szCs w:val="24"/>
        </w:rPr>
      </w:pPr>
      <w:r>
        <w:rPr>
          <w:b/>
          <w:smallCaps/>
          <w:noProof/>
        </w:rPr>
        <w:t>4.</w:t>
      </w:r>
      <w:r>
        <w:rPr>
          <w:noProof/>
        </w:rPr>
        <w:tab/>
      </w:r>
      <w:r>
        <w:rPr>
          <w:b/>
          <w:smallCaps/>
          <w:noProof/>
        </w:rPr>
        <w:t>Concluzii</w:t>
      </w:r>
    </w:p>
    <w:p>
      <w:pPr>
        <w:pStyle w:val="Point0number"/>
        <w:numPr>
          <w:ilvl w:val="0"/>
          <w:numId w:val="0"/>
        </w:numPr>
        <w:tabs>
          <w:tab w:val="left" w:pos="720"/>
        </w:tabs>
        <w:spacing w:before="100" w:beforeAutospacing="1" w:after="100" w:afterAutospacing="1"/>
        <w:rPr>
          <w:noProof/>
          <w:szCs w:val="24"/>
        </w:rPr>
      </w:pPr>
      <w:r>
        <w:rPr>
          <w:noProof/>
        </w:rPr>
        <w:t>Cu toate că încă nu a fost finalizat, în special dată fiind decizia pendinte a UE privind cele 118 acțiuni rămase, majorarea de capital a condus deja la un volum sporit de finanțare pus la dispoziția IMM-urilor și a întreprinderilor cu capitalizare medie. Majorarea capitalului a creat și o capacitate suplimentară de asumare a riscurilor, permițând un volum sporit și accelerarea investițiilor de capital în IMM-uri, prin care capitalul FEI a beneficiat de un efect de levier considerabil. În egală măsură, majorarea a sporit activitatea FEI pe risc propriu în ceea ce privește operațiunile de îmbunătățire a creditării, în special pentru garanții și securitizare, mobilizând astfel finanțare privată și ameliorând accesul IMM-urilor la finanțare.</w:t>
      </w:r>
    </w:p>
    <w:p>
      <w:pPr>
        <w:spacing w:before="100" w:beforeAutospacing="1" w:after="100" w:afterAutospacing="1" w:line="240" w:lineRule="auto"/>
        <w:jc w:val="both"/>
        <w:rPr>
          <w:noProof/>
        </w:rPr>
      </w:pPr>
      <w:r>
        <w:rPr>
          <w:noProof/>
        </w:rPr>
        <w:t>Totuși, probabil că bugetul pus la dispoziție nu va fi suficient pentru subscrierea integrală a celor 118 acțiuni rămase rezervate pentru UE. Acest fapt va conduce la o ușoară scădere a participării Uniunii în cadrul acționariatului. Un astfel de rezultat se datorează în principal: (i) unei creșteri mai mari decât cea prevăzută a prețului unitar al acțiunii în perioada vizată</w:t>
      </w:r>
      <w:r>
        <w:rPr>
          <w:rStyle w:val="FootnoteReference"/>
          <w:noProof/>
        </w:rPr>
        <w:footnoteReference w:id="18"/>
      </w:r>
      <w:r>
        <w:rPr>
          <w:noProof/>
        </w:rPr>
        <w:t xml:space="preserve"> și (ii) deciziei de a nu utiliza dividendele UE primite până în prezent de la FEI pentru a achiziționa acțiuni suplimentare, ca în cazul majorării de capital din anul 2007. Scăderea participării UE nu va avea un impact imediat asupra drepturilor sale statutare de acționar ale UE, dar va avea drept rezultat o ușoară scădere aferentă a cotei sale din dividendele viitoare.Până în prezent, rezultatele indică faptul că subscrierea acțiunilor rezervate rămase va permite o intensificare a activităților FEI destinate IMM-urilor și întreprinderilor cu capitalizare medie. Plafoanele stabilite în statutul FEI și necesitatea de a-și asigura ratingul de credit AAA stabil</w:t>
      </w:r>
      <w:r>
        <w:rPr>
          <w:rStyle w:val="FootnoteReference"/>
          <w:noProof/>
        </w:rPr>
        <w:footnoteReference w:id="19"/>
      </w:r>
      <w:r>
        <w:rPr>
          <w:noProof/>
        </w:rPr>
        <w:t xml:space="preserve"> limitează sfera de acoperire a acestor activități suplimentare. Capacitatea disponibilă în prezent în limita aceste plafoane permite FEI să întreprindă activități suplimentare în următorii ani și este încă prea devreme să se estimeze necesitățile de capital pentru perioada de după 2018. Poate fi preconizată totuși o mobilizare suplimentară a resurselor proprii ale FEI după adoptarea FEIS 2.0. În același timp, garanția FEIS va permite FEI să obțină un efect de levier și mai semnificativ al capitalului investit.</w:t>
      </w:r>
      <w:bookmarkEnd w:id="6"/>
      <w:r>
        <w:rPr>
          <w:noProof/>
        </w:rPr>
        <w:t xml:space="preserve"> </w:t>
      </w:r>
      <w:bookmarkEnd w:id="1"/>
      <w:bookmarkEnd w:id="2"/>
      <w:bookmarkEnd w:id="3"/>
      <w:bookmarkEnd w:id="4"/>
    </w:p>
    <w:sectPr>
      <w:headerReference w:type="even" r:id="rId17"/>
      <w:headerReference w:type="default" r:id="rId18"/>
      <w:footerReference w:type="even" r:id="rId19"/>
      <w:footerReference w:type="default" r:id="rId20"/>
      <w:headerReference w:type="first" r:id="rId21"/>
      <w:footerReference w:type="first" r:id="rId22"/>
      <w:pgSz w:w="11906" w:h="16838"/>
      <w:pgMar w:top="1417" w:right="1417" w:bottom="1417" w:left="1417" w:header="0" w:footer="0" w:gutter="0"/>
      <w:pgNumType w:start="2"/>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F76B69" w15:done="0"/>
  <w15:commentEx w15:paraId="2ED118B9" w15:done="0"/>
  <w15:commentEx w15:paraId="02064E8B" w15:done="0"/>
  <w15:commentEx w15:paraId="2038CD8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2</w:t>
    </w:r>
    <w:r>
      <w:fldChar w:fldCharType="end"/>
    </w:r>
  </w:p>
  <w:p>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before="0" w:after="0" w:line="240" w:lineRule="auto"/>
      </w:pPr>
    </w:p>
  </w:footnote>
  <w:footnote w:id="2">
    <w:p>
      <w:pPr>
        <w:pStyle w:val="FootnoteText"/>
        <w:spacing w:before="0"/>
        <w:jc w:val="both"/>
        <w:rPr>
          <w:sz w:val="18"/>
          <w:szCs w:val="18"/>
        </w:rPr>
      </w:pPr>
      <w:r>
        <w:rPr>
          <w:rStyle w:val="FootnoteReference"/>
          <w:sz w:val="18"/>
        </w:rPr>
        <w:footnoteRef/>
      </w:r>
      <w:r>
        <w:rPr>
          <w:sz w:val="18"/>
        </w:rPr>
        <w:t xml:space="preserve"> Decizia nr. 562/2014/UE a Parlamentului European și a Consiliului din 15 mai 2014 privind participarea Uniunii Europene la majorarea de capital a Fondului European de Investiții (JO L 156, 24.5.2014, p. 1).</w:t>
      </w:r>
    </w:p>
  </w:footnote>
  <w:footnote w:id="3">
    <w:p>
      <w:pPr>
        <w:pStyle w:val="FootnoteText"/>
        <w:spacing w:before="0"/>
        <w:jc w:val="both"/>
      </w:pPr>
      <w:r>
        <w:rPr>
          <w:rStyle w:val="FootnoteReference"/>
          <w:sz w:val="18"/>
        </w:rPr>
        <w:footnoteRef/>
      </w:r>
      <w:r>
        <w:t xml:space="preserve"> </w:t>
      </w:r>
      <w:r>
        <w:rPr>
          <w:sz w:val="18"/>
        </w:rPr>
        <w:t>Decizia 94/375/CE a Consiliului din 6 iunie 1994 privind participarea Comunității, în calitate de membru, la Fondul European de Investiții (JO L 173, 7.7.1994, p. 12).</w:t>
      </w:r>
    </w:p>
  </w:footnote>
  <w:footnote w:id="4">
    <w:p>
      <w:pPr>
        <w:pStyle w:val="FootnoteText"/>
        <w:spacing w:before="0"/>
        <w:jc w:val="both"/>
        <w:rPr>
          <w:sz w:val="18"/>
          <w:szCs w:val="18"/>
        </w:rPr>
      </w:pPr>
      <w:r>
        <w:rPr>
          <w:rStyle w:val="FootnoteReference"/>
          <w:sz w:val="18"/>
        </w:rPr>
        <w:footnoteRef/>
      </w:r>
      <w:r>
        <w:rPr>
          <w:sz w:val="18"/>
        </w:rPr>
        <w:t xml:space="preserve"> Declarația Parlamentului European și a Consiliului la Decizia 562/2014.</w:t>
      </w:r>
      <w:r>
        <w:t xml:space="preserve"> </w:t>
      </w:r>
      <w:r>
        <w:rPr>
          <w:sz w:val="18"/>
        </w:rPr>
        <w:t>Comisia propusese ca dividendele plătite de FEI în perioada 2014-2017 să fie utilizate pentru a acoperi o parte din costurile noilor acțiuni, COM(2014)066 final.</w:t>
      </w:r>
    </w:p>
  </w:footnote>
  <w:footnote w:id="5">
    <w:p>
      <w:pPr>
        <w:pStyle w:val="FootnoteText"/>
        <w:spacing w:before="0"/>
        <w:jc w:val="both"/>
        <w:rPr>
          <w:sz w:val="18"/>
          <w:szCs w:val="18"/>
        </w:rPr>
      </w:pPr>
      <w:r>
        <w:rPr>
          <w:rStyle w:val="FootnoteReference"/>
          <w:sz w:val="18"/>
        </w:rPr>
        <w:footnoteRef/>
      </w:r>
      <w:r>
        <w:rPr>
          <w:sz w:val="18"/>
        </w:rPr>
        <w:t xml:space="preserve"> http://www.eif.org/who_we_are/governance/index.htm</w:t>
      </w:r>
    </w:p>
  </w:footnote>
  <w:footnote w:id="6">
    <w:p>
      <w:pPr>
        <w:pStyle w:val="FootnoteText"/>
        <w:spacing w:before="0"/>
        <w:jc w:val="both"/>
        <w:rPr>
          <w:sz w:val="18"/>
          <w:szCs w:val="18"/>
        </w:rPr>
      </w:pPr>
      <w:r>
        <w:rPr>
          <w:rStyle w:val="FootnoteReference"/>
          <w:sz w:val="18"/>
        </w:rPr>
        <w:footnoteRef/>
      </w:r>
      <w:r>
        <w:rPr>
          <w:sz w:val="18"/>
        </w:rPr>
        <w:t xml:space="preserve"> Regulamentul (UE) nr. 1287/2013 al Parlamentului European și al Consiliului din 11 decembrie 2013 de instituire a unui program pentru competitivitatea întreprinderilor și a întreprinderilor mici și mijlocii (COSME) (2014-2020), JO L 347, 20.12.2013, p. 3.</w:t>
      </w:r>
    </w:p>
  </w:footnote>
  <w:footnote w:id="7">
    <w:p>
      <w:pPr>
        <w:pStyle w:val="FootnoteText"/>
        <w:spacing w:before="0"/>
        <w:jc w:val="both"/>
        <w:rPr>
          <w:sz w:val="18"/>
          <w:szCs w:val="18"/>
        </w:rPr>
      </w:pPr>
      <w:r>
        <w:rPr>
          <w:rStyle w:val="FootnoteReference"/>
          <w:sz w:val="18"/>
        </w:rPr>
        <w:footnoteRef/>
      </w:r>
      <w:r>
        <w:rPr>
          <w:sz w:val="18"/>
        </w:rPr>
        <w:t xml:space="preserve"> InnovFin - Finanțare din partea UE pentru inovatori - este o inițiativă comună a BEI și UE în temeiul Regulamentului (UE) nr. 1291/2013 al Parlamentului European și al Consiliului din 11 decembrie 2013 de instituire a Programului-cadru pentru cercetare și inovare (2014-2020) – Orizont 2020, JO L 347, 20.12.2013, p. 104.</w:t>
      </w:r>
    </w:p>
  </w:footnote>
  <w:footnote w:id="8">
    <w:p>
      <w:pPr>
        <w:pStyle w:val="FootnoteText"/>
        <w:spacing w:before="0"/>
        <w:jc w:val="both"/>
        <w:rPr>
          <w:sz w:val="18"/>
          <w:szCs w:val="18"/>
        </w:rPr>
      </w:pPr>
      <w:r>
        <w:rPr>
          <w:rStyle w:val="FootnoteReference"/>
          <w:sz w:val="18"/>
        </w:rPr>
        <w:footnoteRef/>
      </w:r>
      <w:r>
        <w:rPr>
          <w:sz w:val="18"/>
        </w:rPr>
        <w:t xml:space="preserve"> Regulamentul (UE) nr. 1288/2013 al Parlamentului European și al Consiliului din 11 decembrie 2013 de instituire a acțiunii „Erasmus +”: Programul Uniunii pentru educație, formare, tineret și sport, JO L 347, 20.12.2013, p. 50.</w:t>
      </w:r>
    </w:p>
  </w:footnote>
  <w:footnote w:id="9">
    <w:p>
      <w:pPr>
        <w:pStyle w:val="FootnoteText"/>
        <w:spacing w:before="0"/>
        <w:jc w:val="both"/>
        <w:rPr>
          <w:sz w:val="18"/>
          <w:szCs w:val="18"/>
        </w:rPr>
      </w:pPr>
      <w:r>
        <w:rPr>
          <w:rStyle w:val="FootnoteReference"/>
          <w:sz w:val="18"/>
        </w:rPr>
        <w:footnoteRef/>
      </w:r>
      <w:r>
        <w:rPr>
          <w:sz w:val="18"/>
        </w:rPr>
        <w:t xml:space="preserve"> Regulamentul (UE) nr. 1296/2013 al Parlamentului European și al Consiliului din 11 decembrie 2013 privind Programul Uniunii Europene pentru ocuparea forței de muncă și inovare socială ( „EaSI” ), JO L 347, 20.12.2013, p. 238.</w:t>
      </w:r>
    </w:p>
  </w:footnote>
  <w:footnote w:id="10">
    <w:p>
      <w:pPr>
        <w:pStyle w:val="FootnoteText"/>
        <w:spacing w:before="0"/>
        <w:jc w:val="both"/>
        <w:rPr>
          <w:sz w:val="18"/>
          <w:szCs w:val="18"/>
        </w:rPr>
      </w:pPr>
      <w:r>
        <w:rPr>
          <w:rStyle w:val="FootnoteReference"/>
          <w:sz w:val="18"/>
        </w:rPr>
        <w:footnoteRef/>
      </w:r>
      <w:r>
        <w:rPr>
          <w:sz w:val="18"/>
        </w:rPr>
        <w:t xml:space="preserve"> Pe baza conturilor neauditate ale celui de al treilea trimestru.</w:t>
      </w:r>
    </w:p>
  </w:footnote>
  <w:footnote w:id="11">
    <w:p>
      <w:pPr>
        <w:pStyle w:val="FootnoteText"/>
        <w:spacing w:before="0"/>
        <w:rPr>
          <w:sz w:val="18"/>
          <w:szCs w:val="18"/>
        </w:rPr>
      </w:pPr>
      <w:r>
        <w:rPr>
          <w:rStyle w:val="FootnoteReference"/>
          <w:sz w:val="18"/>
        </w:rPr>
        <w:footnoteRef/>
      </w:r>
      <w:r>
        <w:rPr>
          <w:sz w:val="18"/>
        </w:rPr>
        <w:t xml:space="preserve"> Rată compusă anuală de creștere (</w:t>
      </w:r>
      <w:r>
        <w:rPr>
          <w:i/>
          <w:sz w:val="18"/>
        </w:rPr>
        <w:t>Compounded Annual Growth Rate</w:t>
      </w:r>
      <w:r>
        <w:rPr>
          <w:sz w:val="18"/>
        </w:rPr>
        <w:t xml:space="preserve"> - CAGR), calculată pe baza previziunilor privind volumul realizat la sfârșitul anului 2016.</w:t>
      </w:r>
    </w:p>
  </w:footnote>
  <w:footnote w:id="12">
    <w:p>
      <w:pPr>
        <w:pStyle w:val="FootnoteText"/>
        <w:spacing w:before="0"/>
        <w:jc w:val="both"/>
        <w:rPr>
          <w:sz w:val="18"/>
          <w:szCs w:val="18"/>
        </w:rPr>
      </w:pPr>
      <w:r>
        <w:rPr>
          <w:rStyle w:val="FootnoteReference"/>
          <w:sz w:val="18"/>
        </w:rPr>
        <w:footnoteRef/>
      </w:r>
      <w:r>
        <w:rPr>
          <w:sz w:val="18"/>
        </w:rPr>
        <w:t xml:space="preserve"> Regulamentul (UE) 2015/1017 al Parlamentului European și al Consiliului din 25 iunie 2015 privind Fondul european pentru investiții strategice, Platforma europeană de consiliere în materie de investiții și Portalul european de proiecte de investiții, JO L 169, 1.7.2015, p. 1.</w:t>
      </w:r>
    </w:p>
  </w:footnote>
  <w:footnote w:id="13">
    <w:p>
      <w:pPr>
        <w:pStyle w:val="FootnoteText"/>
        <w:spacing w:before="0"/>
      </w:pPr>
      <w:r>
        <w:rPr>
          <w:rStyle w:val="FootnoteReference"/>
        </w:rPr>
        <w:footnoteRef/>
      </w:r>
      <w:r>
        <w:t xml:space="preserve"> </w:t>
      </w:r>
      <w:r>
        <w:rPr>
          <w:sz w:val="18"/>
        </w:rPr>
        <w:t>http://ec.europa.eu/research/participants/data/ref/h2020/grants_manual/hi/3cpart/h2020-hi-list-ac_en.pdf</w:t>
      </w:r>
    </w:p>
  </w:footnote>
  <w:footnote w:id="14">
    <w:p>
      <w:pPr>
        <w:pStyle w:val="FootnoteText"/>
        <w:spacing w:before="0"/>
        <w:jc w:val="both"/>
        <w:rPr>
          <w:sz w:val="18"/>
          <w:szCs w:val="18"/>
        </w:rPr>
      </w:pPr>
      <w:r>
        <w:rPr>
          <w:rStyle w:val="FootnoteReference"/>
          <w:sz w:val="18"/>
        </w:rPr>
        <w:footnoteRef/>
      </w:r>
      <w:r>
        <w:rPr>
          <w:sz w:val="18"/>
        </w:rPr>
        <w:t xml:space="preserve"> În urma unei majorări de 500 de milioane EUR, transferați de la componenta FEIS pentru infrastructură și inovare, în urma deciziei adoptate de către comitetul director al FEIS.</w:t>
      </w:r>
    </w:p>
  </w:footnote>
  <w:footnote w:id="15">
    <w:p>
      <w:pPr>
        <w:pStyle w:val="FootnoteText"/>
        <w:spacing w:before="0"/>
        <w:jc w:val="both"/>
        <w:rPr>
          <w:sz w:val="18"/>
          <w:szCs w:val="18"/>
        </w:rPr>
      </w:pPr>
      <w:r>
        <w:rPr>
          <w:rStyle w:val="FootnoteReference"/>
          <w:sz w:val="18"/>
        </w:rPr>
        <w:footnoteRef/>
      </w:r>
      <w:r>
        <w:rPr>
          <w:sz w:val="18"/>
        </w:rPr>
        <w:t xml:space="preserve"> Pe baza nivelului actual al semnării împrumuturilor, se preconizează că în luna noiembrie 2016 obiectivul de 82,5 miliarde EUR va fi atins în proporție de peste 80 % .</w:t>
      </w:r>
    </w:p>
  </w:footnote>
  <w:footnote w:id="16">
    <w:p>
      <w:pPr>
        <w:pStyle w:val="FootnoteText"/>
        <w:spacing w:before="0"/>
      </w:pPr>
      <w:r>
        <w:rPr>
          <w:rStyle w:val="FootnoteReference"/>
        </w:rPr>
        <w:footnoteRef/>
      </w:r>
      <w:r>
        <w:t xml:space="preserve"> </w:t>
      </w:r>
      <w:r>
        <w:rPr>
          <w:sz w:val="18"/>
        </w:rPr>
        <w:t>COM(2016)0597 final, 2016/0276(COD)</w:t>
      </w:r>
    </w:p>
  </w:footnote>
  <w:footnote w:id="17">
    <w:p>
      <w:pPr>
        <w:pStyle w:val="FootnoteText"/>
        <w:spacing w:before="0"/>
        <w:jc w:val="both"/>
        <w:rPr>
          <w:sz w:val="18"/>
          <w:szCs w:val="18"/>
          <w:lang w:val="en-US"/>
        </w:rPr>
      </w:pPr>
      <w:r>
        <w:rPr>
          <w:rStyle w:val="FootnoteReference"/>
          <w:sz w:val="18"/>
        </w:rPr>
        <w:footnoteRef/>
      </w:r>
      <w:r>
        <w:rPr>
          <w:sz w:val="18"/>
        </w:rPr>
        <w:t xml:space="preserve"> Prețul unitar al acțiunii este calculat cu ajutorul formulei de angajament de achiziție a cotelor de înlocuire și se bazează pe raportul întocmit de auditorii externi ai FEI, după aprobarea de către adunarea generală anuală a situației financiare și a distribuirii venitului net.</w:t>
      </w:r>
    </w:p>
  </w:footnote>
  <w:footnote w:id="18">
    <w:p>
      <w:pPr>
        <w:pStyle w:val="FootnoteText"/>
        <w:spacing w:before="0"/>
        <w:jc w:val="both"/>
      </w:pPr>
      <w:r>
        <w:rPr>
          <w:rStyle w:val="FootnoteReference"/>
          <w:sz w:val="18"/>
        </w:rPr>
        <w:footnoteRef/>
      </w:r>
      <w:r>
        <w:rPr>
          <w:sz w:val="18"/>
        </w:rPr>
        <w:t xml:space="preserve"> Creșterea mai mare decât cea prevăzută a prețului unitar al acțiunii FEI se datorează în principal performanțelor mai bune obținute de FEI în comparație cu cele preconizate inițial.</w:t>
      </w:r>
    </w:p>
  </w:footnote>
  <w:footnote w:id="19">
    <w:p>
      <w:pPr>
        <w:pStyle w:val="FootnoteText"/>
        <w:spacing w:before="0"/>
        <w:jc w:val="both"/>
        <w:rPr>
          <w:sz w:val="18"/>
          <w:szCs w:val="18"/>
        </w:rPr>
      </w:pPr>
      <w:r>
        <w:rPr>
          <w:rStyle w:val="FootnoteReference"/>
          <w:sz w:val="18"/>
        </w:rPr>
        <w:footnoteRef/>
      </w:r>
      <w:r>
        <w:rPr>
          <w:sz w:val="18"/>
        </w:rPr>
        <w:t xml:space="preserve"> În conformitate cu Regulamentul (UE) nr. 462/2013 al Parlamentului European și al Consiliului din 21 mai 2013 de modificare a Regulamentului (CE) nr. 1060/2009 privind agențiile de rating de credit, JO L 146, 31.5.2013.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E68FB"/>
    <w:multiLevelType w:val="hybridMultilevel"/>
    <w:tmpl w:val="611278EA"/>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802552B"/>
    <w:multiLevelType w:val="hybridMultilevel"/>
    <w:tmpl w:val="CD049374"/>
    <w:styleLink w:val="1111111"/>
    <w:lvl w:ilvl="0" w:tplc="C4B26E2A">
      <w:numFmt w:val="bullet"/>
      <w:lvlText w:val="-"/>
      <w:lvlJc w:val="left"/>
      <w:pPr>
        <w:ind w:left="720" w:hanging="360"/>
      </w:pPr>
      <w:rPr>
        <w:rFonts w:ascii="Calibri" w:eastAsia="Times New Roman" w:hAnsi="Calibri"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085C7517"/>
    <w:multiLevelType w:val="hybridMultilevel"/>
    <w:tmpl w:val="35AA31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BC10F31"/>
    <w:multiLevelType w:val="hybridMultilevel"/>
    <w:tmpl w:val="64F22FE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881AB26E">
      <w:start w:val="1"/>
      <w:numFmt w:val="bullet"/>
      <w:lvlText w:val="˗"/>
      <w:lvlJc w:val="left"/>
      <w:pPr>
        <w:ind w:left="2160" w:hanging="360"/>
      </w:pPr>
      <w:rPr>
        <w:rFonts w:ascii="Times New Roman" w:hAnsi="Times New Roman" w:cs="Times New Roman" w:hint="default"/>
      </w:rPr>
    </w:lvl>
    <w:lvl w:ilvl="3" w:tplc="0809000F">
      <w:start w:val="1"/>
      <w:numFmt w:val="decimal"/>
      <w:lvlText w:val="%4."/>
      <w:lvlJc w:val="left"/>
      <w:pPr>
        <w:ind w:left="2880" w:hanging="360"/>
      </w:p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159306F"/>
    <w:multiLevelType w:val="hybridMultilevel"/>
    <w:tmpl w:val="BA1409F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7B954FF"/>
    <w:multiLevelType w:val="multilevel"/>
    <w:tmpl w:val="F9F0187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8EC58EE"/>
    <w:multiLevelType w:val="hybridMultilevel"/>
    <w:tmpl w:val="6AB87428"/>
    <w:lvl w:ilvl="0" w:tplc="00007380">
      <w:start w:val="1"/>
      <w:numFmt w:val="lowerLetter"/>
      <w:lvlRestart w:val="0"/>
      <w:pStyle w:val="Heading5"/>
      <w:lvlText w:val="(%1)"/>
      <w:lvlJc w:val="left"/>
      <w:pPr>
        <w:ind w:left="720" w:hanging="360"/>
      </w:pPr>
      <w:rPr>
        <w:rFonts w:hint="default"/>
        <w:b/>
        <w:i w:val="0"/>
        <w:color w:val="auto"/>
      </w:rPr>
    </w:lvl>
    <w:lvl w:ilvl="1" w:tplc="5D422F80">
      <w:start w:val="1"/>
      <w:numFmt w:val="lowerRoman"/>
      <w:lvlText w:val="%2)"/>
      <w:lvlJc w:val="left"/>
      <w:pPr>
        <w:ind w:left="1800" w:hanging="720"/>
      </w:pPr>
      <w:rPr>
        <w:rFonts w:hint="default"/>
        <w:b/>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9FB653D"/>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F11FC6"/>
    <w:multiLevelType w:val="multilevel"/>
    <w:tmpl w:val="B38ECDF0"/>
    <w:styleLink w:val="1111112"/>
    <w:lvl w:ilvl="0">
      <w:start w:val="1"/>
      <w:numFmt w:val="decimal"/>
      <w:lvlText w:val="%1."/>
      <w:lvlJc w:val="left"/>
      <w:pPr>
        <w:tabs>
          <w:tab w:val="num" w:pos="0"/>
        </w:tabs>
        <w:ind w:left="0" w:firstLine="0"/>
      </w:pPr>
      <w:rPr>
        <w:rFonts w:ascii="Times New Roman" w:hAnsi="Times New Roman" w:hint="default"/>
        <w:b/>
        <w:i w:val="0"/>
        <w:sz w:val="28"/>
      </w:rPr>
    </w:lvl>
    <w:lvl w:ilvl="1">
      <w:start w:val="1"/>
      <w:numFmt w:val="decimal"/>
      <w:lvlText w:val="%1.%2."/>
      <w:lvlJc w:val="left"/>
      <w:pPr>
        <w:tabs>
          <w:tab w:val="num" w:pos="792"/>
        </w:tabs>
        <w:ind w:left="792" w:hanging="432"/>
      </w:pPr>
      <w:rPr>
        <w:rFonts w:hint="default"/>
        <w:b/>
        <w:i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nsid w:val="2C503D7D"/>
    <w:multiLevelType w:val="multilevel"/>
    <w:tmpl w:val="64CA2D9A"/>
    <w:lvl w:ilvl="0">
      <w:start w:val="1"/>
      <w:numFmt w:val="decimal"/>
      <w:pStyle w:val="Heading2"/>
      <w:lvlText w:val="%1."/>
      <w:lvlJc w:val="left"/>
      <w:pPr>
        <w:ind w:left="360" w:hanging="360"/>
      </w:pPr>
      <w:rPr>
        <w:rFonts w:hint="default"/>
      </w:rPr>
    </w:lvl>
    <w:lvl w:ilvl="1">
      <w:start w:val="1"/>
      <w:numFmt w:val="decimal"/>
      <w:pStyle w:val="Heading3"/>
      <w:lvlText w:val="%1.%2."/>
      <w:lvlJc w:val="left"/>
      <w:pPr>
        <w:ind w:left="858" w:hanging="432"/>
      </w:pPr>
      <w:rPr>
        <w:rFonts w:ascii="Times New Roman" w:hAnsi="Times New Roman" w:cs="Times New Roman" w:hint="default"/>
        <w:b/>
      </w:rPr>
    </w:lvl>
    <w:lvl w:ilvl="2">
      <w:start w:val="1"/>
      <w:numFmt w:val="decimal"/>
      <w:pStyle w:val="Heading4bis"/>
      <w:lvlText w:val="%1.%2.%3."/>
      <w:lvlJc w:val="left"/>
      <w:pPr>
        <w:ind w:left="1224" w:hanging="504"/>
      </w:pPr>
      <w:rPr>
        <w:rFonts w:hint="default"/>
      </w:rPr>
    </w:lvl>
    <w:lvl w:ilvl="3">
      <w:start w:val="1"/>
      <w:numFmt w:val="decimal"/>
      <w:pStyle w:val="Heading5bis"/>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2EDC5D18"/>
    <w:multiLevelType w:val="hybridMultilevel"/>
    <w:tmpl w:val="5E845C8E"/>
    <w:lvl w:ilvl="0" w:tplc="2132DE9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77E22E3"/>
    <w:multiLevelType w:val="hybridMultilevel"/>
    <w:tmpl w:val="92A8B6E4"/>
    <w:lvl w:ilvl="0" w:tplc="D39A6ABC">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87EA8504">
      <w:start w:val="2"/>
      <w:numFmt w:val="bullet"/>
      <w:lvlText w:val="-"/>
      <w:lvlJc w:val="left"/>
      <w:pPr>
        <w:ind w:left="2880" w:hanging="360"/>
      </w:pPr>
      <w:rPr>
        <w:rFonts w:ascii="Times New Roman" w:eastAsia="Calibri" w:hAnsi="Times New Roman" w:cs="Times New Roman"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CF00E18"/>
    <w:multiLevelType w:val="singleLevel"/>
    <w:tmpl w:val="4E1A982C"/>
    <w:lvl w:ilvl="0">
      <w:start w:val="1"/>
      <w:numFmt w:val="bullet"/>
      <w:pStyle w:val="ListBullet"/>
      <w:lvlText w:val=""/>
      <w:lvlJc w:val="left"/>
      <w:pPr>
        <w:tabs>
          <w:tab w:val="num" w:pos="643"/>
        </w:tabs>
        <w:ind w:left="643" w:hanging="283"/>
      </w:pPr>
      <w:rPr>
        <w:rFonts w:ascii="Symbol" w:hAnsi="Symbol"/>
      </w:rPr>
    </w:lvl>
  </w:abstractNum>
  <w:abstractNum w:abstractNumId="15">
    <w:nsid w:val="4B401244"/>
    <w:multiLevelType w:val="hybridMultilevel"/>
    <w:tmpl w:val="009238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EEF7C26"/>
    <w:multiLevelType w:val="hybridMultilevel"/>
    <w:tmpl w:val="9EF6BB8C"/>
    <w:lvl w:ilvl="0" w:tplc="A36E351E">
      <w:start w:val="1"/>
      <w:numFmt w:val="bullet"/>
      <w:pStyle w:val="KeyPoint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4ECA2424">
      <w:start w:val="2"/>
      <w:numFmt w:val="bullet"/>
      <w:lvlText w:val="•"/>
      <w:lvlJc w:val="left"/>
      <w:pPr>
        <w:ind w:left="2370" w:hanging="570"/>
      </w:pPr>
      <w:rPr>
        <w:rFonts w:ascii="Times New Roman" w:eastAsia="Calibri"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41B4628"/>
    <w:multiLevelType w:val="hybridMultilevel"/>
    <w:tmpl w:val="F1F62E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70A5764"/>
    <w:multiLevelType w:val="hybridMultilevel"/>
    <w:tmpl w:val="9C68B1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A5D69EB"/>
    <w:multiLevelType w:val="hybridMultilevel"/>
    <w:tmpl w:val="4EE4D2F2"/>
    <w:lvl w:ilvl="0" w:tplc="3DF2C38E">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20">
    <w:nsid w:val="61653D02"/>
    <w:multiLevelType w:val="hybridMultilevel"/>
    <w:tmpl w:val="977AC3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27324EE"/>
    <w:multiLevelType w:val="hybridMultilevel"/>
    <w:tmpl w:val="183C2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47B0884"/>
    <w:multiLevelType w:val="hybridMultilevel"/>
    <w:tmpl w:val="0092386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5A53902"/>
    <w:multiLevelType w:val="hybridMultilevel"/>
    <w:tmpl w:val="6894725A"/>
    <w:lvl w:ilvl="0" w:tplc="67440BF2">
      <w:start w:val="1"/>
      <w:numFmt w:val="bullet"/>
      <w:pStyle w:val="Bulletedlist"/>
      <w:lvlText w:val=""/>
      <w:lvlJc w:val="left"/>
      <w:pPr>
        <w:ind w:left="360" w:hanging="360"/>
      </w:pPr>
      <w:rPr>
        <w:rFonts w:ascii="Symbol" w:hAnsi="Symbol" w:hint="default"/>
        <w:color w:val="0000FF"/>
        <w:sz w:val="24"/>
        <w:szCs w:val="24"/>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5D453B3"/>
    <w:multiLevelType w:val="hybridMultilevel"/>
    <w:tmpl w:val="F5E60D02"/>
    <w:lvl w:ilvl="0" w:tplc="434E882C">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6650C09"/>
    <w:multiLevelType w:val="hybridMultilevel"/>
    <w:tmpl w:val="72CA2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69860AD8"/>
    <w:multiLevelType w:val="hybridMultilevel"/>
    <w:tmpl w:val="BB6E089E"/>
    <w:lvl w:ilvl="0" w:tplc="08090005">
      <w:start w:val="1"/>
      <w:numFmt w:val="bullet"/>
      <w:lvlText w:val=""/>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7">
    <w:nsid w:val="6AD412C9"/>
    <w:multiLevelType w:val="hybridMultilevel"/>
    <w:tmpl w:val="B80AFFEA"/>
    <w:lvl w:ilvl="0" w:tplc="4F88904C">
      <w:start w:val="1"/>
      <w:numFmt w:val="decimal"/>
      <w:lvlText w:val="%1."/>
      <w:lvlJc w:val="left"/>
      <w:pPr>
        <w:ind w:left="720" w:hanging="360"/>
      </w:pPr>
      <w:rPr>
        <w:rFonts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49013F7"/>
    <w:multiLevelType w:val="multilevel"/>
    <w:tmpl w:val="C8B428A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nsid w:val="75B5664A"/>
    <w:multiLevelType w:val="hybridMultilevel"/>
    <w:tmpl w:val="4DCCFE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8CA2AB8"/>
    <w:multiLevelType w:val="hybridMultilevel"/>
    <w:tmpl w:val="A99657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94473C7"/>
    <w:multiLevelType w:val="hybridMultilevel"/>
    <w:tmpl w:val="24761A48"/>
    <w:lvl w:ilvl="0" w:tplc="77268220">
      <w:start w:val="1"/>
      <w:numFmt w:val="upperLetter"/>
      <w:pStyle w:val="Heading4"/>
      <w:lvlText w:val="%1 -"/>
      <w:lvlJc w:val="left"/>
      <w:pPr>
        <w:ind w:left="360" w:hanging="360"/>
      </w:pPr>
      <w:rPr>
        <w:rFonts w:ascii="Times New Roman" w:hAnsi="Times New Roman" w:cs="Times New Roman" w:hint="default"/>
        <w:color w:val="auto"/>
        <w:sz w:val="24"/>
        <w:szCs w:val="24"/>
      </w:rPr>
    </w:lvl>
    <w:lvl w:ilvl="1" w:tplc="0B6A27F8">
      <w:start w:val="1"/>
      <w:numFmt w:val="lowerLetter"/>
      <w:lvlText w:val="(%2)"/>
      <w:lvlJc w:val="left"/>
      <w:pPr>
        <w:ind w:left="1140" w:hanging="360"/>
      </w:pPr>
      <w:rPr>
        <w:rFonts w:hint="default"/>
      </w:rPr>
    </w:lvl>
    <w:lvl w:ilvl="2" w:tplc="87EA8504">
      <w:start w:val="2"/>
      <w:numFmt w:val="bullet"/>
      <w:lvlText w:val="-"/>
      <w:lvlJc w:val="left"/>
      <w:pPr>
        <w:ind w:left="2040" w:hanging="360"/>
      </w:pPr>
      <w:rPr>
        <w:rFonts w:ascii="Times New Roman" w:eastAsia="Calibri" w:hAnsi="Times New Roman" w:cs="Times New Roman" w:hint="default"/>
      </w:rPr>
    </w:lvl>
    <w:lvl w:ilvl="3" w:tplc="130AAAFE">
      <w:start w:val="1"/>
      <w:numFmt w:val="lowerRoman"/>
      <w:lvlText w:val="%4)"/>
      <w:lvlJc w:val="left"/>
      <w:pPr>
        <w:ind w:left="2940" w:hanging="720"/>
      </w:pPr>
      <w:rPr>
        <w:rFonts w:hint="default"/>
      </w:rPr>
    </w:lvl>
    <w:lvl w:ilvl="4" w:tplc="2752EBEE">
      <w:start w:val="1"/>
      <w:numFmt w:val="decimal"/>
      <w:lvlText w:val="%5."/>
      <w:lvlJc w:val="left"/>
      <w:pPr>
        <w:ind w:left="3300" w:hanging="360"/>
      </w:pPr>
      <w:rPr>
        <w:rFonts w:hint="default"/>
      </w:r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32">
    <w:nsid w:val="7E7C247A"/>
    <w:multiLevelType w:val="hybridMultilevel"/>
    <w:tmpl w:val="1BC0F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9"/>
  </w:num>
  <w:num w:numId="3">
    <w:abstractNumId w:val="10"/>
  </w:num>
  <w:num w:numId="4">
    <w:abstractNumId w:val="7"/>
  </w:num>
  <w:num w:numId="5">
    <w:abstractNumId w:val="1"/>
  </w:num>
  <w:num w:numId="6">
    <w:abstractNumId w:val="18"/>
  </w:num>
  <w:num w:numId="7">
    <w:abstractNumId w:val="17"/>
  </w:num>
  <w:num w:numId="8">
    <w:abstractNumId w:val="22"/>
  </w:num>
  <w:num w:numId="9">
    <w:abstractNumId w:val="14"/>
  </w:num>
  <w:num w:numId="10">
    <w:abstractNumId w:val="31"/>
  </w:num>
  <w:num w:numId="11">
    <w:abstractNumId w:val="13"/>
  </w:num>
  <w:num w:numId="12">
    <w:abstractNumId w:val="23"/>
  </w:num>
  <w:num w:numId="13">
    <w:abstractNumId w:val="12"/>
  </w:num>
  <w:num w:numId="14">
    <w:abstractNumId w:val="24"/>
  </w:num>
  <w:num w:numId="15">
    <w:abstractNumId w:val="27"/>
  </w:num>
  <w:num w:numId="16">
    <w:abstractNumId w:val="6"/>
  </w:num>
  <w:num w:numId="17">
    <w:abstractNumId w:val="15"/>
  </w:num>
  <w:num w:numId="18">
    <w:abstractNumId w:val="32"/>
  </w:num>
  <w:num w:numId="19">
    <w:abstractNumId w:val="2"/>
  </w:num>
  <w:num w:numId="20">
    <w:abstractNumId w:val="26"/>
  </w:num>
  <w:num w:numId="21">
    <w:abstractNumId w:val="29"/>
  </w:num>
  <w:num w:numId="22">
    <w:abstractNumId w:val="20"/>
  </w:num>
  <w:num w:numId="23">
    <w:abstractNumId w:val="30"/>
  </w:num>
  <w:num w:numId="24">
    <w:abstractNumId w:val="5"/>
  </w:num>
  <w:num w:numId="25">
    <w:abstractNumId w:val="28"/>
  </w:num>
  <w:num w:numId="26">
    <w:abstractNumId w:val="19"/>
  </w:num>
  <w:num w:numId="27">
    <w:abstractNumId w:val="4"/>
  </w:num>
  <w:num w:numId="28">
    <w:abstractNumId w:val="11"/>
  </w:num>
  <w:num w:numId="29">
    <w:abstractNumId w:val="11"/>
  </w:num>
  <w:num w:numId="30">
    <w:abstractNumId w:val="11"/>
  </w:num>
  <w:num w:numId="31">
    <w:abstractNumId w:val="3"/>
  </w:num>
  <w:num w:numId="32">
    <w:abstractNumId w:val="3"/>
  </w:num>
  <w:num w:numId="33">
    <w:abstractNumId w:val="0"/>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IdMacAtCleanup w:val="1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ierfederico Asdrubali">
    <w15:presenceInfo w15:providerId="Windows Live" w15:userId="98971def9a781a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5D16142C683F45689A5495A8BDA2C753"/>
    <w:docVar w:name="LW_CROSSREFERENCE" w:val="&lt;UNUSED&gt;"/>
    <w:docVar w:name="LW_DocType" w:val="NORMAL"/>
    <w:docVar w:name="LW_EMISSION" w:val="19.12.2016"/>
    <w:docVar w:name="LW_EMISSION_ISODATE" w:val="2016-12-19"/>
    <w:docVar w:name="LW_EMISSION_LOCATION" w:val="BRX"/>
    <w:docVar w:name="LW_EMISSION_PREFIX" w:val="Bruxelles, "/>
    <w:docVar w:name="LW_EMISSION_SUFFIX" w:val=" "/>
    <w:docVar w:name="LW_ID_DOCTYPE_NONLW" w:val="CP-006"/>
    <w:docVar w:name="LW_LANGUE" w:val="RO"/>
    <w:docVar w:name="LW_MARKING" w:val="&lt;UNUSED&g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16) 795"/>
    <w:docVar w:name="LW_REF.INTERNE" w:val="&lt;UNUSED&gt;"/>
    <w:docVar w:name="LW_SOUS.TITRE.OBJ.CP" w:val="&lt;UNUSED&gt;"/>
    <w:docVar w:name="LW_SUPERTITRE" w:val="&lt;UNUSED&gt;"/>
    <w:docVar w:name="LW_TITRE.OBJ.CP" w:val="Raport intermediar_x000b__x000b_privind participarea Uniunii Europene la majorarea de capital a Fondului european de _x000b_investi\u539?ii \u537?i sporirea sprijinului aferent acordat de Fondul european de investi\u539?ii _x000b_ac\u539?iunilor în favoarea întreprinderilor, îndeosebi a întreprinderilor mici \u537?i mijlocii_x000b__x000b_în conformitate cu articolul 4 din Decizia nr. 562/2014/UE a Parlamentului European \u537?i _x000b_a Consiliului din 15 mai 2014 privind participarea Uniunii Europene la majorarea de _x000b_capital a Fondului European de Investi\u539?ii"/>
    <w:docVar w:name="LW_TYPE.DOC.CP" w:val="RAPORT AL COMISIEI C\u258?TRE PARLAMENTUL EUROPEAN \u536?I CONSILIU"/>
    <w:docVar w:name="Stamp" w:val="\\dossiers.dgt.cec.eu.int\dossiers\ECFIN\ECFIN-2015-00229\ECFIN-2015-00229-00-00-EN-REV-00.DOCX"/>
  </w:docVar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after="60" w:line="276" w:lineRule="auto"/>
    </w:pPr>
    <w:rPr>
      <w:rFonts w:ascii="Times New Roman" w:hAnsi="Times New Roman"/>
      <w:sz w:val="24"/>
      <w:szCs w:val="22"/>
    </w:rPr>
  </w:style>
  <w:style w:type="paragraph" w:styleId="Heading1">
    <w:name w:val="heading 1"/>
    <w:basedOn w:val="Normal"/>
    <w:next w:val="Normal"/>
    <w:link w:val="Heading1Char"/>
    <w:uiPriority w:val="9"/>
    <w:qFormat/>
    <w:pPr>
      <w:keepNext/>
      <w:keepLines/>
      <w:spacing w:before="480" w:after="240"/>
      <w:ind w:right="141"/>
      <w:outlineLvl w:val="0"/>
    </w:pPr>
    <w:rPr>
      <w:rFonts w:eastAsia="Times New Roman"/>
      <w:b/>
      <w:bCs/>
      <w:color w:val="000000"/>
      <w:sz w:val="28"/>
      <w:szCs w:val="28"/>
    </w:rPr>
  </w:style>
  <w:style w:type="paragraph" w:styleId="Heading2">
    <w:name w:val="heading 2"/>
    <w:basedOn w:val="Normal"/>
    <w:next w:val="Normal"/>
    <w:link w:val="Heading2Char"/>
    <w:uiPriority w:val="9"/>
    <w:unhideWhenUsed/>
    <w:qFormat/>
    <w:pPr>
      <w:numPr>
        <w:numId w:val="3"/>
      </w:numPr>
      <w:spacing w:before="360" w:after="120" w:line="240" w:lineRule="auto"/>
      <w:jc w:val="both"/>
      <w:outlineLvl w:val="1"/>
    </w:pPr>
    <w:rPr>
      <w:b/>
      <w:szCs w:val="24"/>
    </w:rPr>
  </w:style>
  <w:style w:type="paragraph" w:styleId="Heading3">
    <w:name w:val="heading 3"/>
    <w:aliases w:val="Heading 3 bis"/>
    <w:basedOn w:val="Normal"/>
    <w:next w:val="Normal"/>
    <w:link w:val="Heading3Char"/>
    <w:uiPriority w:val="9"/>
    <w:unhideWhenUsed/>
    <w:qFormat/>
    <w:pPr>
      <w:keepNext/>
      <w:numPr>
        <w:ilvl w:val="1"/>
        <w:numId w:val="3"/>
      </w:numPr>
      <w:pBdr>
        <w:top w:val="single" w:sz="4" w:space="1" w:color="auto"/>
        <w:left w:val="single" w:sz="4" w:space="4" w:color="auto"/>
        <w:bottom w:val="single" w:sz="4" w:space="1" w:color="auto"/>
        <w:right w:val="single" w:sz="4" w:space="4" w:color="auto"/>
      </w:pBdr>
      <w:spacing w:before="600" w:after="360" w:line="240" w:lineRule="auto"/>
      <w:contextualSpacing/>
      <w:outlineLvl w:val="2"/>
    </w:pPr>
    <w:rPr>
      <w:b/>
      <w:szCs w:val="24"/>
    </w:rPr>
  </w:style>
  <w:style w:type="paragraph" w:styleId="Heading4">
    <w:name w:val="heading 4"/>
    <w:basedOn w:val="Normal"/>
    <w:next w:val="Normal"/>
    <w:link w:val="Heading4Char"/>
    <w:uiPriority w:val="9"/>
    <w:unhideWhenUsed/>
    <w:qFormat/>
    <w:pPr>
      <w:keepNext/>
      <w:numPr>
        <w:numId w:val="10"/>
      </w:numPr>
      <w:spacing w:before="240" w:after="120" w:line="240" w:lineRule="auto"/>
      <w:jc w:val="both"/>
      <w:outlineLvl w:val="3"/>
    </w:pPr>
    <w:rPr>
      <w:rFonts w:eastAsia="Times New Roman"/>
      <w:b/>
      <w:bCs/>
      <w:szCs w:val="24"/>
      <w:u w:val="single"/>
    </w:rPr>
  </w:style>
  <w:style w:type="paragraph" w:styleId="Heading5">
    <w:name w:val="heading 5"/>
    <w:basedOn w:val="Normal"/>
    <w:next w:val="Normal"/>
    <w:link w:val="Heading5Char"/>
    <w:uiPriority w:val="9"/>
    <w:unhideWhenUsed/>
    <w:qFormat/>
    <w:pPr>
      <w:keepNext/>
      <w:numPr>
        <w:numId w:val="16"/>
      </w:numPr>
      <w:spacing w:before="240" w:after="120" w:line="240" w:lineRule="auto"/>
      <w:ind w:right="142"/>
      <w:jc w:val="both"/>
      <w:outlineLvl w:val="4"/>
    </w:pPr>
    <w:rPr>
      <w:b/>
      <w:szCs w:val="24"/>
    </w:rPr>
  </w:style>
  <w:style w:type="paragraph" w:styleId="Heading6">
    <w:name w:val="heading 6"/>
    <w:basedOn w:val="Normal"/>
    <w:next w:val="Normal"/>
    <w:link w:val="Heading6Char"/>
    <w:uiPriority w:val="9"/>
    <w:unhideWhenUsed/>
    <w:qFormat/>
    <w:pPr>
      <w:keepNext/>
      <w:spacing w:before="120" w:after="40" w:line="240" w:lineRule="auto"/>
      <w:jc w:val="both"/>
      <w:outlineLvl w:val="5"/>
    </w:pPr>
    <w:rPr>
      <w:b/>
      <w:i/>
      <w:iCs/>
    </w:rPr>
  </w:style>
  <w:style w:type="paragraph" w:styleId="Heading7">
    <w:name w:val="heading 7"/>
    <w:basedOn w:val="Normal"/>
    <w:next w:val="Normal"/>
    <w:link w:val="Heading7Char"/>
    <w:uiPriority w:val="9"/>
    <w:semiHidden/>
    <w:unhideWhenUsed/>
    <w:qFormat/>
    <w:pPr>
      <w:spacing w:before="240"/>
      <w:outlineLvl w:val="6"/>
    </w:pPr>
    <w:rPr>
      <w:rFonts w:ascii="Calibri" w:eastAsia="Times New Roman" w:hAnsi="Calibr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1Char">
    <w:name w:val="Heading 1 Char"/>
    <w:link w:val="Heading1"/>
    <w:uiPriority w:val="9"/>
    <w:rPr>
      <w:rFonts w:ascii="Times New Roman" w:eastAsia="Times New Roman" w:hAnsi="Times New Roman"/>
      <w:b/>
      <w:bCs/>
      <w:color w:val="000000"/>
      <w:sz w:val="28"/>
      <w:szCs w:val="28"/>
      <w:lang w:eastAsia="ro-RO"/>
    </w:rPr>
  </w:style>
  <w:style w:type="character" w:customStyle="1" w:styleId="Heading2Char">
    <w:name w:val="Heading 2 Char"/>
    <w:link w:val="Heading2"/>
    <w:uiPriority w:val="9"/>
    <w:rPr>
      <w:rFonts w:ascii="Times New Roman" w:hAnsi="Times New Roman"/>
      <w:b/>
      <w:sz w:val="24"/>
      <w:szCs w:val="24"/>
      <w:lang w:eastAsia="ro-RO"/>
    </w:rPr>
  </w:style>
  <w:style w:type="character" w:customStyle="1" w:styleId="Heading3Char">
    <w:name w:val="Heading 3 Char"/>
    <w:aliases w:val="Heading 3 bis Char"/>
    <w:link w:val="Heading3"/>
    <w:uiPriority w:val="9"/>
    <w:rPr>
      <w:rFonts w:ascii="Times New Roman" w:hAnsi="Times New Roman"/>
      <w:b/>
      <w:sz w:val="24"/>
      <w:szCs w:val="24"/>
      <w:lang w:eastAsia="ro-RO"/>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Text1">
    <w:name w:val="Text 1"/>
    <w:basedOn w:val="Normal"/>
    <w:pPr>
      <w:spacing w:after="240" w:line="240" w:lineRule="auto"/>
      <w:ind w:left="482"/>
      <w:jc w:val="both"/>
    </w:pPr>
    <w:rPr>
      <w:rFonts w:eastAsia="Times New Roman"/>
      <w:szCs w:val="20"/>
    </w:rPr>
  </w:style>
  <w:style w:type="paragraph" w:styleId="FootnoteText">
    <w:name w:val="footnote text"/>
    <w:basedOn w:val="Normal"/>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1 Char,Footnote Text Char Char Char,Footnote Text Char1 Char Char Char,fn Char,f Char"/>
    <w:rPr>
      <w:sz w:val="20"/>
      <w:szCs w:val="20"/>
    </w:rPr>
  </w:style>
  <w:style w:type="character" w:styleId="FootnoteReference">
    <w:name w:val="footnote reference"/>
    <w:aliases w:val="Footnote symbol,Footnote,Voetnootverwijzing,Times 10 Point,Exposant 3 Point,Appel note de bas de p,BVI fnr,Footnote reference number,Ref,de nota al pie,note TESI,SUPERS,EN Footnote text,EN Footnote Reference,number,no...,E F,fr,o,FR,F"/>
    <w:rPr>
      <w:shd w:val="clear" w:color="auto" w:fill="auto"/>
      <w:vertAlign w:val="superscript"/>
    </w:rPr>
  </w:style>
  <w:style w:type="paragraph" w:styleId="NormalIndent">
    <w:name w:val="Normal Indent"/>
    <w:basedOn w:val="Normal"/>
    <w:pPr>
      <w:spacing w:after="0" w:line="240" w:lineRule="auto"/>
    </w:pPr>
    <w:rPr>
      <w:rFonts w:eastAsia="Times New Roman"/>
      <w:szCs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Cs w:val="24"/>
    </w:rPr>
  </w:style>
  <w:style w:type="paragraph" w:customStyle="1" w:styleId="Nor">
    <w:name w:val="Nor"/>
    <w:aliases w:val="ql"/>
    <w:basedOn w:val="ListParagraph"/>
    <w:pPr>
      <w:spacing w:after="0" w:line="240" w:lineRule="auto"/>
      <w:ind w:left="0"/>
      <w:jc w:val="both"/>
    </w:pPr>
    <w:rPr>
      <w:rFonts w:ascii="Constantia" w:hAnsi="Constantia" w:cs="EUAlbertina"/>
      <w:b/>
      <w:i/>
      <w:color w:val="000000"/>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Revision">
    <w:name w:val="Revision"/>
    <w:hidden/>
    <w:uiPriority w:val="99"/>
    <w:semiHidden/>
    <w:rPr>
      <w:sz w:val="22"/>
      <w:szCs w:val="22"/>
    </w:rPr>
  </w:style>
  <w:style w:type="paragraph" w:styleId="NormalWeb">
    <w:name w:val="Normal (Web)"/>
    <w:basedOn w:val="Normal"/>
    <w:uiPriority w:val="99"/>
    <w:unhideWhenUsed/>
    <w:rPr>
      <w:szCs w:val="24"/>
    </w:rPr>
  </w:style>
  <w:style w:type="paragraph" w:customStyle="1" w:styleId="Text2">
    <w:name w:val="Text 2"/>
    <w:basedOn w:val="Normal"/>
    <w:pPr>
      <w:tabs>
        <w:tab w:val="left" w:pos="2160"/>
      </w:tabs>
      <w:spacing w:after="240" w:line="240" w:lineRule="auto"/>
      <w:ind w:left="1077"/>
      <w:jc w:val="both"/>
    </w:pPr>
    <w:rPr>
      <w:rFonts w:eastAsia="Times New Roman"/>
      <w:szCs w:val="20"/>
    </w:rPr>
  </w:style>
  <w:style w:type="table" w:styleId="TableGrid">
    <w:name w:val="Table Grid"/>
    <w:basedOn w:val="TableNormal"/>
    <w:uiPriority w:val="5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NoList"/>
    <w:pPr>
      <w:numPr>
        <w:numId w:val="4"/>
      </w:numPr>
    </w:pPr>
  </w:style>
  <w:style w:type="numbering" w:customStyle="1" w:styleId="1111111">
    <w:name w:val="1 / 1.1 / 1.1.11"/>
    <w:basedOn w:val="NoList"/>
    <w:next w:val="111111"/>
    <w:pPr>
      <w:numPr>
        <w:numId w:val="5"/>
      </w:numPr>
    </w:pPr>
  </w:style>
  <w:style w:type="character" w:styleId="SubtleEmphasis">
    <w:name w:val="Subtle Emphasis"/>
    <w:uiPriority w:val="19"/>
    <w:qFormat/>
    <w:rPr>
      <w:b/>
      <w:i/>
      <w:iCs/>
      <w:color w:val="808080"/>
    </w:rPr>
  </w:style>
  <w:style w:type="numbering" w:customStyle="1" w:styleId="1111112">
    <w:name w:val="1 / 1.1 / 1.1.12"/>
    <w:basedOn w:val="NoList"/>
    <w:next w:val="111111"/>
    <w:pPr>
      <w:numPr>
        <w:numId w:val="2"/>
      </w:numPr>
    </w:pPr>
  </w:style>
  <w:style w:type="paragraph" w:styleId="ListBullet">
    <w:name w:val="List Bullet"/>
    <w:basedOn w:val="Normal"/>
    <w:pPr>
      <w:numPr>
        <w:numId w:val="9"/>
      </w:numPr>
      <w:spacing w:after="240" w:line="240" w:lineRule="auto"/>
      <w:jc w:val="both"/>
    </w:pPr>
    <w:rPr>
      <w:rFonts w:eastAsia="Times New Roman"/>
      <w:szCs w:val="20"/>
    </w:rPr>
  </w:style>
  <w:style w:type="character" w:customStyle="1" w:styleId="Corpsdutexte">
    <w:name w:val="Corps du texte_"/>
    <w:link w:val="Corpsdutexte0"/>
    <w:uiPriority w:val="99"/>
    <w:rPr>
      <w:sz w:val="22"/>
      <w:szCs w:val="22"/>
      <w:shd w:val="clear" w:color="auto" w:fill="FFFFFF"/>
    </w:rPr>
  </w:style>
  <w:style w:type="paragraph" w:customStyle="1" w:styleId="Corpsdutexte0">
    <w:name w:val="Corps du texte"/>
    <w:basedOn w:val="Normal"/>
    <w:link w:val="Corpsdutexte"/>
    <w:uiPriority w:val="99"/>
    <w:pPr>
      <w:widowControl w:val="0"/>
      <w:shd w:val="clear" w:color="auto" w:fill="FFFFFF"/>
      <w:spacing w:before="4680" w:after="0" w:line="240" w:lineRule="atLeast"/>
      <w:ind w:hanging="460"/>
    </w:pPr>
  </w:style>
  <w:style w:type="paragraph" w:customStyle="1" w:styleId="Corpsdutexte1">
    <w:name w:val="Corps du texte1"/>
    <w:basedOn w:val="Normal"/>
    <w:uiPriority w:val="99"/>
    <w:pPr>
      <w:widowControl w:val="0"/>
      <w:shd w:val="clear" w:color="auto" w:fill="FFFFFF"/>
      <w:spacing w:before="4380" w:after="0" w:line="240" w:lineRule="atLeast"/>
      <w:ind w:hanging="460"/>
    </w:pPr>
    <w:rPr>
      <w:rFonts w:eastAsia="Times New Roman"/>
      <w:sz w:val="23"/>
      <w:szCs w:val="23"/>
    </w:rPr>
  </w:style>
  <w:style w:type="character" w:customStyle="1" w:styleId="Corpsdutexte10">
    <w:name w:val="Corps du texte10"/>
    <w:uiPriority w:val="99"/>
    <w:rPr>
      <w:sz w:val="23"/>
      <w:szCs w:val="23"/>
      <w:u w:val="single"/>
      <w:shd w:val="clear" w:color="auto" w:fill="FFFFFF"/>
    </w:rPr>
  </w:style>
  <w:style w:type="character" w:customStyle="1" w:styleId="Corpsdutexte3">
    <w:name w:val="Corps du texte (3)_"/>
    <w:link w:val="Corpsdutexte30"/>
    <w:uiPriority w:val="99"/>
    <w:rPr>
      <w:b/>
      <w:bCs/>
      <w:sz w:val="23"/>
      <w:szCs w:val="23"/>
      <w:shd w:val="clear" w:color="auto" w:fill="FFFFFF"/>
    </w:rPr>
  </w:style>
  <w:style w:type="character" w:customStyle="1" w:styleId="Corpsdutexte7">
    <w:name w:val="Corps du texte7"/>
    <w:uiPriority w:val="99"/>
    <w:rPr>
      <w:sz w:val="23"/>
      <w:szCs w:val="23"/>
      <w:u w:val="single"/>
      <w:shd w:val="clear" w:color="auto" w:fill="FFFFFF"/>
    </w:rPr>
  </w:style>
  <w:style w:type="character" w:customStyle="1" w:styleId="CorpsdutexteGras5">
    <w:name w:val="Corps du texte + Gras5"/>
    <w:uiPriority w:val="99"/>
    <w:rPr>
      <w:b/>
      <w:bCs/>
      <w:sz w:val="23"/>
      <w:szCs w:val="23"/>
      <w:u w:val="none"/>
      <w:shd w:val="clear" w:color="auto" w:fill="FFFFFF"/>
    </w:rPr>
  </w:style>
  <w:style w:type="character" w:customStyle="1" w:styleId="Corpsdutexte6">
    <w:name w:val="Corps du texte6"/>
    <w:uiPriority w:val="99"/>
    <w:rPr>
      <w:sz w:val="23"/>
      <w:szCs w:val="23"/>
      <w:u w:val="none"/>
      <w:shd w:val="clear" w:color="auto" w:fill="FFFFFF"/>
    </w:rPr>
  </w:style>
  <w:style w:type="character" w:customStyle="1" w:styleId="CorpsdutexteGras4">
    <w:name w:val="Corps du texte + Gras4"/>
    <w:uiPriority w:val="99"/>
    <w:rPr>
      <w:b/>
      <w:bCs/>
      <w:sz w:val="23"/>
      <w:szCs w:val="23"/>
      <w:u w:val="none"/>
      <w:shd w:val="clear" w:color="auto" w:fill="FFFFFF"/>
    </w:rPr>
  </w:style>
  <w:style w:type="paragraph" w:customStyle="1" w:styleId="Corpsdutexte30">
    <w:name w:val="Corps du texte (3)"/>
    <w:basedOn w:val="Normal"/>
    <w:link w:val="Corpsdutexte3"/>
    <w:uiPriority w:val="99"/>
    <w:pPr>
      <w:widowControl w:val="0"/>
      <w:shd w:val="clear" w:color="auto" w:fill="FFFFFF"/>
      <w:spacing w:before="480" w:after="240" w:line="240" w:lineRule="atLeast"/>
      <w:ind w:hanging="720"/>
      <w:jc w:val="both"/>
    </w:pPr>
    <w:rPr>
      <w:b/>
      <w:bCs/>
      <w:sz w:val="23"/>
      <w:szCs w:val="23"/>
    </w:rPr>
  </w:style>
  <w:style w:type="character" w:customStyle="1" w:styleId="Heading4Char">
    <w:name w:val="Heading 4 Char"/>
    <w:link w:val="Heading4"/>
    <w:uiPriority w:val="9"/>
    <w:rPr>
      <w:rFonts w:ascii="Times New Roman" w:eastAsia="Times New Roman" w:hAnsi="Times New Roman"/>
      <w:b/>
      <w:bCs/>
      <w:sz w:val="24"/>
      <w:szCs w:val="24"/>
      <w:u w:val="single"/>
      <w:lang w:eastAsia="ro-RO"/>
    </w:rPr>
  </w:style>
  <w:style w:type="paragraph" w:styleId="Caption">
    <w:name w:val="caption"/>
    <w:basedOn w:val="Normal"/>
    <w:next w:val="Normal"/>
    <w:link w:val="CaptionChar"/>
    <w:uiPriority w:val="35"/>
    <w:unhideWhenUsed/>
    <w:qFormat/>
    <w:rPr>
      <w:b/>
      <w:bCs/>
      <w:sz w:val="20"/>
      <w:szCs w:val="20"/>
    </w:rPr>
  </w:style>
  <w:style w:type="paragraph" w:customStyle="1" w:styleId="Caption1">
    <w:name w:val="Caption1"/>
    <w:basedOn w:val="Caption"/>
    <w:next w:val="Normal"/>
    <w:link w:val="captionChar0"/>
    <w:qFormat/>
    <w:pPr>
      <w:keepNext/>
      <w:jc w:val="center"/>
    </w:pPr>
    <w:rPr>
      <w:i/>
      <w:sz w:val="22"/>
    </w:rPr>
  </w:style>
  <w:style w:type="paragraph" w:customStyle="1" w:styleId="SourceCap">
    <w:name w:val="SourceCap"/>
    <w:basedOn w:val="Normal"/>
    <w:next w:val="Normal"/>
    <w:link w:val="SourceCapChar"/>
    <w:qFormat/>
    <w:pPr>
      <w:spacing w:after="160"/>
      <w:ind w:left="851"/>
    </w:pPr>
    <w:rPr>
      <w:b/>
      <w:i/>
      <w:sz w:val="21"/>
      <w:szCs w:val="20"/>
    </w:rPr>
  </w:style>
  <w:style w:type="character" w:customStyle="1" w:styleId="CaptionChar">
    <w:name w:val="Caption Char"/>
    <w:link w:val="Caption"/>
    <w:uiPriority w:val="35"/>
    <w:rPr>
      <w:b/>
      <w:bCs/>
      <w:lang w:eastAsia="ro-RO"/>
    </w:rPr>
  </w:style>
  <w:style w:type="character" w:customStyle="1" w:styleId="captionChar0">
    <w:name w:val="caption Char"/>
    <w:link w:val="Caption1"/>
    <w:rPr>
      <w:rFonts w:ascii="Times New Roman" w:hAnsi="Times New Roman"/>
      <w:b/>
      <w:bCs/>
      <w:i/>
      <w:sz w:val="22"/>
      <w:lang w:eastAsia="ro-RO"/>
    </w:rPr>
  </w:style>
  <w:style w:type="character" w:customStyle="1" w:styleId="Heading5Char">
    <w:name w:val="Heading 5 Char"/>
    <w:link w:val="Heading5"/>
    <w:uiPriority w:val="9"/>
    <w:rPr>
      <w:rFonts w:ascii="Times New Roman" w:hAnsi="Times New Roman"/>
      <w:b/>
      <w:sz w:val="24"/>
      <w:szCs w:val="24"/>
      <w:lang w:eastAsia="ro-RO"/>
    </w:rPr>
  </w:style>
  <w:style w:type="character" w:customStyle="1" w:styleId="SourceCapChar">
    <w:name w:val="SourceCap Char"/>
    <w:link w:val="SourceCap"/>
    <w:rPr>
      <w:rFonts w:ascii="Times New Roman" w:hAnsi="Times New Roman"/>
      <w:b/>
      <w:i/>
      <w:sz w:val="21"/>
      <w:lang w:eastAsia="ro-RO"/>
    </w:rPr>
  </w:style>
  <w:style w:type="character" w:customStyle="1" w:styleId="Heading6Char">
    <w:name w:val="Heading 6 Char"/>
    <w:link w:val="Heading6"/>
    <w:uiPriority w:val="9"/>
    <w:rPr>
      <w:rFonts w:ascii="Times New Roman" w:hAnsi="Times New Roman"/>
      <w:b/>
      <w:i/>
      <w:iCs/>
      <w:sz w:val="24"/>
      <w:szCs w:val="22"/>
      <w:lang w:eastAsia="ro-RO"/>
    </w:rPr>
  </w:style>
  <w:style w:type="paragraph" w:customStyle="1" w:styleId="KeyPoints">
    <w:name w:val="KeyPoints"/>
    <w:basedOn w:val="Normal"/>
    <w:link w:val="KeyPointsChar"/>
    <w:qFormat/>
    <w:pPr>
      <w:numPr>
        <w:numId w:val="1"/>
      </w:numPr>
      <w:spacing w:line="240" w:lineRule="auto"/>
      <w:ind w:left="0" w:hanging="357"/>
      <w:contextualSpacing/>
      <w:jc w:val="both"/>
    </w:pPr>
    <w:rPr>
      <w:i/>
      <w:szCs w:val="24"/>
    </w:rPr>
  </w:style>
  <w:style w:type="paragraph" w:styleId="TOC4">
    <w:name w:val="toc 4"/>
    <w:basedOn w:val="Normal"/>
    <w:next w:val="Normal"/>
    <w:autoRedefine/>
    <w:uiPriority w:val="39"/>
    <w:unhideWhenUsed/>
    <w:pPr>
      <w:ind w:left="720"/>
    </w:pPr>
  </w:style>
  <w:style w:type="character" w:customStyle="1" w:styleId="KeyPointsChar">
    <w:name w:val="KeyPoints Char"/>
    <w:link w:val="KeyPoints"/>
    <w:rPr>
      <w:rFonts w:ascii="Times New Roman" w:hAnsi="Times New Roman"/>
      <w:i/>
      <w:sz w:val="24"/>
      <w:szCs w:val="24"/>
      <w:lang w:eastAsia="ro-RO"/>
    </w:rPr>
  </w:style>
  <w:style w:type="paragraph" w:styleId="TOC5">
    <w:name w:val="toc 5"/>
    <w:basedOn w:val="Normal"/>
    <w:next w:val="Normal"/>
    <w:autoRedefine/>
    <w:uiPriority w:val="39"/>
    <w:unhideWhenUsed/>
    <w:pPr>
      <w:ind w:left="960"/>
    </w:pPr>
  </w:style>
  <w:style w:type="paragraph" w:styleId="TOC6">
    <w:name w:val="toc 6"/>
    <w:basedOn w:val="Normal"/>
    <w:next w:val="Normal"/>
    <w:autoRedefine/>
    <w:uiPriority w:val="39"/>
    <w:unhideWhenUsed/>
    <w:pPr>
      <w:spacing w:before="0" w:after="100"/>
      <w:ind w:left="1100"/>
    </w:pPr>
    <w:rPr>
      <w:rFonts w:ascii="Calibri" w:eastAsia="MS Mincho" w:hAnsi="Calibri"/>
      <w:sz w:val="22"/>
    </w:rPr>
  </w:style>
  <w:style w:type="paragraph" w:styleId="TOC7">
    <w:name w:val="toc 7"/>
    <w:basedOn w:val="Normal"/>
    <w:next w:val="Normal"/>
    <w:autoRedefine/>
    <w:uiPriority w:val="39"/>
    <w:unhideWhenUsed/>
    <w:pPr>
      <w:spacing w:before="0" w:after="100"/>
      <w:ind w:left="1320"/>
    </w:pPr>
    <w:rPr>
      <w:rFonts w:ascii="Calibri" w:eastAsia="MS Mincho" w:hAnsi="Calibri"/>
      <w:sz w:val="22"/>
    </w:rPr>
  </w:style>
  <w:style w:type="paragraph" w:styleId="TOC8">
    <w:name w:val="toc 8"/>
    <w:basedOn w:val="Normal"/>
    <w:next w:val="Normal"/>
    <w:autoRedefine/>
    <w:uiPriority w:val="39"/>
    <w:unhideWhenUsed/>
    <w:pPr>
      <w:spacing w:before="0" w:after="100"/>
      <w:ind w:left="1540"/>
    </w:pPr>
    <w:rPr>
      <w:rFonts w:ascii="Calibri" w:eastAsia="MS Mincho" w:hAnsi="Calibri"/>
      <w:sz w:val="22"/>
    </w:rPr>
  </w:style>
  <w:style w:type="paragraph" w:styleId="TOC9">
    <w:name w:val="toc 9"/>
    <w:basedOn w:val="Normal"/>
    <w:next w:val="Normal"/>
    <w:autoRedefine/>
    <w:uiPriority w:val="39"/>
    <w:unhideWhenUsed/>
    <w:pPr>
      <w:spacing w:before="0" w:after="100"/>
      <w:ind w:left="1760"/>
    </w:pPr>
    <w:rPr>
      <w:rFonts w:ascii="Calibri" w:eastAsia="MS Mincho" w:hAnsi="Calibri"/>
      <w:sz w:val="22"/>
    </w:rPr>
  </w:style>
  <w:style w:type="paragraph" w:styleId="Title">
    <w:name w:val="Title"/>
    <w:basedOn w:val="Normal"/>
    <w:next w:val="Normal"/>
    <w:link w:val="TitleChar"/>
    <w:uiPriority w:val="10"/>
    <w:qFormat/>
    <w:pPr>
      <w:spacing w:before="240"/>
      <w:jc w:val="center"/>
      <w:outlineLvl w:val="0"/>
    </w:pPr>
    <w:rPr>
      <w:rFonts w:eastAsia="MS Gothic"/>
      <w:b/>
      <w:bCs/>
      <w:kern w:val="28"/>
      <w:sz w:val="32"/>
      <w:szCs w:val="32"/>
    </w:rPr>
  </w:style>
  <w:style w:type="character" w:customStyle="1" w:styleId="TitleChar">
    <w:name w:val="Title Char"/>
    <w:link w:val="Title"/>
    <w:uiPriority w:val="10"/>
    <w:rPr>
      <w:rFonts w:ascii="Times New Roman" w:eastAsia="MS Gothic" w:hAnsi="Times New Roman"/>
      <w:b/>
      <w:bCs/>
      <w:kern w:val="28"/>
      <w:sz w:val="32"/>
      <w:szCs w:val="32"/>
      <w:lang w:eastAsia="ro-RO"/>
    </w:rPr>
  </w:style>
  <w:style w:type="paragraph" w:styleId="Subtitle">
    <w:name w:val="Subtitle"/>
    <w:basedOn w:val="Normal"/>
    <w:next w:val="Normal"/>
    <w:link w:val="SubtitleChar"/>
    <w:uiPriority w:val="11"/>
    <w:qFormat/>
    <w:pPr>
      <w:outlineLvl w:val="1"/>
    </w:pPr>
    <w:rPr>
      <w:rFonts w:eastAsia="MS Gothic"/>
      <w:b/>
      <w:sz w:val="28"/>
      <w:szCs w:val="24"/>
    </w:rPr>
  </w:style>
  <w:style w:type="character" w:customStyle="1" w:styleId="SubtitleChar">
    <w:name w:val="Subtitle Char"/>
    <w:link w:val="Subtitle"/>
    <w:uiPriority w:val="11"/>
    <w:rPr>
      <w:rFonts w:ascii="Times New Roman" w:eastAsia="MS Gothic" w:hAnsi="Times New Roman"/>
      <w:b/>
      <w:sz w:val="28"/>
      <w:szCs w:val="24"/>
      <w:lang w:eastAsia="ro-RO"/>
    </w:rPr>
  </w:style>
  <w:style w:type="paragraph" w:customStyle="1" w:styleId="s2">
    <w:name w:val="s2"/>
    <w:basedOn w:val="Normal"/>
    <w:pPr>
      <w:spacing w:before="100" w:beforeAutospacing="1" w:after="100" w:afterAutospacing="1" w:line="240" w:lineRule="auto"/>
    </w:pPr>
    <w:rPr>
      <w:szCs w:val="24"/>
    </w:rPr>
  </w:style>
  <w:style w:type="character" w:customStyle="1" w:styleId="bumpedfont20">
    <w:name w:val="bumpedfont20"/>
  </w:style>
  <w:style w:type="paragraph" w:customStyle="1" w:styleId="Bulletedlist">
    <w:name w:val="Bulleted list"/>
    <w:basedOn w:val="Normal"/>
    <w:qFormat/>
    <w:pPr>
      <w:numPr>
        <w:numId w:val="12"/>
      </w:numPr>
      <w:spacing w:line="240" w:lineRule="auto"/>
      <w:jc w:val="both"/>
    </w:pPr>
    <w:rPr>
      <w:rFonts w:ascii="Arial" w:eastAsia="MS Mincho" w:hAnsi="Arial" w:cs="Arial"/>
      <w:sz w:val="22"/>
    </w:rPr>
  </w:style>
  <w:style w:type="character" w:customStyle="1" w:styleId="Heading7Char">
    <w:name w:val="Heading 7 Char"/>
    <w:link w:val="Heading7"/>
    <w:uiPriority w:val="9"/>
    <w:semiHidden/>
    <w:rPr>
      <w:rFonts w:ascii="Calibri" w:eastAsia="Times New Roman" w:hAnsi="Calibri" w:cs="Times New Roman"/>
      <w:sz w:val="24"/>
      <w:szCs w:val="24"/>
      <w:lang w:eastAsia="ro-RO"/>
    </w:rPr>
  </w:style>
  <w:style w:type="paragraph" w:customStyle="1" w:styleId="Heading4bis">
    <w:name w:val="Heading 4 bis"/>
    <w:basedOn w:val="Heading4"/>
    <w:link w:val="Heading4bisChar"/>
    <w:qFormat/>
    <w:pPr>
      <w:numPr>
        <w:ilvl w:val="2"/>
        <w:numId w:val="3"/>
      </w:numPr>
    </w:pPr>
    <w:rPr>
      <w:u w:val="none"/>
    </w:rPr>
  </w:style>
  <w:style w:type="paragraph" w:customStyle="1" w:styleId="Heading5bis">
    <w:name w:val="Heading 5 bis"/>
    <w:basedOn w:val="Heading5"/>
    <w:link w:val="Heading5bisChar"/>
    <w:qFormat/>
    <w:pPr>
      <w:numPr>
        <w:ilvl w:val="3"/>
        <w:numId w:val="3"/>
      </w:numPr>
      <w:spacing w:before="120"/>
    </w:pPr>
  </w:style>
  <w:style w:type="character" w:customStyle="1" w:styleId="Heading4bisChar">
    <w:name w:val="Heading 4 bis Char"/>
    <w:link w:val="Heading4bis"/>
    <w:rPr>
      <w:rFonts w:ascii="Times New Roman" w:eastAsia="Times New Roman" w:hAnsi="Times New Roman"/>
      <w:b/>
      <w:bCs/>
      <w:sz w:val="24"/>
      <w:szCs w:val="24"/>
      <w:lang w:eastAsia="ro-RO"/>
    </w:rPr>
  </w:style>
  <w:style w:type="character" w:styleId="FollowedHyperlink">
    <w:name w:val="FollowedHyperlink"/>
    <w:uiPriority w:val="99"/>
    <w:semiHidden/>
    <w:unhideWhenUsed/>
    <w:rPr>
      <w:color w:val="800080"/>
      <w:u w:val="single"/>
    </w:rPr>
  </w:style>
  <w:style w:type="character" w:customStyle="1" w:styleId="Heading5bisChar">
    <w:name w:val="Heading 5 bis Char"/>
    <w:link w:val="Heading5bis"/>
    <w:rPr>
      <w:rFonts w:ascii="Times New Roman" w:hAnsi="Times New Roman"/>
      <w:b/>
      <w:sz w:val="24"/>
      <w:szCs w:val="24"/>
      <w:lang w:eastAsia="ro-RO"/>
    </w:rPr>
  </w:style>
  <w:style w:type="paragraph" w:customStyle="1" w:styleId="Heading3-a">
    <w:name w:val="Heading 3-a"/>
    <w:basedOn w:val="Heading3"/>
    <w:link w:val="Heading3-aChar"/>
    <w:qFormat/>
    <w:pPr>
      <w:pBdr>
        <w:top w:val="none" w:sz="0" w:space="0" w:color="auto"/>
        <w:left w:val="none" w:sz="0" w:space="0" w:color="auto"/>
        <w:bottom w:val="none" w:sz="0" w:space="0" w:color="auto"/>
        <w:right w:val="none" w:sz="0" w:space="0" w:color="auto"/>
      </w:pBdr>
      <w:spacing w:before="360" w:after="240"/>
    </w:pPr>
  </w:style>
  <w:style w:type="numbering" w:customStyle="1" w:styleId="NoList1">
    <w:name w:val="No List1"/>
    <w:next w:val="NoList"/>
    <w:uiPriority w:val="99"/>
    <w:semiHidden/>
    <w:unhideWhenUsed/>
  </w:style>
  <w:style w:type="character" w:customStyle="1" w:styleId="Heading3-aChar">
    <w:name w:val="Heading 3-a Char"/>
    <w:basedOn w:val="Heading3Char"/>
    <w:link w:val="Heading3-a"/>
    <w:rPr>
      <w:rFonts w:ascii="Times New Roman" w:hAnsi="Times New Roman"/>
      <w:b/>
      <w:sz w:val="24"/>
      <w:szCs w:val="24"/>
      <w:lang w:eastAsia="ro-RO"/>
    </w:rPr>
  </w:style>
  <w:style w:type="table" w:customStyle="1" w:styleId="TableGrid2">
    <w:name w:val="Table Grid2"/>
    <w:basedOn w:val="TableNormal"/>
    <w:next w:val="TableGrid"/>
    <w:uiPriority w:val="5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Pr>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5">
    <w:name w:val="Light Shading Accent 5"/>
    <w:basedOn w:val="TableNormal"/>
    <w:uiPriority w:val="6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0" w:after="0" w:line="240" w:lineRule="auto"/>
      <w:jc w:val="both"/>
    </w:p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style>
  <w:style w:type="character" w:customStyle="1" w:styleId="HeaderCoverPageChar">
    <w:name w:val="Header Cover Page Char"/>
    <w:link w:val="HeaderCoverPage"/>
    <w:rPr>
      <w:rFonts w:ascii="Times New Roman" w:hAnsi="Times New Roman"/>
      <w:sz w:val="24"/>
      <w:szCs w:val="22"/>
    </w:rPr>
  </w:style>
  <w:style w:type="table" w:styleId="LightShading">
    <w:name w:val="Light Shading"/>
    <w:basedOn w:val="TableNormal"/>
    <w:uiPriority w:val="6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2">
    <w:name w:val="Light Shading Accent 2"/>
    <w:basedOn w:val="TableNormal"/>
    <w:uiPriority w:val="6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6">
    <w:name w:val="Light Shading Accent 6"/>
    <w:basedOn w:val="TableNormal"/>
    <w:uiPriority w:val="6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2">
    <w:name w:val="Medium Grid 2"/>
    <w:basedOn w:val="TableNormal"/>
    <w:uiPriority w:val="68"/>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LightGrid-Accent1">
    <w:name w:val="Light Grid Accent 1"/>
    <w:basedOn w:val="TableNormal"/>
    <w:uiPriority w:val="6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
    <w:name w:val="Light Grid"/>
    <w:basedOn w:val="TableNormal"/>
    <w:uiPriority w:val="6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63"/>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3">
    <w:name w:val="Medium Grid 3"/>
    <w:basedOn w:val="TableNormal"/>
    <w:uiPriority w:val="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1">
    <w:name w:val="Medium Grid 2 Accent 1"/>
    <w:basedOn w:val="TableNormal"/>
    <w:uiPriority w:val="68"/>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LegalNumPar">
    <w:name w:val="LegalNumPar"/>
    <w:basedOn w:val="Normal"/>
    <w:pPr>
      <w:numPr>
        <w:numId w:val="28"/>
      </w:numPr>
      <w:spacing w:before="0" w:after="200" w:line="240" w:lineRule="auto"/>
    </w:pPr>
    <w:rPr>
      <w:rFonts w:asciiTheme="minorHAnsi" w:eastAsiaTheme="minorHAnsi" w:hAnsiTheme="minorHAnsi" w:cstheme="minorBidi"/>
      <w:sz w:val="22"/>
    </w:rPr>
  </w:style>
  <w:style w:type="paragraph" w:customStyle="1" w:styleId="Point0number">
    <w:name w:val="Point 0 (number)"/>
    <w:basedOn w:val="Normal"/>
    <w:pPr>
      <w:numPr>
        <w:numId w:val="34"/>
      </w:numPr>
      <w:spacing w:before="120" w:after="120" w:line="240" w:lineRule="auto"/>
      <w:jc w:val="both"/>
    </w:pPr>
    <w:rPr>
      <w:rFonts w:eastAsiaTheme="minorHAnsi"/>
    </w:rPr>
  </w:style>
  <w:style w:type="paragraph" w:customStyle="1" w:styleId="Point1number">
    <w:name w:val="Point 1 (number)"/>
    <w:basedOn w:val="Normal"/>
    <w:pPr>
      <w:numPr>
        <w:ilvl w:val="2"/>
        <w:numId w:val="34"/>
      </w:numPr>
      <w:spacing w:before="120" w:after="120" w:line="240" w:lineRule="auto"/>
      <w:jc w:val="both"/>
    </w:pPr>
    <w:rPr>
      <w:rFonts w:eastAsiaTheme="minorHAnsi"/>
    </w:rPr>
  </w:style>
  <w:style w:type="paragraph" w:customStyle="1" w:styleId="Point2number">
    <w:name w:val="Point 2 (number)"/>
    <w:basedOn w:val="Normal"/>
    <w:pPr>
      <w:numPr>
        <w:ilvl w:val="4"/>
        <w:numId w:val="34"/>
      </w:numPr>
      <w:spacing w:before="120" w:after="120" w:line="240" w:lineRule="auto"/>
      <w:jc w:val="both"/>
    </w:pPr>
    <w:rPr>
      <w:rFonts w:eastAsiaTheme="minorHAnsi"/>
    </w:rPr>
  </w:style>
  <w:style w:type="paragraph" w:customStyle="1" w:styleId="Point3number">
    <w:name w:val="Point 3 (number)"/>
    <w:basedOn w:val="Normal"/>
    <w:pPr>
      <w:numPr>
        <w:ilvl w:val="6"/>
        <w:numId w:val="34"/>
      </w:numPr>
      <w:spacing w:before="120" w:after="120" w:line="240" w:lineRule="auto"/>
      <w:jc w:val="both"/>
    </w:pPr>
    <w:rPr>
      <w:rFonts w:eastAsiaTheme="minorHAnsi"/>
    </w:rPr>
  </w:style>
  <w:style w:type="paragraph" w:customStyle="1" w:styleId="Point0letter">
    <w:name w:val="Point 0 (letter)"/>
    <w:basedOn w:val="Normal"/>
    <w:pPr>
      <w:numPr>
        <w:ilvl w:val="1"/>
        <w:numId w:val="34"/>
      </w:numPr>
      <w:spacing w:before="120" w:after="120" w:line="240" w:lineRule="auto"/>
      <w:jc w:val="both"/>
    </w:pPr>
    <w:rPr>
      <w:rFonts w:eastAsiaTheme="minorHAnsi"/>
    </w:rPr>
  </w:style>
  <w:style w:type="paragraph" w:customStyle="1" w:styleId="Point1letter">
    <w:name w:val="Point 1 (letter)"/>
    <w:basedOn w:val="Normal"/>
    <w:pPr>
      <w:numPr>
        <w:ilvl w:val="3"/>
        <w:numId w:val="34"/>
      </w:numPr>
      <w:spacing w:before="120" w:after="120" w:line="240" w:lineRule="auto"/>
      <w:jc w:val="both"/>
    </w:pPr>
    <w:rPr>
      <w:rFonts w:eastAsiaTheme="minorHAnsi"/>
    </w:rPr>
  </w:style>
  <w:style w:type="paragraph" w:customStyle="1" w:styleId="Point2letter">
    <w:name w:val="Point 2 (letter)"/>
    <w:basedOn w:val="Normal"/>
    <w:pPr>
      <w:numPr>
        <w:ilvl w:val="5"/>
        <w:numId w:val="34"/>
      </w:numPr>
      <w:spacing w:before="120" w:after="120" w:line="240" w:lineRule="auto"/>
      <w:jc w:val="both"/>
    </w:pPr>
    <w:rPr>
      <w:rFonts w:eastAsiaTheme="minorHAnsi"/>
    </w:rPr>
  </w:style>
  <w:style w:type="paragraph" w:customStyle="1" w:styleId="Point3letter">
    <w:name w:val="Point 3 (letter)"/>
    <w:basedOn w:val="Normal"/>
    <w:pPr>
      <w:numPr>
        <w:ilvl w:val="7"/>
        <w:numId w:val="34"/>
      </w:numPr>
      <w:spacing w:before="120" w:after="120" w:line="240" w:lineRule="auto"/>
      <w:jc w:val="both"/>
    </w:pPr>
    <w:rPr>
      <w:rFonts w:eastAsiaTheme="minorHAnsi"/>
    </w:rPr>
  </w:style>
  <w:style w:type="paragraph" w:customStyle="1" w:styleId="Point4letter">
    <w:name w:val="Point 4 (letter)"/>
    <w:basedOn w:val="Normal"/>
    <w:pPr>
      <w:numPr>
        <w:ilvl w:val="8"/>
        <w:numId w:val="34"/>
      </w:numPr>
      <w:spacing w:before="120" w:after="120" w:line="240" w:lineRule="auto"/>
      <w:jc w:val="both"/>
    </w:pPr>
    <w:rPr>
      <w:rFonts w:eastAsiaTheme="minorHAnsi"/>
    </w:rPr>
  </w:style>
  <w:style w:type="character" w:customStyle="1" w:styleId="Marker1">
    <w:name w:val="Marker1"/>
    <w:basedOn w:val="DefaultParagraphFont"/>
    <w:rPr>
      <w:color w:val="008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o-RO" w:eastAsia="ro-RO" w:bidi="ro-RO"/>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Outline List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60" w:after="60" w:line="276" w:lineRule="auto"/>
    </w:pPr>
    <w:rPr>
      <w:rFonts w:ascii="Times New Roman" w:hAnsi="Times New Roman"/>
      <w:sz w:val="24"/>
      <w:szCs w:val="22"/>
    </w:rPr>
  </w:style>
  <w:style w:type="paragraph" w:styleId="Heading1">
    <w:name w:val="heading 1"/>
    <w:basedOn w:val="Normal"/>
    <w:next w:val="Normal"/>
    <w:link w:val="Heading1Char"/>
    <w:uiPriority w:val="9"/>
    <w:qFormat/>
    <w:pPr>
      <w:keepNext/>
      <w:keepLines/>
      <w:spacing w:before="480" w:after="240"/>
      <w:ind w:right="141"/>
      <w:outlineLvl w:val="0"/>
    </w:pPr>
    <w:rPr>
      <w:rFonts w:eastAsia="Times New Roman"/>
      <w:b/>
      <w:bCs/>
      <w:color w:val="000000"/>
      <w:sz w:val="28"/>
      <w:szCs w:val="28"/>
    </w:rPr>
  </w:style>
  <w:style w:type="paragraph" w:styleId="Heading2">
    <w:name w:val="heading 2"/>
    <w:basedOn w:val="Normal"/>
    <w:next w:val="Normal"/>
    <w:link w:val="Heading2Char"/>
    <w:uiPriority w:val="9"/>
    <w:unhideWhenUsed/>
    <w:qFormat/>
    <w:pPr>
      <w:numPr>
        <w:numId w:val="3"/>
      </w:numPr>
      <w:spacing w:before="360" w:after="120" w:line="240" w:lineRule="auto"/>
      <w:jc w:val="both"/>
      <w:outlineLvl w:val="1"/>
    </w:pPr>
    <w:rPr>
      <w:b/>
      <w:szCs w:val="24"/>
    </w:rPr>
  </w:style>
  <w:style w:type="paragraph" w:styleId="Heading3">
    <w:name w:val="heading 3"/>
    <w:aliases w:val="Heading 3 bis"/>
    <w:basedOn w:val="Normal"/>
    <w:next w:val="Normal"/>
    <w:link w:val="Heading3Char"/>
    <w:uiPriority w:val="9"/>
    <w:unhideWhenUsed/>
    <w:qFormat/>
    <w:pPr>
      <w:keepNext/>
      <w:numPr>
        <w:ilvl w:val="1"/>
        <w:numId w:val="3"/>
      </w:numPr>
      <w:pBdr>
        <w:top w:val="single" w:sz="4" w:space="1" w:color="auto"/>
        <w:left w:val="single" w:sz="4" w:space="4" w:color="auto"/>
        <w:bottom w:val="single" w:sz="4" w:space="1" w:color="auto"/>
        <w:right w:val="single" w:sz="4" w:space="4" w:color="auto"/>
      </w:pBdr>
      <w:spacing w:before="600" w:after="360" w:line="240" w:lineRule="auto"/>
      <w:contextualSpacing/>
      <w:outlineLvl w:val="2"/>
    </w:pPr>
    <w:rPr>
      <w:b/>
      <w:szCs w:val="24"/>
    </w:rPr>
  </w:style>
  <w:style w:type="paragraph" w:styleId="Heading4">
    <w:name w:val="heading 4"/>
    <w:basedOn w:val="Normal"/>
    <w:next w:val="Normal"/>
    <w:link w:val="Heading4Char"/>
    <w:uiPriority w:val="9"/>
    <w:unhideWhenUsed/>
    <w:qFormat/>
    <w:pPr>
      <w:keepNext/>
      <w:numPr>
        <w:numId w:val="10"/>
      </w:numPr>
      <w:spacing w:before="240" w:after="120" w:line="240" w:lineRule="auto"/>
      <w:jc w:val="both"/>
      <w:outlineLvl w:val="3"/>
    </w:pPr>
    <w:rPr>
      <w:rFonts w:eastAsia="Times New Roman"/>
      <w:b/>
      <w:bCs/>
      <w:szCs w:val="24"/>
      <w:u w:val="single"/>
    </w:rPr>
  </w:style>
  <w:style w:type="paragraph" w:styleId="Heading5">
    <w:name w:val="heading 5"/>
    <w:basedOn w:val="Normal"/>
    <w:next w:val="Normal"/>
    <w:link w:val="Heading5Char"/>
    <w:uiPriority w:val="9"/>
    <w:unhideWhenUsed/>
    <w:qFormat/>
    <w:pPr>
      <w:keepNext/>
      <w:numPr>
        <w:numId w:val="16"/>
      </w:numPr>
      <w:spacing w:before="240" w:after="120" w:line="240" w:lineRule="auto"/>
      <w:ind w:right="142"/>
      <w:jc w:val="both"/>
      <w:outlineLvl w:val="4"/>
    </w:pPr>
    <w:rPr>
      <w:b/>
      <w:szCs w:val="24"/>
    </w:rPr>
  </w:style>
  <w:style w:type="paragraph" w:styleId="Heading6">
    <w:name w:val="heading 6"/>
    <w:basedOn w:val="Normal"/>
    <w:next w:val="Normal"/>
    <w:link w:val="Heading6Char"/>
    <w:uiPriority w:val="9"/>
    <w:unhideWhenUsed/>
    <w:qFormat/>
    <w:pPr>
      <w:keepNext/>
      <w:spacing w:before="120" w:after="40" w:line="240" w:lineRule="auto"/>
      <w:jc w:val="both"/>
      <w:outlineLvl w:val="5"/>
    </w:pPr>
    <w:rPr>
      <w:b/>
      <w:i/>
      <w:iCs/>
    </w:rPr>
  </w:style>
  <w:style w:type="paragraph" w:styleId="Heading7">
    <w:name w:val="heading 7"/>
    <w:basedOn w:val="Normal"/>
    <w:next w:val="Normal"/>
    <w:link w:val="Heading7Char"/>
    <w:uiPriority w:val="9"/>
    <w:semiHidden/>
    <w:unhideWhenUsed/>
    <w:qFormat/>
    <w:pPr>
      <w:spacing w:before="240"/>
      <w:outlineLvl w:val="6"/>
    </w:pPr>
    <w:rPr>
      <w:rFonts w:ascii="Calibri" w:eastAsia="Times New Roman" w:hAnsi="Calibri"/>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1Char">
    <w:name w:val="Heading 1 Char"/>
    <w:link w:val="Heading1"/>
    <w:uiPriority w:val="9"/>
    <w:rPr>
      <w:rFonts w:ascii="Times New Roman" w:eastAsia="Times New Roman" w:hAnsi="Times New Roman"/>
      <w:b/>
      <w:bCs/>
      <w:color w:val="000000"/>
      <w:sz w:val="28"/>
      <w:szCs w:val="28"/>
      <w:lang w:eastAsia="ro-RO"/>
    </w:rPr>
  </w:style>
  <w:style w:type="character" w:customStyle="1" w:styleId="Heading2Char">
    <w:name w:val="Heading 2 Char"/>
    <w:link w:val="Heading2"/>
    <w:uiPriority w:val="9"/>
    <w:rPr>
      <w:rFonts w:ascii="Times New Roman" w:hAnsi="Times New Roman"/>
      <w:b/>
      <w:sz w:val="24"/>
      <w:szCs w:val="24"/>
      <w:lang w:eastAsia="ro-RO"/>
    </w:rPr>
  </w:style>
  <w:style w:type="character" w:customStyle="1" w:styleId="Heading3Char">
    <w:name w:val="Heading 3 Char"/>
    <w:aliases w:val="Heading 3 bis Char"/>
    <w:link w:val="Heading3"/>
    <w:uiPriority w:val="9"/>
    <w:rPr>
      <w:rFonts w:ascii="Times New Roman" w:hAnsi="Times New Roman"/>
      <w:b/>
      <w:sz w:val="24"/>
      <w:szCs w:val="24"/>
      <w:lang w:eastAsia="ro-RO"/>
    </w:rPr>
  </w:style>
  <w:style w:type="paragraph" w:styleId="TOCHeading">
    <w:name w:val="TOC Heading"/>
    <w:basedOn w:val="Heading1"/>
    <w:next w:val="Normal"/>
    <w:uiPriority w:val="39"/>
    <w:unhideWhenUsed/>
    <w:qFormat/>
    <w:pPr>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Text1">
    <w:name w:val="Text 1"/>
    <w:basedOn w:val="Normal"/>
    <w:pPr>
      <w:spacing w:after="240" w:line="240" w:lineRule="auto"/>
      <w:ind w:left="482"/>
      <w:jc w:val="both"/>
    </w:pPr>
    <w:rPr>
      <w:rFonts w:eastAsia="Times New Roman"/>
      <w:szCs w:val="20"/>
    </w:rPr>
  </w:style>
  <w:style w:type="paragraph" w:styleId="FootnoteText">
    <w:name w:val="footnote text"/>
    <w:basedOn w:val="Normal"/>
    <w:unhideWhenUsed/>
    <w:pPr>
      <w:spacing w:after="0" w:line="240" w:lineRule="auto"/>
    </w:pPr>
    <w:rPr>
      <w:sz w:val="20"/>
      <w:szCs w:val="20"/>
    </w:rPr>
  </w:style>
  <w:style w:type="character" w:customStyle="1" w:styleId="FootnoteTextChar">
    <w:name w:val="Footnote Text Char"/>
    <w:aliases w:val="Schriftart: 9 pt Char,Schriftart: 10 pt Char,Schriftart: 8 pt Char,WB-Fußnotentext Char,FoodNote Char,ft Char,Footnote text Char,Footnote Text Char1 Char,Footnote Text Char Char Char,Footnote Text Char1 Char Char Char,fn Char,f Char"/>
    <w:rPr>
      <w:sz w:val="20"/>
      <w:szCs w:val="20"/>
    </w:rPr>
  </w:style>
  <w:style w:type="character" w:styleId="FootnoteReference">
    <w:name w:val="footnote reference"/>
    <w:aliases w:val="Footnote symbol,Footnote,Voetnootverwijzing,Times 10 Point,Exposant 3 Point,Appel note de bas de p,BVI fnr,Footnote reference number,Ref,de nota al pie,note TESI,SUPERS,EN Footnote text,EN Footnote Reference,number,no...,E F,fr,o,FR,F"/>
    <w:rPr>
      <w:shd w:val="clear" w:color="auto" w:fill="auto"/>
      <w:vertAlign w:val="superscript"/>
    </w:rPr>
  </w:style>
  <w:style w:type="paragraph" w:styleId="NormalIndent">
    <w:name w:val="Normal Indent"/>
    <w:basedOn w:val="Normal"/>
    <w:pPr>
      <w:spacing w:after="0" w:line="240" w:lineRule="auto"/>
    </w:pPr>
    <w:rPr>
      <w:rFonts w:eastAsia="Times New Roman"/>
      <w:szCs w:val="24"/>
    </w:rPr>
  </w:style>
  <w:style w:type="paragraph" w:customStyle="1" w:styleId="CM1">
    <w:name w:val="CM1"/>
    <w:basedOn w:val="Normal"/>
    <w:next w:val="Normal"/>
    <w:uiPriority w:val="99"/>
    <w:pPr>
      <w:autoSpaceDE w:val="0"/>
      <w:autoSpaceDN w:val="0"/>
      <w:adjustRightInd w:val="0"/>
      <w:spacing w:after="0" w:line="240" w:lineRule="auto"/>
    </w:pPr>
    <w:rPr>
      <w:rFonts w:ascii="EUAlbertina" w:hAnsi="EUAlbertina"/>
      <w:szCs w:val="24"/>
    </w:rPr>
  </w:style>
  <w:style w:type="paragraph" w:customStyle="1" w:styleId="CM3">
    <w:name w:val="CM3"/>
    <w:basedOn w:val="Normal"/>
    <w:next w:val="Normal"/>
    <w:uiPriority w:val="99"/>
    <w:pPr>
      <w:autoSpaceDE w:val="0"/>
      <w:autoSpaceDN w:val="0"/>
      <w:adjustRightInd w:val="0"/>
      <w:spacing w:after="0" w:line="240" w:lineRule="auto"/>
    </w:pPr>
    <w:rPr>
      <w:rFonts w:ascii="EUAlbertina" w:hAnsi="EUAlbertina"/>
      <w:szCs w:val="24"/>
    </w:rPr>
  </w:style>
  <w:style w:type="paragraph" w:customStyle="1" w:styleId="Nor">
    <w:name w:val="Nor"/>
    <w:aliases w:val="ql"/>
    <w:basedOn w:val="ListParagraph"/>
    <w:pPr>
      <w:spacing w:after="0" w:line="240" w:lineRule="auto"/>
      <w:ind w:left="0"/>
      <w:jc w:val="both"/>
    </w:pPr>
    <w:rPr>
      <w:rFonts w:ascii="Constantia" w:hAnsi="Constantia" w:cs="EUAlbertina"/>
      <w:b/>
      <w:i/>
      <w:color w:val="000000"/>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sz w:val="20"/>
      <w:szCs w:val="20"/>
    </w:rPr>
  </w:style>
  <w:style w:type="paragraph" w:styleId="Revision">
    <w:name w:val="Revision"/>
    <w:hidden/>
    <w:uiPriority w:val="99"/>
    <w:semiHidden/>
    <w:rPr>
      <w:sz w:val="22"/>
      <w:szCs w:val="22"/>
    </w:rPr>
  </w:style>
  <w:style w:type="paragraph" w:styleId="NormalWeb">
    <w:name w:val="Normal (Web)"/>
    <w:basedOn w:val="Normal"/>
    <w:uiPriority w:val="99"/>
    <w:unhideWhenUsed/>
    <w:rPr>
      <w:szCs w:val="24"/>
    </w:rPr>
  </w:style>
  <w:style w:type="paragraph" w:customStyle="1" w:styleId="Text2">
    <w:name w:val="Text 2"/>
    <w:basedOn w:val="Normal"/>
    <w:pPr>
      <w:tabs>
        <w:tab w:val="left" w:pos="2160"/>
      </w:tabs>
      <w:spacing w:after="240" w:line="240" w:lineRule="auto"/>
      <w:ind w:left="1077"/>
      <w:jc w:val="both"/>
    </w:pPr>
    <w:rPr>
      <w:rFonts w:eastAsia="Times New Roman"/>
      <w:szCs w:val="20"/>
    </w:rPr>
  </w:style>
  <w:style w:type="table" w:styleId="TableGrid">
    <w:name w:val="Table Grid"/>
    <w:basedOn w:val="TableNormal"/>
    <w:uiPriority w:val="5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Pr>
      <w:rFonts w:eastAsia="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NoList"/>
    <w:pPr>
      <w:numPr>
        <w:numId w:val="4"/>
      </w:numPr>
    </w:pPr>
  </w:style>
  <w:style w:type="numbering" w:customStyle="1" w:styleId="1111111">
    <w:name w:val="1 / 1.1 / 1.1.11"/>
    <w:basedOn w:val="NoList"/>
    <w:next w:val="111111"/>
    <w:pPr>
      <w:numPr>
        <w:numId w:val="5"/>
      </w:numPr>
    </w:pPr>
  </w:style>
  <w:style w:type="character" w:styleId="SubtleEmphasis">
    <w:name w:val="Subtle Emphasis"/>
    <w:uiPriority w:val="19"/>
    <w:qFormat/>
    <w:rPr>
      <w:b/>
      <w:i/>
      <w:iCs/>
      <w:color w:val="808080"/>
    </w:rPr>
  </w:style>
  <w:style w:type="numbering" w:customStyle="1" w:styleId="1111112">
    <w:name w:val="1 / 1.1 / 1.1.12"/>
    <w:basedOn w:val="NoList"/>
    <w:next w:val="111111"/>
    <w:pPr>
      <w:numPr>
        <w:numId w:val="2"/>
      </w:numPr>
    </w:pPr>
  </w:style>
  <w:style w:type="paragraph" w:styleId="ListBullet">
    <w:name w:val="List Bullet"/>
    <w:basedOn w:val="Normal"/>
    <w:pPr>
      <w:numPr>
        <w:numId w:val="9"/>
      </w:numPr>
      <w:spacing w:after="240" w:line="240" w:lineRule="auto"/>
      <w:jc w:val="both"/>
    </w:pPr>
    <w:rPr>
      <w:rFonts w:eastAsia="Times New Roman"/>
      <w:szCs w:val="20"/>
    </w:rPr>
  </w:style>
  <w:style w:type="character" w:customStyle="1" w:styleId="Corpsdutexte">
    <w:name w:val="Corps du texte_"/>
    <w:link w:val="Corpsdutexte0"/>
    <w:uiPriority w:val="99"/>
    <w:rPr>
      <w:sz w:val="22"/>
      <w:szCs w:val="22"/>
      <w:shd w:val="clear" w:color="auto" w:fill="FFFFFF"/>
    </w:rPr>
  </w:style>
  <w:style w:type="paragraph" w:customStyle="1" w:styleId="Corpsdutexte0">
    <w:name w:val="Corps du texte"/>
    <w:basedOn w:val="Normal"/>
    <w:link w:val="Corpsdutexte"/>
    <w:uiPriority w:val="99"/>
    <w:pPr>
      <w:widowControl w:val="0"/>
      <w:shd w:val="clear" w:color="auto" w:fill="FFFFFF"/>
      <w:spacing w:before="4680" w:after="0" w:line="240" w:lineRule="atLeast"/>
      <w:ind w:hanging="460"/>
    </w:pPr>
  </w:style>
  <w:style w:type="paragraph" w:customStyle="1" w:styleId="Corpsdutexte1">
    <w:name w:val="Corps du texte1"/>
    <w:basedOn w:val="Normal"/>
    <w:uiPriority w:val="99"/>
    <w:pPr>
      <w:widowControl w:val="0"/>
      <w:shd w:val="clear" w:color="auto" w:fill="FFFFFF"/>
      <w:spacing w:before="4380" w:after="0" w:line="240" w:lineRule="atLeast"/>
      <w:ind w:hanging="460"/>
    </w:pPr>
    <w:rPr>
      <w:rFonts w:eastAsia="Times New Roman"/>
      <w:sz w:val="23"/>
      <w:szCs w:val="23"/>
    </w:rPr>
  </w:style>
  <w:style w:type="character" w:customStyle="1" w:styleId="Corpsdutexte10">
    <w:name w:val="Corps du texte10"/>
    <w:uiPriority w:val="99"/>
    <w:rPr>
      <w:sz w:val="23"/>
      <w:szCs w:val="23"/>
      <w:u w:val="single"/>
      <w:shd w:val="clear" w:color="auto" w:fill="FFFFFF"/>
    </w:rPr>
  </w:style>
  <w:style w:type="character" w:customStyle="1" w:styleId="Corpsdutexte3">
    <w:name w:val="Corps du texte (3)_"/>
    <w:link w:val="Corpsdutexte30"/>
    <w:uiPriority w:val="99"/>
    <w:rPr>
      <w:b/>
      <w:bCs/>
      <w:sz w:val="23"/>
      <w:szCs w:val="23"/>
      <w:shd w:val="clear" w:color="auto" w:fill="FFFFFF"/>
    </w:rPr>
  </w:style>
  <w:style w:type="character" w:customStyle="1" w:styleId="Corpsdutexte7">
    <w:name w:val="Corps du texte7"/>
    <w:uiPriority w:val="99"/>
    <w:rPr>
      <w:sz w:val="23"/>
      <w:szCs w:val="23"/>
      <w:u w:val="single"/>
      <w:shd w:val="clear" w:color="auto" w:fill="FFFFFF"/>
    </w:rPr>
  </w:style>
  <w:style w:type="character" w:customStyle="1" w:styleId="CorpsdutexteGras5">
    <w:name w:val="Corps du texte + Gras5"/>
    <w:uiPriority w:val="99"/>
    <w:rPr>
      <w:b/>
      <w:bCs/>
      <w:sz w:val="23"/>
      <w:szCs w:val="23"/>
      <w:u w:val="none"/>
      <w:shd w:val="clear" w:color="auto" w:fill="FFFFFF"/>
    </w:rPr>
  </w:style>
  <w:style w:type="character" w:customStyle="1" w:styleId="Corpsdutexte6">
    <w:name w:val="Corps du texte6"/>
    <w:uiPriority w:val="99"/>
    <w:rPr>
      <w:sz w:val="23"/>
      <w:szCs w:val="23"/>
      <w:u w:val="none"/>
      <w:shd w:val="clear" w:color="auto" w:fill="FFFFFF"/>
    </w:rPr>
  </w:style>
  <w:style w:type="character" w:customStyle="1" w:styleId="CorpsdutexteGras4">
    <w:name w:val="Corps du texte + Gras4"/>
    <w:uiPriority w:val="99"/>
    <w:rPr>
      <w:b/>
      <w:bCs/>
      <w:sz w:val="23"/>
      <w:szCs w:val="23"/>
      <w:u w:val="none"/>
      <w:shd w:val="clear" w:color="auto" w:fill="FFFFFF"/>
    </w:rPr>
  </w:style>
  <w:style w:type="paragraph" w:customStyle="1" w:styleId="Corpsdutexte30">
    <w:name w:val="Corps du texte (3)"/>
    <w:basedOn w:val="Normal"/>
    <w:link w:val="Corpsdutexte3"/>
    <w:uiPriority w:val="99"/>
    <w:pPr>
      <w:widowControl w:val="0"/>
      <w:shd w:val="clear" w:color="auto" w:fill="FFFFFF"/>
      <w:spacing w:before="480" w:after="240" w:line="240" w:lineRule="atLeast"/>
      <w:ind w:hanging="720"/>
      <w:jc w:val="both"/>
    </w:pPr>
    <w:rPr>
      <w:b/>
      <w:bCs/>
      <w:sz w:val="23"/>
      <w:szCs w:val="23"/>
    </w:rPr>
  </w:style>
  <w:style w:type="character" w:customStyle="1" w:styleId="Heading4Char">
    <w:name w:val="Heading 4 Char"/>
    <w:link w:val="Heading4"/>
    <w:uiPriority w:val="9"/>
    <w:rPr>
      <w:rFonts w:ascii="Times New Roman" w:eastAsia="Times New Roman" w:hAnsi="Times New Roman"/>
      <w:b/>
      <w:bCs/>
      <w:sz w:val="24"/>
      <w:szCs w:val="24"/>
      <w:u w:val="single"/>
      <w:lang w:eastAsia="ro-RO"/>
    </w:rPr>
  </w:style>
  <w:style w:type="paragraph" w:styleId="Caption">
    <w:name w:val="caption"/>
    <w:basedOn w:val="Normal"/>
    <w:next w:val="Normal"/>
    <w:link w:val="CaptionChar"/>
    <w:uiPriority w:val="35"/>
    <w:unhideWhenUsed/>
    <w:qFormat/>
    <w:rPr>
      <w:b/>
      <w:bCs/>
      <w:sz w:val="20"/>
      <w:szCs w:val="20"/>
    </w:rPr>
  </w:style>
  <w:style w:type="paragraph" w:customStyle="1" w:styleId="Caption1">
    <w:name w:val="Caption1"/>
    <w:basedOn w:val="Caption"/>
    <w:next w:val="Normal"/>
    <w:link w:val="captionChar0"/>
    <w:qFormat/>
    <w:pPr>
      <w:keepNext/>
      <w:jc w:val="center"/>
    </w:pPr>
    <w:rPr>
      <w:i/>
      <w:sz w:val="22"/>
    </w:rPr>
  </w:style>
  <w:style w:type="paragraph" w:customStyle="1" w:styleId="SourceCap">
    <w:name w:val="SourceCap"/>
    <w:basedOn w:val="Normal"/>
    <w:next w:val="Normal"/>
    <w:link w:val="SourceCapChar"/>
    <w:qFormat/>
    <w:pPr>
      <w:spacing w:after="160"/>
      <w:ind w:left="851"/>
    </w:pPr>
    <w:rPr>
      <w:b/>
      <w:i/>
      <w:sz w:val="21"/>
      <w:szCs w:val="20"/>
    </w:rPr>
  </w:style>
  <w:style w:type="character" w:customStyle="1" w:styleId="CaptionChar">
    <w:name w:val="Caption Char"/>
    <w:link w:val="Caption"/>
    <w:uiPriority w:val="35"/>
    <w:rPr>
      <w:b/>
      <w:bCs/>
      <w:lang w:eastAsia="ro-RO"/>
    </w:rPr>
  </w:style>
  <w:style w:type="character" w:customStyle="1" w:styleId="captionChar0">
    <w:name w:val="caption Char"/>
    <w:link w:val="Caption1"/>
    <w:rPr>
      <w:rFonts w:ascii="Times New Roman" w:hAnsi="Times New Roman"/>
      <w:b/>
      <w:bCs/>
      <w:i/>
      <w:sz w:val="22"/>
      <w:lang w:eastAsia="ro-RO"/>
    </w:rPr>
  </w:style>
  <w:style w:type="character" w:customStyle="1" w:styleId="Heading5Char">
    <w:name w:val="Heading 5 Char"/>
    <w:link w:val="Heading5"/>
    <w:uiPriority w:val="9"/>
    <w:rPr>
      <w:rFonts w:ascii="Times New Roman" w:hAnsi="Times New Roman"/>
      <w:b/>
      <w:sz w:val="24"/>
      <w:szCs w:val="24"/>
      <w:lang w:eastAsia="ro-RO"/>
    </w:rPr>
  </w:style>
  <w:style w:type="character" w:customStyle="1" w:styleId="SourceCapChar">
    <w:name w:val="SourceCap Char"/>
    <w:link w:val="SourceCap"/>
    <w:rPr>
      <w:rFonts w:ascii="Times New Roman" w:hAnsi="Times New Roman"/>
      <w:b/>
      <w:i/>
      <w:sz w:val="21"/>
      <w:lang w:eastAsia="ro-RO"/>
    </w:rPr>
  </w:style>
  <w:style w:type="character" w:customStyle="1" w:styleId="Heading6Char">
    <w:name w:val="Heading 6 Char"/>
    <w:link w:val="Heading6"/>
    <w:uiPriority w:val="9"/>
    <w:rPr>
      <w:rFonts w:ascii="Times New Roman" w:hAnsi="Times New Roman"/>
      <w:b/>
      <w:i/>
      <w:iCs/>
      <w:sz w:val="24"/>
      <w:szCs w:val="22"/>
      <w:lang w:eastAsia="ro-RO"/>
    </w:rPr>
  </w:style>
  <w:style w:type="paragraph" w:customStyle="1" w:styleId="KeyPoints">
    <w:name w:val="KeyPoints"/>
    <w:basedOn w:val="Normal"/>
    <w:link w:val="KeyPointsChar"/>
    <w:qFormat/>
    <w:pPr>
      <w:numPr>
        <w:numId w:val="1"/>
      </w:numPr>
      <w:spacing w:line="240" w:lineRule="auto"/>
      <w:ind w:left="0" w:hanging="357"/>
      <w:contextualSpacing/>
      <w:jc w:val="both"/>
    </w:pPr>
    <w:rPr>
      <w:i/>
      <w:szCs w:val="24"/>
    </w:rPr>
  </w:style>
  <w:style w:type="paragraph" w:styleId="TOC4">
    <w:name w:val="toc 4"/>
    <w:basedOn w:val="Normal"/>
    <w:next w:val="Normal"/>
    <w:autoRedefine/>
    <w:uiPriority w:val="39"/>
    <w:unhideWhenUsed/>
    <w:pPr>
      <w:ind w:left="720"/>
    </w:pPr>
  </w:style>
  <w:style w:type="character" w:customStyle="1" w:styleId="KeyPointsChar">
    <w:name w:val="KeyPoints Char"/>
    <w:link w:val="KeyPoints"/>
    <w:rPr>
      <w:rFonts w:ascii="Times New Roman" w:hAnsi="Times New Roman"/>
      <w:i/>
      <w:sz w:val="24"/>
      <w:szCs w:val="24"/>
      <w:lang w:eastAsia="ro-RO"/>
    </w:rPr>
  </w:style>
  <w:style w:type="paragraph" w:styleId="TOC5">
    <w:name w:val="toc 5"/>
    <w:basedOn w:val="Normal"/>
    <w:next w:val="Normal"/>
    <w:autoRedefine/>
    <w:uiPriority w:val="39"/>
    <w:unhideWhenUsed/>
    <w:pPr>
      <w:ind w:left="960"/>
    </w:pPr>
  </w:style>
  <w:style w:type="paragraph" w:styleId="TOC6">
    <w:name w:val="toc 6"/>
    <w:basedOn w:val="Normal"/>
    <w:next w:val="Normal"/>
    <w:autoRedefine/>
    <w:uiPriority w:val="39"/>
    <w:unhideWhenUsed/>
    <w:pPr>
      <w:spacing w:before="0" w:after="100"/>
      <w:ind w:left="1100"/>
    </w:pPr>
    <w:rPr>
      <w:rFonts w:ascii="Calibri" w:eastAsia="MS Mincho" w:hAnsi="Calibri"/>
      <w:sz w:val="22"/>
    </w:rPr>
  </w:style>
  <w:style w:type="paragraph" w:styleId="TOC7">
    <w:name w:val="toc 7"/>
    <w:basedOn w:val="Normal"/>
    <w:next w:val="Normal"/>
    <w:autoRedefine/>
    <w:uiPriority w:val="39"/>
    <w:unhideWhenUsed/>
    <w:pPr>
      <w:spacing w:before="0" w:after="100"/>
      <w:ind w:left="1320"/>
    </w:pPr>
    <w:rPr>
      <w:rFonts w:ascii="Calibri" w:eastAsia="MS Mincho" w:hAnsi="Calibri"/>
      <w:sz w:val="22"/>
    </w:rPr>
  </w:style>
  <w:style w:type="paragraph" w:styleId="TOC8">
    <w:name w:val="toc 8"/>
    <w:basedOn w:val="Normal"/>
    <w:next w:val="Normal"/>
    <w:autoRedefine/>
    <w:uiPriority w:val="39"/>
    <w:unhideWhenUsed/>
    <w:pPr>
      <w:spacing w:before="0" w:after="100"/>
      <w:ind w:left="1540"/>
    </w:pPr>
    <w:rPr>
      <w:rFonts w:ascii="Calibri" w:eastAsia="MS Mincho" w:hAnsi="Calibri"/>
      <w:sz w:val="22"/>
    </w:rPr>
  </w:style>
  <w:style w:type="paragraph" w:styleId="TOC9">
    <w:name w:val="toc 9"/>
    <w:basedOn w:val="Normal"/>
    <w:next w:val="Normal"/>
    <w:autoRedefine/>
    <w:uiPriority w:val="39"/>
    <w:unhideWhenUsed/>
    <w:pPr>
      <w:spacing w:before="0" w:after="100"/>
      <w:ind w:left="1760"/>
    </w:pPr>
    <w:rPr>
      <w:rFonts w:ascii="Calibri" w:eastAsia="MS Mincho" w:hAnsi="Calibri"/>
      <w:sz w:val="22"/>
    </w:rPr>
  </w:style>
  <w:style w:type="paragraph" w:styleId="Title">
    <w:name w:val="Title"/>
    <w:basedOn w:val="Normal"/>
    <w:next w:val="Normal"/>
    <w:link w:val="TitleChar"/>
    <w:uiPriority w:val="10"/>
    <w:qFormat/>
    <w:pPr>
      <w:spacing w:before="240"/>
      <w:jc w:val="center"/>
      <w:outlineLvl w:val="0"/>
    </w:pPr>
    <w:rPr>
      <w:rFonts w:eastAsia="MS Gothic"/>
      <w:b/>
      <w:bCs/>
      <w:kern w:val="28"/>
      <w:sz w:val="32"/>
      <w:szCs w:val="32"/>
    </w:rPr>
  </w:style>
  <w:style w:type="character" w:customStyle="1" w:styleId="TitleChar">
    <w:name w:val="Title Char"/>
    <w:link w:val="Title"/>
    <w:uiPriority w:val="10"/>
    <w:rPr>
      <w:rFonts w:ascii="Times New Roman" w:eastAsia="MS Gothic" w:hAnsi="Times New Roman"/>
      <w:b/>
      <w:bCs/>
      <w:kern w:val="28"/>
      <w:sz w:val="32"/>
      <w:szCs w:val="32"/>
      <w:lang w:eastAsia="ro-RO"/>
    </w:rPr>
  </w:style>
  <w:style w:type="paragraph" w:styleId="Subtitle">
    <w:name w:val="Subtitle"/>
    <w:basedOn w:val="Normal"/>
    <w:next w:val="Normal"/>
    <w:link w:val="SubtitleChar"/>
    <w:uiPriority w:val="11"/>
    <w:qFormat/>
    <w:pPr>
      <w:outlineLvl w:val="1"/>
    </w:pPr>
    <w:rPr>
      <w:rFonts w:eastAsia="MS Gothic"/>
      <w:b/>
      <w:sz w:val="28"/>
      <w:szCs w:val="24"/>
    </w:rPr>
  </w:style>
  <w:style w:type="character" w:customStyle="1" w:styleId="SubtitleChar">
    <w:name w:val="Subtitle Char"/>
    <w:link w:val="Subtitle"/>
    <w:uiPriority w:val="11"/>
    <w:rPr>
      <w:rFonts w:ascii="Times New Roman" w:eastAsia="MS Gothic" w:hAnsi="Times New Roman"/>
      <w:b/>
      <w:sz w:val="28"/>
      <w:szCs w:val="24"/>
      <w:lang w:eastAsia="ro-RO"/>
    </w:rPr>
  </w:style>
  <w:style w:type="paragraph" w:customStyle="1" w:styleId="s2">
    <w:name w:val="s2"/>
    <w:basedOn w:val="Normal"/>
    <w:pPr>
      <w:spacing w:before="100" w:beforeAutospacing="1" w:after="100" w:afterAutospacing="1" w:line="240" w:lineRule="auto"/>
    </w:pPr>
    <w:rPr>
      <w:szCs w:val="24"/>
    </w:rPr>
  </w:style>
  <w:style w:type="character" w:customStyle="1" w:styleId="bumpedfont20">
    <w:name w:val="bumpedfont20"/>
  </w:style>
  <w:style w:type="paragraph" w:customStyle="1" w:styleId="Bulletedlist">
    <w:name w:val="Bulleted list"/>
    <w:basedOn w:val="Normal"/>
    <w:qFormat/>
    <w:pPr>
      <w:numPr>
        <w:numId w:val="12"/>
      </w:numPr>
      <w:spacing w:line="240" w:lineRule="auto"/>
      <w:jc w:val="both"/>
    </w:pPr>
    <w:rPr>
      <w:rFonts w:ascii="Arial" w:eastAsia="MS Mincho" w:hAnsi="Arial" w:cs="Arial"/>
      <w:sz w:val="22"/>
    </w:rPr>
  </w:style>
  <w:style w:type="character" w:customStyle="1" w:styleId="Heading7Char">
    <w:name w:val="Heading 7 Char"/>
    <w:link w:val="Heading7"/>
    <w:uiPriority w:val="9"/>
    <w:semiHidden/>
    <w:rPr>
      <w:rFonts w:ascii="Calibri" w:eastAsia="Times New Roman" w:hAnsi="Calibri" w:cs="Times New Roman"/>
      <w:sz w:val="24"/>
      <w:szCs w:val="24"/>
      <w:lang w:eastAsia="ro-RO"/>
    </w:rPr>
  </w:style>
  <w:style w:type="paragraph" w:customStyle="1" w:styleId="Heading4bis">
    <w:name w:val="Heading 4 bis"/>
    <w:basedOn w:val="Heading4"/>
    <w:link w:val="Heading4bisChar"/>
    <w:qFormat/>
    <w:pPr>
      <w:numPr>
        <w:ilvl w:val="2"/>
        <w:numId w:val="3"/>
      </w:numPr>
    </w:pPr>
    <w:rPr>
      <w:u w:val="none"/>
    </w:rPr>
  </w:style>
  <w:style w:type="paragraph" w:customStyle="1" w:styleId="Heading5bis">
    <w:name w:val="Heading 5 bis"/>
    <w:basedOn w:val="Heading5"/>
    <w:link w:val="Heading5bisChar"/>
    <w:qFormat/>
    <w:pPr>
      <w:numPr>
        <w:ilvl w:val="3"/>
        <w:numId w:val="3"/>
      </w:numPr>
      <w:spacing w:before="120"/>
    </w:pPr>
  </w:style>
  <w:style w:type="character" w:customStyle="1" w:styleId="Heading4bisChar">
    <w:name w:val="Heading 4 bis Char"/>
    <w:link w:val="Heading4bis"/>
    <w:rPr>
      <w:rFonts w:ascii="Times New Roman" w:eastAsia="Times New Roman" w:hAnsi="Times New Roman"/>
      <w:b/>
      <w:bCs/>
      <w:sz w:val="24"/>
      <w:szCs w:val="24"/>
      <w:lang w:eastAsia="ro-RO"/>
    </w:rPr>
  </w:style>
  <w:style w:type="character" w:styleId="FollowedHyperlink">
    <w:name w:val="FollowedHyperlink"/>
    <w:uiPriority w:val="99"/>
    <w:semiHidden/>
    <w:unhideWhenUsed/>
    <w:rPr>
      <w:color w:val="800080"/>
      <w:u w:val="single"/>
    </w:rPr>
  </w:style>
  <w:style w:type="character" w:customStyle="1" w:styleId="Heading5bisChar">
    <w:name w:val="Heading 5 bis Char"/>
    <w:link w:val="Heading5bis"/>
    <w:rPr>
      <w:rFonts w:ascii="Times New Roman" w:hAnsi="Times New Roman"/>
      <w:b/>
      <w:sz w:val="24"/>
      <w:szCs w:val="24"/>
      <w:lang w:eastAsia="ro-RO"/>
    </w:rPr>
  </w:style>
  <w:style w:type="paragraph" w:customStyle="1" w:styleId="Heading3-a">
    <w:name w:val="Heading 3-a"/>
    <w:basedOn w:val="Heading3"/>
    <w:link w:val="Heading3-aChar"/>
    <w:qFormat/>
    <w:pPr>
      <w:pBdr>
        <w:top w:val="none" w:sz="0" w:space="0" w:color="auto"/>
        <w:left w:val="none" w:sz="0" w:space="0" w:color="auto"/>
        <w:bottom w:val="none" w:sz="0" w:space="0" w:color="auto"/>
        <w:right w:val="none" w:sz="0" w:space="0" w:color="auto"/>
      </w:pBdr>
      <w:spacing w:before="360" w:after="240"/>
    </w:pPr>
  </w:style>
  <w:style w:type="numbering" w:customStyle="1" w:styleId="NoList1">
    <w:name w:val="No List1"/>
    <w:next w:val="NoList"/>
    <w:uiPriority w:val="99"/>
    <w:semiHidden/>
    <w:unhideWhenUsed/>
  </w:style>
  <w:style w:type="character" w:customStyle="1" w:styleId="Heading3-aChar">
    <w:name w:val="Heading 3-a Char"/>
    <w:basedOn w:val="Heading3Char"/>
    <w:link w:val="Heading3-a"/>
    <w:rPr>
      <w:rFonts w:ascii="Times New Roman" w:hAnsi="Times New Roman"/>
      <w:b/>
      <w:sz w:val="24"/>
      <w:szCs w:val="24"/>
      <w:lang w:eastAsia="ro-RO"/>
    </w:rPr>
  </w:style>
  <w:style w:type="table" w:customStyle="1" w:styleId="TableGrid2">
    <w:name w:val="Table Grid2"/>
    <w:basedOn w:val="TableNormal"/>
    <w:next w:val="TableGrid"/>
    <w:uiPriority w:val="59"/>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Pr>
      <w:color w:val="365F91"/>
      <w:sz w:val="22"/>
      <w:szCs w:val="22"/>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5">
    <w:name w:val="Light Shading Accent 5"/>
    <w:basedOn w:val="TableNormal"/>
    <w:uiPriority w:val="6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0" w:after="0" w:line="240" w:lineRule="auto"/>
      <w:jc w:val="both"/>
    </w:p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before="0" w:after="120" w:line="240" w:lineRule="auto"/>
      <w:jc w:val="both"/>
    </w:pPr>
  </w:style>
  <w:style w:type="character" w:customStyle="1" w:styleId="HeaderCoverPageChar">
    <w:name w:val="Header Cover Page Char"/>
    <w:link w:val="HeaderCoverPage"/>
    <w:rPr>
      <w:rFonts w:ascii="Times New Roman" w:hAnsi="Times New Roman"/>
      <w:sz w:val="24"/>
      <w:szCs w:val="22"/>
    </w:rPr>
  </w:style>
  <w:style w:type="table" w:styleId="LightShading">
    <w:name w:val="Light Shading"/>
    <w:basedOn w:val="TableNormal"/>
    <w:uiPriority w:val="6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2">
    <w:name w:val="Light Shading Accent 2"/>
    <w:basedOn w:val="TableNormal"/>
    <w:uiPriority w:val="6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6">
    <w:name w:val="Light Shading Accent 6"/>
    <w:basedOn w:val="TableNormal"/>
    <w:uiPriority w:val="6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
    <w:name w:val="Light List"/>
    <w:basedOn w:val="TableNormal"/>
    <w:uiPriority w:val="61"/>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MediumGrid2">
    <w:name w:val="Medium Grid 2"/>
    <w:basedOn w:val="TableNormal"/>
    <w:uiPriority w:val="68"/>
    <w:rPr>
      <w:rFonts w:ascii="Cambria" w:eastAsia="Times New Roman"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LightGrid-Accent1">
    <w:name w:val="Light Grid Accent 1"/>
    <w:basedOn w:val="TableNormal"/>
    <w:uiPriority w:val="62"/>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
    <w:name w:val="Light Grid"/>
    <w:basedOn w:val="TableNormal"/>
    <w:uiPriority w:val="62"/>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63"/>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Grid3">
    <w:name w:val="Medium Grid 3"/>
    <w:basedOn w:val="TableNormal"/>
    <w:uiPriority w:val="69"/>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1">
    <w:name w:val="Medium Grid 2 Accent 1"/>
    <w:basedOn w:val="TableNormal"/>
    <w:uiPriority w:val="68"/>
    <w:rPr>
      <w:rFonts w:ascii="Cambria" w:eastAsia="Times New Roman"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Shading1-Accent3">
    <w:name w:val="Medium Shading 1 Accent 3"/>
    <w:basedOn w:val="TableNormal"/>
    <w:uiPriority w:val="63"/>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LegalNumPar">
    <w:name w:val="LegalNumPar"/>
    <w:basedOn w:val="Normal"/>
    <w:pPr>
      <w:numPr>
        <w:numId w:val="28"/>
      </w:numPr>
      <w:spacing w:before="0" w:after="200" w:line="240" w:lineRule="auto"/>
    </w:pPr>
    <w:rPr>
      <w:rFonts w:asciiTheme="minorHAnsi" w:eastAsiaTheme="minorHAnsi" w:hAnsiTheme="minorHAnsi" w:cstheme="minorBidi"/>
      <w:sz w:val="22"/>
    </w:rPr>
  </w:style>
  <w:style w:type="paragraph" w:customStyle="1" w:styleId="Point0number">
    <w:name w:val="Point 0 (number)"/>
    <w:basedOn w:val="Normal"/>
    <w:pPr>
      <w:numPr>
        <w:numId w:val="34"/>
      </w:numPr>
      <w:spacing w:before="120" w:after="120" w:line="240" w:lineRule="auto"/>
      <w:jc w:val="both"/>
    </w:pPr>
    <w:rPr>
      <w:rFonts w:eastAsiaTheme="minorHAnsi"/>
    </w:rPr>
  </w:style>
  <w:style w:type="paragraph" w:customStyle="1" w:styleId="Point1number">
    <w:name w:val="Point 1 (number)"/>
    <w:basedOn w:val="Normal"/>
    <w:pPr>
      <w:numPr>
        <w:ilvl w:val="2"/>
        <w:numId w:val="34"/>
      </w:numPr>
      <w:spacing w:before="120" w:after="120" w:line="240" w:lineRule="auto"/>
      <w:jc w:val="both"/>
    </w:pPr>
    <w:rPr>
      <w:rFonts w:eastAsiaTheme="minorHAnsi"/>
    </w:rPr>
  </w:style>
  <w:style w:type="paragraph" w:customStyle="1" w:styleId="Point2number">
    <w:name w:val="Point 2 (number)"/>
    <w:basedOn w:val="Normal"/>
    <w:pPr>
      <w:numPr>
        <w:ilvl w:val="4"/>
        <w:numId w:val="34"/>
      </w:numPr>
      <w:spacing w:before="120" w:after="120" w:line="240" w:lineRule="auto"/>
      <w:jc w:val="both"/>
    </w:pPr>
    <w:rPr>
      <w:rFonts w:eastAsiaTheme="minorHAnsi"/>
    </w:rPr>
  </w:style>
  <w:style w:type="paragraph" w:customStyle="1" w:styleId="Point3number">
    <w:name w:val="Point 3 (number)"/>
    <w:basedOn w:val="Normal"/>
    <w:pPr>
      <w:numPr>
        <w:ilvl w:val="6"/>
        <w:numId w:val="34"/>
      </w:numPr>
      <w:spacing w:before="120" w:after="120" w:line="240" w:lineRule="auto"/>
      <w:jc w:val="both"/>
    </w:pPr>
    <w:rPr>
      <w:rFonts w:eastAsiaTheme="minorHAnsi"/>
    </w:rPr>
  </w:style>
  <w:style w:type="paragraph" w:customStyle="1" w:styleId="Point0letter">
    <w:name w:val="Point 0 (letter)"/>
    <w:basedOn w:val="Normal"/>
    <w:pPr>
      <w:numPr>
        <w:ilvl w:val="1"/>
        <w:numId w:val="34"/>
      </w:numPr>
      <w:spacing w:before="120" w:after="120" w:line="240" w:lineRule="auto"/>
      <w:jc w:val="both"/>
    </w:pPr>
    <w:rPr>
      <w:rFonts w:eastAsiaTheme="minorHAnsi"/>
    </w:rPr>
  </w:style>
  <w:style w:type="paragraph" w:customStyle="1" w:styleId="Point1letter">
    <w:name w:val="Point 1 (letter)"/>
    <w:basedOn w:val="Normal"/>
    <w:pPr>
      <w:numPr>
        <w:ilvl w:val="3"/>
        <w:numId w:val="34"/>
      </w:numPr>
      <w:spacing w:before="120" w:after="120" w:line="240" w:lineRule="auto"/>
      <w:jc w:val="both"/>
    </w:pPr>
    <w:rPr>
      <w:rFonts w:eastAsiaTheme="minorHAnsi"/>
    </w:rPr>
  </w:style>
  <w:style w:type="paragraph" w:customStyle="1" w:styleId="Point2letter">
    <w:name w:val="Point 2 (letter)"/>
    <w:basedOn w:val="Normal"/>
    <w:pPr>
      <w:numPr>
        <w:ilvl w:val="5"/>
        <w:numId w:val="34"/>
      </w:numPr>
      <w:spacing w:before="120" w:after="120" w:line="240" w:lineRule="auto"/>
      <w:jc w:val="both"/>
    </w:pPr>
    <w:rPr>
      <w:rFonts w:eastAsiaTheme="minorHAnsi"/>
    </w:rPr>
  </w:style>
  <w:style w:type="paragraph" w:customStyle="1" w:styleId="Point3letter">
    <w:name w:val="Point 3 (letter)"/>
    <w:basedOn w:val="Normal"/>
    <w:pPr>
      <w:numPr>
        <w:ilvl w:val="7"/>
        <w:numId w:val="34"/>
      </w:numPr>
      <w:spacing w:before="120" w:after="120" w:line="240" w:lineRule="auto"/>
      <w:jc w:val="both"/>
    </w:pPr>
    <w:rPr>
      <w:rFonts w:eastAsiaTheme="minorHAnsi"/>
    </w:rPr>
  </w:style>
  <w:style w:type="paragraph" w:customStyle="1" w:styleId="Point4letter">
    <w:name w:val="Point 4 (letter)"/>
    <w:basedOn w:val="Normal"/>
    <w:pPr>
      <w:numPr>
        <w:ilvl w:val="8"/>
        <w:numId w:val="34"/>
      </w:numPr>
      <w:spacing w:before="120" w:after="120" w:line="240" w:lineRule="auto"/>
      <w:jc w:val="both"/>
    </w:pPr>
    <w:rPr>
      <w:rFonts w:eastAsiaTheme="minorHAnsi"/>
    </w:rPr>
  </w:style>
  <w:style w:type="character" w:customStyle="1" w:styleId="Marker1">
    <w:name w:val="Marker1"/>
    <w:basedOn w:val="DefaultParagraphFont"/>
    <w:rPr>
      <w:color w:val="008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2560">
      <w:bodyDiv w:val="1"/>
      <w:marLeft w:val="0"/>
      <w:marRight w:val="0"/>
      <w:marTop w:val="0"/>
      <w:marBottom w:val="0"/>
      <w:divBdr>
        <w:top w:val="none" w:sz="0" w:space="0" w:color="auto"/>
        <w:left w:val="none" w:sz="0" w:space="0" w:color="auto"/>
        <w:bottom w:val="none" w:sz="0" w:space="0" w:color="auto"/>
        <w:right w:val="none" w:sz="0" w:space="0" w:color="auto"/>
      </w:divBdr>
    </w:div>
    <w:div w:id="24869747">
      <w:bodyDiv w:val="1"/>
      <w:marLeft w:val="0"/>
      <w:marRight w:val="0"/>
      <w:marTop w:val="0"/>
      <w:marBottom w:val="0"/>
      <w:divBdr>
        <w:top w:val="none" w:sz="0" w:space="0" w:color="auto"/>
        <w:left w:val="none" w:sz="0" w:space="0" w:color="auto"/>
        <w:bottom w:val="none" w:sz="0" w:space="0" w:color="auto"/>
        <w:right w:val="none" w:sz="0" w:space="0" w:color="auto"/>
      </w:divBdr>
    </w:div>
    <w:div w:id="136801749">
      <w:bodyDiv w:val="1"/>
      <w:marLeft w:val="0"/>
      <w:marRight w:val="0"/>
      <w:marTop w:val="0"/>
      <w:marBottom w:val="0"/>
      <w:divBdr>
        <w:top w:val="none" w:sz="0" w:space="0" w:color="auto"/>
        <w:left w:val="none" w:sz="0" w:space="0" w:color="auto"/>
        <w:bottom w:val="none" w:sz="0" w:space="0" w:color="auto"/>
        <w:right w:val="none" w:sz="0" w:space="0" w:color="auto"/>
      </w:divBdr>
    </w:div>
    <w:div w:id="185873255">
      <w:bodyDiv w:val="1"/>
      <w:marLeft w:val="0"/>
      <w:marRight w:val="0"/>
      <w:marTop w:val="0"/>
      <w:marBottom w:val="0"/>
      <w:divBdr>
        <w:top w:val="none" w:sz="0" w:space="0" w:color="auto"/>
        <w:left w:val="none" w:sz="0" w:space="0" w:color="auto"/>
        <w:bottom w:val="none" w:sz="0" w:space="0" w:color="auto"/>
        <w:right w:val="none" w:sz="0" w:space="0" w:color="auto"/>
      </w:divBdr>
    </w:div>
    <w:div w:id="221253146">
      <w:bodyDiv w:val="1"/>
      <w:marLeft w:val="0"/>
      <w:marRight w:val="0"/>
      <w:marTop w:val="0"/>
      <w:marBottom w:val="0"/>
      <w:divBdr>
        <w:top w:val="none" w:sz="0" w:space="0" w:color="auto"/>
        <w:left w:val="none" w:sz="0" w:space="0" w:color="auto"/>
        <w:bottom w:val="none" w:sz="0" w:space="0" w:color="auto"/>
        <w:right w:val="none" w:sz="0" w:space="0" w:color="auto"/>
      </w:divBdr>
    </w:div>
    <w:div w:id="232666494">
      <w:bodyDiv w:val="1"/>
      <w:marLeft w:val="0"/>
      <w:marRight w:val="0"/>
      <w:marTop w:val="0"/>
      <w:marBottom w:val="0"/>
      <w:divBdr>
        <w:top w:val="none" w:sz="0" w:space="0" w:color="auto"/>
        <w:left w:val="none" w:sz="0" w:space="0" w:color="auto"/>
        <w:bottom w:val="none" w:sz="0" w:space="0" w:color="auto"/>
        <w:right w:val="none" w:sz="0" w:space="0" w:color="auto"/>
      </w:divBdr>
    </w:div>
    <w:div w:id="243804371">
      <w:bodyDiv w:val="1"/>
      <w:marLeft w:val="0"/>
      <w:marRight w:val="0"/>
      <w:marTop w:val="0"/>
      <w:marBottom w:val="0"/>
      <w:divBdr>
        <w:top w:val="none" w:sz="0" w:space="0" w:color="auto"/>
        <w:left w:val="none" w:sz="0" w:space="0" w:color="auto"/>
        <w:bottom w:val="none" w:sz="0" w:space="0" w:color="auto"/>
        <w:right w:val="none" w:sz="0" w:space="0" w:color="auto"/>
      </w:divBdr>
    </w:div>
    <w:div w:id="279916938">
      <w:bodyDiv w:val="1"/>
      <w:marLeft w:val="0"/>
      <w:marRight w:val="0"/>
      <w:marTop w:val="0"/>
      <w:marBottom w:val="0"/>
      <w:divBdr>
        <w:top w:val="none" w:sz="0" w:space="0" w:color="auto"/>
        <w:left w:val="none" w:sz="0" w:space="0" w:color="auto"/>
        <w:bottom w:val="none" w:sz="0" w:space="0" w:color="auto"/>
        <w:right w:val="none" w:sz="0" w:space="0" w:color="auto"/>
      </w:divBdr>
    </w:div>
    <w:div w:id="363480031">
      <w:bodyDiv w:val="1"/>
      <w:marLeft w:val="0"/>
      <w:marRight w:val="0"/>
      <w:marTop w:val="0"/>
      <w:marBottom w:val="0"/>
      <w:divBdr>
        <w:top w:val="none" w:sz="0" w:space="0" w:color="auto"/>
        <w:left w:val="none" w:sz="0" w:space="0" w:color="auto"/>
        <w:bottom w:val="none" w:sz="0" w:space="0" w:color="auto"/>
        <w:right w:val="none" w:sz="0" w:space="0" w:color="auto"/>
      </w:divBdr>
    </w:div>
    <w:div w:id="537356600">
      <w:bodyDiv w:val="1"/>
      <w:marLeft w:val="0"/>
      <w:marRight w:val="0"/>
      <w:marTop w:val="0"/>
      <w:marBottom w:val="0"/>
      <w:divBdr>
        <w:top w:val="none" w:sz="0" w:space="0" w:color="auto"/>
        <w:left w:val="none" w:sz="0" w:space="0" w:color="auto"/>
        <w:bottom w:val="none" w:sz="0" w:space="0" w:color="auto"/>
        <w:right w:val="none" w:sz="0" w:space="0" w:color="auto"/>
      </w:divBdr>
    </w:div>
    <w:div w:id="539246279">
      <w:bodyDiv w:val="1"/>
      <w:marLeft w:val="0"/>
      <w:marRight w:val="0"/>
      <w:marTop w:val="0"/>
      <w:marBottom w:val="0"/>
      <w:divBdr>
        <w:top w:val="none" w:sz="0" w:space="0" w:color="auto"/>
        <w:left w:val="none" w:sz="0" w:space="0" w:color="auto"/>
        <w:bottom w:val="none" w:sz="0" w:space="0" w:color="auto"/>
        <w:right w:val="none" w:sz="0" w:space="0" w:color="auto"/>
      </w:divBdr>
    </w:div>
    <w:div w:id="571232707">
      <w:bodyDiv w:val="1"/>
      <w:marLeft w:val="0"/>
      <w:marRight w:val="0"/>
      <w:marTop w:val="0"/>
      <w:marBottom w:val="0"/>
      <w:divBdr>
        <w:top w:val="none" w:sz="0" w:space="0" w:color="auto"/>
        <w:left w:val="none" w:sz="0" w:space="0" w:color="auto"/>
        <w:bottom w:val="none" w:sz="0" w:space="0" w:color="auto"/>
        <w:right w:val="none" w:sz="0" w:space="0" w:color="auto"/>
      </w:divBdr>
    </w:div>
    <w:div w:id="572399614">
      <w:bodyDiv w:val="1"/>
      <w:marLeft w:val="0"/>
      <w:marRight w:val="0"/>
      <w:marTop w:val="0"/>
      <w:marBottom w:val="0"/>
      <w:divBdr>
        <w:top w:val="none" w:sz="0" w:space="0" w:color="auto"/>
        <w:left w:val="none" w:sz="0" w:space="0" w:color="auto"/>
        <w:bottom w:val="none" w:sz="0" w:space="0" w:color="auto"/>
        <w:right w:val="none" w:sz="0" w:space="0" w:color="auto"/>
      </w:divBdr>
    </w:div>
    <w:div w:id="584073865">
      <w:bodyDiv w:val="1"/>
      <w:marLeft w:val="0"/>
      <w:marRight w:val="0"/>
      <w:marTop w:val="0"/>
      <w:marBottom w:val="0"/>
      <w:divBdr>
        <w:top w:val="none" w:sz="0" w:space="0" w:color="auto"/>
        <w:left w:val="none" w:sz="0" w:space="0" w:color="auto"/>
        <w:bottom w:val="none" w:sz="0" w:space="0" w:color="auto"/>
        <w:right w:val="none" w:sz="0" w:space="0" w:color="auto"/>
      </w:divBdr>
    </w:div>
    <w:div w:id="609774362">
      <w:bodyDiv w:val="1"/>
      <w:marLeft w:val="0"/>
      <w:marRight w:val="0"/>
      <w:marTop w:val="0"/>
      <w:marBottom w:val="0"/>
      <w:divBdr>
        <w:top w:val="none" w:sz="0" w:space="0" w:color="auto"/>
        <w:left w:val="none" w:sz="0" w:space="0" w:color="auto"/>
        <w:bottom w:val="none" w:sz="0" w:space="0" w:color="auto"/>
        <w:right w:val="none" w:sz="0" w:space="0" w:color="auto"/>
      </w:divBdr>
    </w:div>
    <w:div w:id="625964530">
      <w:bodyDiv w:val="1"/>
      <w:marLeft w:val="0"/>
      <w:marRight w:val="0"/>
      <w:marTop w:val="0"/>
      <w:marBottom w:val="0"/>
      <w:divBdr>
        <w:top w:val="none" w:sz="0" w:space="0" w:color="auto"/>
        <w:left w:val="none" w:sz="0" w:space="0" w:color="auto"/>
        <w:bottom w:val="none" w:sz="0" w:space="0" w:color="auto"/>
        <w:right w:val="none" w:sz="0" w:space="0" w:color="auto"/>
      </w:divBdr>
    </w:div>
    <w:div w:id="637685392">
      <w:bodyDiv w:val="1"/>
      <w:marLeft w:val="0"/>
      <w:marRight w:val="0"/>
      <w:marTop w:val="0"/>
      <w:marBottom w:val="0"/>
      <w:divBdr>
        <w:top w:val="none" w:sz="0" w:space="0" w:color="auto"/>
        <w:left w:val="none" w:sz="0" w:space="0" w:color="auto"/>
        <w:bottom w:val="none" w:sz="0" w:space="0" w:color="auto"/>
        <w:right w:val="none" w:sz="0" w:space="0" w:color="auto"/>
      </w:divBdr>
    </w:div>
    <w:div w:id="707605256">
      <w:bodyDiv w:val="1"/>
      <w:marLeft w:val="0"/>
      <w:marRight w:val="0"/>
      <w:marTop w:val="0"/>
      <w:marBottom w:val="0"/>
      <w:divBdr>
        <w:top w:val="none" w:sz="0" w:space="0" w:color="auto"/>
        <w:left w:val="none" w:sz="0" w:space="0" w:color="auto"/>
        <w:bottom w:val="none" w:sz="0" w:space="0" w:color="auto"/>
        <w:right w:val="none" w:sz="0" w:space="0" w:color="auto"/>
      </w:divBdr>
    </w:div>
    <w:div w:id="713702589">
      <w:bodyDiv w:val="1"/>
      <w:marLeft w:val="0"/>
      <w:marRight w:val="0"/>
      <w:marTop w:val="0"/>
      <w:marBottom w:val="0"/>
      <w:divBdr>
        <w:top w:val="none" w:sz="0" w:space="0" w:color="auto"/>
        <w:left w:val="none" w:sz="0" w:space="0" w:color="auto"/>
        <w:bottom w:val="none" w:sz="0" w:space="0" w:color="auto"/>
        <w:right w:val="none" w:sz="0" w:space="0" w:color="auto"/>
      </w:divBdr>
    </w:div>
    <w:div w:id="717626369">
      <w:bodyDiv w:val="1"/>
      <w:marLeft w:val="0"/>
      <w:marRight w:val="0"/>
      <w:marTop w:val="0"/>
      <w:marBottom w:val="0"/>
      <w:divBdr>
        <w:top w:val="none" w:sz="0" w:space="0" w:color="auto"/>
        <w:left w:val="none" w:sz="0" w:space="0" w:color="auto"/>
        <w:bottom w:val="none" w:sz="0" w:space="0" w:color="auto"/>
        <w:right w:val="none" w:sz="0" w:space="0" w:color="auto"/>
      </w:divBdr>
    </w:div>
    <w:div w:id="728043079">
      <w:bodyDiv w:val="1"/>
      <w:marLeft w:val="0"/>
      <w:marRight w:val="0"/>
      <w:marTop w:val="0"/>
      <w:marBottom w:val="0"/>
      <w:divBdr>
        <w:top w:val="none" w:sz="0" w:space="0" w:color="auto"/>
        <w:left w:val="none" w:sz="0" w:space="0" w:color="auto"/>
        <w:bottom w:val="none" w:sz="0" w:space="0" w:color="auto"/>
        <w:right w:val="none" w:sz="0" w:space="0" w:color="auto"/>
      </w:divBdr>
    </w:div>
    <w:div w:id="729696836">
      <w:bodyDiv w:val="1"/>
      <w:marLeft w:val="0"/>
      <w:marRight w:val="0"/>
      <w:marTop w:val="0"/>
      <w:marBottom w:val="0"/>
      <w:divBdr>
        <w:top w:val="none" w:sz="0" w:space="0" w:color="auto"/>
        <w:left w:val="none" w:sz="0" w:space="0" w:color="auto"/>
        <w:bottom w:val="none" w:sz="0" w:space="0" w:color="auto"/>
        <w:right w:val="none" w:sz="0" w:space="0" w:color="auto"/>
      </w:divBdr>
    </w:div>
    <w:div w:id="831145532">
      <w:bodyDiv w:val="1"/>
      <w:marLeft w:val="0"/>
      <w:marRight w:val="0"/>
      <w:marTop w:val="0"/>
      <w:marBottom w:val="0"/>
      <w:divBdr>
        <w:top w:val="none" w:sz="0" w:space="0" w:color="auto"/>
        <w:left w:val="none" w:sz="0" w:space="0" w:color="auto"/>
        <w:bottom w:val="none" w:sz="0" w:space="0" w:color="auto"/>
        <w:right w:val="none" w:sz="0" w:space="0" w:color="auto"/>
      </w:divBdr>
    </w:div>
    <w:div w:id="832994352">
      <w:bodyDiv w:val="1"/>
      <w:marLeft w:val="0"/>
      <w:marRight w:val="0"/>
      <w:marTop w:val="0"/>
      <w:marBottom w:val="0"/>
      <w:divBdr>
        <w:top w:val="none" w:sz="0" w:space="0" w:color="auto"/>
        <w:left w:val="none" w:sz="0" w:space="0" w:color="auto"/>
        <w:bottom w:val="none" w:sz="0" w:space="0" w:color="auto"/>
        <w:right w:val="none" w:sz="0" w:space="0" w:color="auto"/>
      </w:divBdr>
    </w:div>
    <w:div w:id="867571872">
      <w:bodyDiv w:val="1"/>
      <w:marLeft w:val="0"/>
      <w:marRight w:val="0"/>
      <w:marTop w:val="0"/>
      <w:marBottom w:val="0"/>
      <w:divBdr>
        <w:top w:val="none" w:sz="0" w:space="0" w:color="auto"/>
        <w:left w:val="none" w:sz="0" w:space="0" w:color="auto"/>
        <w:bottom w:val="none" w:sz="0" w:space="0" w:color="auto"/>
        <w:right w:val="none" w:sz="0" w:space="0" w:color="auto"/>
      </w:divBdr>
    </w:div>
    <w:div w:id="933129454">
      <w:bodyDiv w:val="1"/>
      <w:marLeft w:val="0"/>
      <w:marRight w:val="0"/>
      <w:marTop w:val="0"/>
      <w:marBottom w:val="0"/>
      <w:divBdr>
        <w:top w:val="none" w:sz="0" w:space="0" w:color="auto"/>
        <w:left w:val="none" w:sz="0" w:space="0" w:color="auto"/>
        <w:bottom w:val="none" w:sz="0" w:space="0" w:color="auto"/>
        <w:right w:val="none" w:sz="0" w:space="0" w:color="auto"/>
      </w:divBdr>
    </w:div>
    <w:div w:id="1120370287">
      <w:bodyDiv w:val="1"/>
      <w:marLeft w:val="0"/>
      <w:marRight w:val="0"/>
      <w:marTop w:val="0"/>
      <w:marBottom w:val="0"/>
      <w:divBdr>
        <w:top w:val="none" w:sz="0" w:space="0" w:color="auto"/>
        <w:left w:val="none" w:sz="0" w:space="0" w:color="auto"/>
        <w:bottom w:val="none" w:sz="0" w:space="0" w:color="auto"/>
        <w:right w:val="none" w:sz="0" w:space="0" w:color="auto"/>
      </w:divBdr>
    </w:div>
    <w:div w:id="1232039228">
      <w:bodyDiv w:val="1"/>
      <w:marLeft w:val="0"/>
      <w:marRight w:val="0"/>
      <w:marTop w:val="0"/>
      <w:marBottom w:val="0"/>
      <w:divBdr>
        <w:top w:val="none" w:sz="0" w:space="0" w:color="auto"/>
        <w:left w:val="none" w:sz="0" w:space="0" w:color="auto"/>
        <w:bottom w:val="none" w:sz="0" w:space="0" w:color="auto"/>
        <w:right w:val="none" w:sz="0" w:space="0" w:color="auto"/>
      </w:divBdr>
    </w:div>
    <w:div w:id="1254318362">
      <w:bodyDiv w:val="1"/>
      <w:marLeft w:val="0"/>
      <w:marRight w:val="0"/>
      <w:marTop w:val="0"/>
      <w:marBottom w:val="0"/>
      <w:divBdr>
        <w:top w:val="none" w:sz="0" w:space="0" w:color="auto"/>
        <w:left w:val="none" w:sz="0" w:space="0" w:color="auto"/>
        <w:bottom w:val="none" w:sz="0" w:space="0" w:color="auto"/>
        <w:right w:val="none" w:sz="0" w:space="0" w:color="auto"/>
      </w:divBdr>
    </w:div>
    <w:div w:id="1255239841">
      <w:bodyDiv w:val="1"/>
      <w:marLeft w:val="0"/>
      <w:marRight w:val="0"/>
      <w:marTop w:val="0"/>
      <w:marBottom w:val="0"/>
      <w:divBdr>
        <w:top w:val="none" w:sz="0" w:space="0" w:color="auto"/>
        <w:left w:val="none" w:sz="0" w:space="0" w:color="auto"/>
        <w:bottom w:val="none" w:sz="0" w:space="0" w:color="auto"/>
        <w:right w:val="none" w:sz="0" w:space="0" w:color="auto"/>
      </w:divBdr>
    </w:div>
    <w:div w:id="1293900981">
      <w:bodyDiv w:val="1"/>
      <w:marLeft w:val="0"/>
      <w:marRight w:val="0"/>
      <w:marTop w:val="0"/>
      <w:marBottom w:val="0"/>
      <w:divBdr>
        <w:top w:val="none" w:sz="0" w:space="0" w:color="auto"/>
        <w:left w:val="none" w:sz="0" w:space="0" w:color="auto"/>
        <w:bottom w:val="none" w:sz="0" w:space="0" w:color="auto"/>
        <w:right w:val="none" w:sz="0" w:space="0" w:color="auto"/>
      </w:divBdr>
    </w:div>
    <w:div w:id="1403092739">
      <w:bodyDiv w:val="1"/>
      <w:marLeft w:val="0"/>
      <w:marRight w:val="0"/>
      <w:marTop w:val="0"/>
      <w:marBottom w:val="0"/>
      <w:divBdr>
        <w:top w:val="none" w:sz="0" w:space="0" w:color="auto"/>
        <w:left w:val="none" w:sz="0" w:space="0" w:color="auto"/>
        <w:bottom w:val="none" w:sz="0" w:space="0" w:color="auto"/>
        <w:right w:val="none" w:sz="0" w:space="0" w:color="auto"/>
      </w:divBdr>
    </w:div>
    <w:div w:id="1429084610">
      <w:bodyDiv w:val="1"/>
      <w:marLeft w:val="0"/>
      <w:marRight w:val="0"/>
      <w:marTop w:val="0"/>
      <w:marBottom w:val="0"/>
      <w:divBdr>
        <w:top w:val="none" w:sz="0" w:space="0" w:color="auto"/>
        <w:left w:val="none" w:sz="0" w:space="0" w:color="auto"/>
        <w:bottom w:val="none" w:sz="0" w:space="0" w:color="auto"/>
        <w:right w:val="none" w:sz="0" w:space="0" w:color="auto"/>
      </w:divBdr>
    </w:div>
    <w:div w:id="1484351712">
      <w:bodyDiv w:val="1"/>
      <w:marLeft w:val="0"/>
      <w:marRight w:val="0"/>
      <w:marTop w:val="0"/>
      <w:marBottom w:val="0"/>
      <w:divBdr>
        <w:top w:val="none" w:sz="0" w:space="0" w:color="auto"/>
        <w:left w:val="none" w:sz="0" w:space="0" w:color="auto"/>
        <w:bottom w:val="none" w:sz="0" w:space="0" w:color="auto"/>
        <w:right w:val="none" w:sz="0" w:space="0" w:color="auto"/>
      </w:divBdr>
    </w:div>
    <w:div w:id="1525484204">
      <w:bodyDiv w:val="1"/>
      <w:marLeft w:val="0"/>
      <w:marRight w:val="0"/>
      <w:marTop w:val="0"/>
      <w:marBottom w:val="0"/>
      <w:divBdr>
        <w:top w:val="none" w:sz="0" w:space="0" w:color="auto"/>
        <w:left w:val="none" w:sz="0" w:space="0" w:color="auto"/>
        <w:bottom w:val="none" w:sz="0" w:space="0" w:color="auto"/>
        <w:right w:val="none" w:sz="0" w:space="0" w:color="auto"/>
      </w:divBdr>
    </w:div>
    <w:div w:id="1531215293">
      <w:bodyDiv w:val="1"/>
      <w:marLeft w:val="0"/>
      <w:marRight w:val="0"/>
      <w:marTop w:val="0"/>
      <w:marBottom w:val="0"/>
      <w:divBdr>
        <w:top w:val="none" w:sz="0" w:space="0" w:color="auto"/>
        <w:left w:val="none" w:sz="0" w:space="0" w:color="auto"/>
        <w:bottom w:val="none" w:sz="0" w:space="0" w:color="auto"/>
        <w:right w:val="none" w:sz="0" w:space="0" w:color="auto"/>
      </w:divBdr>
    </w:div>
    <w:div w:id="1551333510">
      <w:bodyDiv w:val="1"/>
      <w:marLeft w:val="0"/>
      <w:marRight w:val="0"/>
      <w:marTop w:val="0"/>
      <w:marBottom w:val="0"/>
      <w:divBdr>
        <w:top w:val="none" w:sz="0" w:space="0" w:color="auto"/>
        <w:left w:val="none" w:sz="0" w:space="0" w:color="auto"/>
        <w:bottom w:val="none" w:sz="0" w:space="0" w:color="auto"/>
        <w:right w:val="none" w:sz="0" w:space="0" w:color="auto"/>
      </w:divBdr>
    </w:div>
    <w:div w:id="1594582731">
      <w:bodyDiv w:val="1"/>
      <w:marLeft w:val="0"/>
      <w:marRight w:val="0"/>
      <w:marTop w:val="0"/>
      <w:marBottom w:val="0"/>
      <w:divBdr>
        <w:top w:val="none" w:sz="0" w:space="0" w:color="auto"/>
        <w:left w:val="none" w:sz="0" w:space="0" w:color="auto"/>
        <w:bottom w:val="none" w:sz="0" w:space="0" w:color="auto"/>
        <w:right w:val="none" w:sz="0" w:space="0" w:color="auto"/>
      </w:divBdr>
    </w:div>
    <w:div w:id="1599826989">
      <w:bodyDiv w:val="1"/>
      <w:marLeft w:val="0"/>
      <w:marRight w:val="0"/>
      <w:marTop w:val="0"/>
      <w:marBottom w:val="0"/>
      <w:divBdr>
        <w:top w:val="none" w:sz="0" w:space="0" w:color="auto"/>
        <w:left w:val="none" w:sz="0" w:space="0" w:color="auto"/>
        <w:bottom w:val="none" w:sz="0" w:space="0" w:color="auto"/>
        <w:right w:val="none" w:sz="0" w:space="0" w:color="auto"/>
      </w:divBdr>
    </w:div>
    <w:div w:id="1721249191">
      <w:bodyDiv w:val="1"/>
      <w:marLeft w:val="0"/>
      <w:marRight w:val="0"/>
      <w:marTop w:val="0"/>
      <w:marBottom w:val="0"/>
      <w:divBdr>
        <w:top w:val="none" w:sz="0" w:space="0" w:color="auto"/>
        <w:left w:val="none" w:sz="0" w:space="0" w:color="auto"/>
        <w:bottom w:val="none" w:sz="0" w:space="0" w:color="auto"/>
        <w:right w:val="none" w:sz="0" w:space="0" w:color="auto"/>
      </w:divBdr>
    </w:div>
    <w:div w:id="1779715633">
      <w:bodyDiv w:val="1"/>
      <w:marLeft w:val="0"/>
      <w:marRight w:val="0"/>
      <w:marTop w:val="0"/>
      <w:marBottom w:val="0"/>
      <w:divBdr>
        <w:top w:val="none" w:sz="0" w:space="0" w:color="auto"/>
        <w:left w:val="none" w:sz="0" w:space="0" w:color="auto"/>
        <w:bottom w:val="none" w:sz="0" w:space="0" w:color="auto"/>
        <w:right w:val="none" w:sz="0" w:space="0" w:color="auto"/>
      </w:divBdr>
    </w:div>
    <w:div w:id="1802796731">
      <w:bodyDiv w:val="1"/>
      <w:marLeft w:val="0"/>
      <w:marRight w:val="0"/>
      <w:marTop w:val="0"/>
      <w:marBottom w:val="0"/>
      <w:divBdr>
        <w:top w:val="none" w:sz="0" w:space="0" w:color="auto"/>
        <w:left w:val="none" w:sz="0" w:space="0" w:color="auto"/>
        <w:bottom w:val="none" w:sz="0" w:space="0" w:color="auto"/>
        <w:right w:val="none" w:sz="0" w:space="0" w:color="auto"/>
      </w:divBdr>
    </w:div>
    <w:div w:id="1839542248">
      <w:bodyDiv w:val="1"/>
      <w:marLeft w:val="0"/>
      <w:marRight w:val="0"/>
      <w:marTop w:val="0"/>
      <w:marBottom w:val="0"/>
      <w:divBdr>
        <w:top w:val="none" w:sz="0" w:space="0" w:color="auto"/>
        <w:left w:val="none" w:sz="0" w:space="0" w:color="auto"/>
        <w:bottom w:val="none" w:sz="0" w:space="0" w:color="auto"/>
        <w:right w:val="none" w:sz="0" w:space="0" w:color="auto"/>
      </w:divBdr>
    </w:div>
    <w:div w:id="1881896156">
      <w:bodyDiv w:val="1"/>
      <w:marLeft w:val="0"/>
      <w:marRight w:val="0"/>
      <w:marTop w:val="0"/>
      <w:marBottom w:val="0"/>
      <w:divBdr>
        <w:top w:val="none" w:sz="0" w:space="0" w:color="auto"/>
        <w:left w:val="none" w:sz="0" w:space="0" w:color="auto"/>
        <w:bottom w:val="none" w:sz="0" w:space="0" w:color="auto"/>
        <w:right w:val="none" w:sz="0" w:space="0" w:color="auto"/>
      </w:divBdr>
    </w:div>
    <w:div w:id="1901286678">
      <w:bodyDiv w:val="1"/>
      <w:marLeft w:val="0"/>
      <w:marRight w:val="0"/>
      <w:marTop w:val="0"/>
      <w:marBottom w:val="0"/>
      <w:divBdr>
        <w:top w:val="none" w:sz="0" w:space="0" w:color="auto"/>
        <w:left w:val="none" w:sz="0" w:space="0" w:color="auto"/>
        <w:bottom w:val="none" w:sz="0" w:space="0" w:color="auto"/>
        <w:right w:val="none" w:sz="0" w:space="0" w:color="auto"/>
      </w:divBdr>
    </w:div>
    <w:div w:id="2023238349">
      <w:bodyDiv w:val="1"/>
      <w:marLeft w:val="0"/>
      <w:marRight w:val="0"/>
      <w:marTop w:val="0"/>
      <w:marBottom w:val="0"/>
      <w:divBdr>
        <w:top w:val="none" w:sz="0" w:space="0" w:color="auto"/>
        <w:left w:val="none" w:sz="0" w:space="0" w:color="auto"/>
        <w:bottom w:val="none" w:sz="0" w:space="0" w:color="auto"/>
        <w:right w:val="none" w:sz="0" w:space="0" w:color="auto"/>
      </w:divBdr>
    </w:div>
    <w:div w:id="2061973276">
      <w:bodyDiv w:val="1"/>
      <w:marLeft w:val="0"/>
      <w:marRight w:val="0"/>
      <w:marTop w:val="0"/>
      <w:marBottom w:val="0"/>
      <w:divBdr>
        <w:top w:val="none" w:sz="0" w:space="0" w:color="auto"/>
        <w:left w:val="none" w:sz="0" w:space="0" w:color="auto"/>
        <w:bottom w:val="none" w:sz="0" w:space="0" w:color="auto"/>
        <w:right w:val="none" w:sz="0" w:space="0" w:color="auto"/>
      </w:divBdr>
      <w:divsChild>
        <w:div w:id="1078939560">
          <w:marLeft w:val="0"/>
          <w:marRight w:val="0"/>
          <w:marTop w:val="0"/>
          <w:marBottom w:val="0"/>
          <w:divBdr>
            <w:top w:val="none" w:sz="0" w:space="0" w:color="auto"/>
            <w:left w:val="none" w:sz="0" w:space="0" w:color="auto"/>
            <w:bottom w:val="none" w:sz="0" w:space="0" w:color="auto"/>
            <w:right w:val="none" w:sz="0" w:space="0" w:color="auto"/>
          </w:divBdr>
          <w:divsChild>
            <w:div w:id="2042851054">
              <w:marLeft w:val="0"/>
              <w:marRight w:val="0"/>
              <w:marTop w:val="0"/>
              <w:marBottom w:val="0"/>
              <w:divBdr>
                <w:top w:val="none" w:sz="0" w:space="0" w:color="auto"/>
                <w:left w:val="none" w:sz="0" w:space="0" w:color="auto"/>
                <w:bottom w:val="none" w:sz="0" w:space="0" w:color="auto"/>
                <w:right w:val="none" w:sz="0" w:space="0" w:color="auto"/>
              </w:divBdr>
              <w:divsChild>
                <w:div w:id="522934862">
                  <w:marLeft w:val="0"/>
                  <w:marRight w:val="0"/>
                  <w:marTop w:val="0"/>
                  <w:marBottom w:val="0"/>
                  <w:divBdr>
                    <w:top w:val="none" w:sz="0" w:space="0" w:color="auto"/>
                    <w:left w:val="none" w:sz="0" w:space="0" w:color="auto"/>
                    <w:bottom w:val="none" w:sz="0" w:space="0" w:color="auto"/>
                    <w:right w:val="none" w:sz="0" w:space="0" w:color="auto"/>
                  </w:divBdr>
                  <w:divsChild>
                    <w:div w:id="1536042047">
                      <w:marLeft w:val="0"/>
                      <w:marRight w:val="0"/>
                      <w:marTop w:val="0"/>
                      <w:marBottom w:val="0"/>
                      <w:divBdr>
                        <w:top w:val="none" w:sz="0" w:space="0" w:color="auto"/>
                        <w:left w:val="none" w:sz="0" w:space="0" w:color="auto"/>
                        <w:bottom w:val="none" w:sz="0" w:space="0" w:color="auto"/>
                        <w:right w:val="none" w:sz="0" w:space="0" w:color="auto"/>
                      </w:divBdr>
                      <w:divsChild>
                        <w:div w:id="30889278">
                          <w:marLeft w:val="0"/>
                          <w:marRight w:val="0"/>
                          <w:marTop w:val="0"/>
                          <w:marBottom w:val="0"/>
                          <w:divBdr>
                            <w:top w:val="none" w:sz="0" w:space="0" w:color="auto"/>
                            <w:left w:val="none" w:sz="0" w:space="0" w:color="auto"/>
                            <w:bottom w:val="none" w:sz="0" w:space="0" w:color="auto"/>
                            <w:right w:val="none" w:sz="0" w:space="0" w:color="auto"/>
                          </w:divBdr>
                          <w:divsChild>
                            <w:div w:id="493956986">
                              <w:marLeft w:val="0"/>
                              <w:marRight w:val="0"/>
                              <w:marTop w:val="0"/>
                              <w:marBottom w:val="0"/>
                              <w:divBdr>
                                <w:top w:val="none" w:sz="0" w:space="0" w:color="auto"/>
                                <w:left w:val="none" w:sz="0" w:space="0" w:color="auto"/>
                                <w:bottom w:val="none" w:sz="0" w:space="0" w:color="auto"/>
                                <w:right w:val="none" w:sz="0" w:space="0" w:color="auto"/>
                              </w:divBdr>
                              <w:divsChild>
                                <w:div w:id="946503519">
                                  <w:marLeft w:val="0"/>
                                  <w:marRight w:val="0"/>
                                  <w:marTop w:val="0"/>
                                  <w:marBottom w:val="0"/>
                                  <w:divBdr>
                                    <w:top w:val="none" w:sz="0" w:space="0" w:color="auto"/>
                                    <w:left w:val="none" w:sz="0" w:space="0" w:color="auto"/>
                                    <w:bottom w:val="none" w:sz="0" w:space="0" w:color="auto"/>
                                    <w:right w:val="none" w:sz="0" w:space="0" w:color="auto"/>
                                  </w:divBdr>
                                  <w:divsChild>
                                    <w:div w:id="138406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163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59" Type="http://schemas.microsoft.com/office/2011/relationships/people" Target="peop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footer" Target="footer4.xml"/><Relationship Id="rId6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133B1D-3839-483A-B508-C88260C1B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4996</Words>
  <Characters>27979</Characters>
  <Application>Microsoft Office Word</Application>
  <DocSecurity>0</DocSecurity>
  <Lines>423</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32833</CharactersWithSpaces>
  <SharedDoc>false</SharedDoc>
  <HLinks>
    <vt:vector size="60" baseType="variant">
      <vt:variant>
        <vt:i4>1376316</vt:i4>
      </vt:variant>
      <vt:variant>
        <vt:i4>59</vt:i4>
      </vt:variant>
      <vt:variant>
        <vt:i4>0</vt:i4>
      </vt:variant>
      <vt:variant>
        <vt:i4>5</vt:i4>
      </vt:variant>
      <vt:variant>
        <vt:lpwstr/>
      </vt:variant>
      <vt:variant>
        <vt:lpwstr>_Toc420402860</vt:lpwstr>
      </vt:variant>
      <vt:variant>
        <vt:i4>1441852</vt:i4>
      </vt:variant>
      <vt:variant>
        <vt:i4>53</vt:i4>
      </vt:variant>
      <vt:variant>
        <vt:i4>0</vt:i4>
      </vt:variant>
      <vt:variant>
        <vt:i4>5</vt:i4>
      </vt:variant>
      <vt:variant>
        <vt:lpwstr/>
      </vt:variant>
      <vt:variant>
        <vt:lpwstr>_Toc420402859</vt:lpwstr>
      </vt:variant>
      <vt:variant>
        <vt:i4>1441852</vt:i4>
      </vt:variant>
      <vt:variant>
        <vt:i4>47</vt:i4>
      </vt:variant>
      <vt:variant>
        <vt:i4>0</vt:i4>
      </vt:variant>
      <vt:variant>
        <vt:i4>5</vt:i4>
      </vt:variant>
      <vt:variant>
        <vt:lpwstr/>
      </vt:variant>
      <vt:variant>
        <vt:lpwstr>_Toc420402858</vt:lpwstr>
      </vt:variant>
      <vt:variant>
        <vt:i4>1441852</vt:i4>
      </vt:variant>
      <vt:variant>
        <vt:i4>41</vt:i4>
      </vt:variant>
      <vt:variant>
        <vt:i4>0</vt:i4>
      </vt:variant>
      <vt:variant>
        <vt:i4>5</vt:i4>
      </vt:variant>
      <vt:variant>
        <vt:lpwstr/>
      </vt:variant>
      <vt:variant>
        <vt:lpwstr>_Toc420402855</vt:lpwstr>
      </vt:variant>
      <vt:variant>
        <vt:i4>1441852</vt:i4>
      </vt:variant>
      <vt:variant>
        <vt:i4>35</vt:i4>
      </vt:variant>
      <vt:variant>
        <vt:i4>0</vt:i4>
      </vt:variant>
      <vt:variant>
        <vt:i4>5</vt:i4>
      </vt:variant>
      <vt:variant>
        <vt:lpwstr/>
      </vt:variant>
      <vt:variant>
        <vt:lpwstr>_Toc420402854</vt:lpwstr>
      </vt:variant>
      <vt:variant>
        <vt:i4>1441852</vt:i4>
      </vt:variant>
      <vt:variant>
        <vt:i4>29</vt:i4>
      </vt:variant>
      <vt:variant>
        <vt:i4>0</vt:i4>
      </vt:variant>
      <vt:variant>
        <vt:i4>5</vt:i4>
      </vt:variant>
      <vt:variant>
        <vt:lpwstr/>
      </vt:variant>
      <vt:variant>
        <vt:lpwstr>_Toc420402853</vt:lpwstr>
      </vt:variant>
      <vt:variant>
        <vt:i4>1441852</vt:i4>
      </vt:variant>
      <vt:variant>
        <vt:i4>23</vt:i4>
      </vt:variant>
      <vt:variant>
        <vt:i4>0</vt:i4>
      </vt:variant>
      <vt:variant>
        <vt:i4>5</vt:i4>
      </vt:variant>
      <vt:variant>
        <vt:lpwstr/>
      </vt:variant>
      <vt:variant>
        <vt:lpwstr>_Toc420402852</vt:lpwstr>
      </vt:variant>
      <vt:variant>
        <vt:i4>1441852</vt:i4>
      </vt:variant>
      <vt:variant>
        <vt:i4>17</vt:i4>
      </vt:variant>
      <vt:variant>
        <vt:i4>0</vt:i4>
      </vt:variant>
      <vt:variant>
        <vt:i4>5</vt:i4>
      </vt:variant>
      <vt:variant>
        <vt:lpwstr/>
      </vt:variant>
      <vt:variant>
        <vt:lpwstr>_Toc420402851</vt:lpwstr>
      </vt:variant>
      <vt:variant>
        <vt:i4>1441852</vt:i4>
      </vt:variant>
      <vt:variant>
        <vt:i4>11</vt:i4>
      </vt:variant>
      <vt:variant>
        <vt:i4>0</vt:i4>
      </vt:variant>
      <vt:variant>
        <vt:i4>5</vt:i4>
      </vt:variant>
      <vt:variant>
        <vt:lpwstr/>
      </vt:variant>
      <vt:variant>
        <vt:lpwstr>_Toc420402850</vt:lpwstr>
      </vt:variant>
      <vt:variant>
        <vt:i4>1507388</vt:i4>
      </vt:variant>
      <vt:variant>
        <vt:i4>5</vt:i4>
      </vt:variant>
      <vt:variant>
        <vt:i4>0</vt:i4>
      </vt:variant>
      <vt:variant>
        <vt:i4>5</vt:i4>
      </vt:variant>
      <vt:variant>
        <vt:lpwstr/>
      </vt:variant>
      <vt:variant>
        <vt:lpwstr>_Toc420402849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2016-09-12T10:38:00Z</cp:lastPrinted>
  <dcterms:created xsi:type="dcterms:W3CDTF">2016-12-01T10:26:00Z</dcterms:created>
  <dcterms:modified xsi:type="dcterms:W3CDTF">2017-01-09T08:54:00Z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y name="OP_sanitized" fmtid="{D5CDD505-2E9C-101B-9397-08002B2CF9AE}" pid="6">
    <vt:lpwstr>True</vt:lpwstr>
  </property>
</Properties>
</file>