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10B4" w:rsidRDefault="004310B4">
      <w:pPr>
        <w:pStyle w:val="Pagedecouverture"/>
        <w:rPr>
          <w:noProof/>
          <w:lang w:val="ro-RO"/>
        </w:rPr>
      </w:pPr>
      <w:bookmarkStart w:id="0" w:name="LW_BM_COVERPAGE"/>
      <w:r>
        <w:rPr>
          <w:noProof/>
          <w:lang w:val="ro-R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6D3BA89DB07490B9B51A6F5AF5635CD" style="width:450.75pt;height:321pt">
            <v:imagedata r:id="rId14" o:title=""/>
          </v:shape>
        </w:pict>
      </w:r>
    </w:p>
    <w:bookmarkEnd w:id="0"/>
    <w:p w:rsidR="004310B4" w:rsidRDefault="004310B4">
      <w:pPr>
        <w:rPr>
          <w:noProof/>
          <w:lang w:val="ro-RO" w:eastAsia="en-GB"/>
        </w:rPr>
        <w:sectPr w:rsidR="004310B4">
          <w:headerReference w:type="even" r:id="rId15"/>
          <w:headerReference w:type="default" r:id="rId16"/>
          <w:footerReference w:type="even" r:id="rId17"/>
          <w:footerReference w:type="default" r:id="rId18"/>
          <w:headerReference w:type="first" r:id="rId19"/>
          <w:footerReference w:type="first" r:id="rId20"/>
          <w:footnotePr>
            <w:numFmt w:val="chicago"/>
          </w:footnotePr>
          <w:pgSz w:w="11906" w:h="16838"/>
          <w:pgMar w:top="1134" w:right="1417" w:bottom="1134" w:left="1417" w:header="709" w:footer="709" w:gutter="0"/>
          <w:pgNumType w:fmt="lowerRoman" w:start="1"/>
          <w:cols w:space="720"/>
          <w:docGrid w:linePitch="326"/>
        </w:sectPr>
      </w:pPr>
    </w:p>
    <w:p w:rsidR="004310B4" w:rsidRDefault="004310B4">
      <w:pPr>
        <w:pStyle w:val="TOC1"/>
        <w:tabs>
          <w:tab w:val="left" w:pos="480"/>
          <w:tab w:val="right" w:leader="dot" w:pos="8608"/>
        </w:tabs>
        <w:rPr>
          <w:rFonts w:cs="Times New Roman"/>
          <w:b w:val="0"/>
          <w:bCs w:val="0"/>
          <w:i w:val="0"/>
          <w:iCs w:val="0"/>
          <w:noProof/>
          <w:sz w:val="22"/>
          <w:szCs w:val="22"/>
          <w:lang w:val="ro-RO" w:eastAsia="en-GB"/>
        </w:rPr>
      </w:pPr>
      <w:r>
        <w:rPr>
          <w:rFonts w:ascii="Times New Roman" w:hAnsi="Times New Roman" w:cs="Times New Roman"/>
          <w:noProof/>
          <w:lang w:val="ro-RO"/>
        </w:rPr>
        <w:fldChar w:fldCharType="begin"/>
      </w:r>
      <w:r>
        <w:rPr>
          <w:rFonts w:ascii="Times New Roman" w:hAnsi="Times New Roman" w:cs="Times New Roman"/>
          <w:noProof/>
          <w:lang w:val="ro-RO"/>
        </w:rPr>
        <w:instrText xml:space="preserve"> TOC \o "1-3" \h \z \u </w:instrText>
      </w:r>
      <w:r>
        <w:rPr>
          <w:rFonts w:ascii="Times New Roman" w:hAnsi="Times New Roman" w:cs="Times New Roman"/>
          <w:noProof/>
          <w:lang w:val="ro-RO"/>
        </w:rPr>
        <w:fldChar w:fldCharType="separate"/>
      </w:r>
      <w:hyperlink w:anchor="_Toc458419149" w:history="1">
        <w:r>
          <w:rPr>
            <w:rStyle w:val="Hyperlink"/>
            <w:noProof/>
            <w:lang w:val="ro-RO"/>
          </w:rPr>
          <w:t>1.</w:t>
        </w:r>
        <w:r>
          <w:rPr>
            <w:rFonts w:cs="Times New Roman"/>
            <w:b w:val="0"/>
            <w:bCs w:val="0"/>
            <w:i w:val="0"/>
            <w:iCs w:val="0"/>
            <w:noProof/>
            <w:sz w:val="22"/>
            <w:szCs w:val="22"/>
            <w:lang w:val="ro-RO" w:eastAsia="en-GB"/>
          </w:rPr>
          <w:tab/>
        </w:r>
        <w:r>
          <w:rPr>
            <w:rStyle w:val="Hyperlink"/>
            <w:noProof/>
            <w:lang w:val="ro-RO"/>
          </w:rPr>
          <w:t>Introducere</w:t>
        </w:r>
        <w:r>
          <w:rPr>
            <w:noProof/>
            <w:webHidden/>
            <w:lang w:val="ro-RO"/>
          </w:rPr>
          <w:tab/>
        </w:r>
        <w:r>
          <w:rPr>
            <w:noProof/>
            <w:webHidden/>
            <w:lang w:val="ro-RO"/>
          </w:rPr>
          <w:fldChar w:fldCharType="begin"/>
        </w:r>
        <w:r>
          <w:rPr>
            <w:noProof/>
            <w:webHidden/>
            <w:lang w:val="ro-RO"/>
          </w:rPr>
          <w:instrText xml:space="preserve"> PAGEREF _Toc458419149 \h </w:instrText>
        </w:r>
        <w:r>
          <w:rPr>
            <w:noProof/>
            <w:webHidden/>
            <w:lang w:val="ro-RO"/>
          </w:rPr>
        </w:r>
        <w:r>
          <w:rPr>
            <w:noProof/>
            <w:webHidden/>
            <w:lang w:val="ro-RO"/>
          </w:rPr>
          <w:fldChar w:fldCharType="separate"/>
        </w:r>
        <w:r>
          <w:rPr>
            <w:noProof/>
            <w:webHidden/>
            <w:lang w:val="ro-RO"/>
          </w:rPr>
          <w:t>3</w:t>
        </w:r>
        <w:r>
          <w:rPr>
            <w:noProof/>
            <w:webHidden/>
            <w:lang w:val="ro-RO"/>
          </w:rPr>
          <w:fldChar w:fldCharType="end"/>
        </w:r>
      </w:hyperlink>
    </w:p>
    <w:p w:rsidR="004310B4" w:rsidRDefault="004310B4">
      <w:pPr>
        <w:pStyle w:val="TOC1"/>
        <w:tabs>
          <w:tab w:val="left" w:pos="480"/>
          <w:tab w:val="right" w:leader="dot" w:pos="8608"/>
        </w:tabs>
        <w:rPr>
          <w:rFonts w:cs="Times New Roman"/>
          <w:b w:val="0"/>
          <w:bCs w:val="0"/>
          <w:i w:val="0"/>
          <w:iCs w:val="0"/>
          <w:noProof/>
          <w:sz w:val="22"/>
          <w:szCs w:val="22"/>
          <w:lang w:val="ro-RO" w:eastAsia="en-GB"/>
        </w:rPr>
      </w:pPr>
      <w:hyperlink w:anchor="_Toc458419150" w:history="1">
        <w:r>
          <w:rPr>
            <w:rStyle w:val="Hyperlink"/>
            <w:noProof/>
            <w:lang w:val="ro-RO"/>
          </w:rPr>
          <w:t>2.</w:t>
        </w:r>
        <w:r>
          <w:rPr>
            <w:rFonts w:cs="Times New Roman"/>
            <w:b w:val="0"/>
            <w:bCs w:val="0"/>
            <w:i w:val="0"/>
            <w:iCs w:val="0"/>
            <w:noProof/>
            <w:sz w:val="22"/>
            <w:szCs w:val="22"/>
            <w:lang w:val="ro-RO" w:eastAsia="en-GB"/>
          </w:rPr>
          <w:tab/>
        </w:r>
        <w:r>
          <w:rPr>
            <w:rStyle w:val="Hyperlink"/>
            <w:noProof/>
            <w:lang w:val="ro-RO"/>
          </w:rPr>
          <w:t>Misiunea IAS: obiectivele de independență, obiectivitate și răspundere și domeniul de aplicare a raportului</w:t>
        </w:r>
        <w:r>
          <w:rPr>
            <w:noProof/>
            <w:webHidden/>
            <w:lang w:val="ro-RO"/>
          </w:rPr>
          <w:tab/>
        </w:r>
        <w:r>
          <w:rPr>
            <w:noProof/>
            <w:webHidden/>
            <w:lang w:val="ro-RO"/>
          </w:rPr>
          <w:fldChar w:fldCharType="begin"/>
        </w:r>
        <w:r>
          <w:rPr>
            <w:noProof/>
            <w:webHidden/>
            <w:lang w:val="ro-RO"/>
          </w:rPr>
          <w:instrText xml:space="preserve"> PAGEREF _Toc458419150 \h </w:instrText>
        </w:r>
        <w:r>
          <w:rPr>
            <w:noProof/>
            <w:webHidden/>
            <w:lang w:val="ro-RO"/>
          </w:rPr>
        </w:r>
        <w:r>
          <w:rPr>
            <w:noProof/>
            <w:webHidden/>
            <w:lang w:val="ro-RO"/>
          </w:rPr>
          <w:fldChar w:fldCharType="separate"/>
        </w:r>
        <w:r>
          <w:rPr>
            <w:noProof/>
            <w:webHidden/>
            <w:lang w:val="ro-RO"/>
          </w:rPr>
          <w:t>3</w:t>
        </w:r>
        <w:r>
          <w:rPr>
            <w:noProof/>
            <w:webHidden/>
            <w:lang w:val="ro-RO"/>
          </w:rPr>
          <w:fldChar w:fldCharType="end"/>
        </w:r>
      </w:hyperlink>
    </w:p>
    <w:p w:rsidR="004310B4" w:rsidRDefault="004310B4">
      <w:pPr>
        <w:pStyle w:val="TOC1"/>
        <w:tabs>
          <w:tab w:val="left" w:pos="480"/>
          <w:tab w:val="right" w:leader="dot" w:pos="8608"/>
        </w:tabs>
        <w:rPr>
          <w:rFonts w:cs="Times New Roman"/>
          <w:b w:val="0"/>
          <w:bCs w:val="0"/>
          <w:i w:val="0"/>
          <w:iCs w:val="0"/>
          <w:noProof/>
          <w:sz w:val="22"/>
          <w:szCs w:val="22"/>
          <w:lang w:val="ro-RO" w:eastAsia="en-GB"/>
        </w:rPr>
      </w:pPr>
      <w:hyperlink w:anchor="_Toc458419151" w:history="1">
        <w:r>
          <w:rPr>
            <w:rStyle w:val="Hyperlink"/>
            <w:noProof/>
            <w:lang w:val="ro-RO"/>
          </w:rPr>
          <w:t>3.</w:t>
        </w:r>
        <w:r>
          <w:rPr>
            <w:rFonts w:cs="Times New Roman"/>
            <w:b w:val="0"/>
            <w:bCs w:val="0"/>
            <w:i w:val="0"/>
            <w:iCs w:val="0"/>
            <w:noProof/>
            <w:sz w:val="22"/>
            <w:szCs w:val="22"/>
            <w:lang w:val="ro-RO" w:eastAsia="en-GB"/>
          </w:rPr>
          <w:tab/>
        </w:r>
        <w:r>
          <w:rPr>
            <w:rStyle w:val="Hyperlink"/>
            <w:noProof/>
            <w:lang w:val="ro-RO"/>
          </w:rPr>
          <w:t>Prezentare generală a activității de audit</w:t>
        </w:r>
        <w:r>
          <w:rPr>
            <w:noProof/>
            <w:webHidden/>
            <w:lang w:val="ro-RO"/>
          </w:rPr>
          <w:tab/>
        </w:r>
        <w:r>
          <w:rPr>
            <w:noProof/>
            <w:webHidden/>
            <w:lang w:val="ro-RO"/>
          </w:rPr>
          <w:fldChar w:fldCharType="begin"/>
        </w:r>
        <w:r>
          <w:rPr>
            <w:noProof/>
            <w:webHidden/>
            <w:lang w:val="ro-RO"/>
          </w:rPr>
          <w:instrText xml:space="preserve"> PAGEREF _Toc458419151 \h </w:instrText>
        </w:r>
        <w:r>
          <w:rPr>
            <w:noProof/>
            <w:webHidden/>
            <w:lang w:val="ro-RO"/>
          </w:rPr>
        </w:r>
        <w:r>
          <w:rPr>
            <w:noProof/>
            <w:webHidden/>
            <w:lang w:val="ro-RO"/>
          </w:rPr>
          <w:fldChar w:fldCharType="separate"/>
        </w:r>
        <w:r>
          <w:rPr>
            <w:noProof/>
            <w:webHidden/>
            <w:lang w:val="ro-RO"/>
          </w:rPr>
          <w:t>4</w:t>
        </w:r>
        <w:r>
          <w:rPr>
            <w:noProof/>
            <w:webHidden/>
            <w:lang w:val="ro-RO"/>
          </w:rPr>
          <w:fldChar w:fldCharType="end"/>
        </w:r>
      </w:hyperlink>
    </w:p>
    <w:p w:rsidR="004310B4" w:rsidRDefault="004310B4">
      <w:pPr>
        <w:pStyle w:val="TOC2"/>
        <w:tabs>
          <w:tab w:val="left" w:pos="960"/>
          <w:tab w:val="right" w:leader="dot" w:pos="8608"/>
        </w:tabs>
        <w:rPr>
          <w:rFonts w:cs="Times New Roman"/>
          <w:b w:val="0"/>
          <w:bCs w:val="0"/>
          <w:noProof/>
          <w:lang w:val="ro-RO" w:eastAsia="en-GB"/>
        </w:rPr>
      </w:pPr>
      <w:hyperlink w:anchor="_Toc458419152" w:history="1">
        <w:r>
          <w:rPr>
            <w:rStyle w:val="Hyperlink"/>
            <w:noProof/>
            <w:lang w:val="ro-RO"/>
          </w:rPr>
          <w:t>3.1.</w:t>
        </w:r>
        <w:r>
          <w:rPr>
            <w:rFonts w:cs="Times New Roman"/>
            <w:b w:val="0"/>
            <w:bCs w:val="0"/>
            <w:noProof/>
            <w:lang w:val="ro-RO" w:eastAsia="en-GB"/>
          </w:rPr>
          <w:tab/>
        </w:r>
        <w:r>
          <w:rPr>
            <w:rStyle w:val="Hyperlink"/>
            <w:noProof/>
            <w:lang w:val="ro-RO"/>
          </w:rPr>
          <w:t>Punerea în aplicare a planului de audit pentru anul 2015</w:t>
        </w:r>
        <w:r>
          <w:rPr>
            <w:noProof/>
            <w:webHidden/>
            <w:lang w:val="ro-RO"/>
          </w:rPr>
          <w:tab/>
        </w:r>
        <w:r>
          <w:rPr>
            <w:noProof/>
            <w:webHidden/>
            <w:lang w:val="ro-RO"/>
          </w:rPr>
          <w:fldChar w:fldCharType="begin"/>
        </w:r>
        <w:r>
          <w:rPr>
            <w:noProof/>
            <w:webHidden/>
            <w:lang w:val="ro-RO"/>
          </w:rPr>
          <w:instrText xml:space="preserve"> PAGEREF _Toc458419152 \h </w:instrText>
        </w:r>
        <w:r>
          <w:rPr>
            <w:noProof/>
            <w:webHidden/>
            <w:lang w:val="ro-RO"/>
          </w:rPr>
        </w:r>
        <w:r>
          <w:rPr>
            <w:noProof/>
            <w:webHidden/>
            <w:lang w:val="ro-RO"/>
          </w:rPr>
          <w:fldChar w:fldCharType="separate"/>
        </w:r>
        <w:r>
          <w:rPr>
            <w:noProof/>
            <w:webHidden/>
            <w:lang w:val="ro-RO"/>
          </w:rPr>
          <w:t>4</w:t>
        </w:r>
        <w:r>
          <w:rPr>
            <w:noProof/>
            <w:webHidden/>
            <w:lang w:val="ro-RO"/>
          </w:rPr>
          <w:fldChar w:fldCharType="end"/>
        </w:r>
      </w:hyperlink>
    </w:p>
    <w:p w:rsidR="004310B4" w:rsidRDefault="004310B4">
      <w:pPr>
        <w:pStyle w:val="TOC2"/>
        <w:tabs>
          <w:tab w:val="left" w:pos="960"/>
          <w:tab w:val="right" w:leader="dot" w:pos="8608"/>
        </w:tabs>
        <w:rPr>
          <w:rFonts w:cs="Times New Roman"/>
          <w:b w:val="0"/>
          <w:bCs w:val="0"/>
          <w:noProof/>
          <w:lang w:val="ro-RO" w:eastAsia="en-GB"/>
        </w:rPr>
      </w:pPr>
      <w:hyperlink w:anchor="_Toc458419153" w:history="1">
        <w:r>
          <w:rPr>
            <w:rStyle w:val="Hyperlink"/>
            <w:noProof/>
            <w:lang w:val="ro-RO"/>
          </w:rPr>
          <w:t>3.2.</w:t>
        </w:r>
        <w:r>
          <w:rPr>
            <w:rFonts w:cs="Times New Roman"/>
            <w:b w:val="0"/>
            <w:bCs w:val="0"/>
            <w:noProof/>
            <w:lang w:val="ro-RO" w:eastAsia="en-GB"/>
          </w:rPr>
          <w:tab/>
        </w:r>
        <w:r>
          <w:rPr>
            <w:rStyle w:val="Hyperlink"/>
            <w:noProof/>
            <w:lang w:val="ro-RO"/>
          </w:rPr>
          <w:t>Date statistice privind recomandările IAS</w:t>
        </w:r>
        <w:r>
          <w:rPr>
            <w:noProof/>
            <w:webHidden/>
            <w:lang w:val="ro-RO"/>
          </w:rPr>
          <w:tab/>
        </w:r>
        <w:r>
          <w:rPr>
            <w:noProof/>
            <w:webHidden/>
            <w:lang w:val="ro-RO"/>
          </w:rPr>
          <w:fldChar w:fldCharType="begin"/>
        </w:r>
        <w:r>
          <w:rPr>
            <w:noProof/>
            <w:webHidden/>
            <w:lang w:val="ro-RO"/>
          </w:rPr>
          <w:instrText xml:space="preserve"> PAGEREF _Toc458419153 \h </w:instrText>
        </w:r>
        <w:r>
          <w:rPr>
            <w:noProof/>
            <w:webHidden/>
            <w:lang w:val="ro-RO"/>
          </w:rPr>
        </w:r>
        <w:r>
          <w:rPr>
            <w:noProof/>
            <w:webHidden/>
            <w:lang w:val="ro-RO"/>
          </w:rPr>
          <w:fldChar w:fldCharType="separate"/>
        </w:r>
        <w:r>
          <w:rPr>
            <w:noProof/>
            <w:webHidden/>
            <w:lang w:val="ro-RO"/>
          </w:rPr>
          <w:t>6</w:t>
        </w:r>
        <w:r>
          <w:rPr>
            <w:noProof/>
            <w:webHidden/>
            <w:lang w:val="ro-RO"/>
          </w:rPr>
          <w:fldChar w:fldCharType="end"/>
        </w:r>
      </w:hyperlink>
    </w:p>
    <w:p w:rsidR="004310B4" w:rsidRDefault="004310B4">
      <w:pPr>
        <w:pStyle w:val="TOC1"/>
        <w:tabs>
          <w:tab w:val="left" w:pos="480"/>
          <w:tab w:val="right" w:leader="dot" w:pos="8608"/>
        </w:tabs>
        <w:rPr>
          <w:rFonts w:cs="Times New Roman"/>
          <w:b w:val="0"/>
          <w:bCs w:val="0"/>
          <w:i w:val="0"/>
          <w:iCs w:val="0"/>
          <w:noProof/>
          <w:sz w:val="22"/>
          <w:szCs w:val="22"/>
          <w:lang w:val="ro-RO" w:eastAsia="en-GB"/>
        </w:rPr>
      </w:pPr>
      <w:hyperlink w:anchor="_Toc458419154" w:history="1">
        <w:r>
          <w:rPr>
            <w:rStyle w:val="Hyperlink"/>
            <w:noProof/>
            <w:lang w:val="ro-RO"/>
          </w:rPr>
          <w:t>4.</w:t>
        </w:r>
        <w:r>
          <w:rPr>
            <w:rFonts w:cs="Times New Roman"/>
            <w:b w:val="0"/>
            <w:bCs w:val="0"/>
            <w:i w:val="0"/>
            <w:iCs w:val="0"/>
            <w:noProof/>
            <w:sz w:val="22"/>
            <w:szCs w:val="22"/>
            <w:lang w:val="ro-RO" w:eastAsia="en-GB"/>
          </w:rPr>
          <w:tab/>
        </w:r>
        <w:r>
          <w:rPr>
            <w:rStyle w:val="Hyperlink"/>
            <w:noProof/>
            <w:lang w:val="ro-RO"/>
          </w:rPr>
          <w:t>Rezumatul activității de audit</w:t>
        </w:r>
        <w:r>
          <w:rPr>
            <w:noProof/>
            <w:webHidden/>
            <w:lang w:val="ro-RO"/>
          </w:rPr>
          <w:tab/>
        </w:r>
        <w:r>
          <w:rPr>
            <w:noProof/>
            <w:webHidden/>
            <w:lang w:val="ro-RO"/>
          </w:rPr>
          <w:fldChar w:fldCharType="begin"/>
        </w:r>
        <w:r>
          <w:rPr>
            <w:noProof/>
            <w:webHidden/>
            <w:lang w:val="ro-RO"/>
          </w:rPr>
          <w:instrText xml:space="preserve"> PAGEREF _Toc458419154 \h </w:instrText>
        </w:r>
        <w:r>
          <w:rPr>
            <w:noProof/>
            <w:webHidden/>
            <w:lang w:val="ro-RO"/>
          </w:rPr>
        </w:r>
        <w:r>
          <w:rPr>
            <w:noProof/>
            <w:webHidden/>
            <w:lang w:val="ro-RO"/>
          </w:rPr>
          <w:fldChar w:fldCharType="separate"/>
        </w:r>
        <w:r>
          <w:rPr>
            <w:noProof/>
            <w:webHidden/>
            <w:lang w:val="ro-RO"/>
          </w:rPr>
          <w:t>8</w:t>
        </w:r>
        <w:r>
          <w:rPr>
            <w:noProof/>
            <w:webHidden/>
            <w:lang w:val="ro-RO"/>
          </w:rPr>
          <w:fldChar w:fldCharType="end"/>
        </w:r>
      </w:hyperlink>
    </w:p>
    <w:p w:rsidR="004310B4" w:rsidRDefault="004310B4">
      <w:pPr>
        <w:pStyle w:val="TOC2"/>
        <w:tabs>
          <w:tab w:val="left" w:pos="960"/>
          <w:tab w:val="right" w:leader="dot" w:pos="8608"/>
        </w:tabs>
        <w:rPr>
          <w:rFonts w:cs="Times New Roman"/>
          <w:b w:val="0"/>
          <w:bCs w:val="0"/>
          <w:noProof/>
          <w:lang w:val="ro-RO" w:eastAsia="en-GB"/>
        </w:rPr>
      </w:pPr>
      <w:hyperlink w:anchor="_Toc458419155" w:history="1">
        <w:r>
          <w:rPr>
            <w:rStyle w:val="Hyperlink"/>
            <w:noProof/>
            <w:lang w:val="ro-RO"/>
          </w:rPr>
          <w:t>4.1.</w:t>
        </w:r>
        <w:r>
          <w:rPr>
            <w:rFonts w:cs="Times New Roman"/>
            <w:b w:val="0"/>
            <w:bCs w:val="0"/>
            <w:noProof/>
            <w:lang w:val="ro-RO" w:eastAsia="en-GB"/>
          </w:rPr>
          <w:tab/>
        </w:r>
        <w:r>
          <w:rPr>
            <w:rStyle w:val="Hyperlink"/>
            <w:noProof/>
            <w:lang w:val="ro-RO"/>
          </w:rPr>
          <w:t>Concluzii privind auditurile performanței</w:t>
        </w:r>
        <w:r>
          <w:rPr>
            <w:noProof/>
            <w:webHidden/>
            <w:lang w:val="ro-RO"/>
          </w:rPr>
          <w:tab/>
        </w:r>
        <w:r>
          <w:rPr>
            <w:noProof/>
            <w:webHidden/>
            <w:lang w:val="ro-RO"/>
          </w:rPr>
          <w:fldChar w:fldCharType="begin"/>
        </w:r>
        <w:r>
          <w:rPr>
            <w:noProof/>
            <w:webHidden/>
            <w:lang w:val="ro-RO"/>
          </w:rPr>
          <w:instrText xml:space="preserve"> PAGEREF _Toc458419155 \h </w:instrText>
        </w:r>
        <w:r>
          <w:rPr>
            <w:noProof/>
            <w:webHidden/>
            <w:lang w:val="ro-RO"/>
          </w:rPr>
        </w:r>
        <w:r>
          <w:rPr>
            <w:noProof/>
            <w:webHidden/>
            <w:lang w:val="ro-RO"/>
          </w:rPr>
          <w:fldChar w:fldCharType="separate"/>
        </w:r>
        <w:r>
          <w:rPr>
            <w:noProof/>
            <w:webHidden/>
            <w:lang w:val="ro-RO"/>
          </w:rPr>
          <w:t>8</w:t>
        </w:r>
        <w:r>
          <w:rPr>
            <w:noProof/>
            <w:webHidden/>
            <w:lang w:val="ro-RO"/>
          </w:rPr>
          <w:fldChar w:fldCharType="end"/>
        </w:r>
      </w:hyperlink>
    </w:p>
    <w:p w:rsidR="004310B4" w:rsidRDefault="004310B4">
      <w:pPr>
        <w:pStyle w:val="TOC3"/>
        <w:tabs>
          <w:tab w:val="left" w:pos="1200"/>
          <w:tab w:val="right" w:leader="dot" w:pos="8608"/>
        </w:tabs>
        <w:rPr>
          <w:rFonts w:cs="Times New Roman"/>
          <w:noProof/>
          <w:sz w:val="22"/>
          <w:szCs w:val="22"/>
          <w:lang w:val="ro-RO" w:eastAsia="en-GB"/>
        </w:rPr>
      </w:pPr>
      <w:hyperlink w:anchor="_Toc458419156" w:history="1">
        <w:r>
          <w:rPr>
            <w:rStyle w:val="Hyperlink"/>
            <w:noProof/>
            <w:lang w:val="ro-RO"/>
          </w:rPr>
          <w:t>4.1.1.</w:t>
        </w:r>
        <w:r>
          <w:rPr>
            <w:rFonts w:cs="Times New Roman"/>
            <w:noProof/>
            <w:sz w:val="22"/>
            <w:szCs w:val="22"/>
            <w:lang w:val="ro-RO" w:eastAsia="en-GB"/>
          </w:rPr>
          <w:tab/>
        </w:r>
        <w:r>
          <w:rPr>
            <w:rStyle w:val="Hyperlink"/>
            <w:i/>
            <w:noProof/>
            <w:lang w:val="ro-RO"/>
          </w:rPr>
          <w:t>Performanța direcțiilor generale, a serviciilor și a agențiilor executive ale Comisiei: procese orizontale (resurse umane, sectorul informatic, antifraudă etc.)</w:t>
        </w:r>
        <w:r>
          <w:rPr>
            <w:noProof/>
            <w:webHidden/>
            <w:lang w:val="ro-RO"/>
          </w:rPr>
          <w:tab/>
        </w:r>
        <w:r>
          <w:rPr>
            <w:noProof/>
            <w:webHidden/>
            <w:lang w:val="ro-RO"/>
          </w:rPr>
          <w:fldChar w:fldCharType="begin"/>
        </w:r>
        <w:r>
          <w:rPr>
            <w:noProof/>
            <w:webHidden/>
            <w:lang w:val="ro-RO"/>
          </w:rPr>
          <w:instrText xml:space="preserve"> PAGEREF _Toc458419156 \h </w:instrText>
        </w:r>
        <w:r>
          <w:rPr>
            <w:noProof/>
            <w:webHidden/>
            <w:lang w:val="ro-RO"/>
          </w:rPr>
        </w:r>
        <w:r>
          <w:rPr>
            <w:noProof/>
            <w:webHidden/>
            <w:lang w:val="ro-RO"/>
          </w:rPr>
          <w:fldChar w:fldCharType="separate"/>
        </w:r>
        <w:r>
          <w:rPr>
            <w:noProof/>
            <w:webHidden/>
            <w:lang w:val="ro-RO"/>
          </w:rPr>
          <w:t>10</w:t>
        </w:r>
        <w:r>
          <w:rPr>
            <w:noProof/>
            <w:webHidden/>
            <w:lang w:val="ro-RO"/>
          </w:rPr>
          <w:fldChar w:fldCharType="end"/>
        </w:r>
      </w:hyperlink>
    </w:p>
    <w:p w:rsidR="004310B4" w:rsidRDefault="004310B4">
      <w:pPr>
        <w:pStyle w:val="TOC3"/>
        <w:tabs>
          <w:tab w:val="left" w:pos="1200"/>
          <w:tab w:val="right" w:leader="dot" w:pos="8608"/>
        </w:tabs>
        <w:rPr>
          <w:rFonts w:cs="Times New Roman"/>
          <w:noProof/>
          <w:sz w:val="22"/>
          <w:szCs w:val="22"/>
          <w:lang w:val="ro-RO" w:eastAsia="en-GB"/>
        </w:rPr>
      </w:pPr>
      <w:hyperlink w:anchor="_Toc458419157" w:history="1">
        <w:r>
          <w:rPr>
            <w:rStyle w:val="Hyperlink"/>
            <w:noProof/>
            <w:lang w:val="ro-RO"/>
          </w:rPr>
          <w:t>4.1.2.</w:t>
        </w:r>
        <w:r>
          <w:rPr>
            <w:rFonts w:cs="Times New Roman"/>
            <w:noProof/>
            <w:sz w:val="22"/>
            <w:szCs w:val="22"/>
            <w:lang w:val="ro-RO" w:eastAsia="en-GB"/>
          </w:rPr>
          <w:tab/>
        </w:r>
        <w:r>
          <w:rPr>
            <w:rStyle w:val="Hyperlink"/>
            <w:i/>
            <w:noProof/>
            <w:lang w:val="ro-RO"/>
          </w:rPr>
          <w:t>Performanță în ceea ce privește executarea creditelor operaționale bugetare</w:t>
        </w:r>
        <w:r>
          <w:rPr>
            <w:noProof/>
            <w:webHidden/>
            <w:lang w:val="ro-RO"/>
          </w:rPr>
          <w:tab/>
        </w:r>
        <w:r>
          <w:rPr>
            <w:noProof/>
            <w:webHidden/>
            <w:lang w:val="ro-RO"/>
          </w:rPr>
          <w:fldChar w:fldCharType="begin"/>
        </w:r>
        <w:r>
          <w:rPr>
            <w:noProof/>
            <w:webHidden/>
            <w:lang w:val="ro-RO"/>
          </w:rPr>
          <w:instrText xml:space="preserve"> PAGEREF _Toc458419157 \h </w:instrText>
        </w:r>
        <w:r>
          <w:rPr>
            <w:noProof/>
            <w:webHidden/>
            <w:lang w:val="ro-RO"/>
          </w:rPr>
        </w:r>
        <w:r>
          <w:rPr>
            <w:noProof/>
            <w:webHidden/>
            <w:lang w:val="ro-RO"/>
          </w:rPr>
          <w:fldChar w:fldCharType="separate"/>
        </w:r>
        <w:r>
          <w:rPr>
            <w:noProof/>
            <w:webHidden/>
            <w:lang w:val="ro-RO"/>
          </w:rPr>
          <w:t>12</w:t>
        </w:r>
        <w:r>
          <w:rPr>
            <w:noProof/>
            <w:webHidden/>
            <w:lang w:val="ro-RO"/>
          </w:rPr>
          <w:fldChar w:fldCharType="end"/>
        </w:r>
      </w:hyperlink>
    </w:p>
    <w:p w:rsidR="004310B4" w:rsidRDefault="004310B4">
      <w:pPr>
        <w:pStyle w:val="TOC3"/>
        <w:tabs>
          <w:tab w:val="left" w:pos="1200"/>
          <w:tab w:val="right" w:leader="dot" w:pos="8608"/>
        </w:tabs>
        <w:rPr>
          <w:rFonts w:cs="Times New Roman"/>
          <w:noProof/>
          <w:sz w:val="22"/>
          <w:szCs w:val="22"/>
          <w:lang w:val="ro-RO" w:eastAsia="en-GB"/>
        </w:rPr>
      </w:pPr>
      <w:hyperlink w:anchor="_Toc458419158" w:history="1">
        <w:r>
          <w:rPr>
            <w:rStyle w:val="Hyperlink"/>
            <w:noProof/>
            <w:lang w:val="ro-RO"/>
          </w:rPr>
          <w:t>4.1.3.</w:t>
        </w:r>
        <w:r>
          <w:rPr>
            <w:rFonts w:cs="Times New Roman"/>
            <w:noProof/>
            <w:sz w:val="22"/>
            <w:szCs w:val="22"/>
            <w:lang w:val="ro-RO" w:eastAsia="en-GB"/>
          </w:rPr>
          <w:tab/>
        </w:r>
        <w:r>
          <w:rPr>
            <w:rStyle w:val="Hyperlink"/>
            <w:i/>
            <w:noProof/>
            <w:lang w:val="ro-RO"/>
          </w:rPr>
          <w:t>Performanță în domeniile de politică care nu implică cheltuieli</w:t>
        </w:r>
        <w:r>
          <w:rPr>
            <w:noProof/>
            <w:webHidden/>
            <w:lang w:val="ro-RO"/>
          </w:rPr>
          <w:tab/>
        </w:r>
        <w:r>
          <w:rPr>
            <w:noProof/>
            <w:webHidden/>
            <w:lang w:val="ro-RO"/>
          </w:rPr>
          <w:fldChar w:fldCharType="begin"/>
        </w:r>
        <w:r>
          <w:rPr>
            <w:noProof/>
            <w:webHidden/>
            <w:lang w:val="ro-RO"/>
          </w:rPr>
          <w:instrText xml:space="preserve"> PAGEREF _Toc458419158 \h </w:instrText>
        </w:r>
        <w:r>
          <w:rPr>
            <w:noProof/>
            <w:webHidden/>
            <w:lang w:val="ro-RO"/>
          </w:rPr>
        </w:r>
        <w:r>
          <w:rPr>
            <w:noProof/>
            <w:webHidden/>
            <w:lang w:val="ro-RO"/>
          </w:rPr>
          <w:fldChar w:fldCharType="separate"/>
        </w:r>
        <w:r>
          <w:rPr>
            <w:noProof/>
            <w:webHidden/>
            <w:lang w:val="ro-RO"/>
          </w:rPr>
          <w:t>14</w:t>
        </w:r>
        <w:r>
          <w:rPr>
            <w:noProof/>
            <w:webHidden/>
            <w:lang w:val="ro-RO"/>
          </w:rPr>
          <w:fldChar w:fldCharType="end"/>
        </w:r>
      </w:hyperlink>
    </w:p>
    <w:p w:rsidR="004310B4" w:rsidRDefault="004310B4">
      <w:pPr>
        <w:pStyle w:val="TOC2"/>
        <w:tabs>
          <w:tab w:val="left" w:pos="960"/>
          <w:tab w:val="right" w:leader="dot" w:pos="8608"/>
        </w:tabs>
        <w:rPr>
          <w:rFonts w:cs="Times New Roman"/>
          <w:b w:val="0"/>
          <w:bCs w:val="0"/>
          <w:noProof/>
          <w:lang w:val="ro-RO" w:eastAsia="en-GB"/>
        </w:rPr>
      </w:pPr>
      <w:hyperlink w:anchor="_Toc458419159" w:history="1">
        <w:r>
          <w:rPr>
            <w:rStyle w:val="Hyperlink"/>
            <w:noProof/>
            <w:lang w:val="ro-RO"/>
          </w:rPr>
          <w:t>4.2.</w:t>
        </w:r>
        <w:r>
          <w:rPr>
            <w:rFonts w:cs="Times New Roman"/>
            <w:b w:val="0"/>
            <w:bCs w:val="0"/>
            <w:noProof/>
            <w:lang w:val="ro-RO" w:eastAsia="en-GB"/>
          </w:rPr>
          <w:tab/>
        </w:r>
        <w:r>
          <w:rPr>
            <w:rStyle w:val="Hyperlink"/>
            <w:noProof/>
            <w:lang w:val="ro-RO"/>
          </w:rPr>
          <w:t>Concluziile limitate ale IAS cu privire la situația controlului intern din cadrul fiecărei direcții generale</w:t>
        </w:r>
        <w:r>
          <w:rPr>
            <w:noProof/>
            <w:webHidden/>
            <w:lang w:val="ro-RO"/>
          </w:rPr>
          <w:tab/>
        </w:r>
        <w:r>
          <w:rPr>
            <w:noProof/>
            <w:webHidden/>
            <w:lang w:val="ro-RO"/>
          </w:rPr>
          <w:fldChar w:fldCharType="begin"/>
        </w:r>
        <w:r>
          <w:rPr>
            <w:noProof/>
            <w:webHidden/>
            <w:lang w:val="ro-RO"/>
          </w:rPr>
          <w:instrText xml:space="preserve"> PAGEREF _Toc458419159 \h </w:instrText>
        </w:r>
        <w:r>
          <w:rPr>
            <w:noProof/>
            <w:webHidden/>
            <w:lang w:val="ro-RO"/>
          </w:rPr>
        </w:r>
        <w:r>
          <w:rPr>
            <w:noProof/>
            <w:webHidden/>
            <w:lang w:val="ro-RO"/>
          </w:rPr>
          <w:fldChar w:fldCharType="separate"/>
        </w:r>
        <w:r>
          <w:rPr>
            <w:noProof/>
            <w:webHidden/>
            <w:lang w:val="ro-RO"/>
          </w:rPr>
          <w:t>14</w:t>
        </w:r>
        <w:r>
          <w:rPr>
            <w:noProof/>
            <w:webHidden/>
            <w:lang w:val="ro-RO"/>
          </w:rPr>
          <w:fldChar w:fldCharType="end"/>
        </w:r>
      </w:hyperlink>
    </w:p>
    <w:p w:rsidR="004310B4" w:rsidRDefault="004310B4">
      <w:pPr>
        <w:pStyle w:val="TOC2"/>
        <w:tabs>
          <w:tab w:val="left" w:pos="960"/>
          <w:tab w:val="right" w:leader="dot" w:pos="8608"/>
        </w:tabs>
        <w:rPr>
          <w:rFonts w:cs="Times New Roman"/>
          <w:b w:val="0"/>
          <w:bCs w:val="0"/>
          <w:noProof/>
          <w:lang w:val="ro-RO" w:eastAsia="en-GB"/>
        </w:rPr>
      </w:pPr>
      <w:hyperlink w:anchor="_Toc458419160" w:history="1">
        <w:r>
          <w:rPr>
            <w:rStyle w:val="Hyperlink"/>
            <w:noProof/>
            <w:lang w:val="ro-RO"/>
          </w:rPr>
          <w:t>4.3.</w:t>
        </w:r>
        <w:r>
          <w:rPr>
            <w:rFonts w:cs="Times New Roman"/>
            <w:b w:val="0"/>
            <w:bCs w:val="0"/>
            <w:noProof/>
            <w:lang w:val="ro-RO" w:eastAsia="en-GB"/>
          </w:rPr>
          <w:tab/>
        </w:r>
        <w:r>
          <w:rPr>
            <w:rStyle w:val="Hyperlink"/>
            <w:noProof/>
            <w:lang w:val="ro-RO"/>
          </w:rPr>
          <w:t>Opinia generală privind gestiunea financiară a Comisiei</w:t>
        </w:r>
        <w:r>
          <w:rPr>
            <w:noProof/>
            <w:webHidden/>
            <w:lang w:val="ro-RO"/>
          </w:rPr>
          <w:tab/>
        </w:r>
        <w:r>
          <w:rPr>
            <w:noProof/>
            <w:webHidden/>
            <w:lang w:val="ro-RO"/>
          </w:rPr>
          <w:fldChar w:fldCharType="begin"/>
        </w:r>
        <w:r>
          <w:rPr>
            <w:noProof/>
            <w:webHidden/>
            <w:lang w:val="ro-RO"/>
          </w:rPr>
          <w:instrText xml:space="preserve"> PAGEREF _Toc458419160 \h </w:instrText>
        </w:r>
        <w:r>
          <w:rPr>
            <w:noProof/>
            <w:webHidden/>
            <w:lang w:val="ro-RO"/>
          </w:rPr>
        </w:r>
        <w:r>
          <w:rPr>
            <w:noProof/>
            <w:webHidden/>
            <w:lang w:val="ro-RO"/>
          </w:rPr>
          <w:fldChar w:fldCharType="separate"/>
        </w:r>
        <w:r>
          <w:rPr>
            <w:noProof/>
            <w:webHidden/>
            <w:lang w:val="ro-RO"/>
          </w:rPr>
          <w:t>15</w:t>
        </w:r>
        <w:r>
          <w:rPr>
            <w:noProof/>
            <w:webHidden/>
            <w:lang w:val="ro-RO"/>
          </w:rPr>
          <w:fldChar w:fldCharType="end"/>
        </w:r>
      </w:hyperlink>
    </w:p>
    <w:p w:rsidR="004310B4" w:rsidRDefault="004310B4">
      <w:pPr>
        <w:pStyle w:val="TOC1"/>
        <w:tabs>
          <w:tab w:val="left" w:pos="480"/>
          <w:tab w:val="right" w:leader="dot" w:pos="8608"/>
        </w:tabs>
        <w:rPr>
          <w:rFonts w:cs="Times New Roman"/>
          <w:b w:val="0"/>
          <w:bCs w:val="0"/>
          <w:i w:val="0"/>
          <w:iCs w:val="0"/>
          <w:noProof/>
          <w:sz w:val="22"/>
          <w:szCs w:val="22"/>
          <w:lang w:val="ro-RO" w:eastAsia="en-GB"/>
        </w:rPr>
      </w:pPr>
      <w:hyperlink w:anchor="_Toc458419161" w:history="1">
        <w:r>
          <w:rPr>
            <w:rStyle w:val="Hyperlink"/>
            <w:noProof/>
            <w:lang w:val="ro-RO"/>
          </w:rPr>
          <w:t>5.</w:t>
        </w:r>
        <w:r>
          <w:rPr>
            <w:rFonts w:cs="Times New Roman"/>
            <w:b w:val="0"/>
            <w:bCs w:val="0"/>
            <w:i w:val="0"/>
            <w:iCs w:val="0"/>
            <w:noProof/>
            <w:sz w:val="22"/>
            <w:szCs w:val="22"/>
            <w:lang w:val="ro-RO" w:eastAsia="en-GB"/>
          </w:rPr>
          <w:tab/>
        </w:r>
        <w:r>
          <w:rPr>
            <w:rStyle w:val="Hyperlink"/>
            <w:noProof/>
            <w:lang w:val="ro-RO"/>
          </w:rPr>
          <w:t>Consultarea cu Grupul pentru nereguli financiare al Comisiei</w:t>
        </w:r>
        <w:r>
          <w:rPr>
            <w:noProof/>
            <w:webHidden/>
            <w:lang w:val="ro-RO"/>
          </w:rPr>
          <w:tab/>
        </w:r>
        <w:r>
          <w:rPr>
            <w:noProof/>
            <w:webHidden/>
            <w:lang w:val="ro-RO"/>
          </w:rPr>
          <w:fldChar w:fldCharType="begin"/>
        </w:r>
        <w:r>
          <w:rPr>
            <w:noProof/>
            <w:webHidden/>
            <w:lang w:val="ro-RO"/>
          </w:rPr>
          <w:instrText xml:space="preserve"> PAGEREF _Toc458419161 \h </w:instrText>
        </w:r>
        <w:r>
          <w:rPr>
            <w:noProof/>
            <w:webHidden/>
            <w:lang w:val="ro-RO"/>
          </w:rPr>
        </w:r>
        <w:r>
          <w:rPr>
            <w:noProof/>
            <w:webHidden/>
            <w:lang w:val="ro-RO"/>
          </w:rPr>
          <w:fldChar w:fldCharType="separate"/>
        </w:r>
        <w:r>
          <w:rPr>
            <w:noProof/>
            <w:webHidden/>
            <w:lang w:val="ro-RO"/>
          </w:rPr>
          <w:t>16</w:t>
        </w:r>
        <w:r>
          <w:rPr>
            <w:noProof/>
            <w:webHidden/>
            <w:lang w:val="ro-RO"/>
          </w:rPr>
          <w:fldChar w:fldCharType="end"/>
        </w:r>
      </w:hyperlink>
    </w:p>
    <w:p w:rsidR="004310B4" w:rsidRDefault="004310B4">
      <w:pPr>
        <w:pStyle w:val="TOC1"/>
        <w:tabs>
          <w:tab w:val="left" w:pos="480"/>
          <w:tab w:val="right" w:leader="dot" w:pos="8608"/>
        </w:tabs>
        <w:rPr>
          <w:rFonts w:cs="Times New Roman"/>
          <w:b w:val="0"/>
          <w:bCs w:val="0"/>
          <w:i w:val="0"/>
          <w:iCs w:val="0"/>
          <w:noProof/>
          <w:sz w:val="22"/>
          <w:szCs w:val="22"/>
          <w:lang w:val="ro-RO" w:eastAsia="en-GB"/>
        </w:rPr>
      </w:pPr>
      <w:hyperlink w:anchor="_Toc458419162" w:history="1">
        <w:r>
          <w:rPr>
            <w:rStyle w:val="Hyperlink"/>
            <w:noProof/>
            <w:lang w:val="ro-RO"/>
          </w:rPr>
          <w:t>6.</w:t>
        </w:r>
        <w:r>
          <w:rPr>
            <w:rFonts w:cs="Times New Roman"/>
            <w:b w:val="0"/>
            <w:bCs w:val="0"/>
            <w:i w:val="0"/>
            <w:iCs w:val="0"/>
            <w:noProof/>
            <w:sz w:val="22"/>
            <w:szCs w:val="22"/>
            <w:lang w:val="ro-RO" w:eastAsia="en-GB"/>
          </w:rPr>
          <w:tab/>
        </w:r>
        <w:r>
          <w:rPr>
            <w:rStyle w:val="Hyperlink"/>
            <w:noProof/>
            <w:lang w:val="ro-RO"/>
          </w:rPr>
          <w:t>Concluzii</w:t>
        </w:r>
        <w:r>
          <w:rPr>
            <w:noProof/>
            <w:webHidden/>
            <w:lang w:val="ro-RO"/>
          </w:rPr>
          <w:tab/>
        </w:r>
        <w:r>
          <w:rPr>
            <w:noProof/>
            <w:webHidden/>
            <w:lang w:val="ro-RO"/>
          </w:rPr>
          <w:fldChar w:fldCharType="begin"/>
        </w:r>
        <w:r>
          <w:rPr>
            <w:noProof/>
            <w:webHidden/>
            <w:lang w:val="ro-RO"/>
          </w:rPr>
          <w:instrText xml:space="preserve"> PAGEREF _Toc458419162 \h </w:instrText>
        </w:r>
        <w:r>
          <w:rPr>
            <w:noProof/>
            <w:webHidden/>
            <w:lang w:val="ro-RO"/>
          </w:rPr>
        </w:r>
        <w:r>
          <w:rPr>
            <w:noProof/>
            <w:webHidden/>
            <w:lang w:val="ro-RO"/>
          </w:rPr>
          <w:fldChar w:fldCharType="separate"/>
        </w:r>
        <w:r>
          <w:rPr>
            <w:noProof/>
            <w:webHidden/>
            <w:lang w:val="ro-RO"/>
          </w:rPr>
          <w:t>16</w:t>
        </w:r>
        <w:r>
          <w:rPr>
            <w:noProof/>
            <w:webHidden/>
            <w:lang w:val="ro-RO"/>
          </w:rPr>
          <w:fldChar w:fldCharType="end"/>
        </w:r>
      </w:hyperlink>
    </w:p>
    <w:p w:rsidR="004310B4" w:rsidRDefault="004310B4">
      <w:pPr>
        <w:pStyle w:val="TOC1"/>
        <w:tabs>
          <w:tab w:val="left" w:pos="480"/>
          <w:tab w:val="right" w:leader="dot" w:pos="8608"/>
        </w:tabs>
        <w:rPr>
          <w:rFonts w:cs="Times New Roman"/>
          <w:b w:val="0"/>
          <w:bCs w:val="0"/>
          <w:i w:val="0"/>
          <w:iCs w:val="0"/>
          <w:noProof/>
          <w:sz w:val="22"/>
          <w:szCs w:val="22"/>
          <w:lang w:val="ro-RO" w:eastAsia="en-GB"/>
        </w:rPr>
      </w:pPr>
      <w:hyperlink w:anchor="_Toc458419163" w:history="1">
        <w:r>
          <w:rPr>
            <w:rStyle w:val="Hyperlink"/>
            <w:noProof/>
            <w:lang w:val="ro-RO"/>
          </w:rPr>
          <w:t>7.</w:t>
        </w:r>
        <w:r>
          <w:rPr>
            <w:rFonts w:cs="Times New Roman"/>
            <w:b w:val="0"/>
            <w:bCs w:val="0"/>
            <w:i w:val="0"/>
            <w:iCs w:val="0"/>
            <w:noProof/>
            <w:sz w:val="22"/>
            <w:szCs w:val="22"/>
            <w:lang w:val="ro-RO" w:eastAsia="en-GB"/>
          </w:rPr>
          <w:tab/>
        </w:r>
        <w:r>
          <w:rPr>
            <w:rStyle w:val="Hyperlink"/>
            <w:noProof/>
            <w:lang w:val="ro-RO"/>
          </w:rPr>
          <w:t>Listă de acronime</w:t>
        </w:r>
        <w:r>
          <w:rPr>
            <w:noProof/>
            <w:webHidden/>
            <w:lang w:val="ro-RO"/>
          </w:rPr>
          <w:tab/>
        </w:r>
        <w:r>
          <w:rPr>
            <w:noProof/>
            <w:webHidden/>
            <w:lang w:val="ro-RO"/>
          </w:rPr>
          <w:fldChar w:fldCharType="begin"/>
        </w:r>
        <w:r>
          <w:rPr>
            <w:noProof/>
            <w:webHidden/>
            <w:lang w:val="ro-RO"/>
          </w:rPr>
          <w:instrText xml:space="preserve"> PAGEREF _Toc458419163 \h </w:instrText>
        </w:r>
        <w:r>
          <w:rPr>
            <w:noProof/>
            <w:webHidden/>
            <w:lang w:val="ro-RO"/>
          </w:rPr>
        </w:r>
        <w:r>
          <w:rPr>
            <w:noProof/>
            <w:webHidden/>
            <w:lang w:val="ro-RO"/>
          </w:rPr>
          <w:fldChar w:fldCharType="separate"/>
        </w:r>
        <w:r>
          <w:rPr>
            <w:noProof/>
            <w:webHidden/>
            <w:lang w:val="ro-RO"/>
          </w:rPr>
          <w:t>17</w:t>
        </w:r>
        <w:r>
          <w:rPr>
            <w:noProof/>
            <w:webHidden/>
            <w:lang w:val="ro-RO"/>
          </w:rPr>
          <w:fldChar w:fldCharType="end"/>
        </w:r>
      </w:hyperlink>
    </w:p>
    <w:p w:rsidR="004310B4" w:rsidRDefault="004310B4">
      <w:pPr>
        <w:rPr>
          <w:noProof/>
          <w:lang w:val="ro-RO"/>
        </w:rPr>
      </w:pPr>
      <w:r>
        <w:rPr>
          <w:noProof/>
          <w:lang w:val="ro-RO"/>
        </w:rPr>
        <w:fldChar w:fldCharType="end"/>
      </w:r>
    </w:p>
    <w:p w:rsidR="004310B4" w:rsidRDefault="004310B4">
      <w:pPr>
        <w:rPr>
          <w:noProof/>
          <w:lang w:val="ro-RO"/>
        </w:rPr>
      </w:pPr>
      <w:r>
        <w:rPr>
          <w:noProof/>
          <w:lang w:val="ro-RO"/>
        </w:rPr>
        <w:br w:type="page"/>
      </w:r>
    </w:p>
    <w:p w:rsidR="004310B4" w:rsidRDefault="004310B4">
      <w:pPr>
        <w:pStyle w:val="Heading1"/>
        <w:rPr>
          <w:noProof/>
          <w:lang w:val="ro-RO"/>
        </w:rPr>
      </w:pPr>
      <w:bookmarkStart w:id="1" w:name="_Toc458419149"/>
      <w:bookmarkStart w:id="2" w:name="_Toc255288538"/>
      <w:bookmarkStart w:id="3" w:name="_Toc351391759"/>
      <w:bookmarkStart w:id="4" w:name="_Toc351391854"/>
      <w:bookmarkStart w:id="5" w:name="_Toc351391961"/>
      <w:bookmarkStart w:id="6" w:name="_Toc351392027"/>
      <w:bookmarkStart w:id="7" w:name="_Toc351392070"/>
      <w:r>
        <w:rPr>
          <w:noProof/>
          <w:lang w:val="ro-RO"/>
        </w:rPr>
        <w:t>Introducere</w:t>
      </w:r>
      <w:bookmarkEnd w:id="1"/>
    </w:p>
    <w:bookmarkEnd w:id="2"/>
    <w:bookmarkEnd w:id="3"/>
    <w:bookmarkEnd w:id="4"/>
    <w:bookmarkEnd w:id="5"/>
    <w:bookmarkEnd w:id="6"/>
    <w:bookmarkEnd w:id="7"/>
    <w:p w:rsidR="004310B4" w:rsidRDefault="004310B4">
      <w:pPr>
        <w:ind w:left="480"/>
        <w:rPr>
          <w:noProof/>
          <w:lang w:val="ro-RO"/>
        </w:rPr>
      </w:pPr>
      <w:r>
        <w:rPr>
          <w:noProof/>
          <w:lang w:val="ro-RO"/>
        </w:rPr>
        <w:t>Scopul prezentului raport este de a informa Parlamentul European și Consiliul cu privire la activitatea desfășurată de Serviciul de Audit Intern al Comisiei (IAS), astfel cum se prevede la articolul 99 alineatul (5) din Regulamentul financiar. Acesta se bazează pe raportul elaborat de auditorul intern al Comisiei în temeiul articolului 99 alineatul (3) din regulamentul menționat, referitor la rapoartele de audit și de consultanță ale IAS finalizate în 2015 cu privire la diferite direcții generale, servicii și agenții executive ale Comisiei</w:t>
      </w:r>
      <w:r>
        <w:rPr>
          <w:noProof/>
          <w:vertAlign w:val="superscript"/>
          <w:lang w:val="ro-RO"/>
        </w:rPr>
        <w:footnoteReference w:id="2"/>
      </w:r>
      <w:r>
        <w:rPr>
          <w:i/>
          <w:noProof/>
          <w:lang w:val="ro-RO"/>
        </w:rPr>
        <w:t xml:space="preserve">. </w:t>
      </w:r>
      <w:r>
        <w:rPr>
          <w:noProof/>
          <w:lang w:val="ro-RO"/>
        </w:rPr>
        <w:t>În conformitate cu temeiul său juridic, raportul conține un rezumat al numărului și tipului de audituri interne realizate, al recomandărilor formulate și al acțiunilor întreprinse ca urmare a recomandărilor</w:t>
      </w:r>
      <w:r>
        <w:rPr>
          <w:rStyle w:val="FootnoteReference"/>
          <w:noProof/>
          <w:lang w:val="ro-RO"/>
        </w:rPr>
        <w:footnoteReference w:id="3"/>
      </w:r>
      <w:r>
        <w:rPr>
          <w:noProof/>
          <w:lang w:val="ro-RO"/>
        </w:rPr>
        <w:t>. Rapoartele de audit finalizate în perioada 1 februarie 2015 – 31 ianuarie 2016 sunt incluse în prezentul raport. Recomandările puse în aplicare după data-limită de 31 ianuarie 2016 nu sunt luate în considerare.</w:t>
      </w:r>
    </w:p>
    <w:p w:rsidR="004310B4" w:rsidRDefault="004310B4">
      <w:pPr>
        <w:pStyle w:val="Heading1"/>
        <w:rPr>
          <w:noProof/>
          <w:lang w:val="ro-RO"/>
        </w:rPr>
      </w:pPr>
      <w:bookmarkStart w:id="8" w:name="_Toc457473123"/>
      <w:bookmarkStart w:id="9" w:name="_Toc457473493"/>
      <w:bookmarkStart w:id="10" w:name="_Toc457473525"/>
      <w:bookmarkStart w:id="11" w:name="_Toc457473124"/>
      <w:bookmarkStart w:id="12" w:name="_Toc457473494"/>
      <w:bookmarkStart w:id="13" w:name="_Toc457473526"/>
      <w:bookmarkStart w:id="14" w:name="_Toc458419150"/>
      <w:bookmarkEnd w:id="8"/>
      <w:bookmarkEnd w:id="9"/>
      <w:bookmarkEnd w:id="10"/>
      <w:bookmarkEnd w:id="11"/>
      <w:bookmarkEnd w:id="12"/>
      <w:bookmarkEnd w:id="13"/>
      <w:r>
        <w:rPr>
          <w:noProof/>
          <w:lang w:val="ro-RO"/>
        </w:rPr>
        <w:t>Misiunea IAS: Obiectivele de independență, obiectivitate și răspundere și domeniul de aplicare a raportului</w:t>
      </w:r>
      <w:bookmarkEnd w:id="14"/>
    </w:p>
    <w:p w:rsidR="004310B4" w:rsidRDefault="004310B4">
      <w:pPr>
        <w:autoSpaceDE w:val="0"/>
        <w:ind w:left="480"/>
        <w:rPr>
          <w:noProof/>
          <w:sz w:val="16"/>
          <w:szCs w:val="16"/>
          <w:lang w:val="ro-RO"/>
        </w:rPr>
      </w:pPr>
      <w:r>
        <w:rPr>
          <w:noProof/>
          <w:lang w:val="ro-RO"/>
        </w:rPr>
        <w:t>Misiunea Serviciului de Audit Intern este să furnizeze Comisiei servicii de asigurare și de consultanță independente și obiective, menite să confere valoare adăugată și să îmbunătățească operațiunile Comisiei. IAS sprijină Comisia să își atingă obiectivele prin aplicarea unei abordări sistematice disciplinate pentru a evalua și a formula recomandări cu privire la îmbunătățirea eficacității proceselor de gestionare a riscurilor, de control și de guvernanță. Printre sarcinile sale se numără evaluarea și formularea de recomandări adecvate pentru îmbunătățirea procesului de guvernanță în ceea ce privește îndeplinirea următoarelor obiective: promovarea unei etici și a unor valori corespunzătoare în cadrul organizației, asigurarea gestionării eficace a performanței și a responsabilității organizaționale și comunicarea eficace a informațiilor privind riscurile și controlul către sectoarele corespunzătoare ale organizației. Prin urmare, IAS promovează o cultură a gestionării eficiente și eficace în cadrul Comisiei și al departamentelor sale. Independența IAS este consacrată în Regulamentul financiar</w:t>
      </w:r>
      <w:r>
        <w:rPr>
          <w:rStyle w:val="FootnoteReference"/>
          <w:noProof/>
          <w:lang w:val="ro-RO"/>
        </w:rPr>
        <w:footnoteReference w:id="4"/>
      </w:r>
      <w:r>
        <w:rPr>
          <w:noProof/>
          <w:lang w:val="ro-RO"/>
        </w:rPr>
        <w:t xml:space="preserve"> și în Carta misiunii sale</w:t>
      </w:r>
      <w:r>
        <w:rPr>
          <w:rStyle w:val="FootnoteReference"/>
          <w:noProof/>
          <w:lang w:val="ro-RO"/>
        </w:rPr>
        <w:footnoteReference w:id="5"/>
      </w:r>
      <w:r>
        <w:rPr>
          <w:noProof/>
          <w:lang w:val="ro-RO"/>
        </w:rPr>
        <w:t>, astfel cum a fost adoptată de Comisie. IAS prezintă Comitetului de monitorizare a auditurilor (CMA) rapoarte cu privire la toate auditurile efectuate. Comitetul de monitorizare a auditurilor asistă Colegiul comisarilor, asigurându-se că activitatea IAS, a fostelor structuri de audit intern (IAC) și a Curții de Conturi Europene (CCE) este luată în considerare în mod corespunzător de serviciile Comisiei și este urmată de măsuri corespunzătoare.</w:t>
      </w:r>
    </w:p>
    <w:p w:rsidR="004310B4" w:rsidRDefault="004310B4">
      <w:pPr>
        <w:ind w:left="480"/>
        <w:rPr>
          <w:noProof/>
          <w:lang w:val="ro-RO"/>
        </w:rPr>
      </w:pPr>
      <w:r>
        <w:rPr>
          <w:noProof/>
          <w:lang w:val="ro-RO"/>
        </w:rPr>
        <w:t>IAS își desfășoară activitatea în conformitate cu dispozițiile Regulamentului financiar, ale Standardelor internaționale pentru practica profesională a auditului intern și ale Codului de etică al Institutului Auditorilor Interni.</w:t>
      </w:r>
    </w:p>
    <w:p w:rsidR="004310B4" w:rsidRDefault="004310B4">
      <w:pPr>
        <w:pStyle w:val="Text1"/>
        <w:rPr>
          <w:noProof/>
          <w:lang w:val="ro-RO"/>
        </w:rPr>
      </w:pPr>
      <w:r>
        <w:rPr>
          <w:noProof/>
          <w:lang w:val="ro-RO"/>
        </w:rPr>
        <w:t>IAS nu auditează sistemele de control ale statelor membre în ceea ce privește fondurile Comisiei. Auditurile de acest tip, care vizează nivelul beneficiarilor individuali, sunt efectuate de auditorii interni ai statelor membre, de autoritățile naționale de audit, de alte direcții generale individuale ale Comisiei și de Curtea de Conturi Europeană. Cu toate acestea, IAS auditează măsurile luate de serviciile Comisiei pentru a supraveghea și a audita organismele din statele membre, precum și alte organisme care sunt responsabile cu efectuarea plăților din fondurile UE, cum ar fi Organizația Națiunilor Unite. În conformitate cu Regulamentul financiar, IAS poate îndeplini astfel de îndatoriri la fața locului, inclusiv în statele membre.</w:t>
      </w:r>
    </w:p>
    <w:p w:rsidR="004310B4" w:rsidRDefault="004310B4">
      <w:pPr>
        <w:pStyle w:val="Heading1"/>
        <w:rPr>
          <w:noProof/>
          <w:lang w:val="ro-RO"/>
        </w:rPr>
      </w:pPr>
      <w:bookmarkStart w:id="15" w:name="_Toc457473496"/>
      <w:bookmarkStart w:id="16" w:name="_Toc457473528"/>
      <w:bookmarkStart w:id="17" w:name="_Toc457473497"/>
      <w:bookmarkStart w:id="18" w:name="_Toc457473529"/>
      <w:bookmarkStart w:id="19" w:name="_Toc458419151"/>
      <w:bookmarkEnd w:id="15"/>
      <w:bookmarkEnd w:id="16"/>
      <w:bookmarkEnd w:id="17"/>
      <w:bookmarkEnd w:id="18"/>
      <w:r>
        <w:rPr>
          <w:noProof/>
          <w:lang w:val="ro-RO"/>
        </w:rPr>
        <w:t>Prezentare generală a activității de audit</w:t>
      </w:r>
      <w:bookmarkEnd w:id="19"/>
      <w:r>
        <w:rPr>
          <w:noProof/>
          <w:lang w:val="ro-RO"/>
        </w:rPr>
        <w:t xml:space="preserve"> </w:t>
      </w:r>
    </w:p>
    <w:p w:rsidR="004310B4" w:rsidRDefault="004310B4">
      <w:pPr>
        <w:pStyle w:val="Heading2"/>
        <w:autoSpaceDE w:val="0"/>
        <w:autoSpaceDN w:val="0"/>
        <w:adjustRightInd w:val="0"/>
        <w:spacing w:before="100" w:beforeAutospacing="1" w:after="100" w:afterAutospacing="1"/>
        <w:jc w:val="left"/>
        <w:rPr>
          <w:noProof/>
          <w:szCs w:val="24"/>
          <w:lang w:val="ro-RO"/>
        </w:rPr>
      </w:pPr>
      <w:bookmarkStart w:id="20" w:name="_Toc458419152"/>
      <w:r>
        <w:rPr>
          <w:noProof/>
          <w:lang w:val="ro-RO"/>
        </w:rPr>
        <w:t>Punerea în aplicare a planului de audit pentru anul 2015</w:t>
      </w:r>
      <w:bookmarkEnd w:id="20"/>
    </w:p>
    <w:p w:rsidR="004310B4" w:rsidRDefault="004310B4">
      <w:pPr>
        <w:pStyle w:val="Text1"/>
        <w:rPr>
          <w:noProof/>
          <w:lang w:val="ro-RO"/>
        </w:rPr>
      </w:pPr>
      <w:r>
        <w:rPr>
          <w:noProof/>
          <w:lang w:val="ro-RO"/>
        </w:rPr>
        <w:t>Până la data-limită de 31 ianuarie 2016, punerea în aplicare a planului de audit pentru anul 2015 și-a atins obiectivul de 100 % din misiunile planificate pentru audituri în cadrul Comisiei, al serviciilor și al agențiilor executive</w:t>
      </w:r>
      <w:r>
        <w:rPr>
          <w:noProof/>
          <w:vertAlign w:val="superscript"/>
          <w:lang w:val="ro-RO"/>
        </w:rPr>
        <w:footnoteReference w:id="6"/>
      </w:r>
      <w:r>
        <w:rPr>
          <w:noProof/>
          <w:lang w:val="ro-RO"/>
        </w:rPr>
        <w:t>.</w:t>
      </w:r>
    </w:p>
    <w:p w:rsidR="004310B4" w:rsidRDefault="004310B4">
      <w:pPr>
        <w:pStyle w:val="Text1"/>
        <w:rPr>
          <w:noProof/>
          <w:lang w:val="ro-RO"/>
        </w:rPr>
      </w:pPr>
      <w:r>
        <w:rPr>
          <w:noProof/>
          <w:lang w:val="ro-RO"/>
        </w:rPr>
        <w:t>Au fost finalizate 139 de misiuni (inclusiv audituri, acțiuni de urmărire subsecventă, analize restrânse, evaluări ale riscurilor și o scrisoare cu recomandări către conducere), defalcate astfel cum se indică în tabelul de mai jos.</w:t>
      </w:r>
    </w:p>
    <w:p w:rsidR="004310B4" w:rsidRDefault="004310B4">
      <w:pPr>
        <w:pStyle w:val="Text2"/>
        <w:ind w:left="567"/>
        <w:rPr>
          <w:noProof/>
          <w:lang w:val="ro-RO"/>
        </w:rPr>
      </w:pPr>
      <w:r>
        <w:rPr>
          <w:noProof/>
          <w:lang w:val="ro-RO"/>
        </w:rPr>
        <w:br w:type="page"/>
      </w:r>
    </w:p>
    <w:tbl>
      <w:tblPr>
        <w:tblW w:w="8540" w:type="dxa"/>
        <w:tblInd w:w="720" w:type="dxa"/>
        <w:tblLayout w:type="fixed"/>
        <w:tblLook w:val="04A0" w:firstRow="1" w:lastRow="0" w:firstColumn="1" w:lastColumn="0" w:noHBand="0" w:noVBand="1"/>
      </w:tblPr>
      <w:tblGrid>
        <w:gridCol w:w="1985"/>
        <w:gridCol w:w="1134"/>
        <w:gridCol w:w="1051"/>
        <w:gridCol w:w="1092"/>
        <w:gridCol w:w="1093"/>
        <w:gridCol w:w="1092"/>
        <w:gridCol w:w="1093"/>
      </w:tblGrid>
      <w:tr w:rsidR="004310B4">
        <w:trPr>
          <w:trHeight w:val="305"/>
          <w:tblHeader/>
        </w:trPr>
        <w:tc>
          <w:tcPr>
            <w:tcW w:w="1985" w:type="dxa"/>
            <w:tcBorders>
              <w:top w:val="nil"/>
              <w:left w:val="nil"/>
              <w:bottom w:val="nil"/>
              <w:right w:val="nil"/>
            </w:tcBorders>
            <w:vAlign w:val="center"/>
            <w:hideMark/>
          </w:tcPr>
          <w:p w:rsidR="004310B4" w:rsidRDefault="004310B4">
            <w:pPr>
              <w:spacing w:after="0"/>
              <w:jc w:val="left"/>
              <w:rPr>
                <w:noProof/>
                <w:color w:val="000000"/>
                <w:sz w:val="20"/>
                <w:lang w:val="ro-RO"/>
              </w:rPr>
            </w:pPr>
          </w:p>
        </w:tc>
        <w:tc>
          <w:tcPr>
            <w:tcW w:w="2185" w:type="dxa"/>
            <w:gridSpan w:val="2"/>
            <w:tcBorders>
              <w:top w:val="single" w:sz="8" w:space="0" w:color="auto"/>
              <w:left w:val="single" w:sz="8" w:space="0" w:color="auto"/>
              <w:bottom w:val="single" w:sz="8" w:space="0" w:color="auto"/>
              <w:right w:val="single" w:sz="8" w:space="0" w:color="000000"/>
            </w:tcBorders>
            <w:shd w:val="clear" w:color="auto" w:fill="A6A6A6"/>
            <w:vAlign w:val="center"/>
            <w:hideMark/>
          </w:tcPr>
          <w:p w:rsidR="004310B4" w:rsidRDefault="004310B4">
            <w:pPr>
              <w:spacing w:after="0"/>
              <w:jc w:val="center"/>
              <w:rPr>
                <w:noProof/>
                <w:color w:val="000000"/>
                <w:sz w:val="18"/>
                <w:szCs w:val="18"/>
                <w:lang w:val="ro-RO"/>
              </w:rPr>
            </w:pPr>
            <w:r>
              <w:rPr>
                <w:noProof/>
                <w:color w:val="000000"/>
                <w:sz w:val="18"/>
                <w:lang w:val="ro-RO"/>
              </w:rPr>
              <w:t>2015</w:t>
            </w:r>
          </w:p>
        </w:tc>
        <w:tc>
          <w:tcPr>
            <w:tcW w:w="2185" w:type="dxa"/>
            <w:gridSpan w:val="2"/>
            <w:tcBorders>
              <w:top w:val="single" w:sz="8" w:space="0" w:color="auto"/>
              <w:left w:val="nil"/>
              <w:bottom w:val="single" w:sz="8" w:space="0" w:color="auto"/>
              <w:right w:val="single" w:sz="8" w:space="0" w:color="000000"/>
            </w:tcBorders>
            <w:shd w:val="clear" w:color="000000" w:fill="FFFFFF"/>
            <w:vAlign w:val="center"/>
            <w:hideMark/>
          </w:tcPr>
          <w:p w:rsidR="004310B4" w:rsidRDefault="004310B4">
            <w:pPr>
              <w:spacing w:after="0"/>
              <w:jc w:val="center"/>
              <w:rPr>
                <w:noProof/>
                <w:color w:val="000000"/>
                <w:sz w:val="18"/>
                <w:szCs w:val="18"/>
                <w:lang w:val="ro-RO"/>
              </w:rPr>
            </w:pPr>
            <w:r>
              <w:rPr>
                <w:noProof/>
                <w:color w:val="000000"/>
                <w:sz w:val="18"/>
                <w:lang w:val="ro-RO"/>
              </w:rPr>
              <w:t>2014 </w:t>
            </w:r>
          </w:p>
        </w:tc>
        <w:tc>
          <w:tcPr>
            <w:tcW w:w="2185" w:type="dxa"/>
            <w:gridSpan w:val="2"/>
            <w:tcBorders>
              <w:top w:val="single" w:sz="8" w:space="0" w:color="auto"/>
              <w:left w:val="nil"/>
              <w:bottom w:val="single" w:sz="8" w:space="0" w:color="auto"/>
              <w:right w:val="single" w:sz="8" w:space="0" w:color="000000"/>
            </w:tcBorders>
            <w:vAlign w:val="center"/>
            <w:hideMark/>
          </w:tcPr>
          <w:p w:rsidR="004310B4" w:rsidRDefault="004310B4">
            <w:pPr>
              <w:spacing w:after="0"/>
              <w:jc w:val="center"/>
              <w:rPr>
                <w:noProof/>
                <w:color w:val="000000"/>
                <w:sz w:val="18"/>
                <w:szCs w:val="18"/>
                <w:lang w:val="ro-RO"/>
              </w:rPr>
            </w:pPr>
            <w:r>
              <w:rPr>
                <w:noProof/>
                <w:color w:val="000000"/>
                <w:sz w:val="18"/>
                <w:lang w:val="ro-RO"/>
              </w:rPr>
              <w:t>2013</w:t>
            </w:r>
          </w:p>
        </w:tc>
      </w:tr>
      <w:tr w:rsidR="004310B4">
        <w:trPr>
          <w:trHeight w:val="480"/>
          <w:tblHeader/>
        </w:trPr>
        <w:tc>
          <w:tcPr>
            <w:tcW w:w="1985" w:type="dxa"/>
            <w:tcBorders>
              <w:top w:val="nil"/>
              <w:left w:val="nil"/>
              <w:bottom w:val="single" w:sz="8" w:space="0" w:color="auto"/>
              <w:right w:val="nil"/>
            </w:tcBorders>
            <w:vAlign w:val="center"/>
            <w:hideMark/>
          </w:tcPr>
          <w:p w:rsidR="004310B4" w:rsidRDefault="004310B4">
            <w:pPr>
              <w:spacing w:after="0"/>
              <w:rPr>
                <w:noProof/>
                <w:color w:val="000000"/>
                <w:sz w:val="18"/>
                <w:szCs w:val="18"/>
                <w:lang w:val="ro-RO"/>
              </w:rPr>
            </w:pPr>
            <w:r>
              <w:rPr>
                <w:noProof/>
                <w:color w:val="000000"/>
                <w:sz w:val="18"/>
                <w:lang w:val="ro-RO"/>
              </w:rPr>
              <w:t> </w:t>
            </w:r>
          </w:p>
        </w:tc>
        <w:tc>
          <w:tcPr>
            <w:tcW w:w="1134" w:type="dxa"/>
            <w:tcBorders>
              <w:top w:val="nil"/>
              <w:left w:val="single" w:sz="8" w:space="0" w:color="auto"/>
              <w:bottom w:val="single" w:sz="8" w:space="0" w:color="auto"/>
              <w:right w:val="single" w:sz="8" w:space="0" w:color="auto"/>
            </w:tcBorders>
            <w:shd w:val="clear" w:color="auto" w:fill="A6A6A6"/>
            <w:vAlign w:val="center"/>
            <w:hideMark/>
          </w:tcPr>
          <w:p w:rsidR="004310B4" w:rsidRDefault="004310B4">
            <w:pPr>
              <w:spacing w:after="0"/>
              <w:jc w:val="center"/>
              <w:rPr>
                <w:noProof/>
                <w:color w:val="000000"/>
                <w:sz w:val="18"/>
                <w:szCs w:val="18"/>
                <w:lang w:val="ro-RO"/>
              </w:rPr>
            </w:pPr>
            <w:r>
              <w:rPr>
                <w:noProof/>
                <w:color w:val="000000"/>
                <w:sz w:val="16"/>
                <w:lang w:val="ro-RO"/>
              </w:rPr>
              <w:t>Misiuni</w:t>
            </w:r>
          </w:p>
        </w:tc>
        <w:tc>
          <w:tcPr>
            <w:tcW w:w="1051" w:type="dxa"/>
            <w:tcBorders>
              <w:top w:val="nil"/>
              <w:left w:val="nil"/>
              <w:bottom w:val="single" w:sz="8" w:space="0" w:color="auto"/>
              <w:right w:val="single" w:sz="8" w:space="0" w:color="auto"/>
            </w:tcBorders>
            <w:shd w:val="clear" w:color="auto" w:fill="A6A6A6"/>
            <w:vAlign w:val="center"/>
            <w:hideMark/>
          </w:tcPr>
          <w:p w:rsidR="004310B4" w:rsidRDefault="004310B4">
            <w:pPr>
              <w:spacing w:after="0"/>
              <w:jc w:val="center"/>
              <w:rPr>
                <w:noProof/>
                <w:color w:val="000000"/>
                <w:sz w:val="18"/>
                <w:szCs w:val="18"/>
                <w:lang w:val="ro-RO"/>
              </w:rPr>
            </w:pPr>
            <w:r>
              <w:rPr>
                <w:noProof/>
                <w:color w:val="000000"/>
                <w:sz w:val="16"/>
                <w:lang w:val="ro-RO"/>
              </w:rPr>
              <w:t>Rapoarte</w:t>
            </w:r>
          </w:p>
        </w:tc>
        <w:tc>
          <w:tcPr>
            <w:tcW w:w="1092" w:type="dxa"/>
            <w:tcBorders>
              <w:top w:val="nil"/>
              <w:left w:val="nil"/>
              <w:bottom w:val="single" w:sz="8" w:space="0" w:color="auto"/>
              <w:right w:val="single" w:sz="8" w:space="0" w:color="auto"/>
            </w:tcBorders>
            <w:shd w:val="clear" w:color="000000" w:fill="FFFFFF"/>
            <w:vAlign w:val="center"/>
            <w:hideMark/>
          </w:tcPr>
          <w:p w:rsidR="004310B4" w:rsidRDefault="004310B4">
            <w:pPr>
              <w:spacing w:after="0"/>
              <w:jc w:val="center"/>
              <w:rPr>
                <w:noProof/>
                <w:color w:val="000000"/>
                <w:sz w:val="18"/>
                <w:szCs w:val="18"/>
                <w:lang w:val="ro-RO"/>
              </w:rPr>
            </w:pPr>
            <w:r>
              <w:rPr>
                <w:noProof/>
                <w:color w:val="000000"/>
                <w:sz w:val="16"/>
                <w:lang w:val="ro-RO"/>
              </w:rPr>
              <w:t>Misiuni</w:t>
            </w:r>
          </w:p>
        </w:tc>
        <w:tc>
          <w:tcPr>
            <w:tcW w:w="1093" w:type="dxa"/>
            <w:tcBorders>
              <w:top w:val="nil"/>
              <w:left w:val="nil"/>
              <w:bottom w:val="single" w:sz="8" w:space="0" w:color="auto"/>
              <w:right w:val="single" w:sz="8" w:space="0" w:color="auto"/>
            </w:tcBorders>
            <w:shd w:val="clear" w:color="000000" w:fill="FFFFFF"/>
            <w:vAlign w:val="center"/>
            <w:hideMark/>
          </w:tcPr>
          <w:p w:rsidR="004310B4" w:rsidRDefault="004310B4">
            <w:pPr>
              <w:spacing w:after="0"/>
              <w:jc w:val="center"/>
              <w:rPr>
                <w:noProof/>
                <w:color w:val="000000"/>
                <w:sz w:val="18"/>
                <w:szCs w:val="18"/>
                <w:lang w:val="ro-RO"/>
              </w:rPr>
            </w:pPr>
            <w:r>
              <w:rPr>
                <w:noProof/>
                <w:color w:val="000000"/>
                <w:sz w:val="16"/>
                <w:lang w:val="ro-RO"/>
              </w:rPr>
              <w:t>Rapoarte</w:t>
            </w:r>
          </w:p>
        </w:tc>
        <w:tc>
          <w:tcPr>
            <w:tcW w:w="1092" w:type="dxa"/>
            <w:tcBorders>
              <w:top w:val="nil"/>
              <w:left w:val="nil"/>
              <w:bottom w:val="single" w:sz="8" w:space="0" w:color="auto"/>
              <w:right w:val="single" w:sz="8" w:space="0" w:color="auto"/>
            </w:tcBorders>
            <w:vAlign w:val="center"/>
            <w:hideMark/>
          </w:tcPr>
          <w:p w:rsidR="004310B4" w:rsidRDefault="004310B4">
            <w:pPr>
              <w:spacing w:after="0"/>
              <w:jc w:val="center"/>
              <w:rPr>
                <w:noProof/>
                <w:color w:val="000000"/>
                <w:sz w:val="18"/>
                <w:szCs w:val="18"/>
                <w:lang w:val="ro-RO"/>
              </w:rPr>
            </w:pPr>
            <w:r>
              <w:rPr>
                <w:noProof/>
                <w:color w:val="000000"/>
                <w:sz w:val="16"/>
                <w:lang w:val="ro-RO"/>
              </w:rPr>
              <w:t>Misiuni</w:t>
            </w:r>
          </w:p>
        </w:tc>
        <w:tc>
          <w:tcPr>
            <w:tcW w:w="1093" w:type="dxa"/>
            <w:tcBorders>
              <w:top w:val="nil"/>
              <w:left w:val="nil"/>
              <w:bottom w:val="single" w:sz="8" w:space="0" w:color="auto"/>
              <w:right w:val="single" w:sz="8" w:space="0" w:color="auto"/>
            </w:tcBorders>
            <w:vAlign w:val="center"/>
            <w:hideMark/>
          </w:tcPr>
          <w:p w:rsidR="004310B4" w:rsidRDefault="004310B4">
            <w:pPr>
              <w:spacing w:after="0"/>
              <w:jc w:val="center"/>
              <w:rPr>
                <w:noProof/>
                <w:color w:val="000000"/>
                <w:sz w:val="18"/>
                <w:szCs w:val="18"/>
                <w:lang w:val="ro-RO"/>
              </w:rPr>
            </w:pPr>
            <w:r>
              <w:rPr>
                <w:noProof/>
                <w:color w:val="000000"/>
                <w:sz w:val="16"/>
                <w:lang w:val="ro-RO"/>
              </w:rPr>
              <w:t>Rapoarte</w:t>
            </w:r>
          </w:p>
        </w:tc>
      </w:tr>
      <w:tr w:rsidR="004310B4">
        <w:trPr>
          <w:trHeight w:val="415"/>
        </w:trPr>
        <w:tc>
          <w:tcPr>
            <w:tcW w:w="1985" w:type="dxa"/>
            <w:tcBorders>
              <w:top w:val="nil"/>
              <w:left w:val="single" w:sz="8" w:space="0" w:color="auto"/>
              <w:bottom w:val="single" w:sz="8" w:space="0" w:color="auto"/>
              <w:right w:val="nil"/>
            </w:tcBorders>
            <w:vAlign w:val="center"/>
            <w:hideMark/>
          </w:tcPr>
          <w:p w:rsidR="004310B4" w:rsidRDefault="004310B4">
            <w:pPr>
              <w:spacing w:after="0"/>
              <w:rPr>
                <w:noProof/>
                <w:color w:val="000000"/>
                <w:sz w:val="18"/>
                <w:szCs w:val="18"/>
                <w:lang w:val="ro-RO"/>
              </w:rPr>
            </w:pPr>
            <w:r>
              <w:rPr>
                <w:noProof/>
                <w:color w:val="000000"/>
                <w:sz w:val="18"/>
                <w:lang w:val="ro-RO"/>
              </w:rPr>
              <w:t>Audit</w:t>
            </w:r>
          </w:p>
        </w:tc>
        <w:tc>
          <w:tcPr>
            <w:tcW w:w="1134" w:type="dxa"/>
            <w:tcBorders>
              <w:top w:val="nil"/>
              <w:left w:val="single" w:sz="8" w:space="0" w:color="auto"/>
              <w:bottom w:val="single" w:sz="8" w:space="0" w:color="auto"/>
              <w:right w:val="nil"/>
            </w:tcBorders>
            <w:shd w:val="clear" w:color="auto" w:fill="A6A6A6"/>
            <w:vAlign w:val="center"/>
            <w:hideMark/>
          </w:tcPr>
          <w:p w:rsidR="004310B4" w:rsidRDefault="004310B4">
            <w:pPr>
              <w:spacing w:after="0"/>
              <w:jc w:val="center"/>
              <w:rPr>
                <w:noProof/>
                <w:color w:val="000000"/>
                <w:sz w:val="18"/>
                <w:szCs w:val="18"/>
                <w:lang w:val="ro-RO"/>
              </w:rPr>
            </w:pPr>
            <w:r>
              <w:rPr>
                <w:noProof/>
                <w:color w:val="000000"/>
                <w:sz w:val="18"/>
                <w:lang w:val="ro-RO"/>
              </w:rPr>
              <w:t>38</w:t>
            </w:r>
          </w:p>
        </w:tc>
        <w:tc>
          <w:tcPr>
            <w:tcW w:w="1051" w:type="dxa"/>
            <w:tcBorders>
              <w:top w:val="nil"/>
              <w:left w:val="single" w:sz="8" w:space="0" w:color="auto"/>
              <w:bottom w:val="single" w:sz="8" w:space="0" w:color="auto"/>
              <w:right w:val="nil"/>
            </w:tcBorders>
            <w:shd w:val="clear" w:color="auto" w:fill="A6A6A6"/>
            <w:vAlign w:val="center"/>
            <w:hideMark/>
          </w:tcPr>
          <w:p w:rsidR="004310B4" w:rsidRDefault="004310B4">
            <w:pPr>
              <w:spacing w:after="0"/>
              <w:jc w:val="center"/>
              <w:rPr>
                <w:noProof/>
                <w:color w:val="000000"/>
                <w:sz w:val="18"/>
                <w:szCs w:val="18"/>
                <w:lang w:val="ro-RO"/>
              </w:rPr>
            </w:pPr>
            <w:r>
              <w:rPr>
                <w:noProof/>
                <w:color w:val="000000"/>
                <w:sz w:val="18"/>
                <w:lang w:val="ro-RO"/>
              </w:rPr>
              <w:t>52</w:t>
            </w:r>
            <w:r>
              <w:rPr>
                <w:rStyle w:val="FootnoteReference"/>
                <w:noProof/>
                <w:color w:val="000000"/>
                <w:sz w:val="18"/>
                <w:lang w:val="ro-RO"/>
              </w:rPr>
              <w:footnoteReference w:id="7"/>
            </w:r>
          </w:p>
        </w:tc>
        <w:tc>
          <w:tcPr>
            <w:tcW w:w="1092" w:type="dxa"/>
            <w:tcBorders>
              <w:top w:val="nil"/>
              <w:left w:val="single" w:sz="8" w:space="0" w:color="auto"/>
              <w:bottom w:val="single" w:sz="8" w:space="0" w:color="auto"/>
              <w:right w:val="single" w:sz="8" w:space="0" w:color="auto"/>
            </w:tcBorders>
            <w:shd w:val="clear" w:color="000000" w:fill="FFFFFF"/>
            <w:vAlign w:val="center"/>
            <w:hideMark/>
          </w:tcPr>
          <w:p w:rsidR="004310B4" w:rsidRDefault="004310B4">
            <w:pPr>
              <w:spacing w:after="0"/>
              <w:jc w:val="center"/>
              <w:rPr>
                <w:noProof/>
                <w:color w:val="000000"/>
                <w:sz w:val="18"/>
                <w:szCs w:val="18"/>
                <w:lang w:val="ro-RO"/>
              </w:rPr>
            </w:pPr>
            <w:r>
              <w:rPr>
                <w:noProof/>
                <w:color w:val="000000"/>
                <w:sz w:val="18"/>
                <w:lang w:val="ro-RO"/>
              </w:rPr>
              <w:t>25</w:t>
            </w:r>
            <w:r>
              <w:rPr>
                <w:rStyle w:val="FootnoteReference"/>
                <w:noProof/>
                <w:color w:val="000000"/>
                <w:sz w:val="18"/>
                <w:lang w:val="ro-RO"/>
              </w:rPr>
              <w:footnoteReference w:id="8"/>
            </w:r>
          </w:p>
        </w:tc>
        <w:tc>
          <w:tcPr>
            <w:tcW w:w="1093" w:type="dxa"/>
            <w:tcBorders>
              <w:top w:val="nil"/>
              <w:left w:val="nil"/>
              <w:bottom w:val="single" w:sz="8" w:space="0" w:color="auto"/>
              <w:right w:val="single" w:sz="8" w:space="0" w:color="auto"/>
            </w:tcBorders>
            <w:shd w:val="clear" w:color="000000" w:fill="FFFFFF"/>
            <w:vAlign w:val="center"/>
            <w:hideMark/>
          </w:tcPr>
          <w:p w:rsidR="004310B4" w:rsidRDefault="004310B4">
            <w:pPr>
              <w:spacing w:after="0"/>
              <w:jc w:val="center"/>
              <w:rPr>
                <w:noProof/>
                <w:color w:val="000000"/>
                <w:sz w:val="18"/>
                <w:szCs w:val="18"/>
                <w:lang w:val="ro-RO"/>
              </w:rPr>
            </w:pPr>
            <w:r>
              <w:rPr>
                <w:noProof/>
                <w:color w:val="000000"/>
                <w:sz w:val="18"/>
                <w:lang w:val="ro-RO"/>
              </w:rPr>
              <w:t>31</w:t>
            </w:r>
          </w:p>
        </w:tc>
        <w:tc>
          <w:tcPr>
            <w:tcW w:w="1092" w:type="dxa"/>
            <w:tcBorders>
              <w:top w:val="nil"/>
              <w:left w:val="nil"/>
              <w:bottom w:val="single" w:sz="8" w:space="0" w:color="auto"/>
              <w:right w:val="single" w:sz="8" w:space="0" w:color="auto"/>
            </w:tcBorders>
            <w:vAlign w:val="center"/>
            <w:hideMark/>
          </w:tcPr>
          <w:p w:rsidR="004310B4" w:rsidRDefault="004310B4">
            <w:pPr>
              <w:spacing w:after="0"/>
              <w:jc w:val="center"/>
              <w:rPr>
                <w:noProof/>
                <w:color w:val="000000"/>
                <w:sz w:val="18"/>
                <w:szCs w:val="18"/>
                <w:lang w:val="ro-RO"/>
              </w:rPr>
            </w:pPr>
            <w:r>
              <w:rPr>
                <w:noProof/>
                <w:color w:val="000000"/>
                <w:sz w:val="18"/>
                <w:lang w:val="ro-RO"/>
              </w:rPr>
              <w:t>22</w:t>
            </w:r>
            <w:r>
              <w:rPr>
                <w:rStyle w:val="FootnoteReference"/>
                <w:noProof/>
                <w:color w:val="000000"/>
                <w:sz w:val="18"/>
                <w:lang w:val="ro-RO"/>
              </w:rPr>
              <w:footnoteReference w:id="9"/>
            </w:r>
          </w:p>
        </w:tc>
        <w:tc>
          <w:tcPr>
            <w:tcW w:w="1093" w:type="dxa"/>
            <w:tcBorders>
              <w:top w:val="nil"/>
              <w:left w:val="nil"/>
              <w:bottom w:val="single" w:sz="8" w:space="0" w:color="auto"/>
              <w:right w:val="single" w:sz="8" w:space="0" w:color="auto"/>
            </w:tcBorders>
            <w:vAlign w:val="center"/>
            <w:hideMark/>
          </w:tcPr>
          <w:p w:rsidR="004310B4" w:rsidRDefault="004310B4">
            <w:pPr>
              <w:spacing w:after="0"/>
              <w:jc w:val="center"/>
              <w:rPr>
                <w:noProof/>
                <w:color w:val="000000"/>
                <w:sz w:val="18"/>
                <w:szCs w:val="18"/>
                <w:lang w:val="ro-RO"/>
              </w:rPr>
            </w:pPr>
            <w:r>
              <w:rPr>
                <w:noProof/>
                <w:color w:val="000000"/>
                <w:sz w:val="18"/>
                <w:lang w:val="ro-RO"/>
              </w:rPr>
              <w:t>23</w:t>
            </w:r>
          </w:p>
        </w:tc>
      </w:tr>
      <w:tr w:rsidR="004310B4">
        <w:trPr>
          <w:trHeight w:val="415"/>
        </w:trPr>
        <w:tc>
          <w:tcPr>
            <w:tcW w:w="1985" w:type="dxa"/>
            <w:tcBorders>
              <w:top w:val="nil"/>
              <w:left w:val="single" w:sz="8" w:space="0" w:color="auto"/>
              <w:bottom w:val="single" w:sz="8" w:space="0" w:color="auto"/>
              <w:right w:val="nil"/>
            </w:tcBorders>
            <w:vAlign w:val="center"/>
            <w:hideMark/>
          </w:tcPr>
          <w:p w:rsidR="004310B4" w:rsidRDefault="004310B4">
            <w:pPr>
              <w:spacing w:after="0"/>
              <w:rPr>
                <w:noProof/>
                <w:color w:val="000000"/>
                <w:sz w:val="18"/>
                <w:szCs w:val="18"/>
                <w:lang w:val="ro-RO"/>
              </w:rPr>
            </w:pPr>
            <w:r>
              <w:rPr>
                <w:noProof/>
                <w:color w:val="000000"/>
                <w:sz w:val="18"/>
                <w:lang w:val="ro-RO"/>
              </w:rPr>
              <w:t>Acțiune subsecventă</w:t>
            </w:r>
          </w:p>
        </w:tc>
        <w:tc>
          <w:tcPr>
            <w:tcW w:w="1134" w:type="dxa"/>
            <w:tcBorders>
              <w:top w:val="nil"/>
              <w:left w:val="single" w:sz="8" w:space="0" w:color="auto"/>
              <w:bottom w:val="single" w:sz="8" w:space="0" w:color="auto"/>
              <w:right w:val="nil"/>
            </w:tcBorders>
            <w:shd w:val="clear" w:color="auto" w:fill="A6A6A6"/>
            <w:vAlign w:val="center"/>
            <w:hideMark/>
          </w:tcPr>
          <w:p w:rsidR="004310B4" w:rsidRDefault="004310B4">
            <w:pPr>
              <w:spacing w:after="0"/>
              <w:jc w:val="center"/>
              <w:rPr>
                <w:noProof/>
                <w:color w:val="000000"/>
                <w:sz w:val="18"/>
                <w:szCs w:val="18"/>
                <w:highlight w:val="yellow"/>
                <w:lang w:val="ro-RO"/>
              </w:rPr>
            </w:pPr>
            <w:r>
              <w:rPr>
                <w:noProof/>
                <w:color w:val="000000"/>
                <w:sz w:val="18"/>
                <w:lang w:val="ro-RO"/>
              </w:rPr>
              <w:t>96</w:t>
            </w:r>
          </w:p>
        </w:tc>
        <w:tc>
          <w:tcPr>
            <w:tcW w:w="1051" w:type="dxa"/>
            <w:tcBorders>
              <w:top w:val="nil"/>
              <w:left w:val="single" w:sz="8" w:space="0" w:color="auto"/>
              <w:bottom w:val="single" w:sz="8" w:space="0" w:color="auto"/>
              <w:right w:val="nil"/>
            </w:tcBorders>
            <w:shd w:val="clear" w:color="auto" w:fill="A6A6A6"/>
            <w:vAlign w:val="center"/>
            <w:hideMark/>
          </w:tcPr>
          <w:p w:rsidR="004310B4" w:rsidRDefault="004310B4">
            <w:pPr>
              <w:spacing w:after="0"/>
              <w:jc w:val="center"/>
              <w:rPr>
                <w:noProof/>
                <w:color w:val="000000"/>
                <w:sz w:val="18"/>
                <w:szCs w:val="18"/>
                <w:highlight w:val="yellow"/>
                <w:lang w:val="ro-RO"/>
              </w:rPr>
            </w:pPr>
            <w:r>
              <w:rPr>
                <w:noProof/>
                <w:color w:val="000000"/>
                <w:sz w:val="18"/>
                <w:lang w:val="ro-RO"/>
              </w:rPr>
              <w:t>-</w:t>
            </w:r>
            <w:r>
              <w:rPr>
                <w:rStyle w:val="FootnoteReference"/>
                <w:noProof/>
                <w:color w:val="000000"/>
                <w:sz w:val="18"/>
                <w:lang w:val="ro-RO"/>
              </w:rPr>
              <w:footnoteReference w:id="10"/>
            </w:r>
          </w:p>
        </w:tc>
        <w:tc>
          <w:tcPr>
            <w:tcW w:w="1092" w:type="dxa"/>
            <w:tcBorders>
              <w:top w:val="nil"/>
              <w:left w:val="single" w:sz="8" w:space="0" w:color="auto"/>
              <w:bottom w:val="single" w:sz="8" w:space="0" w:color="auto"/>
              <w:right w:val="single" w:sz="8" w:space="0" w:color="auto"/>
            </w:tcBorders>
            <w:shd w:val="clear" w:color="000000" w:fill="FFFFFF"/>
            <w:vAlign w:val="center"/>
            <w:hideMark/>
          </w:tcPr>
          <w:p w:rsidR="004310B4" w:rsidRDefault="004310B4">
            <w:pPr>
              <w:spacing w:after="0"/>
              <w:jc w:val="center"/>
              <w:rPr>
                <w:noProof/>
                <w:color w:val="000000"/>
                <w:sz w:val="18"/>
                <w:szCs w:val="18"/>
                <w:lang w:val="ro-RO"/>
              </w:rPr>
            </w:pPr>
            <w:r>
              <w:rPr>
                <w:noProof/>
                <w:color w:val="000000"/>
                <w:sz w:val="18"/>
                <w:lang w:val="ro-RO"/>
              </w:rPr>
              <w:t>53</w:t>
            </w:r>
          </w:p>
        </w:tc>
        <w:tc>
          <w:tcPr>
            <w:tcW w:w="1093" w:type="dxa"/>
            <w:tcBorders>
              <w:top w:val="nil"/>
              <w:left w:val="nil"/>
              <w:bottom w:val="single" w:sz="8" w:space="0" w:color="auto"/>
              <w:right w:val="single" w:sz="8" w:space="0" w:color="auto"/>
            </w:tcBorders>
            <w:shd w:val="clear" w:color="000000" w:fill="FFFFFF"/>
            <w:vAlign w:val="center"/>
            <w:hideMark/>
          </w:tcPr>
          <w:p w:rsidR="004310B4" w:rsidRDefault="004310B4">
            <w:pPr>
              <w:spacing w:after="0"/>
              <w:jc w:val="center"/>
              <w:rPr>
                <w:noProof/>
                <w:color w:val="000000"/>
                <w:sz w:val="18"/>
                <w:szCs w:val="18"/>
                <w:lang w:val="ro-RO"/>
              </w:rPr>
            </w:pPr>
            <w:r>
              <w:rPr>
                <w:noProof/>
                <w:color w:val="000000"/>
                <w:sz w:val="18"/>
                <w:lang w:val="ro-RO"/>
              </w:rPr>
              <w:t>-</w:t>
            </w:r>
          </w:p>
        </w:tc>
        <w:tc>
          <w:tcPr>
            <w:tcW w:w="1092" w:type="dxa"/>
            <w:tcBorders>
              <w:top w:val="nil"/>
              <w:left w:val="nil"/>
              <w:bottom w:val="single" w:sz="8" w:space="0" w:color="auto"/>
              <w:right w:val="single" w:sz="8" w:space="0" w:color="auto"/>
            </w:tcBorders>
            <w:vAlign w:val="center"/>
            <w:hideMark/>
          </w:tcPr>
          <w:p w:rsidR="004310B4" w:rsidRDefault="004310B4">
            <w:pPr>
              <w:spacing w:after="0"/>
              <w:jc w:val="center"/>
              <w:rPr>
                <w:noProof/>
                <w:color w:val="000000"/>
                <w:sz w:val="18"/>
                <w:szCs w:val="18"/>
                <w:lang w:val="ro-RO"/>
              </w:rPr>
            </w:pPr>
            <w:r>
              <w:rPr>
                <w:noProof/>
                <w:color w:val="000000"/>
                <w:sz w:val="18"/>
                <w:lang w:val="ro-RO"/>
              </w:rPr>
              <w:t>48</w:t>
            </w:r>
          </w:p>
        </w:tc>
        <w:tc>
          <w:tcPr>
            <w:tcW w:w="1093" w:type="dxa"/>
            <w:tcBorders>
              <w:top w:val="nil"/>
              <w:left w:val="nil"/>
              <w:bottom w:val="single" w:sz="8" w:space="0" w:color="auto"/>
              <w:right w:val="single" w:sz="8" w:space="0" w:color="auto"/>
            </w:tcBorders>
            <w:vAlign w:val="center"/>
            <w:hideMark/>
          </w:tcPr>
          <w:p w:rsidR="004310B4" w:rsidRDefault="004310B4">
            <w:pPr>
              <w:spacing w:after="0"/>
              <w:jc w:val="center"/>
              <w:rPr>
                <w:noProof/>
                <w:color w:val="000000"/>
                <w:sz w:val="18"/>
                <w:szCs w:val="18"/>
                <w:lang w:val="ro-RO"/>
              </w:rPr>
            </w:pPr>
            <w:r>
              <w:rPr>
                <w:noProof/>
                <w:color w:val="000000"/>
                <w:sz w:val="18"/>
                <w:lang w:val="ro-RO"/>
              </w:rPr>
              <w:t>-</w:t>
            </w:r>
          </w:p>
        </w:tc>
      </w:tr>
      <w:tr w:rsidR="004310B4">
        <w:trPr>
          <w:trHeight w:val="415"/>
        </w:trPr>
        <w:tc>
          <w:tcPr>
            <w:tcW w:w="1985" w:type="dxa"/>
            <w:tcBorders>
              <w:top w:val="nil"/>
              <w:left w:val="single" w:sz="8" w:space="0" w:color="auto"/>
              <w:bottom w:val="single" w:sz="8" w:space="0" w:color="auto"/>
              <w:right w:val="nil"/>
            </w:tcBorders>
            <w:vAlign w:val="center"/>
            <w:hideMark/>
          </w:tcPr>
          <w:p w:rsidR="004310B4" w:rsidRDefault="004310B4">
            <w:pPr>
              <w:spacing w:after="0"/>
              <w:jc w:val="left"/>
              <w:rPr>
                <w:noProof/>
                <w:color w:val="000000"/>
                <w:sz w:val="18"/>
                <w:szCs w:val="18"/>
                <w:lang w:val="ro-RO"/>
              </w:rPr>
            </w:pPr>
            <w:r>
              <w:rPr>
                <w:noProof/>
                <w:color w:val="000000"/>
                <w:sz w:val="18"/>
                <w:lang w:val="ro-RO"/>
              </w:rPr>
              <w:t>Revizuire (limitată)</w:t>
            </w:r>
          </w:p>
        </w:tc>
        <w:tc>
          <w:tcPr>
            <w:tcW w:w="1134" w:type="dxa"/>
            <w:tcBorders>
              <w:top w:val="nil"/>
              <w:left w:val="single" w:sz="8" w:space="0" w:color="auto"/>
              <w:bottom w:val="single" w:sz="8" w:space="0" w:color="auto"/>
              <w:right w:val="nil"/>
            </w:tcBorders>
            <w:shd w:val="clear" w:color="auto" w:fill="A6A6A6"/>
            <w:vAlign w:val="center"/>
            <w:hideMark/>
          </w:tcPr>
          <w:p w:rsidR="004310B4" w:rsidRDefault="004310B4">
            <w:pPr>
              <w:spacing w:after="0"/>
              <w:jc w:val="center"/>
              <w:rPr>
                <w:noProof/>
                <w:color w:val="000000"/>
                <w:sz w:val="18"/>
                <w:szCs w:val="18"/>
                <w:lang w:val="ro-RO"/>
              </w:rPr>
            </w:pPr>
            <w:r>
              <w:rPr>
                <w:noProof/>
                <w:color w:val="000000"/>
                <w:sz w:val="18"/>
                <w:lang w:val="ro-RO"/>
              </w:rPr>
              <w:t>2</w:t>
            </w:r>
          </w:p>
        </w:tc>
        <w:tc>
          <w:tcPr>
            <w:tcW w:w="1051" w:type="dxa"/>
            <w:tcBorders>
              <w:top w:val="nil"/>
              <w:left w:val="single" w:sz="8" w:space="0" w:color="auto"/>
              <w:bottom w:val="single" w:sz="8" w:space="0" w:color="auto"/>
              <w:right w:val="nil"/>
            </w:tcBorders>
            <w:shd w:val="clear" w:color="auto" w:fill="A6A6A6"/>
            <w:vAlign w:val="center"/>
            <w:hideMark/>
          </w:tcPr>
          <w:p w:rsidR="004310B4" w:rsidRDefault="004310B4">
            <w:pPr>
              <w:spacing w:after="0"/>
              <w:jc w:val="center"/>
              <w:rPr>
                <w:noProof/>
                <w:color w:val="000000"/>
                <w:sz w:val="18"/>
                <w:szCs w:val="18"/>
                <w:lang w:val="ro-RO"/>
              </w:rPr>
            </w:pPr>
            <w:r>
              <w:rPr>
                <w:noProof/>
                <w:color w:val="000000"/>
                <w:sz w:val="18"/>
                <w:lang w:val="ro-RO"/>
              </w:rPr>
              <w:t>2</w:t>
            </w:r>
          </w:p>
        </w:tc>
        <w:tc>
          <w:tcPr>
            <w:tcW w:w="1092" w:type="dxa"/>
            <w:tcBorders>
              <w:top w:val="nil"/>
              <w:left w:val="single" w:sz="8" w:space="0" w:color="auto"/>
              <w:bottom w:val="single" w:sz="8" w:space="0" w:color="auto"/>
              <w:right w:val="single" w:sz="8" w:space="0" w:color="auto"/>
            </w:tcBorders>
            <w:shd w:val="clear" w:color="000000" w:fill="FFFFFF"/>
            <w:vAlign w:val="center"/>
            <w:hideMark/>
          </w:tcPr>
          <w:p w:rsidR="004310B4" w:rsidRDefault="004310B4">
            <w:pPr>
              <w:spacing w:after="0"/>
              <w:jc w:val="center"/>
              <w:rPr>
                <w:noProof/>
                <w:color w:val="000000"/>
                <w:sz w:val="18"/>
                <w:szCs w:val="18"/>
                <w:lang w:val="ro-RO"/>
              </w:rPr>
            </w:pPr>
            <w:r>
              <w:rPr>
                <w:noProof/>
                <w:color w:val="000000"/>
                <w:sz w:val="18"/>
                <w:lang w:val="ro-RO"/>
              </w:rPr>
              <w:t>5</w:t>
            </w:r>
          </w:p>
        </w:tc>
        <w:tc>
          <w:tcPr>
            <w:tcW w:w="1093" w:type="dxa"/>
            <w:tcBorders>
              <w:top w:val="nil"/>
              <w:left w:val="nil"/>
              <w:bottom w:val="single" w:sz="8" w:space="0" w:color="auto"/>
              <w:right w:val="single" w:sz="8" w:space="0" w:color="auto"/>
            </w:tcBorders>
            <w:shd w:val="clear" w:color="000000" w:fill="FFFFFF"/>
            <w:vAlign w:val="center"/>
            <w:hideMark/>
          </w:tcPr>
          <w:p w:rsidR="004310B4" w:rsidRDefault="004310B4">
            <w:pPr>
              <w:spacing w:after="0"/>
              <w:jc w:val="center"/>
              <w:rPr>
                <w:noProof/>
                <w:color w:val="000000"/>
                <w:sz w:val="18"/>
                <w:szCs w:val="18"/>
                <w:lang w:val="ro-RO"/>
              </w:rPr>
            </w:pPr>
            <w:r>
              <w:rPr>
                <w:noProof/>
                <w:color w:val="000000"/>
                <w:sz w:val="18"/>
                <w:lang w:val="ro-RO"/>
              </w:rPr>
              <w:t>5</w:t>
            </w:r>
          </w:p>
        </w:tc>
        <w:tc>
          <w:tcPr>
            <w:tcW w:w="1092" w:type="dxa"/>
            <w:tcBorders>
              <w:top w:val="nil"/>
              <w:left w:val="nil"/>
              <w:bottom w:val="single" w:sz="8" w:space="0" w:color="auto"/>
              <w:right w:val="single" w:sz="8" w:space="0" w:color="auto"/>
            </w:tcBorders>
            <w:vAlign w:val="center"/>
            <w:hideMark/>
          </w:tcPr>
          <w:p w:rsidR="004310B4" w:rsidRDefault="004310B4">
            <w:pPr>
              <w:spacing w:after="0"/>
              <w:jc w:val="center"/>
              <w:rPr>
                <w:noProof/>
                <w:color w:val="000000"/>
                <w:sz w:val="18"/>
                <w:szCs w:val="18"/>
                <w:lang w:val="ro-RO"/>
              </w:rPr>
            </w:pPr>
            <w:r>
              <w:rPr>
                <w:noProof/>
                <w:color w:val="000000"/>
                <w:sz w:val="18"/>
                <w:lang w:val="ro-RO"/>
              </w:rPr>
              <w:t>4</w:t>
            </w:r>
          </w:p>
        </w:tc>
        <w:tc>
          <w:tcPr>
            <w:tcW w:w="1093" w:type="dxa"/>
            <w:tcBorders>
              <w:top w:val="nil"/>
              <w:left w:val="nil"/>
              <w:bottom w:val="single" w:sz="8" w:space="0" w:color="auto"/>
              <w:right w:val="single" w:sz="8" w:space="0" w:color="auto"/>
            </w:tcBorders>
            <w:vAlign w:val="center"/>
            <w:hideMark/>
          </w:tcPr>
          <w:p w:rsidR="004310B4" w:rsidRDefault="004310B4">
            <w:pPr>
              <w:spacing w:after="0"/>
              <w:jc w:val="center"/>
              <w:rPr>
                <w:noProof/>
                <w:color w:val="000000"/>
                <w:sz w:val="18"/>
                <w:szCs w:val="18"/>
                <w:lang w:val="ro-RO"/>
              </w:rPr>
            </w:pPr>
            <w:r>
              <w:rPr>
                <w:noProof/>
                <w:color w:val="000000"/>
                <w:sz w:val="18"/>
                <w:lang w:val="ro-RO"/>
              </w:rPr>
              <w:t>4</w:t>
            </w:r>
          </w:p>
        </w:tc>
      </w:tr>
      <w:tr w:rsidR="004310B4">
        <w:trPr>
          <w:trHeight w:val="416"/>
        </w:trPr>
        <w:tc>
          <w:tcPr>
            <w:tcW w:w="1985" w:type="dxa"/>
            <w:tcBorders>
              <w:top w:val="nil"/>
              <w:left w:val="single" w:sz="8" w:space="0" w:color="auto"/>
              <w:bottom w:val="single" w:sz="8" w:space="0" w:color="auto"/>
              <w:right w:val="nil"/>
            </w:tcBorders>
            <w:vAlign w:val="center"/>
            <w:hideMark/>
          </w:tcPr>
          <w:p w:rsidR="004310B4" w:rsidRDefault="004310B4">
            <w:pPr>
              <w:spacing w:after="0"/>
              <w:rPr>
                <w:noProof/>
                <w:color w:val="000000"/>
                <w:sz w:val="17"/>
                <w:szCs w:val="17"/>
                <w:lang w:val="ro-RO"/>
              </w:rPr>
            </w:pPr>
            <w:r>
              <w:rPr>
                <w:noProof/>
                <w:color w:val="000000"/>
                <w:sz w:val="17"/>
                <w:lang w:val="ro-RO"/>
              </w:rPr>
              <w:t>Scrisoare cu recomandări către conducere</w:t>
            </w:r>
          </w:p>
        </w:tc>
        <w:tc>
          <w:tcPr>
            <w:tcW w:w="1134" w:type="dxa"/>
            <w:tcBorders>
              <w:top w:val="nil"/>
              <w:left w:val="single" w:sz="8" w:space="0" w:color="auto"/>
              <w:bottom w:val="single" w:sz="8" w:space="0" w:color="auto"/>
              <w:right w:val="nil"/>
            </w:tcBorders>
            <w:shd w:val="clear" w:color="auto" w:fill="A6A6A6"/>
            <w:vAlign w:val="center"/>
            <w:hideMark/>
          </w:tcPr>
          <w:p w:rsidR="004310B4" w:rsidRDefault="004310B4">
            <w:pPr>
              <w:spacing w:after="0"/>
              <w:jc w:val="center"/>
              <w:rPr>
                <w:noProof/>
                <w:color w:val="000000"/>
                <w:sz w:val="17"/>
                <w:szCs w:val="17"/>
                <w:lang w:val="ro-RO"/>
              </w:rPr>
            </w:pPr>
            <w:r>
              <w:rPr>
                <w:noProof/>
                <w:color w:val="000000"/>
                <w:sz w:val="17"/>
                <w:lang w:val="ro-RO"/>
              </w:rPr>
              <w:t>1</w:t>
            </w:r>
          </w:p>
        </w:tc>
        <w:tc>
          <w:tcPr>
            <w:tcW w:w="1051" w:type="dxa"/>
            <w:tcBorders>
              <w:top w:val="nil"/>
              <w:left w:val="single" w:sz="8" w:space="0" w:color="auto"/>
              <w:bottom w:val="single" w:sz="8" w:space="0" w:color="auto"/>
              <w:right w:val="nil"/>
            </w:tcBorders>
            <w:shd w:val="clear" w:color="auto" w:fill="A6A6A6"/>
            <w:vAlign w:val="center"/>
            <w:hideMark/>
          </w:tcPr>
          <w:p w:rsidR="004310B4" w:rsidRDefault="004310B4">
            <w:pPr>
              <w:spacing w:after="0"/>
              <w:jc w:val="center"/>
              <w:rPr>
                <w:noProof/>
                <w:color w:val="000000"/>
                <w:sz w:val="17"/>
                <w:szCs w:val="17"/>
                <w:lang w:val="ro-RO"/>
              </w:rPr>
            </w:pPr>
            <w:r>
              <w:rPr>
                <w:noProof/>
                <w:color w:val="000000"/>
                <w:sz w:val="17"/>
                <w:lang w:val="ro-RO"/>
              </w:rPr>
              <w:t>1</w:t>
            </w:r>
          </w:p>
        </w:tc>
        <w:tc>
          <w:tcPr>
            <w:tcW w:w="1092" w:type="dxa"/>
            <w:tcBorders>
              <w:top w:val="nil"/>
              <w:left w:val="single" w:sz="8" w:space="0" w:color="auto"/>
              <w:bottom w:val="single" w:sz="8" w:space="0" w:color="auto"/>
              <w:right w:val="single" w:sz="8" w:space="0" w:color="auto"/>
            </w:tcBorders>
            <w:shd w:val="clear" w:color="000000" w:fill="FFFFFF"/>
            <w:vAlign w:val="center"/>
            <w:hideMark/>
          </w:tcPr>
          <w:p w:rsidR="004310B4" w:rsidRDefault="004310B4">
            <w:pPr>
              <w:spacing w:after="0"/>
              <w:jc w:val="center"/>
              <w:rPr>
                <w:noProof/>
                <w:color w:val="000000"/>
                <w:sz w:val="18"/>
                <w:szCs w:val="18"/>
                <w:lang w:val="ro-RO"/>
              </w:rPr>
            </w:pPr>
            <w:r>
              <w:rPr>
                <w:noProof/>
                <w:color w:val="000000"/>
                <w:sz w:val="18"/>
                <w:lang w:val="ro-RO"/>
              </w:rPr>
              <w:t>1</w:t>
            </w:r>
          </w:p>
        </w:tc>
        <w:tc>
          <w:tcPr>
            <w:tcW w:w="1093" w:type="dxa"/>
            <w:tcBorders>
              <w:top w:val="nil"/>
              <w:left w:val="nil"/>
              <w:bottom w:val="single" w:sz="8" w:space="0" w:color="auto"/>
              <w:right w:val="single" w:sz="8" w:space="0" w:color="auto"/>
            </w:tcBorders>
            <w:shd w:val="clear" w:color="000000" w:fill="FFFFFF"/>
            <w:vAlign w:val="center"/>
            <w:hideMark/>
          </w:tcPr>
          <w:p w:rsidR="004310B4" w:rsidRDefault="004310B4">
            <w:pPr>
              <w:spacing w:after="0"/>
              <w:jc w:val="center"/>
              <w:rPr>
                <w:noProof/>
                <w:color w:val="000000"/>
                <w:sz w:val="18"/>
                <w:szCs w:val="18"/>
                <w:lang w:val="ro-RO"/>
              </w:rPr>
            </w:pPr>
            <w:r>
              <w:rPr>
                <w:noProof/>
                <w:color w:val="000000"/>
                <w:sz w:val="18"/>
                <w:lang w:val="ro-RO"/>
              </w:rPr>
              <w:t>1</w:t>
            </w:r>
          </w:p>
        </w:tc>
        <w:tc>
          <w:tcPr>
            <w:tcW w:w="1092" w:type="dxa"/>
            <w:tcBorders>
              <w:top w:val="nil"/>
              <w:left w:val="nil"/>
              <w:bottom w:val="single" w:sz="8" w:space="0" w:color="auto"/>
              <w:right w:val="single" w:sz="8" w:space="0" w:color="auto"/>
            </w:tcBorders>
            <w:vAlign w:val="center"/>
            <w:hideMark/>
          </w:tcPr>
          <w:p w:rsidR="004310B4" w:rsidRDefault="004310B4">
            <w:pPr>
              <w:spacing w:after="0"/>
              <w:jc w:val="center"/>
              <w:rPr>
                <w:noProof/>
                <w:color w:val="000000"/>
                <w:sz w:val="18"/>
                <w:szCs w:val="18"/>
                <w:lang w:val="ro-RO"/>
              </w:rPr>
            </w:pPr>
            <w:r>
              <w:rPr>
                <w:noProof/>
                <w:color w:val="000000"/>
                <w:sz w:val="18"/>
                <w:lang w:val="ro-RO"/>
              </w:rPr>
              <w:t>1</w:t>
            </w:r>
          </w:p>
        </w:tc>
        <w:tc>
          <w:tcPr>
            <w:tcW w:w="1093" w:type="dxa"/>
            <w:tcBorders>
              <w:top w:val="nil"/>
              <w:left w:val="nil"/>
              <w:bottom w:val="single" w:sz="8" w:space="0" w:color="auto"/>
              <w:right w:val="single" w:sz="8" w:space="0" w:color="auto"/>
            </w:tcBorders>
            <w:vAlign w:val="center"/>
            <w:hideMark/>
          </w:tcPr>
          <w:p w:rsidR="004310B4" w:rsidRDefault="004310B4">
            <w:pPr>
              <w:spacing w:after="0"/>
              <w:jc w:val="center"/>
              <w:rPr>
                <w:noProof/>
                <w:color w:val="000000"/>
                <w:sz w:val="18"/>
                <w:szCs w:val="18"/>
                <w:lang w:val="ro-RO"/>
              </w:rPr>
            </w:pPr>
            <w:r>
              <w:rPr>
                <w:noProof/>
                <w:color w:val="000000"/>
                <w:sz w:val="18"/>
                <w:lang w:val="ro-RO"/>
              </w:rPr>
              <w:t>1</w:t>
            </w:r>
          </w:p>
        </w:tc>
      </w:tr>
      <w:tr w:rsidR="004310B4">
        <w:trPr>
          <w:trHeight w:val="415"/>
        </w:trPr>
        <w:tc>
          <w:tcPr>
            <w:tcW w:w="1985" w:type="dxa"/>
            <w:tcBorders>
              <w:top w:val="nil"/>
              <w:left w:val="single" w:sz="8" w:space="0" w:color="auto"/>
              <w:bottom w:val="single" w:sz="8" w:space="0" w:color="auto"/>
              <w:right w:val="nil"/>
            </w:tcBorders>
            <w:vAlign w:val="center"/>
            <w:hideMark/>
          </w:tcPr>
          <w:p w:rsidR="004310B4" w:rsidRDefault="004310B4">
            <w:pPr>
              <w:spacing w:after="0"/>
              <w:rPr>
                <w:noProof/>
                <w:color w:val="000000"/>
                <w:sz w:val="18"/>
                <w:szCs w:val="18"/>
                <w:lang w:val="ro-RO"/>
              </w:rPr>
            </w:pPr>
            <w:r>
              <w:rPr>
                <w:noProof/>
                <w:color w:val="000000"/>
                <w:sz w:val="18"/>
                <w:lang w:val="ro-RO"/>
              </w:rPr>
              <w:t>Evaluarea riscurilor informatice</w:t>
            </w:r>
          </w:p>
        </w:tc>
        <w:tc>
          <w:tcPr>
            <w:tcW w:w="1134" w:type="dxa"/>
            <w:tcBorders>
              <w:top w:val="nil"/>
              <w:left w:val="single" w:sz="8" w:space="0" w:color="auto"/>
              <w:bottom w:val="single" w:sz="8" w:space="0" w:color="auto"/>
              <w:right w:val="nil"/>
            </w:tcBorders>
            <w:shd w:val="clear" w:color="auto" w:fill="A6A6A6"/>
            <w:vAlign w:val="center"/>
            <w:hideMark/>
          </w:tcPr>
          <w:p w:rsidR="004310B4" w:rsidRDefault="004310B4">
            <w:pPr>
              <w:spacing w:after="0"/>
              <w:jc w:val="center"/>
              <w:rPr>
                <w:noProof/>
                <w:color w:val="000000"/>
                <w:sz w:val="18"/>
                <w:szCs w:val="18"/>
                <w:lang w:val="ro-RO"/>
              </w:rPr>
            </w:pPr>
            <w:r>
              <w:rPr>
                <w:noProof/>
                <w:color w:val="000000"/>
                <w:sz w:val="18"/>
                <w:lang w:val="ro-RO"/>
              </w:rPr>
              <w:t>0</w:t>
            </w:r>
          </w:p>
        </w:tc>
        <w:tc>
          <w:tcPr>
            <w:tcW w:w="1051" w:type="dxa"/>
            <w:tcBorders>
              <w:top w:val="nil"/>
              <w:left w:val="single" w:sz="8" w:space="0" w:color="auto"/>
              <w:bottom w:val="single" w:sz="8" w:space="0" w:color="auto"/>
              <w:right w:val="nil"/>
            </w:tcBorders>
            <w:shd w:val="clear" w:color="auto" w:fill="A6A6A6"/>
            <w:vAlign w:val="center"/>
            <w:hideMark/>
          </w:tcPr>
          <w:p w:rsidR="004310B4" w:rsidRDefault="004310B4">
            <w:pPr>
              <w:spacing w:after="0"/>
              <w:jc w:val="center"/>
              <w:rPr>
                <w:noProof/>
                <w:color w:val="000000"/>
                <w:sz w:val="18"/>
                <w:szCs w:val="18"/>
                <w:lang w:val="ro-RO"/>
              </w:rPr>
            </w:pPr>
            <w:r>
              <w:rPr>
                <w:noProof/>
                <w:color w:val="000000"/>
                <w:sz w:val="18"/>
                <w:lang w:val="ro-RO"/>
              </w:rPr>
              <w:t>0</w:t>
            </w:r>
          </w:p>
        </w:tc>
        <w:tc>
          <w:tcPr>
            <w:tcW w:w="1092" w:type="dxa"/>
            <w:tcBorders>
              <w:top w:val="nil"/>
              <w:left w:val="single" w:sz="8" w:space="0" w:color="auto"/>
              <w:bottom w:val="single" w:sz="8" w:space="0" w:color="auto"/>
              <w:right w:val="single" w:sz="8" w:space="0" w:color="auto"/>
            </w:tcBorders>
            <w:shd w:val="clear" w:color="000000" w:fill="FFFFFF"/>
            <w:vAlign w:val="center"/>
            <w:hideMark/>
          </w:tcPr>
          <w:p w:rsidR="004310B4" w:rsidRDefault="004310B4">
            <w:pPr>
              <w:spacing w:after="0"/>
              <w:jc w:val="center"/>
              <w:rPr>
                <w:noProof/>
                <w:color w:val="000000"/>
                <w:sz w:val="18"/>
                <w:szCs w:val="18"/>
                <w:lang w:val="ro-RO"/>
              </w:rPr>
            </w:pPr>
            <w:r>
              <w:rPr>
                <w:noProof/>
                <w:color w:val="000000"/>
                <w:sz w:val="18"/>
                <w:lang w:val="ro-RO"/>
              </w:rPr>
              <w:t>1</w:t>
            </w:r>
          </w:p>
        </w:tc>
        <w:tc>
          <w:tcPr>
            <w:tcW w:w="1093" w:type="dxa"/>
            <w:tcBorders>
              <w:top w:val="nil"/>
              <w:left w:val="nil"/>
              <w:bottom w:val="single" w:sz="8" w:space="0" w:color="auto"/>
              <w:right w:val="single" w:sz="8" w:space="0" w:color="auto"/>
            </w:tcBorders>
            <w:shd w:val="clear" w:color="000000" w:fill="FFFFFF"/>
            <w:vAlign w:val="center"/>
            <w:hideMark/>
          </w:tcPr>
          <w:p w:rsidR="004310B4" w:rsidRDefault="004310B4">
            <w:pPr>
              <w:spacing w:after="0"/>
              <w:jc w:val="center"/>
              <w:rPr>
                <w:noProof/>
                <w:color w:val="000000"/>
                <w:sz w:val="18"/>
                <w:szCs w:val="18"/>
                <w:lang w:val="ro-RO"/>
              </w:rPr>
            </w:pPr>
            <w:r>
              <w:rPr>
                <w:noProof/>
                <w:color w:val="000000"/>
                <w:sz w:val="18"/>
                <w:lang w:val="ro-RO"/>
              </w:rPr>
              <w:t>1</w:t>
            </w:r>
          </w:p>
        </w:tc>
        <w:tc>
          <w:tcPr>
            <w:tcW w:w="1092" w:type="dxa"/>
            <w:tcBorders>
              <w:top w:val="nil"/>
              <w:left w:val="nil"/>
              <w:bottom w:val="single" w:sz="8" w:space="0" w:color="auto"/>
              <w:right w:val="single" w:sz="8" w:space="0" w:color="auto"/>
            </w:tcBorders>
            <w:vAlign w:val="center"/>
            <w:hideMark/>
          </w:tcPr>
          <w:p w:rsidR="004310B4" w:rsidRDefault="004310B4">
            <w:pPr>
              <w:spacing w:after="0"/>
              <w:jc w:val="center"/>
              <w:rPr>
                <w:noProof/>
                <w:color w:val="000000"/>
                <w:sz w:val="18"/>
                <w:szCs w:val="18"/>
                <w:lang w:val="ro-RO"/>
              </w:rPr>
            </w:pPr>
            <w:r>
              <w:rPr>
                <w:noProof/>
                <w:color w:val="000000"/>
                <w:sz w:val="18"/>
                <w:lang w:val="ro-RO"/>
              </w:rPr>
              <w:t>0</w:t>
            </w:r>
          </w:p>
        </w:tc>
        <w:tc>
          <w:tcPr>
            <w:tcW w:w="1093" w:type="dxa"/>
            <w:tcBorders>
              <w:top w:val="nil"/>
              <w:left w:val="nil"/>
              <w:bottom w:val="single" w:sz="8" w:space="0" w:color="auto"/>
              <w:right w:val="single" w:sz="8" w:space="0" w:color="auto"/>
            </w:tcBorders>
            <w:vAlign w:val="center"/>
            <w:hideMark/>
          </w:tcPr>
          <w:p w:rsidR="004310B4" w:rsidRDefault="004310B4">
            <w:pPr>
              <w:spacing w:after="0"/>
              <w:jc w:val="center"/>
              <w:rPr>
                <w:noProof/>
                <w:color w:val="000000"/>
                <w:sz w:val="18"/>
                <w:szCs w:val="18"/>
                <w:lang w:val="ro-RO"/>
              </w:rPr>
            </w:pPr>
            <w:r>
              <w:rPr>
                <w:noProof/>
                <w:color w:val="000000"/>
                <w:sz w:val="18"/>
                <w:lang w:val="ro-RO"/>
              </w:rPr>
              <w:t>0</w:t>
            </w:r>
          </w:p>
        </w:tc>
      </w:tr>
      <w:tr w:rsidR="004310B4">
        <w:trPr>
          <w:trHeight w:val="415"/>
        </w:trPr>
        <w:tc>
          <w:tcPr>
            <w:tcW w:w="1985" w:type="dxa"/>
            <w:tcBorders>
              <w:top w:val="nil"/>
              <w:left w:val="single" w:sz="8" w:space="0" w:color="auto"/>
              <w:bottom w:val="single" w:sz="8" w:space="0" w:color="auto"/>
              <w:right w:val="nil"/>
            </w:tcBorders>
            <w:vAlign w:val="center"/>
            <w:hideMark/>
          </w:tcPr>
          <w:p w:rsidR="004310B4" w:rsidRDefault="004310B4">
            <w:pPr>
              <w:spacing w:after="0"/>
              <w:rPr>
                <w:noProof/>
                <w:color w:val="000000"/>
                <w:sz w:val="18"/>
                <w:szCs w:val="18"/>
                <w:lang w:val="ro-RO"/>
              </w:rPr>
            </w:pPr>
            <w:r>
              <w:rPr>
                <w:noProof/>
                <w:color w:val="000000"/>
                <w:sz w:val="18"/>
                <w:lang w:val="ro-RO"/>
              </w:rPr>
              <w:t>Evaluarea riscurilor</w:t>
            </w:r>
            <w:r>
              <w:rPr>
                <w:rStyle w:val="FootnoteReference"/>
                <w:noProof/>
                <w:color w:val="000000"/>
                <w:sz w:val="18"/>
                <w:lang w:val="ro-RO"/>
              </w:rPr>
              <w:footnoteReference w:id="11"/>
            </w:r>
            <w:r>
              <w:rPr>
                <w:noProof/>
                <w:color w:val="000000"/>
                <w:sz w:val="18"/>
                <w:lang w:val="ro-RO"/>
              </w:rPr>
              <w:t xml:space="preserve"> SCAS</w:t>
            </w:r>
          </w:p>
        </w:tc>
        <w:tc>
          <w:tcPr>
            <w:tcW w:w="1134" w:type="dxa"/>
            <w:tcBorders>
              <w:top w:val="nil"/>
              <w:left w:val="single" w:sz="8" w:space="0" w:color="auto"/>
              <w:bottom w:val="single" w:sz="8" w:space="0" w:color="auto"/>
              <w:right w:val="nil"/>
            </w:tcBorders>
            <w:shd w:val="clear" w:color="auto" w:fill="A6A6A6"/>
            <w:vAlign w:val="center"/>
            <w:hideMark/>
          </w:tcPr>
          <w:p w:rsidR="004310B4" w:rsidRDefault="004310B4">
            <w:pPr>
              <w:spacing w:after="0"/>
              <w:jc w:val="center"/>
              <w:rPr>
                <w:noProof/>
                <w:color w:val="000000"/>
                <w:sz w:val="18"/>
                <w:szCs w:val="18"/>
                <w:lang w:val="ro-RO"/>
              </w:rPr>
            </w:pPr>
            <w:r>
              <w:rPr>
                <w:noProof/>
                <w:color w:val="000000"/>
                <w:sz w:val="18"/>
                <w:lang w:val="ro-RO"/>
              </w:rPr>
              <w:t>1</w:t>
            </w:r>
          </w:p>
        </w:tc>
        <w:tc>
          <w:tcPr>
            <w:tcW w:w="1051" w:type="dxa"/>
            <w:tcBorders>
              <w:top w:val="nil"/>
              <w:left w:val="single" w:sz="8" w:space="0" w:color="auto"/>
              <w:bottom w:val="single" w:sz="8" w:space="0" w:color="auto"/>
              <w:right w:val="nil"/>
            </w:tcBorders>
            <w:shd w:val="clear" w:color="auto" w:fill="A6A6A6"/>
            <w:vAlign w:val="center"/>
            <w:hideMark/>
          </w:tcPr>
          <w:p w:rsidR="004310B4" w:rsidRDefault="004310B4">
            <w:pPr>
              <w:spacing w:after="0"/>
              <w:jc w:val="center"/>
              <w:rPr>
                <w:noProof/>
                <w:color w:val="000000"/>
                <w:sz w:val="18"/>
                <w:szCs w:val="18"/>
                <w:lang w:val="ro-RO"/>
              </w:rPr>
            </w:pPr>
            <w:r>
              <w:rPr>
                <w:noProof/>
                <w:color w:val="000000"/>
                <w:sz w:val="18"/>
                <w:lang w:val="ro-RO"/>
              </w:rPr>
              <w:t>1</w:t>
            </w:r>
          </w:p>
        </w:tc>
        <w:tc>
          <w:tcPr>
            <w:tcW w:w="1092" w:type="dxa"/>
            <w:tcBorders>
              <w:top w:val="nil"/>
              <w:left w:val="single" w:sz="8" w:space="0" w:color="auto"/>
              <w:bottom w:val="single" w:sz="8" w:space="0" w:color="auto"/>
              <w:right w:val="single" w:sz="8" w:space="0" w:color="auto"/>
            </w:tcBorders>
            <w:shd w:val="clear" w:color="000000" w:fill="FFFFFF"/>
            <w:vAlign w:val="center"/>
            <w:hideMark/>
          </w:tcPr>
          <w:p w:rsidR="004310B4" w:rsidRDefault="004310B4">
            <w:pPr>
              <w:spacing w:after="0"/>
              <w:jc w:val="center"/>
              <w:rPr>
                <w:noProof/>
                <w:color w:val="000000"/>
                <w:sz w:val="18"/>
                <w:szCs w:val="18"/>
                <w:lang w:val="ro-RO"/>
              </w:rPr>
            </w:pPr>
            <w:r>
              <w:rPr>
                <w:noProof/>
                <w:color w:val="000000"/>
                <w:sz w:val="18"/>
                <w:lang w:val="ro-RO"/>
              </w:rPr>
              <w:t>0</w:t>
            </w:r>
          </w:p>
        </w:tc>
        <w:tc>
          <w:tcPr>
            <w:tcW w:w="1093" w:type="dxa"/>
            <w:tcBorders>
              <w:top w:val="nil"/>
              <w:left w:val="nil"/>
              <w:bottom w:val="single" w:sz="8" w:space="0" w:color="auto"/>
              <w:right w:val="single" w:sz="8" w:space="0" w:color="auto"/>
            </w:tcBorders>
            <w:shd w:val="clear" w:color="000000" w:fill="FFFFFF"/>
            <w:vAlign w:val="center"/>
            <w:hideMark/>
          </w:tcPr>
          <w:p w:rsidR="004310B4" w:rsidRDefault="004310B4">
            <w:pPr>
              <w:spacing w:after="0"/>
              <w:jc w:val="center"/>
              <w:rPr>
                <w:noProof/>
                <w:color w:val="000000"/>
                <w:sz w:val="18"/>
                <w:szCs w:val="18"/>
                <w:lang w:val="ro-RO"/>
              </w:rPr>
            </w:pPr>
            <w:r>
              <w:rPr>
                <w:noProof/>
                <w:color w:val="000000"/>
                <w:sz w:val="18"/>
                <w:lang w:val="ro-RO"/>
              </w:rPr>
              <w:t>0</w:t>
            </w:r>
          </w:p>
        </w:tc>
        <w:tc>
          <w:tcPr>
            <w:tcW w:w="1092" w:type="dxa"/>
            <w:tcBorders>
              <w:top w:val="nil"/>
              <w:left w:val="nil"/>
              <w:bottom w:val="single" w:sz="8" w:space="0" w:color="auto"/>
              <w:right w:val="single" w:sz="8" w:space="0" w:color="auto"/>
            </w:tcBorders>
            <w:vAlign w:val="center"/>
            <w:hideMark/>
          </w:tcPr>
          <w:p w:rsidR="004310B4" w:rsidRDefault="004310B4">
            <w:pPr>
              <w:spacing w:after="0"/>
              <w:jc w:val="center"/>
              <w:rPr>
                <w:noProof/>
                <w:color w:val="000000"/>
                <w:sz w:val="18"/>
                <w:szCs w:val="18"/>
                <w:lang w:val="ro-RO"/>
              </w:rPr>
            </w:pPr>
            <w:r>
              <w:rPr>
                <w:noProof/>
                <w:color w:val="000000"/>
                <w:sz w:val="18"/>
                <w:lang w:val="ro-RO"/>
              </w:rPr>
              <w:t>0</w:t>
            </w:r>
          </w:p>
        </w:tc>
        <w:tc>
          <w:tcPr>
            <w:tcW w:w="1093" w:type="dxa"/>
            <w:tcBorders>
              <w:top w:val="nil"/>
              <w:left w:val="nil"/>
              <w:bottom w:val="single" w:sz="8" w:space="0" w:color="auto"/>
              <w:right w:val="single" w:sz="8" w:space="0" w:color="auto"/>
            </w:tcBorders>
            <w:vAlign w:val="center"/>
            <w:hideMark/>
          </w:tcPr>
          <w:p w:rsidR="004310B4" w:rsidRDefault="004310B4">
            <w:pPr>
              <w:spacing w:after="0"/>
              <w:jc w:val="center"/>
              <w:rPr>
                <w:noProof/>
                <w:color w:val="000000"/>
                <w:sz w:val="18"/>
                <w:szCs w:val="18"/>
                <w:lang w:val="ro-RO"/>
              </w:rPr>
            </w:pPr>
            <w:r>
              <w:rPr>
                <w:noProof/>
                <w:color w:val="000000"/>
                <w:sz w:val="18"/>
                <w:lang w:val="ro-RO"/>
              </w:rPr>
              <w:t>0</w:t>
            </w:r>
          </w:p>
        </w:tc>
      </w:tr>
      <w:tr w:rsidR="004310B4">
        <w:trPr>
          <w:trHeight w:val="415"/>
        </w:trPr>
        <w:tc>
          <w:tcPr>
            <w:tcW w:w="1985" w:type="dxa"/>
            <w:tcBorders>
              <w:top w:val="nil"/>
              <w:left w:val="single" w:sz="8" w:space="0" w:color="auto"/>
              <w:bottom w:val="single" w:sz="8" w:space="0" w:color="auto"/>
              <w:right w:val="nil"/>
            </w:tcBorders>
            <w:vAlign w:val="center"/>
            <w:hideMark/>
          </w:tcPr>
          <w:p w:rsidR="004310B4" w:rsidRDefault="004310B4">
            <w:pPr>
              <w:spacing w:after="0"/>
              <w:rPr>
                <w:noProof/>
                <w:color w:val="000000"/>
                <w:sz w:val="18"/>
                <w:szCs w:val="18"/>
                <w:lang w:val="ro-RO"/>
              </w:rPr>
            </w:pPr>
            <w:r>
              <w:rPr>
                <w:noProof/>
                <w:color w:val="000000"/>
                <w:sz w:val="18"/>
                <w:lang w:val="ro-RO"/>
              </w:rPr>
              <w:t>Consultanță</w:t>
            </w:r>
          </w:p>
        </w:tc>
        <w:tc>
          <w:tcPr>
            <w:tcW w:w="1134" w:type="dxa"/>
            <w:tcBorders>
              <w:top w:val="nil"/>
              <w:left w:val="single" w:sz="8" w:space="0" w:color="auto"/>
              <w:bottom w:val="single" w:sz="8" w:space="0" w:color="auto"/>
              <w:right w:val="nil"/>
            </w:tcBorders>
            <w:shd w:val="clear" w:color="auto" w:fill="A6A6A6"/>
            <w:vAlign w:val="center"/>
            <w:hideMark/>
          </w:tcPr>
          <w:p w:rsidR="004310B4" w:rsidRDefault="004310B4">
            <w:pPr>
              <w:spacing w:after="0"/>
              <w:jc w:val="center"/>
              <w:rPr>
                <w:noProof/>
                <w:color w:val="000000"/>
                <w:sz w:val="18"/>
                <w:szCs w:val="18"/>
                <w:lang w:val="ro-RO"/>
              </w:rPr>
            </w:pPr>
            <w:r>
              <w:rPr>
                <w:noProof/>
                <w:color w:val="000000"/>
                <w:sz w:val="18"/>
                <w:lang w:val="ro-RO"/>
              </w:rPr>
              <w:t>1</w:t>
            </w:r>
          </w:p>
        </w:tc>
        <w:tc>
          <w:tcPr>
            <w:tcW w:w="1051" w:type="dxa"/>
            <w:tcBorders>
              <w:top w:val="nil"/>
              <w:left w:val="single" w:sz="8" w:space="0" w:color="auto"/>
              <w:bottom w:val="single" w:sz="8" w:space="0" w:color="auto"/>
              <w:right w:val="nil"/>
            </w:tcBorders>
            <w:shd w:val="clear" w:color="auto" w:fill="A6A6A6"/>
            <w:vAlign w:val="center"/>
            <w:hideMark/>
          </w:tcPr>
          <w:p w:rsidR="004310B4" w:rsidRDefault="004310B4">
            <w:pPr>
              <w:spacing w:after="0"/>
              <w:jc w:val="center"/>
              <w:rPr>
                <w:noProof/>
                <w:color w:val="000000"/>
                <w:sz w:val="18"/>
                <w:szCs w:val="18"/>
                <w:lang w:val="ro-RO"/>
              </w:rPr>
            </w:pPr>
            <w:r>
              <w:rPr>
                <w:noProof/>
                <w:color w:val="000000"/>
                <w:sz w:val="18"/>
                <w:lang w:val="ro-RO"/>
              </w:rPr>
              <w:t>1</w:t>
            </w:r>
          </w:p>
        </w:tc>
        <w:tc>
          <w:tcPr>
            <w:tcW w:w="1092" w:type="dxa"/>
            <w:tcBorders>
              <w:top w:val="nil"/>
              <w:left w:val="single" w:sz="8" w:space="0" w:color="auto"/>
              <w:bottom w:val="single" w:sz="8" w:space="0" w:color="auto"/>
              <w:right w:val="single" w:sz="8" w:space="0" w:color="auto"/>
            </w:tcBorders>
            <w:shd w:val="clear" w:color="000000" w:fill="FFFFFF"/>
            <w:vAlign w:val="center"/>
            <w:hideMark/>
          </w:tcPr>
          <w:p w:rsidR="004310B4" w:rsidRDefault="004310B4">
            <w:pPr>
              <w:spacing w:after="0"/>
              <w:jc w:val="center"/>
              <w:rPr>
                <w:noProof/>
                <w:color w:val="000000"/>
                <w:sz w:val="18"/>
                <w:szCs w:val="18"/>
                <w:lang w:val="ro-RO"/>
              </w:rPr>
            </w:pPr>
            <w:r>
              <w:rPr>
                <w:noProof/>
                <w:color w:val="000000"/>
                <w:sz w:val="18"/>
                <w:lang w:val="ro-RO"/>
              </w:rPr>
              <w:t>0</w:t>
            </w:r>
          </w:p>
        </w:tc>
        <w:tc>
          <w:tcPr>
            <w:tcW w:w="1093" w:type="dxa"/>
            <w:tcBorders>
              <w:top w:val="nil"/>
              <w:left w:val="nil"/>
              <w:bottom w:val="single" w:sz="8" w:space="0" w:color="auto"/>
              <w:right w:val="single" w:sz="8" w:space="0" w:color="auto"/>
            </w:tcBorders>
            <w:shd w:val="clear" w:color="000000" w:fill="FFFFFF"/>
            <w:vAlign w:val="center"/>
            <w:hideMark/>
          </w:tcPr>
          <w:p w:rsidR="004310B4" w:rsidRDefault="004310B4">
            <w:pPr>
              <w:spacing w:after="0"/>
              <w:jc w:val="center"/>
              <w:rPr>
                <w:noProof/>
                <w:color w:val="000000"/>
                <w:sz w:val="18"/>
                <w:szCs w:val="18"/>
                <w:lang w:val="ro-RO"/>
              </w:rPr>
            </w:pPr>
            <w:r>
              <w:rPr>
                <w:noProof/>
                <w:color w:val="000000"/>
                <w:sz w:val="18"/>
                <w:lang w:val="ro-RO"/>
              </w:rPr>
              <w:t>0</w:t>
            </w:r>
          </w:p>
        </w:tc>
        <w:tc>
          <w:tcPr>
            <w:tcW w:w="1092" w:type="dxa"/>
            <w:tcBorders>
              <w:top w:val="nil"/>
              <w:left w:val="nil"/>
              <w:bottom w:val="single" w:sz="8" w:space="0" w:color="auto"/>
              <w:right w:val="single" w:sz="8" w:space="0" w:color="auto"/>
            </w:tcBorders>
            <w:vAlign w:val="center"/>
            <w:hideMark/>
          </w:tcPr>
          <w:p w:rsidR="004310B4" w:rsidRDefault="004310B4">
            <w:pPr>
              <w:spacing w:after="0"/>
              <w:jc w:val="center"/>
              <w:rPr>
                <w:noProof/>
                <w:color w:val="000000"/>
                <w:sz w:val="18"/>
                <w:szCs w:val="18"/>
                <w:lang w:val="ro-RO"/>
              </w:rPr>
            </w:pPr>
            <w:r>
              <w:rPr>
                <w:noProof/>
                <w:color w:val="000000"/>
                <w:sz w:val="18"/>
                <w:lang w:val="ro-RO"/>
              </w:rPr>
              <w:t>0</w:t>
            </w:r>
          </w:p>
        </w:tc>
        <w:tc>
          <w:tcPr>
            <w:tcW w:w="1093" w:type="dxa"/>
            <w:tcBorders>
              <w:top w:val="nil"/>
              <w:left w:val="nil"/>
              <w:bottom w:val="single" w:sz="8" w:space="0" w:color="auto"/>
              <w:right w:val="single" w:sz="8" w:space="0" w:color="auto"/>
            </w:tcBorders>
            <w:vAlign w:val="center"/>
            <w:hideMark/>
          </w:tcPr>
          <w:p w:rsidR="004310B4" w:rsidRDefault="004310B4">
            <w:pPr>
              <w:spacing w:after="0"/>
              <w:jc w:val="center"/>
              <w:rPr>
                <w:noProof/>
                <w:color w:val="000000"/>
                <w:sz w:val="18"/>
                <w:szCs w:val="18"/>
                <w:lang w:val="ro-RO"/>
              </w:rPr>
            </w:pPr>
            <w:r>
              <w:rPr>
                <w:noProof/>
                <w:color w:val="000000"/>
                <w:sz w:val="18"/>
                <w:lang w:val="ro-RO"/>
              </w:rPr>
              <w:t>0</w:t>
            </w:r>
          </w:p>
        </w:tc>
      </w:tr>
      <w:tr w:rsidR="004310B4">
        <w:trPr>
          <w:trHeight w:val="416"/>
        </w:trPr>
        <w:tc>
          <w:tcPr>
            <w:tcW w:w="1985" w:type="dxa"/>
            <w:tcBorders>
              <w:top w:val="nil"/>
              <w:left w:val="single" w:sz="8" w:space="0" w:color="auto"/>
              <w:bottom w:val="single" w:sz="8" w:space="0" w:color="auto"/>
              <w:right w:val="nil"/>
            </w:tcBorders>
            <w:vAlign w:val="center"/>
            <w:hideMark/>
          </w:tcPr>
          <w:p w:rsidR="004310B4" w:rsidRDefault="004310B4">
            <w:pPr>
              <w:spacing w:after="0"/>
              <w:rPr>
                <w:b/>
                <w:noProof/>
                <w:color w:val="000000"/>
                <w:sz w:val="18"/>
                <w:szCs w:val="18"/>
                <w:lang w:val="ro-RO"/>
              </w:rPr>
            </w:pPr>
            <w:r>
              <w:rPr>
                <w:b/>
                <w:noProof/>
                <w:color w:val="000000"/>
                <w:sz w:val="18"/>
                <w:lang w:val="ro-RO"/>
              </w:rPr>
              <w:t>Total</w:t>
            </w:r>
          </w:p>
        </w:tc>
        <w:tc>
          <w:tcPr>
            <w:tcW w:w="1134" w:type="dxa"/>
            <w:tcBorders>
              <w:top w:val="nil"/>
              <w:left w:val="single" w:sz="8" w:space="0" w:color="auto"/>
              <w:bottom w:val="single" w:sz="8" w:space="0" w:color="auto"/>
              <w:right w:val="nil"/>
            </w:tcBorders>
            <w:shd w:val="clear" w:color="auto" w:fill="A6A6A6"/>
            <w:vAlign w:val="center"/>
            <w:hideMark/>
          </w:tcPr>
          <w:p w:rsidR="004310B4" w:rsidRDefault="004310B4">
            <w:pPr>
              <w:spacing w:after="0"/>
              <w:jc w:val="center"/>
              <w:rPr>
                <w:b/>
                <w:bCs/>
                <w:noProof/>
                <w:color w:val="000000"/>
                <w:sz w:val="18"/>
                <w:szCs w:val="18"/>
                <w:lang w:val="ro-RO"/>
              </w:rPr>
            </w:pPr>
            <w:r>
              <w:rPr>
                <w:b/>
                <w:noProof/>
                <w:color w:val="000000"/>
                <w:sz w:val="18"/>
                <w:lang w:val="ro-RO"/>
              </w:rPr>
              <w:t>139</w:t>
            </w:r>
          </w:p>
        </w:tc>
        <w:tc>
          <w:tcPr>
            <w:tcW w:w="1051" w:type="dxa"/>
            <w:tcBorders>
              <w:top w:val="nil"/>
              <w:left w:val="single" w:sz="8" w:space="0" w:color="auto"/>
              <w:bottom w:val="single" w:sz="8" w:space="0" w:color="auto"/>
              <w:right w:val="nil"/>
            </w:tcBorders>
            <w:shd w:val="clear" w:color="auto" w:fill="A6A6A6"/>
            <w:vAlign w:val="center"/>
            <w:hideMark/>
          </w:tcPr>
          <w:p w:rsidR="004310B4" w:rsidRDefault="004310B4">
            <w:pPr>
              <w:spacing w:after="0"/>
              <w:jc w:val="center"/>
              <w:rPr>
                <w:b/>
                <w:bCs/>
                <w:noProof/>
                <w:color w:val="000000"/>
                <w:sz w:val="18"/>
                <w:szCs w:val="18"/>
                <w:lang w:val="ro-RO"/>
              </w:rPr>
            </w:pPr>
            <w:r>
              <w:rPr>
                <w:b/>
                <w:noProof/>
                <w:color w:val="000000"/>
                <w:sz w:val="18"/>
                <w:lang w:val="ro-RO"/>
              </w:rPr>
              <w:t>57</w:t>
            </w:r>
          </w:p>
        </w:tc>
        <w:tc>
          <w:tcPr>
            <w:tcW w:w="1092" w:type="dxa"/>
            <w:tcBorders>
              <w:top w:val="nil"/>
              <w:left w:val="single" w:sz="8" w:space="0" w:color="auto"/>
              <w:bottom w:val="single" w:sz="8" w:space="0" w:color="auto"/>
              <w:right w:val="single" w:sz="8" w:space="0" w:color="auto"/>
            </w:tcBorders>
            <w:shd w:val="clear" w:color="000000" w:fill="FFFFFF"/>
            <w:vAlign w:val="center"/>
            <w:hideMark/>
          </w:tcPr>
          <w:p w:rsidR="004310B4" w:rsidRDefault="004310B4">
            <w:pPr>
              <w:spacing w:after="0"/>
              <w:jc w:val="center"/>
              <w:rPr>
                <w:b/>
                <w:bCs/>
                <w:noProof/>
                <w:color w:val="000000"/>
                <w:sz w:val="18"/>
                <w:szCs w:val="18"/>
                <w:lang w:val="ro-RO"/>
              </w:rPr>
            </w:pPr>
            <w:r>
              <w:rPr>
                <w:b/>
                <w:noProof/>
                <w:color w:val="000000"/>
                <w:sz w:val="18"/>
                <w:lang w:val="ro-RO"/>
              </w:rPr>
              <w:t>85</w:t>
            </w:r>
          </w:p>
        </w:tc>
        <w:tc>
          <w:tcPr>
            <w:tcW w:w="1093" w:type="dxa"/>
            <w:tcBorders>
              <w:top w:val="nil"/>
              <w:left w:val="nil"/>
              <w:bottom w:val="single" w:sz="8" w:space="0" w:color="auto"/>
              <w:right w:val="single" w:sz="8" w:space="0" w:color="auto"/>
            </w:tcBorders>
            <w:shd w:val="clear" w:color="000000" w:fill="FFFFFF"/>
            <w:vAlign w:val="center"/>
            <w:hideMark/>
          </w:tcPr>
          <w:p w:rsidR="004310B4" w:rsidRDefault="004310B4">
            <w:pPr>
              <w:spacing w:after="0"/>
              <w:jc w:val="center"/>
              <w:rPr>
                <w:b/>
                <w:bCs/>
                <w:noProof/>
                <w:color w:val="000000"/>
                <w:sz w:val="18"/>
                <w:szCs w:val="18"/>
                <w:lang w:val="ro-RO"/>
              </w:rPr>
            </w:pPr>
            <w:r>
              <w:rPr>
                <w:b/>
                <w:noProof/>
                <w:color w:val="000000"/>
                <w:sz w:val="18"/>
                <w:lang w:val="ro-RO"/>
              </w:rPr>
              <w:t>38</w:t>
            </w:r>
          </w:p>
        </w:tc>
        <w:tc>
          <w:tcPr>
            <w:tcW w:w="1092" w:type="dxa"/>
            <w:tcBorders>
              <w:top w:val="nil"/>
              <w:left w:val="nil"/>
              <w:bottom w:val="single" w:sz="8" w:space="0" w:color="auto"/>
              <w:right w:val="single" w:sz="8" w:space="0" w:color="auto"/>
            </w:tcBorders>
            <w:vAlign w:val="center"/>
            <w:hideMark/>
          </w:tcPr>
          <w:p w:rsidR="004310B4" w:rsidRDefault="004310B4">
            <w:pPr>
              <w:spacing w:after="0"/>
              <w:jc w:val="center"/>
              <w:rPr>
                <w:b/>
                <w:bCs/>
                <w:noProof/>
                <w:color w:val="000000"/>
                <w:sz w:val="18"/>
                <w:szCs w:val="18"/>
                <w:lang w:val="ro-RO"/>
              </w:rPr>
            </w:pPr>
            <w:r>
              <w:rPr>
                <w:b/>
                <w:noProof/>
                <w:color w:val="000000"/>
                <w:sz w:val="18"/>
                <w:lang w:val="ro-RO"/>
              </w:rPr>
              <w:t>75</w:t>
            </w:r>
          </w:p>
        </w:tc>
        <w:tc>
          <w:tcPr>
            <w:tcW w:w="1093" w:type="dxa"/>
            <w:tcBorders>
              <w:top w:val="nil"/>
              <w:left w:val="nil"/>
              <w:bottom w:val="single" w:sz="8" w:space="0" w:color="auto"/>
              <w:right w:val="single" w:sz="8" w:space="0" w:color="auto"/>
            </w:tcBorders>
            <w:vAlign w:val="center"/>
            <w:hideMark/>
          </w:tcPr>
          <w:p w:rsidR="004310B4" w:rsidRDefault="004310B4">
            <w:pPr>
              <w:spacing w:after="0"/>
              <w:jc w:val="center"/>
              <w:rPr>
                <w:b/>
                <w:bCs/>
                <w:noProof/>
                <w:color w:val="000000"/>
                <w:sz w:val="18"/>
                <w:szCs w:val="18"/>
                <w:lang w:val="ro-RO"/>
              </w:rPr>
            </w:pPr>
            <w:r>
              <w:rPr>
                <w:b/>
                <w:noProof/>
                <w:color w:val="000000"/>
                <w:sz w:val="18"/>
                <w:lang w:val="ro-RO"/>
              </w:rPr>
              <w:t>28</w:t>
            </w:r>
          </w:p>
        </w:tc>
      </w:tr>
    </w:tbl>
    <w:p w:rsidR="004310B4" w:rsidRDefault="004310B4">
      <w:pPr>
        <w:pStyle w:val="Text2"/>
        <w:ind w:left="568"/>
        <w:rPr>
          <w:noProof/>
          <w:lang w:val="ro-RO"/>
        </w:rPr>
      </w:pPr>
    </w:p>
    <w:p w:rsidR="004310B4" w:rsidRDefault="004310B4">
      <w:pPr>
        <w:ind w:left="567"/>
        <w:rPr>
          <w:noProof/>
          <w:lang w:val="ro-RO"/>
        </w:rPr>
      </w:pPr>
      <w:r>
        <w:rPr>
          <w:noProof/>
          <w:lang w:val="ro-RO"/>
        </w:rPr>
        <w:t>Creșterea numărului de misiuni finalizate de IAS în 2015 în comparație cu anii anteriori se datorează, în special, centralizării funcției de audit intern. În 2015, IAS a primit 60 de posturi noi, care au fost ocupate treptat. Prin urmare, planul de audit a inclus noi misiuni în conformitate cu creșterea capacității disponibile. Planul final de audit pentru anul 2016 conține 101 misiuni de audit (exclusiv misiunile de urmărire subsecventă), dintre care 67 sunt planificate să fie finalizate în 2016.</w:t>
      </w:r>
    </w:p>
    <w:p w:rsidR="004310B4" w:rsidRDefault="004310B4">
      <w:pPr>
        <w:pStyle w:val="Text2"/>
        <w:ind w:left="567"/>
        <w:rPr>
          <w:noProof/>
          <w:lang w:val="ro-RO"/>
        </w:rPr>
      </w:pPr>
      <w:r>
        <w:rPr>
          <w:noProof/>
          <w:lang w:val="ro-RO"/>
        </w:rPr>
        <w:t>Conform cartei sale și standardelor internaționale și pentru a asigura o punere în aplicare eficientă și eficace a planului de audit, IAS își planifică activitățile de audit pe baza unei evaluări a riscului și a unei analize a capacității. Ulterior, punerea în aplicare este monitorizată periodic și se efectuează ajustări, dacă este necesar.</w:t>
      </w:r>
    </w:p>
    <w:p w:rsidR="004310B4" w:rsidRDefault="004310B4">
      <w:pPr>
        <w:pStyle w:val="Text2"/>
        <w:ind w:left="567"/>
        <w:rPr>
          <w:noProof/>
          <w:lang w:val="ro-RO"/>
        </w:rPr>
      </w:pPr>
    </w:p>
    <w:p w:rsidR="004310B4" w:rsidRDefault="004310B4">
      <w:pPr>
        <w:pStyle w:val="Heading2"/>
        <w:autoSpaceDE w:val="0"/>
        <w:autoSpaceDN w:val="0"/>
        <w:adjustRightInd w:val="0"/>
        <w:spacing w:before="100" w:beforeAutospacing="1" w:after="100" w:afterAutospacing="1"/>
        <w:jc w:val="left"/>
        <w:rPr>
          <w:noProof/>
          <w:szCs w:val="24"/>
          <w:lang w:val="ro-RO"/>
        </w:rPr>
      </w:pPr>
      <w:bookmarkStart w:id="21" w:name="_Toc458419153"/>
      <w:r>
        <w:rPr>
          <w:noProof/>
          <w:lang w:val="ro-RO"/>
        </w:rPr>
        <w:t>Date statistice privind recomandările IAS</w:t>
      </w:r>
      <w:bookmarkEnd w:id="21"/>
    </w:p>
    <w:p w:rsidR="004310B4" w:rsidRDefault="004310B4">
      <w:pPr>
        <w:pStyle w:val="Text2"/>
        <w:ind w:left="568"/>
        <w:rPr>
          <w:noProof/>
          <w:lang w:val="ro-RO"/>
        </w:rPr>
      </w:pPr>
      <w:r>
        <w:rPr>
          <w:noProof/>
          <w:lang w:val="ro-RO"/>
        </w:rPr>
        <w:t>Numărul de recomandări emise de IAS (inclusiv nivelul de acceptare a acestora) în 2015 a fost după cum urmează:</w:t>
      </w:r>
    </w:p>
    <w:tbl>
      <w:tblPr>
        <w:tblW w:w="0" w:type="auto"/>
        <w:tblInd w:w="675" w:type="dxa"/>
        <w:tblLayout w:type="fixed"/>
        <w:tblLook w:val="04A0" w:firstRow="1" w:lastRow="0" w:firstColumn="1" w:lastColumn="0" w:noHBand="0" w:noVBand="1"/>
      </w:tblPr>
      <w:tblGrid>
        <w:gridCol w:w="2410"/>
        <w:gridCol w:w="1721"/>
        <w:gridCol w:w="992"/>
        <w:gridCol w:w="992"/>
        <w:gridCol w:w="992"/>
        <w:gridCol w:w="992"/>
      </w:tblGrid>
      <w:tr w:rsidR="004310B4">
        <w:trPr>
          <w:cantSplit/>
        </w:trPr>
        <w:tc>
          <w:tcPr>
            <w:tcW w:w="2410" w:type="dxa"/>
            <w:tcBorders>
              <w:top w:val="single" w:sz="8" w:space="0" w:color="auto"/>
              <w:left w:val="single" w:sz="8" w:space="0" w:color="auto"/>
              <w:bottom w:val="single" w:sz="8" w:space="0" w:color="auto"/>
              <w:right w:val="single" w:sz="8" w:space="0" w:color="auto"/>
            </w:tcBorders>
            <w:noWrap/>
            <w:vAlign w:val="center"/>
            <w:hideMark/>
          </w:tcPr>
          <w:p w:rsidR="004310B4" w:rsidRDefault="004310B4">
            <w:pPr>
              <w:spacing w:before="40" w:after="40"/>
              <w:jc w:val="left"/>
              <w:rPr>
                <w:noProof/>
                <w:color w:val="000000"/>
                <w:sz w:val="18"/>
                <w:szCs w:val="18"/>
                <w:lang w:val="ro-RO"/>
              </w:rPr>
            </w:pPr>
            <w:r>
              <w:rPr>
                <w:noProof/>
                <w:color w:val="000000"/>
                <w:sz w:val="18"/>
                <w:lang w:val="ro-RO"/>
              </w:rPr>
              <w:t> </w:t>
            </w:r>
          </w:p>
        </w:tc>
        <w:tc>
          <w:tcPr>
            <w:tcW w:w="1721" w:type="dxa"/>
            <w:tcBorders>
              <w:top w:val="single" w:sz="8" w:space="0" w:color="auto"/>
              <w:left w:val="nil"/>
              <w:bottom w:val="single" w:sz="8" w:space="0" w:color="auto"/>
              <w:right w:val="single" w:sz="8" w:space="0" w:color="auto"/>
            </w:tcBorders>
            <w:vAlign w:val="center"/>
            <w:hideMark/>
          </w:tcPr>
          <w:p w:rsidR="004310B4" w:rsidRDefault="004310B4">
            <w:pPr>
              <w:spacing w:before="40" w:after="40"/>
              <w:jc w:val="center"/>
              <w:rPr>
                <w:b/>
                <w:bCs/>
                <w:noProof/>
                <w:color w:val="000000"/>
                <w:sz w:val="18"/>
                <w:szCs w:val="18"/>
                <w:lang w:val="ro-RO"/>
              </w:rPr>
            </w:pPr>
            <w:r>
              <w:rPr>
                <w:b/>
                <w:noProof/>
                <w:color w:val="000000"/>
                <w:sz w:val="18"/>
                <w:lang w:val="ro-RO"/>
              </w:rPr>
              <w:t>Recomandări noi</w:t>
            </w:r>
          </w:p>
        </w:tc>
        <w:tc>
          <w:tcPr>
            <w:tcW w:w="1984" w:type="dxa"/>
            <w:gridSpan w:val="2"/>
            <w:tcBorders>
              <w:top w:val="single" w:sz="8" w:space="0" w:color="auto"/>
              <w:left w:val="nil"/>
              <w:bottom w:val="single" w:sz="8" w:space="0" w:color="auto"/>
              <w:right w:val="single" w:sz="8" w:space="0" w:color="auto"/>
            </w:tcBorders>
            <w:shd w:val="clear" w:color="000000" w:fill="BFBFBF"/>
            <w:vAlign w:val="center"/>
            <w:hideMark/>
          </w:tcPr>
          <w:p w:rsidR="004310B4" w:rsidRDefault="004310B4">
            <w:pPr>
              <w:spacing w:before="40" w:after="40"/>
              <w:jc w:val="center"/>
              <w:rPr>
                <w:b/>
                <w:bCs/>
                <w:noProof/>
                <w:color w:val="000000"/>
                <w:sz w:val="18"/>
                <w:szCs w:val="18"/>
                <w:lang w:val="ro-RO"/>
              </w:rPr>
            </w:pPr>
            <w:r>
              <w:rPr>
                <w:b/>
                <w:noProof/>
                <w:color w:val="000000"/>
                <w:sz w:val="18"/>
                <w:lang w:val="ro-RO"/>
              </w:rPr>
              <w:t>Recomandări acceptate</w:t>
            </w:r>
          </w:p>
        </w:tc>
        <w:tc>
          <w:tcPr>
            <w:tcW w:w="1984" w:type="dxa"/>
            <w:gridSpan w:val="2"/>
            <w:tcBorders>
              <w:top w:val="single" w:sz="8" w:space="0" w:color="auto"/>
              <w:left w:val="nil"/>
              <w:bottom w:val="single" w:sz="8" w:space="0" w:color="auto"/>
              <w:right w:val="single" w:sz="8" w:space="0" w:color="auto"/>
            </w:tcBorders>
            <w:shd w:val="clear" w:color="000000" w:fill="BFBFBF"/>
            <w:vAlign w:val="center"/>
            <w:hideMark/>
          </w:tcPr>
          <w:p w:rsidR="004310B4" w:rsidRDefault="004310B4">
            <w:pPr>
              <w:spacing w:before="40" w:after="40"/>
              <w:jc w:val="center"/>
              <w:rPr>
                <w:b/>
                <w:bCs/>
                <w:noProof/>
                <w:color w:val="000000"/>
                <w:sz w:val="18"/>
                <w:szCs w:val="18"/>
                <w:lang w:val="ro-RO"/>
              </w:rPr>
            </w:pPr>
            <w:r>
              <w:rPr>
                <w:b/>
                <w:noProof/>
                <w:color w:val="000000"/>
                <w:sz w:val="18"/>
                <w:lang w:val="ro-RO"/>
              </w:rPr>
              <w:t>Recomandări respinse</w:t>
            </w:r>
          </w:p>
        </w:tc>
      </w:tr>
      <w:tr w:rsidR="004310B4">
        <w:trPr>
          <w:cantSplit/>
        </w:trPr>
        <w:tc>
          <w:tcPr>
            <w:tcW w:w="2410" w:type="dxa"/>
            <w:tcBorders>
              <w:top w:val="nil"/>
              <w:left w:val="single" w:sz="8" w:space="0" w:color="auto"/>
              <w:bottom w:val="single" w:sz="8" w:space="0" w:color="auto"/>
              <w:right w:val="single" w:sz="8" w:space="0" w:color="auto"/>
            </w:tcBorders>
            <w:noWrap/>
            <w:vAlign w:val="center"/>
            <w:hideMark/>
          </w:tcPr>
          <w:p w:rsidR="004310B4" w:rsidRDefault="004310B4">
            <w:pPr>
              <w:spacing w:before="40" w:after="40"/>
              <w:jc w:val="center"/>
              <w:rPr>
                <w:i/>
                <w:iCs/>
                <w:noProof/>
                <w:color w:val="000000"/>
                <w:sz w:val="18"/>
                <w:szCs w:val="18"/>
                <w:lang w:val="ro-RO"/>
              </w:rPr>
            </w:pPr>
            <w:r>
              <w:rPr>
                <w:i/>
                <w:noProof/>
                <w:color w:val="000000"/>
                <w:sz w:val="18"/>
                <w:lang w:val="ro-RO"/>
              </w:rPr>
              <w:t>Prioritate</w:t>
            </w:r>
          </w:p>
        </w:tc>
        <w:tc>
          <w:tcPr>
            <w:tcW w:w="1721" w:type="dxa"/>
            <w:tcBorders>
              <w:top w:val="nil"/>
              <w:left w:val="nil"/>
              <w:bottom w:val="single" w:sz="8" w:space="0" w:color="auto"/>
              <w:right w:val="single" w:sz="8" w:space="0" w:color="auto"/>
            </w:tcBorders>
            <w:noWrap/>
            <w:vAlign w:val="center"/>
            <w:hideMark/>
          </w:tcPr>
          <w:p w:rsidR="004310B4" w:rsidRDefault="004310B4">
            <w:pPr>
              <w:spacing w:before="40" w:after="40"/>
              <w:jc w:val="center"/>
              <w:rPr>
                <w:noProof/>
                <w:color w:val="000000"/>
                <w:sz w:val="18"/>
                <w:szCs w:val="18"/>
                <w:lang w:val="ro-RO"/>
              </w:rPr>
            </w:pPr>
            <w:r>
              <w:rPr>
                <w:noProof/>
                <w:color w:val="000000"/>
                <w:sz w:val="18"/>
                <w:lang w:val="ro-RO"/>
              </w:rPr>
              <w:t> </w:t>
            </w:r>
          </w:p>
        </w:tc>
        <w:tc>
          <w:tcPr>
            <w:tcW w:w="992" w:type="dxa"/>
            <w:tcBorders>
              <w:top w:val="nil"/>
              <w:left w:val="nil"/>
              <w:bottom w:val="single" w:sz="8" w:space="0" w:color="auto"/>
              <w:right w:val="single" w:sz="8" w:space="0" w:color="auto"/>
            </w:tcBorders>
            <w:shd w:val="clear" w:color="000000" w:fill="BFBFBF"/>
            <w:noWrap/>
            <w:vAlign w:val="center"/>
            <w:hideMark/>
          </w:tcPr>
          <w:p w:rsidR="004310B4" w:rsidRDefault="004310B4">
            <w:pPr>
              <w:spacing w:before="40" w:after="40"/>
              <w:jc w:val="center"/>
              <w:rPr>
                <w:noProof/>
                <w:color w:val="000000"/>
                <w:sz w:val="18"/>
                <w:szCs w:val="18"/>
                <w:lang w:val="ro-RO"/>
              </w:rPr>
            </w:pPr>
            <w:r>
              <w:rPr>
                <w:noProof/>
                <w:color w:val="000000"/>
                <w:sz w:val="18"/>
                <w:lang w:val="ro-RO"/>
              </w:rPr>
              <w:t> </w:t>
            </w:r>
          </w:p>
        </w:tc>
        <w:tc>
          <w:tcPr>
            <w:tcW w:w="992" w:type="dxa"/>
            <w:tcBorders>
              <w:top w:val="nil"/>
              <w:left w:val="nil"/>
              <w:bottom w:val="single" w:sz="8" w:space="0" w:color="auto"/>
              <w:right w:val="single" w:sz="8" w:space="0" w:color="auto"/>
            </w:tcBorders>
            <w:noWrap/>
            <w:vAlign w:val="center"/>
            <w:hideMark/>
          </w:tcPr>
          <w:p w:rsidR="004310B4" w:rsidRDefault="004310B4">
            <w:pPr>
              <w:spacing w:before="40" w:after="40"/>
              <w:jc w:val="center"/>
              <w:rPr>
                <w:b/>
                <w:bCs/>
                <w:noProof/>
                <w:color w:val="000000"/>
                <w:sz w:val="18"/>
                <w:szCs w:val="18"/>
                <w:lang w:val="ro-RO"/>
              </w:rPr>
            </w:pPr>
            <w:r>
              <w:rPr>
                <w:b/>
                <w:noProof/>
                <w:color w:val="000000"/>
                <w:sz w:val="18"/>
                <w:lang w:val="ro-RO"/>
              </w:rPr>
              <w:t>%</w:t>
            </w:r>
          </w:p>
        </w:tc>
        <w:tc>
          <w:tcPr>
            <w:tcW w:w="992" w:type="dxa"/>
            <w:tcBorders>
              <w:top w:val="nil"/>
              <w:left w:val="nil"/>
              <w:bottom w:val="single" w:sz="8" w:space="0" w:color="auto"/>
              <w:right w:val="single" w:sz="8" w:space="0" w:color="auto"/>
            </w:tcBorders>
            <w:noWrap/>
            <w:vAlign w:val="center"/>
            <w:hideMark/>
          </w:tcPr>
          <w:p w:rsidR="004310B4" w:rsidRDefault="004310B4">
            <w:pPr>
              <w:spacing w:before="40" w:after="40"/>
              <w:jc w:val="center"/>
              <w:rPr>
                <w:noProof/>
                <w:color w:val="000000"/>
                <w:sz w:val="18"/>
                <w:szCs w:val="18"/>
                <w:lang w:val="ro-RO"/>
              </w:rPr>
            </w:pPr>
            <w:r>
              <w:rPr>
                <w:noProof/>
                <w:color w:val="000000"/>
                <w:sz w:val="18"/>
                <w:lang w:val="ro-RO"/>
              </w:rPr>
              <w:t> </w:t>
            </w:r>
          </w:p>
        </w:tc>
        <w:tc>
          <w:tcPr>
            <w:tcW w:w="992" w:type="dxa"/>
            <w:tcBorders>
              <w:top w:val="nil"/>
              <w:left w:val="nil"/>
              <w:bottom w:val="single" w:sz="8" w:space="0" w:color="auto"/>
              <w:right w:val="single" w:sz="8" w:space="0" w:color="auto"/>
            </w:tcBorders>
            <w:noWrap/>
            <w:vAlign w:val="center"/>
            <w:hideMark/>
          </w:tcPr>
          <w:p w:rsidR="004310B4" w:rsidRDefault="004310B4">
            <w:pPr>
              <w:spacing w:before="40" w:after="40"/>
              <w:jc w:val="center"/>
              <w:rPr>
                <w:b/>
                <w:bCs/>
                <w:noProof/>
                <w:color w:val="000000"/>
                <w:sz w:val="18"/>
                <w:szCs w:val="18"/>
                <w:lang w:val="ro-RO"/>
              </w:rPr>
            </w:pPr>
            <w:r>
              <w:rPr>
                <w:b/>
                <w:noProof/>
                <w:color w:val="000000"/>
                <w:sz w:val="18"/>
                <w:lang w:val="ro-RO"/>
              </w:rPr>
              <w:t>%</w:t>
            </w:r>
          </w:p>
        </w:tc>
      </w:tr>
      <w:tr w:rsidR="004310B4">
        <w:trPr>
          <w:cantSplit/>
        </w:trPr>
        <w:tc>
          <w:tcPr>
            <w:tcW w:w="2410" w:type="dxa"/>
            <w:tcBorders>
              <w:top w:val="nil"/>
              <w:left w:val="single" w:sz="8" w:space="0" w:color="auto"/>
              <w:bottom w:val="single" w:sz="8" w:space="0" w:color="auto"/>
              <w:right w:val="single" w:sz="8" w:space="0" w:color="auto"/>
            </w:tcBorders>
            <w:shd w:val="clear" w:color="000000" w:fill="BFBFBF"/>
            <w:noWrap/>
            <w:vAlign w:val="center"/>
            <w:hideMark/>
          </w:tcPr>
          <w:p w:rsidR="004310B4" w:rsidRDefault="004310B4">
            <w:pPr>
              <w:spacing w:before="40" w:after="40"/>
              <w:jc w:val="center"/>
              <w:rPr>
                <w:noProof/>
                <w:color w:val="000000"/>
                <w:sz w:val="18"/>
                <w:szCs w:val="18"/>
                <w:lang w:val="ro-RO"/>
              </w:rPr>
            </w:pPr>
            <w:r>
              <w:rPr>
                <w:noProof/>
                <w:color w:val="000000"/>
                <w:sz w:val="18"/>
                <w:lang w:val="ro-RO"/>
              </w:rPr>
              <w:t>Esențială</w:t>
            </w:r>
          </w:p>
        </w:tc>
        <w:tc>
          <w:tcPr>
            <w:tcW w:w="1721" w:type="dxa"/>
            <w:tcBorders>
              <w:top w:val="nil"/>
              <w:left w:val="nil"/>
              <w:bottom w:val="single" w:sz="8" w:space="0" w:color="auto"/>
              <w:right w:val="single" w:sz="8" w:space="0" w:color="auto"/>
            </w:tcBorders>
            <w:noWrap/>
            <w:vAlign w:val="center"/>
            <w:hideMark/>
          </w:tcPr>
          <w:p w:rsidR="004310B4" w:rsidRDefault="004310B4">
            <w:pPr>
              <w:spacing w:before="40" w:after="40"/>
              <w:jc w:val="center"/>
              <w:rPr>
                <w:noProof/>
                <w:color w:val="000000"/>
                <w:sz w:val="18"/>
                <w:szCs w:val="18"/>
                <w:lang w:val="ro-RO"/>
              </w:rPr>
            </w:pPr>
            <w:r>
              <w:rPr>
                <w:noProof/>
                <w:color w:val="000000"/>
                <w:sz w:val="18"/>
                <w:lang w:val="ro-RO"/>
              </w:rPr>
              <w:t>1</w:t>
            </w:r>
          </w:p>
        </w:tc>
        <w:tc>
          <w:tcPr>
            <w:tcW w:w="992" w:type="dxa"/>
            <w:tcBorders>
              <w:top w:val="nil"/>
              <w:left w:val="nil"/>
              <w:bottom w:val="single" w:sz="8" w:space="0" w:color="auto"/>
              <w:right w:val="single" w:sz="8" w:space="0" w:color="auto"/>
            </w:tcBorders>
            <w:shd w:val="clear" w:color="000000" w:fill="BFBFBF"/>
            <w:noWrap/>
            <w:vAlign w:val="center"/>
            <w:hideMark/>
          </w:tcPr>
          <w:p w:rsidR="004310B4" w:rsidRDefault="004310B4">
            <w:pPr>
              <w:spacing w:before="40" w:after="40"/>
              <w:jc w:val="center"/>
              <w:rPr>
                <w:noProof/>
                <w:color w:val="000000"/>
                <w:sz w:val="18"/>
                <w:szCs w:val="18"/>
                <w:lang w:val="ro-RO"/>
              </w:rPr>
            </w:pPr>
            <w:r>
              <w:rPr>
                <w:noProof/>
                <w:color w:val="000000"/>
                <w:sz w:val="18"/>
                <w:lang w:val="ro-RO"/>
              </w:rPr>
              <w:t>1</w:t>
            </w:r>
          </w:p>
        </w:tc>
        <w:tc>
          <w:tcPr>
            <w:tcW w:w="992" w:type="dxa"/>
            <w:tcBorders>
              <w:top w:val="nil"/>
              <w:left w:val="nil"/>
              <w:bottom w:val="single" w:sz="8" w:space="0" w:color="auto"/>
              <w:right w:val="single" w:sz="8" w:space="0" w:color="auto"/>
            </w:tcBorders>
            <w:noWrap/>
            <w:vAlign w:val="center"/>
            <w:hideMark/>
          </w:tcPr>
          <w:p w:rsidR="004310B4" w:rsidRDefault="004310B4">
            <w:pPr>
              <w:spacing w:before="40" w:after="40"/>
              <w:jc w:val="center"/>
              <w:rPr>
                <w:noProof/>
                <w:color w:val="000000"/>
                <w:sz w:val="18"/>
                <w:szCs w:val="18"/>
                <w:lang w:val="ro-RO"/>
              </w:rPr>
            </w:pPr>
            <w:r>
              <w:rPr>
                <w:noProof/>
                <w:color w:val="000000"/>
                <w:sz w:val="18"/>
                <w:lang w:val="ro-RO"/>
              </w:rPr>
              <w:t>100 %</w:t>
            </w:r>
          </w:p>
        </w:tc>
        <w:tc>
          <w:tcPr>
            <w:tcW w:w="992" w:type="dxa"/>
            <w:tcBorders>
              <w:top w:val="nil"/>
              <w:left w:val="nil"/>
              <w:bottom w:val="single" w:sz="8" w:space="0" w:color="auto"/>
              <w:right w:val="single" w:sz="8" w:space="0" w:color="auto"/>
            </w:tcBorders>
            <w:noWrap/>
            <w:vAlign w:val="center"/>
            <w:hideMark/>
          </w:tcPr>
          <w:p w:rsidR="004310B4" w:rsidRDefault="004310B4">
            <w:pPr>
              <w:spacing w:before="40" w:after="40"/>
              <w:jc w:val="center"/>
              <w:rPr>
                <w:noProof/>
                <w:color w:val="000000"/>
                <w:sz w:val="18"/>
                <w:szCs w:val="18"/>
                <w:lang w:val="ro-RO"/>
              </w:rPr>
            </w:pPr>
            <w:r>
              <w:rPr>
                <w:noProof/>
                <w:color w:val="000000"/>
                <w:sz w:val="18"/>
                <w:lang w:val="ro-RO"/>
              </w:rPr>
              <w:t>0</w:t>
            </w:r>
          </w:p>
        </w:tc>
        <w:tc>
          <w:tcPr>
            <w:tcW w:w="992" w:type="dxa"/>
            <w:tcBorders>
              <w:top w:val="nil"/>
              <w:left w:val="nil"/>
              <w:bottom w:val="single" w:sz="8" w:space="0" w:color="auto"/>
              <w:right w:val="single" w:sz="8" w:space="0" w:color="auto"/>
            </w:tcBorders>
            <w:noWrap/>
            <w:vAlign w:val="center"/>
            <w:hideMark/>
          </w:tcPr>
          <w:p w:rsidR="004310B4" w:rsidRDefault="004310B4">
            <w:pPr>
              <w:spacing w:before="40" w:after="40"/>
              <w:jc w:val="center"/>
              <w:rPr>
                <w:noProof/>
                <w:color w:val="000000"/>
                <w:sz w:val="18"/>
                <w:szCs w:val="18"/>
                <w:lang w:val="ro-RO"/>
              </w:rPr>
            </w:pPr>
            <w:r>
              <w:rPr>
                <w:noProof/>
                <w:color w:val="000000"/>
                <w:sz w:val="18"/>
                <w:lang w:val="ro-RO"/>
              </w:rPr>
              <w:t>N.A.</w:t>
            </w:r>
          </w:p>
        </w:tc>
      </w:tr>
      <w:tr w:rsidR="004310B4">
        <w:trPr>
          <w:cantSplit/>
        </w:trPr>
        <w:tc>
          <w:tcPr>
            <w:tcW w:w="2410" w:type="dxa"/>
            <w:tcBorders>
              <w:top w:val="nil"/>
              <w:left w:val="single" w:sz="8" w:space="0" w:color="auto"/>
              <w:bottom w:val="single" w:sz="8" w:space="0" w:color="auto"/>
              <w:right w:val="single" w:sz="8" w:space="0" w:color="auto"/>
            </w:tcBorders>
            <w:shd w:val="clear" w:color="000000" w:fill="BFBFBF"/>
            <w:noWrap/>
            <w:vAlign w:val="center"/>
            <w:hideMark/>
          </w:tcPr>
          <w:p w:rsidR="004310B4" w:rsidRDefault="004310B4">
            <w:pPr>
              <w:spacing w:before="40" w:after="40"/>
              <w:jc w:val="center"/>
              <w:rPr>
                <w:noProof/>
                <w:color w:val="000000"/>
                <w:sz w:val="18"/>
                <w:szCs w:val="18"/>
                <w:lang w:val="ro-RO"/>
              </w:rPr>
            </w:pPr>
            <w:r>
              <w:rPr>
                <w:noProof/>
                <w:color w:val="000000"/>
                <w:sz w:val="18"/>
                <w:lang w:val="ro-RO"/>
              </w:rPr>
              <w:t>Foarte importantă</w:t>
            </w:r>
          </w:p>
        </w:tc>
        <w:tc>
          <w:tcPr>
            <w:tcW w:w="1721" w:type="dxa"/>
            <w:tcBorders>
              <w:top w:val="nil"/>
              <w:left w:val="nil"/>
              <w:bottom w:val="single" w:sz="8" w:space="0" w:color="auto"/>
              <w:right w:val="single" w:sz="8" w:space="0" w:color="auto"/>
            </w:tcBorders>
            <w:noWrap/>
            <w:vAlign w:val="center"/>
            <w:hideMark/>
          </w:tcPr>
          <w:p w:rsidR="004310B4" w:rsidRDefault="004310B4">
            <w:pPr>
              <w:spacing w:before="40" w:after="40"/>
              <w:jc w:val="center"/>
              <w:rPr>
                <w:noProof/>
                <w:color w:val="000000"/>
                <w:sz w:val="18"/>
                <w:szCs w:val="18"/>
                <w:lang w:val="ro-RO"/>
              </w:rPr>
            </w:pPr>
            <w:r>
              <w:rPr>
                <w:noProof/>
                <w:color w:val="000000"/>
                <w:sz w:val="18"/>
                <w:lang w:val="ro-RO"/>
              </w:rPr>
              <w:t>80</w:t>
            </w:r>
          </w:p>
        </w:tc>
        <w:tc>
          <w:tcPr>
            <w:tcW w:w="992" w:type="dxa"/>
            <w:tcBorders>
              <w:top w:val="nil"/>
              <w:left w:val="nil"/>
              <w:bottom w:val="single" w:sz="8" w:space="0" w:color="auto"/>
              <w:right w:val="single" w:sz="8" w:space="0" w:color="auto"/>
            </w:tcBorders>
            <w:shd w:val="clear" w:color="000000" w:fill="BFBFBF"/>
            <w:noWrap/>
            <w:vAlign w:val="center"/>
            <w:hideMark/>
          </w:tcPr>
          <w:p w:rsidR="004310B4" w:rsidRDefault="004310B4">
            <w:pPr>
              <w:spacing w:before="40" w:after="40"/>
              <w:jc w:val="center"/>
              <w:rPr>
                <w:noProof/>
                <w:color w:val="000000"/>
                <w:sz w:val="18"/>
                <w:szCs w:val="18"/>
                <w:lang w:val="ro-RO"/>
              </w:rPr>
            </w:pPr>
            <w:r>
              <w:rPr>
                <w:noProof/>
                <w:color w:val="000000"/>
                <w:sz w:val="18"/>
                <w:lang w:val="ro-RO"/>
              </w:rPr>
              <w:t>80</w:t>
            </w:r>
          </w:p>
        </w:tc>
        <w:tc>
          <w:tcPr>
            <w:tcW w:w="992" w:type="dxa"/>
            <w:tcBorders>
              <w:top w:val="nil"/>
              <w:left w:val="nil"/>
              <w:bottom w:val="single" w:sz="8" w:space="0" w:color="auto"/>
              <w:right w:val="single" w:sz="8" w:space="0" w:color="auto"/>
            </w:tcBorders>
            <w:noWrap/>
            <w:vAlign w:val="center"/>
            <w:hideMark/>
          </w:tcPr>
          <w:p w:rsidR="004310B4" w:rsidRDefault="004310B4">
            <w:pPr>
              <w:spacing w:before="40" w:after="40"/>
              <w:jc w:val="center"/>
              <w:rPr>
                <w:noProof/>
                <w:color w:val="000000"/>
                <w:sz w:val="18"/>
                <w:szCs w:val="18"/>
                <w:lang w:val="ro-RO"/>
              </w:rPr>
            </w:pPr>
            <w:r>
              <w:rPr>
                <w:noProof/>
                <w:color w:val="000000"/>
                <w:sz w:val="18"/>
                <w:lang w:val="ro-RO"/>
              </w:rPr>
              <w:t>100 %</w:t>
            </w:r>
          </w:p>
        </w:tc>
        <w:tc>
          <w:tcPr>
            <w:tcW w:w="992" w:type="dxa"/>
            <w:tcBorders>
              <w:top w:val="nil"/>
              <w:left w:val="nil"/>
              <w:bottom w:val="single" w:sz="8" w:space="0" w:color="auto"/>
              <w:right w:val="single" w:sz="8" w:space="0" w:color="auto"/>
            </w:tcBorders>
            <w:noWrap/>
            <w:vAlign w:val="center"/>
            <w:hideMark/>
          </w:tcPr>
          <w:p w:rsidR="004310B4" w:rsidRDefault="004310B4">
            <w:pPr>
              <w:spacing w:before="40" w:after="40"/>
              <w:jc w:val="center"/>
              <w:rPr>
                <w:noProof/>
                <w:color w:val="000000"/>
                <w:sz w:val="18"/>
                <w:szCs w:val="18"/>
                <w:lang w:val="ro-RO"/>
              </w:rPr>
            </w:pPr>
            <w:r>
              <w:rPr>
                <w:noProof/>
                <w:color w:val="000000"/>
                <w:sz w:val="18"/>
                <w:lang w:val="ro-RO"/>
              </w:rPr>
              <w:t>0</w:t>
            </w:r>
          </w:p>
        </w:tc>
        <w:tc>
          <w:tcPr>
            <w:tcW w:w="992" w:type="dxa"/>
            <w:tcBorders>
              <w:top w:val="nil"/>
              <w:left w:val="nil"/>
              <w:bottom w:val="single" w:sz="8" w:space="0" w:color="auto"/>
              <w:right w:val="single" w:sz="8" w:space="0" w:color="auto"/>
            </w:tcBorders>
            <w:noWrap/>
            <w:vAlign w:val="center"/>
            <w:hideMark/>
          </w:tcPr>
          <w:p w:rsidR="004310B4" w:rsidRDefault="004310B4">
            <w:pPr>
              <w:spacing w:before="40" w:after="40"/>
              <w:jc w:val="center"/>
              <w:rPr>
                <w:noProof/>
                <w:color w:val="000000"/>
                <w:sz w:val="18"/>
                <w:szCs w:val="18"/>
                <w:lang w:val="ro-RO"/>
              </w:rPr>
            </w:pPr>
            <w:r>
              <w:rPr>
                <w:noProof/>
                <w:color w:val="000000"/>
                <w:sz w:val="18"/>
                <w:lang w:val="ro-RO"/>
              </w:rPr>
              <w:t>N.A</w:t>
            </w:r>
          </w:p>
        </w:tc>
      </w:tr>
      <w:tr w:rsidR="004310B4">
        <w:trPr>
          <w:cantSplit/>
        </w:trPr>
        <w:tc>
          <w:tcPr>
            <w:tcW w:w="2410" w:type="dxa"/>
            <w:tcBorders>
              <w:top w:val="nil"/>
              <w:left w:val="single" w:sz="8" w:space="0" w:color="auto"/>
              <w:bottom w:val="single" w:sz="8" w:space="0" w:color="auto"/>
              <w:right w:val="single" w:sz="8" w:space="0" w:color="auto"/>
            </w:tcBorders>
            <w:shd w:val="clear" w:color="000000" w:fill="BFBFBF"/>
            <w:noWrap/>
            <w:vAlign w:val="center"/>
            <w:hideMark/>
          </w:tcPr>
          <w:p w:rsidR="004310B4" w:rsidRDefault="004310B4">
            <w:pPr>
              <w:spacing w:before="40" w:after="40"/>
              <w:jc w:val="center"/>
              <w:rPr>
                <w:noProof/>
                <w:color w:val="000000"/>
                <w:sz w:val="18"/>
                <w:szCs w:val="18"/>
                <w:lang w:val="ro-RO"/>
              </w:rPr>
            </w:pPr>
            <w:r>
              <w:rPr>
                <w:noProof/>
                <w:color w:val="000000"/>
                <w:sz w:val="18"/>
                <w:lang w:val="ro-RO"/>
              </w:rPr>
              <w:t>Importantă</w:t>
            </w:r>
          </w:p>
        </w:tc>
        <w:tc>
          <w:tcPr>
            <w:tcW w:w="1721" w:type="dxa"/>
            <w:tcBorders>
              <w:top w:val="nil"/>
              <w:left w:val="nil"/>
              <w:bottom w:val="single" w:sz="8" w:space="0" w:color="auto"/>
              <w:right w:val="single" w:sz="8" w:space="0" w:color="auto"/>
            </w:tcBorders>
            <w:noWrap/>
            <w:vAlign w:val="center"/>
            <w:hideMark/>
          </w:tcPr>
          <w:p w:rsidR="004310B4" w:rsidRDefault="004310B4">
            <w:pPr>
              <w:spacing w:before="40" w:after="40"/>
              <w:jc w:val="center"/>
              <w:rPr>
                <w:noProof/>
                <w:color w:val="000000"/>
                <w:sz w:val="18"/>
                <w:szCs w:val="18"/>
                <w:lang w:val="ro-RO"/>
              </w:rPr>
            </w:pPr>
            <w:r>
              <w:rPr>
                <w:noProof/>
                <w:color w:val="000000"/>
                <w:sz w:val="18"/>
                <w:lang w:val="ro-RO"/>
              </w:rPr>
              <w:t>128</w:t>
            </w:r>
          </w:p>
        </w:tc>
        <w:tc>
          <w:tcPr>
            <w:tcW w:w="992" w:type="dxa"/>
            <w:tcBorders>
              <w:top w:val="nil"/>
              <w:left w:val="nil"/>
              <w:bottom w:val="single" w:sz="8" w:space="0" w:color="auto"/>
              <w:right w:val="single" w:sz="8" w:space="0" w:color="auto"/>
            </w:tcBorders>
            <w:shd w:val="clear" w:color="000000" w:fill="BFBFBF"/>
            <w:noWrap/>
            <w:vAlign w:val="center"/>
            <w:hideMark/>
          </w:tcPr>
          <w:p w:rsidR="004310B4" w:rsidRDefault="004310B4">
            <w:pPr>
              <w:spacing w:before="40" w:after="40"/>
              <w:jc w:val="center"/>
              <w:rPr>
                <w:noProof/>
                <w:color w:val="000000"/>
                <w:sz w:val="18"/>
                <w:szCs w:val="18"/>
                <w:lang w:val="ro-RO"/>
              </w:rPr>
            </w:pPr>
            <w:r>
              <w:rPr>
                <w:noProof/>
                <w:color w:val="000000"/>
                <w:sz w:val="18"/>
                <w:lang w:val="ro-RO"/>
              </w:rPr>
              <w:t>128</w:t>
            </w:r>
          </w:p>
        </w:tc>
        <w:tc>
          <w:tcPr>
            <w:tcW w:w="992" w:type="dxa"/>
            <w:tcBorders>
              <w:top w:val="nil"/>
              <w:left w:val="nil"/>
              <w:bottom w:val="single" w:sz="8" w:space="0" w:color="auto"/>
              <w:right w:val="single" w:sz="8" w:space="0" w:color="auto"/>
            </w:tcBorders>
            <w:noWrap/>
            <w:vAlign w:val="center"/>
            <w:hideMark/>
          </w:tcPr>
          <w:p w:rsidR="004310B4" w:rsidRDefault="004310B4">
            <w:pPr>
              <w:spacing w:before="40" w:after="40"/>
              <w:jc w:val="center"/>
              <w:rPr>
                <w:noProof/>
                <w:color w:val="000000"/>
                <w:sz w:val="18"/>
                <w:szCs w:val="18"/>
                <w:lang w:val="ro-RO"/>
              </w:rPr>
            </w:pPr>
            <w:r>
              <w:rPr>
                <w:noProof/>
                <w:color w:val="000000"/>
                <w:sz w:val="18"/>
                <w:lang w:val="ro-RO"/>
              </w:rPr>
              <w:t>100 %</w:t>
            </w:r>
          </w:p>
        </w:tc>
        <w:tc>
          <w:tcPr>
            <w:tcW w:w="992" w:type="dxa"/>
            <w:tcBorders>
              <w:top w:val="nil"/>
              <w:left w:val="nil"/>
              <w:bottom w:val="single" w:sz="8" w:space="0" w:color="auto"/>
              <w:right w:val="single" w:sz="8" w:space="0" w:color="auto"/>
            </w:tcBorders>
            <w:noWrap/>
            <w:vAlign w:val="center"/>
            <w:hideMark/>
          </w:tcPr>
          <w:p w:rsidR="004310B4" w:rsidRDefault="004310B4">
            <w:pPr>
              <w:spacing w:before="40" w:after="40"/>
              <w:jc w:val="center"/>
              <w:rPr>
                <w:noProof/>
                <w:color w:val="000000"/>
                <w:sz w:val="18"/>
                <w:szCs w:val="18"/>
                <w:lang w:val="ro-RO"/>
              </w:rPr>
            </w:pPr>
            <w:r>
              <w:rPr>
                <w:noProof/>
                <w:color w:val="000000"/>
                <w:sz w:val="18"/>
                <w:lang w:val="ro-RO"/>
              </w:rPr>
              <w:t>0</w:t>
            </w:r>
          </w:p>
        </w:tc>
        <w:tc>
          <w:tcPr>
            <w:tcW w:w="992" w:type="dxa"/>
            <w:tcBorders>
              <w:top w:val="nil"/>
              <w:left w:val="nil"/>
              <w:bottom w:val="single" w:sz="8" w:space="0" w:color="auto"/>
              <w:right w:val="single" w:sz="8" w:space="0" w:color="auto"/>
            </w:tcBorders>
            <w:noWrap/>
            <w:vAlign w:val="center"/>
            <w:hideMark/>
          </w:tcPr>
          <w:p w:rsidR="004310B4" w:rsidRDefault="004310B4">
            <w:pPr>
              <w:spacing w:before="40" w:after="40"/>
              <w:jc w:val="center"/>
              <w:rPr>
                <w:noProof/>
                <w:color w:val="000000"/>
                <w:sz w:val="18"/>
                <w:szCs w:val="18"/>
                <w:lang w:val="ro-RO"/>
              </w:rPr>
            </w:pPr>
            <w:r>
              <w:rPr>
                <w:noProof/>
                <w:color w:val="000000"/>
                <w:sz w:val="18"/>
                <w:lang w:val="ro-RO"/>
              </w:rPr>
              <w:t>N.A.</w:t>
            </w:r>
          </w:p>
        </w:tc>
      </w:tr>
      <w:tr w:rsidR="004310B4">
        <w:trPr>
          <w:cantSplit/>
        </w:trPr>
        <w:tc>
          <w:tcPr>
            <w:tcW w:w="2410" w:type="dxa"/>
            <w:tcBorders>
              <w:top w:val="nil"/>
              <w:left w:val="single" w:sz="8" w:space="0" w:color="auto"/>
              <w:bottom w:val="single" w:sz="8" w:space="0" w:color="auto"/>
              <w:right w:val="single" w:sz="8" w:space="0" w:color="auto"/>
            </w:tcBorders>
            <w:shd w:val="clear" w:color="000000" w:fill="BFBFBF"/>
            <w:noWrap/>
            <w:vAlign w:val="center"/>
            <w:hideMark/>
          </w:tcPr>
          <w:p w:rsidR="004310B4" w:rsidRDefault="004310B4">
            <w:pPr>
              <w:spacing w:before="40" w:after="40"/>
              <w:jc w:val="center"/>
              <w:rPr>
                <w:noProof/>
                <w:color w:val="000000"/>
                <w:sz w:val="18"/>
                <w:szCs w:val="18"/>
                <w:lang w:val="ro-RO"/>
              </w:rPr>
            </w:pPr>
            <w:r>
              <w:rPr>
                <w:noProof/>
                <w:color w:val="000000"/>
                <w:sz w:val="18"/>
                <w:lang w:val="ro-RO"/>
              </w:rPr>
              <w:t>De dorit</w:t>
            </w:r>
          </w:p>
        </w:tc>
        <w:tc>
          <w:tcPr>
            <w:tcW w:w="1721" w:type="dxa"/>
            <w:tcBorders>
              <w:top w:val="nil"/>
              <w:left w:val="nil"/>
              <w:bottom w:val="single" w:sz="8" w:space="0" w:color="auto"/>
              <w:right w:val="single" w:sz="8" w:space="0" w:color="auto"/>
            </w:tcBorders>
            <w:noWrap/>
            <w:vAlign w:val="center"/>
            <w:hideMark/>
          </w:tcPr>
          <w:p w:rsidR="004310B4" w:rsidRDefault="004310B4">
            <w:pPr>
              <w:spacing w:before="40" w:after="40"/>
              <w:jc w:val="center"/>
              <w:rPr>
                <w:noProof/>
                <w:color w:val="000000"/>
                <w:sz w:val="18"/>
                <w:szCs w:val="18"/>
                <w:lang w:val="ro-RO"/>
              </w:rPr>
            </w:pPr>
            <w:r>
              <w:rPr>
                <w:noProof/>
                <w:color w:val="000000"/>
                <w:sz w:val="18"/>
                <w:lang w:val="ro-RO"/>
              </w:rPr>
              <w:t>7</w:t>
            </w:r>
          </w:p>
        </w:tc>
        <w:tc>
          <w:tcPr>
            <w:tcW w:w="992" w:type="dxa"/>
            <w:tcBorders>
              <w:top w:val="nil"/>
              <w:left w:val="nil"/>
              <w:bottom w:val="single" w:sz="8" w:space="0" w:color="auto"/>
              <w:right w:val="single" w:sz="8" w:space="0" w:color="auto"/>
            </w:tcBorders>
            <w:shd w:val="clear" w:color="000000" w:fill="BFBFBF"/>
            <w:noWrap/>
            <w:vAlign w:val="center"/>
            <w:hideMark/>
          </w:tcPr>
          <w:p w:rsidR="004310B4" w:rsidRDefault="004310B4">
            <w:pPr>
              <w:spacing w:before="40" w:after="40"/>
              <w:jc w:val="center"/>
              <w:rPr>
                <w:noProof/>
                <w:color w:val="000000"/>
                <w:sz w:val="18"/>
                <w:szCs w:val="18"/>
                <w:lang w:val="ro-RO"/>
              </w:rPr>
            </w:pPr>
            <w:r>
              <w:rPr>
                <w:noProof/>
                <w:color w:val="000000"/>
                <w:sz w:val="18"/>
                <w:lang w:val="ro-RO"/>
              </w:rPr>
              <w:t>7</w:t>
            </w:r>
          </w:p>
        </w:tc>
        <w:tc>
          <w:tcPr>
            <w:tcW w:w="992" w:type="dxa"/>
            <w:tcBorders>
              <w:top w:val="nil"/>
              <w:left w:val="nil"/>
              <w:bottom w:val="single" w:sz="8" w:space="0" w:color="auto"/>
              <w:right w:val="single" w:sz="8" w:space="0" w:color="auto"/>
            </w:tcBorders>
            <w:noWrap/>
            <w:vAlign w:val="center"/>
            <w:hideMark/>
          </w:tcPr>
          <w:p w:rsidR="004310B4" w:rsidRDefault="004310B4">
            <w:pPr>
              <w:spacing w:before="40" w:after="40"/>
              <w:jc w:val="center"/>
              <w:rPr>
                <w:noProof/>
                <w:color w:val="000000"/>
                <w:sz w:val="18"/>
                <w:szCs w:val="18"/>
                <w:lang w:val="ro-RO"/>
              </w:rPr>
            </w:pPr>
            <w:r>
              <w:rPr>
                <w:noProof/>
                <w:color w:val="000000"/>
                <w:sz w:val="18"/>
                <w:lang w:val="ro-RO"/>
              </w:rPr>
              <w:t>100 %.</w:t>
            </w:r>
          </w:p>
        </w:tc>
        <w:tc>
          <w:tcPr>
            <w:tcW w:w="992" w:type="dxa"/>
            <w:tcBorders>
              <w:top w:val="nil"/>
              <w:left w:val="nil"/>
              <w:bottom w:val="single" w:sz="8" w:space="0" w:color="auto"/>
              <w:right w:val="single" w:sz="8" w:space="0" w:color="auto"/>
            </w:tcBorders>
            <w:noWrap/>
            <w:vAlign w:val="center"/>
            <w:hideMark/>
          </w:tcPr>
          <w:p w:rsidR="004310B4" w:rsidRDefault="004310B4">
            <w:pPr>
              <w:spacing w:before="40" w:after="40"/>
              <w:jc w:val="center"/>
              <w:rPr>
                <w:noProof/>
                <w:color w:val="000000"/>
                <w:sz w:val="18"/>
                <w:szCs w:val="18"/>
                <w:lang w:val="ro-RO"/>
              </w:rPr>
            </w:pPr>
            <w:r>
              <w:rPr>
                <w:noProof/>
                <w:color w:val="000000"/>
                <w:sz w:val="18"/>
                <w:lang w:val="ro-RO"/>
              </w:rPr>
              <w:t>0</w:t>
            </w:r>
          </w:p>
        </w:tc>
        <w:tc>
          <w:tcPr>
            <w:tcW w:w="992" w:type="dxa"/>
            <w:tcBorders>
              <w:top w:val="nil"/>
              <w:left w:val="nil"/>
              <w:bottom w:val="single" w:sz="8" w:space="0" w:color="auto"/>
              <w:right w:val="single" w:sz="8" w:space="0" w:color="auto"/>
            </w:tcBorders>
            <w:noWrap/>
            <w:vAlign w:val="center"/>
            <w:hideMark/>
          </w:tcPr>
          <w:p w:rsidR="004310B4" w:rsidRDefault="004310B4">
            <w:pPr>
              <w:spacing w:before="40" w:after="40"/>
              <w:jc w:val="center"/>
              <w:rPr>
                <w:noProof/>
                <w:color w:val="000000"/>
                <w:sz w:val="18"/>
                <w:szCs w:val="18"/>
                <w:lang w:val="ro-RO"/>
              </w:rPr>
            </w:pPr>
            <w:r>
              <w:rPr>
                <w:noProof/>
                <w:color w:val="000000"/>
                <w:sz w:val="18"/>
                <w:lang w:val="ro-RO"/>
              </w:rPr>
              <w:t>N.A.</w:t>
            </w:r>
          </w:p>
        </w:tc>
      </w:tr>
      <w:tr w:rsidR="004310B4">
        <w:trPr>
          <w:cantSplit/>
        </w:trPr>
        <w:tc>
          <w:tcPr>
            <w:tcW w:w="2410" w:type="dxa"/>
            <w:tcBorders>
              <w:top w:val="nil"/>
              <w:left w:val="single" w:sz="8" w:space="0" w:color="auto"/>
              <w:bottom w:val="single" w:sz="8" w:space="0" w:color="auto"/>
              <w:right w:val="single" w:sz="8" w:space="0" w:color="auto"/>
            </w:tcBorders>
            <w:noWrap/>
            <w:vAlign w:val="center"/>
            <w:hideMark/>
          </w:tcPr>
          <w:p w:rsidR="004310B4" w:rsidRDefault="004310B4">
            <w:pPr>
              <w:spacing w:before="40" w:after="40"/>
              <w:jc w:val="center"/>
              <w:rPr>
                <w:b/>
                <w:noProof/>
                <w:color w:val="000000"/>
                <w:sz w:val="18"/>
                <w:szCs w:val="18"/>
                <w:lang w:val="ro-RO"/>
              </w:rPr>
            </w:pPr>
            <w:r>
              <w:rPr>
                <w:b/>
                <w:noProof/>
                <w:color w:val="000000"/>
                <w:sz w:val="18"/>
                <w:lang w:val="ro-RO"/>
              </w:rPr>
              <w:t>Total</w:t>
            </w:r>
          </w:p>
        </w:tc>
        <w:tc>
          <w:tcPr>
            <w:tcW w:w="1721" w:type="dxa"/>
            <w:tcBorders>
              <w:top w:val="nil"/>
              <w:left w:val="nil"/>
              <w:bottom w:val="single" w:sz="8" w:space="0" w:color="auto"/>
              <w:right w:val="single" w:sz="8" w:space="0" w:color="auto"/>
            </w:tcBorders>
            <w:noWrap/>
            <w:vAlign w:val="center"/>
            <w:hideMark/>
          </w:tcPr>
          <w:p w:rsidR="004310B4" w:rsidRDefault="004310B4">
            <w:pPr>
              <w:spacing w:before="40" w:after="40"/>
              <w:jc w:val="center"/>
              <w:rPr>
                <w:b/>
                <w:bCs/>
                <w:noProof/>
                <w:color w:val="000000"/>
                <w:sz w:val="18"/>
                <w:szCs w:val="18"/>
                <w:lang w:val="ro-RO"/>
              </w:rPr>
            </w:pPr>
            <w:r>
              <w:rPr>
                <w:b/>
                <w:noProof/>
                <w:color w:val="000000"/>
                <w:sz w:val="18"/>
                <w:lang w:val="ro-RO"/>
              </w:rPr>
              <w:t>216</w:t>
            </w:r>
          </w:p>
        </w:tc>
        <w:tc>
          <w:tcPr>
            <w:tcW w:w="992" w:type="dxa"/>
            <w:tcBorders>
              <w:top w:val="nil"/>
              <w:left w:val="nil"/>
              <w:bottom w:val="single" w:sz="8" w:space="0" w:color="auto"/>
              <w:right w:val="single" w:sz="8" w:space="0" w:color="auto"/>
            </w:tcBorders>
            <w:shd w:val="clear" w:color="000000" w:fill="BFBFBF"/>
            <w:noWrap/>
            <w:vAlign w:val="center"/>
            <w:hideMark/>
          </w:tcPr>
          <w:p w:rsidR="004310B4" w:rsidRDefault="004310B4">
            <w:pPr>
              <w:spacing w:before="40" w:after="40"/>
              <w:jc w:val="center"/>
              <w:rPr>
                <w:b/>
                <w:bCs/>
                <w:noProof/>
                <w:color w:val="000000"/>
                <w:sz w:val="18"/>
                <w:szCs w:val="18"/>
                <w:lang w:val="ro-RO"/>
              </w:rPr>
            </w:pPr>
            <w:r>
              <w:rPr>
                <w:b/>
                <w:noProof/>
                <w:color w:val="000000"/>
                <w:sz w:val="18"/>
                <w:lang w:val="ro-RO"/>
              </w:rPr>
              <w:t>216</w:t>
            </w:r>
          </w:p>
        </w:tc>
        <w:tc>
          <w:tcPr>
            <w:tcW w:w="992" w:type="dxa"/>
            <w:tcBorders>
              <w:top w:val="nil"/>
              <w:left w:val="nil"/>
              <w:bottom w:val="single" w:sz="8" w:space="0" w:color="auto"/>
              <w:right w:val="single" w:sz="8" w:space="0" w:color="auto"/>
            </w:tcBorders>
            <w:noWrap/>
            <w:vAlign w:val="center"/>
            <w:hideMark/>
          </w:tcPr>
          <w:p w:rsidR="004310B4" w:rsidRDefault="004310B4">
            <w:pPr>
              <w:spacing w:before="40" w:after="40"/>
              <w:jc w:val="center"/>
              <w:rPr>
                <w:b/>
                <w:bCs/>
                <w:noProof/>
                <w:color w:val="000000"/>
                <w:sz w:val="18"/>
                <w:szCs w:val="18"/>
                <w:lang w:val="ro-RO"/>
              </w:rPr>
            </w:pPr>
            <w:r>
              <w:rPr>
                <w:b/>
                <w:noProof/>
                <w:color w:val="000000"/>
                <w:sz w:val="18"/>
                <w:lang w:val="ro-RO"/>
              </w:rPr>
              <w:t>100 %</w:t>
            </w:r>
          </w:p>
        </w:tc>
        <w:tc>
          <w:tcPr>
            <w:tcW w:w="992" w:type="dxa"/>
            <w:tcBorders>
              <w:top w:val="nil"/>
              <w:left w:val="nil"/>
              <w:bottom w:val="single" w:sz="8" w:space="0" w:color="auto"/>
              <w:right w:val="single" w:sz="8" w:space="0" w:color="auto"/>
            </w:tcBorders>
            <w:noWrap/>
            <w:vAlign w:val="center"/>
            <w:hideMark/>
          </w:tcPr>
          <w:p w:rsidR="004310B4" w:rsidRDefault="004310B4">
            <w:pPr>
              <w:spacing w:before="40" w:after="40"/>
              <w:jc w:val="center"/>
              <w:rPr>
                <w:b/>
                <w:bCs/>
                <w:noProof/>
                <w:color w:val="000000"/>
                <w:sz w:val="18"/>
                <w:szCs w:val="18"/>
                <w:lang w:val="ro-RO"/>
              </w:rPr>
            </w:pPr>
            <w:r>
              <w:rPr>
                <w:b/>
                <w:noProof/>
                <w:color w:val="000000"/>
                <w:sz w:val="18"/>
                <w:lang w:val="ro-RO"/>
              </w:rPr>
              <w:t>0</w:t>
            </w:r>
          </w:p>
        </w:tc>
        <w:tc>
          <w:tcPr>
            <w:tcW w:w="992" w:type="dxa"/>
            <w:tcBorders>
              <w:top w:val="nil"/>
              <w:left w:val="nil"/>
              <w:bottom w:val="single" w:sz="8" w:space="0" w:color="auto"/>
              <w:right w:val="single" w:sz="8" w:space="0" w:color="auto"/>
            </w:tcBorders>
            <w:noWrap/>
            <w:vAlign w:val="center"/>
            <w:hideMark/>
          </w:tcPr>
          <w:p w:rsidR="004310B4" w:rsidRDefault="004310B4">
            <w:pPr>
              <w:spacing w:before="40" w:after="40"/>
              <w:jc w:val="center"/>
              <w:rPr>
                <w:b/>
                <w:bCs/>
                <w:noProof/>
                <w:color w:val="000000"/>
                <w:sz w:val="18"/>
                <w:szCs w:val="18"/>
                <w:lang w:val="ro-RO"/>
              </w:rPr>
            </w:pPr>
            <w:r>
              <w:rPr>
                <w:b/>
                <w:noProof/>
                <w:color w:val="000000"/>
                <w:sz w:val="18"/>
                <w:lang w:val="ro-RO"/>
              </w:rPr>
              <w:t>N.A</w:t>
            </w:r>
          </w:p>
        </w:tc>
      </w:tr>
    </w:tbl>
    <w:p w:rsidR="004310B4" w:rsidRDefault="004310B4">
      <w:pPr>
        <w:pStyle w:val="Text2"/>
        <w:spacing w:before="120"/>
        <w:ind w:left="567"/>
        <w:rPr>
          <w:noProof/>
          <w:szCs w:val="24"/>
          <w:lang w:val="ro-RO"/>
        </w:rPr>
      </w:pPr>
      <w:r>
        <w:rPr>
          <w:noProof/>
          <w:lang w:val="ro-RO"/>
        </w:rPr>
        <w:t>Pentru toate recomandările acceptate, entitățile auditate au elaborat planuri de acțiune care au fost prezentate IAS și au fost evaluate ca fiind satisfăcătoare.</w:t>
      </w:r>
    </w:p>
    <w:p w:rsidR="004310B4" w:rsidRDefault="004310B4">
      <w:pPr>
        <w:ind w:left="567"/>
        <w:rPr>
          <w:noProof/>
          <w:lang w:val="ro-RO"/>
        </w:rPr>
      </w:pPr>
      <w:r>
        <w:rPr>
          <w:noProof/>
          <w:lang w:val="ro-RO"/>
        </w:rPr>
        <w:t>Tabelul de mai jos prezintă punerea în aplicare a recomandărilor acceptate formulate în perioada 2011-2015, astfel cum a fost evaluată de entitățile auditate</w:t>
      </w:r>
      <w:r>
        <w:rPr>
          <w:rStyle w:val="FootnoteReference"/>
          <w:noProof/>
          <w:lang w:val="ro-RO"/>
        </w:rPr>
        <w:footnoteReference w:id="12"/>
      </w:r>
      <w:r>
        <w:rPr>
          <w:noProof/>
          <w:lang w:val="ro-RO"/>
        </w:rPr>
        <w:t>, la data de 31 ianuarie 2016</w:t>
      </w:r>
      <w:r>
        <w:rPr>
          <w:rStyle w:val="FootnoteReference"/>
          <w:noProof/>
          <w:lang w:val="ro-RO"/>
        </w:rPr>
        <w:footnoteReference w:id="13"/>
      </w:r>
      <w:r>
        <w:rPr>
          <w:noProof/>
          <w:lang w:val="ro-RO"/>
        </w:rPr>
        <w:t>. Recomandările puse în aplicare după data-limită de 31 ianuarie 2016 nu sunt luate în considerare.</w:t>
      </w:r>
    </w:p>
    <w:tbl>
      <w:tblPr>
        <w:tblW w:w="8516" w:type="dxa"/>
        <w:jc w:val="center"/>
        <w:tblLayout w:type="fixed"/>
        <w:tblLook w:val="0400" w:firstRow="0" w:lastRow="0" w:firstColumn="0" w:lastColumn="0" w:noHBand="0" w:noVBand="1"/>
      </w:tblPr>
      <w:tblGrid>
        <w:gridCol w:w="631"/>
        <w:gridCol w:w="1445"/>
        <w:gridCol w:w="831"/>
        <w:gridCol w:w="728"/>
        <w:gridCol w:w="850"/>
        <w:gridCol w:w="567"/>
        <w:gridCol w:w="725"/>
        <w:gridCol w:w="782"/>
        <w:gridCol w:w="672"/>
        <w:gridCol w:w="672"/>
        <w:gridCol w:w="613"/>
      </w:tblGrid>
      <w:tr w:rsidR="004310B4">
        <w:trPr>
          <w:trHeight w:val="307"/>
          <w:tblHeader/>
          <w:jc w:val="center"/>
        </w:trPr>
        <w:tc>
          <w:tcPr>
            <w:tcW w:w="631" w:type="dxa"/>
            <w:tcBorders>
              <w:top w:val="nil"/>
              <w:left w:val="nil"/>
              <w:bottom w:val="single" w:sz="12" w:space="0" w:color="000000"/>
              <w:right w:val="nil"/>
            </w:tcBorders>
            <w:vAlign w:val="bottom"/>
          </w:tcPr>
          <w:p w:rsidR="004310B4" w:rsidRDefault="004310B4">
            <w:pPr>
              <w:spacing w:after="0"/>
              <w:jc w:val="center"/>
              <w:rPr>
                <w:noProof/>
                <w:color w:val="000000"/>
                <w:szCs w:val="24"/>
                <w:lang w:val="ro-RO"/>
              </w:rPr>
            </w:pPr>
          </w:p>
        </w:tc>
        <w:tc>
          <w:tcPr>
            <w:tcW w:w="1445" w:type="dxa"/>
            <w:tcBorders>
              <w:top w:val="nil"/>
              <w:left w:val="nil"/>
              <w:bottom w:val="single" w:sz="12" w:space="0" w:color="000000"/>
              <w:right w:val="nil"/>
            </w:tcBorders>
            <w:vAlign w:val="bottom"/>
          </w:tcPr>
          <w:p w:rsidR="004310B4" w:rsidRDefault="004310B4">
            <w:pPr>
              <w:spacing w:after="0"/>
              <w:jc w:val="center"/>
              <w:rPr>
                <w:noProof/>
                <w:color w:val="000000"/>
                <w:szCs w:val="24"/>
                <w:lang w:val="ro-RO"/>
              </w:rPr>
            </w:pPr>
          </w:p>
        </w:tc>
        <w:tc>
          <w:tcPr>
            <w:tcW w:w="831" w:type="dxa"/>
            <w:tcBorders>
              <w:top w:val="nil"/>
              <w:left w:val="nil"/>
              <w:bottom w:val="single" w:sz="12" w:space="0" w:color="000000"/>
              <w:right w:val="single" w:sz="12" w:space="0" w:color="000000"/>
            </w:tcBorders>
            <w:vAlign w:val="bottom"/>
          </w:tcPr>
          <w:p w:rsidR="004310B4" w:rsidRDefault="004310B4">
            <w:pPr>
              <w:spacing w:after="0"/>
              <w:jc w:val="center"/>
              <w:rPr>
                <w:noProof/>
                <w:color w:val="000000"/>
                <w:szCs w:val="24"/>
                <w:lang w:val="ro-RO"/>
              </w:rPr>
            </w:pPr>
          </w:p>
        </w:tc>
        <w:tc>
          <w:tcPr>
            <w:tcW w:w="1578" w:type="dxa"/>
            <w:gridSpan w:val="2"/>
            <w:tcBorders>
              <w:top w:val="single" w:sz="12" w:space="0" w:color="000000"/>
              <w:left w:val="single" w:sz="12" w:space="0" w:color="000000"/>
              <w:bottom w:val="single" w:sz="4" w:space="0" w:color="000000"/>
              <w:right w:val="single" w:sz="12" w:space="0" w:color="000000"/>
            </w:tcBorders>
            <w:shd w:val="clear" w:color="auto" w:fill="D9D9D9"/>
            <w:vAlign w:val="bottom"/>
            <w:hideMark/>
          </w:tcPr>
          <w:p w:rsidR="004310B4" w:rsidRDefault="004310B4">
            <w:pPr>
              <w:spacing w:after="0"/>
              <w:jc w:val="center"/>
              <w:rPr>
                <w:noProof/>
                <w:color w:val="000000"/>
                <w:szCs w:val="24"/>
                <w:lang w:val="ro-RO"/>
              </w:rPr>
            </w:pPr>
            <w:r>
              <w:rPr>
                <w:b/>
                <w:noProof/>
                <w:sz w:val="18"/>
                <w:lang w:val="ro-RO"/>
              </w:rPr>
              <w:t>Puse în aplicare</w:t>
            </w:r>
          </w:p>
        </w:tc>
        <w:tc>
          <w:tcPr>
            <w:tcW w:w="4031" w:type="dxa"/>
            <w:gridSpan w:val="6"/>
            <w:tcBorders>
              <w:top w:val="single" w:sz="12" w:space="0" w:color="000000"/>
              <w:left w:val="single" w:sz="12" w:space="0" w:color="000000"/>
              <w:bottom w:val="single" w:sz="4" w:space="0" w:color="000000"/>
              <w:right w:val="single" w:sz="12" w:space="0" w:color="000000"/>
            </w:tcBorders>
            <w:shd w:val="clear" w:color="auto" w:fill="D9D9D9"/>
            <w:vAlign w:val="bottom"/>
            <w:hideMark/>
          </w:tcPr>
          <w:p w:rsidR="004310B4" w:rsidRDefault="004310B4">
            <w:pPr>
              <w:spacing w:after="0"/>
              <w:jc w:val="center"/>
              <w:rPr>
                <w:noProof/>
                <w:color w:val="000000"/>
                <w:szCs w:val="24"/>
                <w:lang w:val="ro-RO"/>
              </w:rPr>
            </w:pPr>
            <w:r>
              <w:rPr>
                <w:b/>
                <w:noProof/>
                <w:sz w:val="18"/>
                <w:lang w:val="ro-RO"/>
              </w:rPr>
              <w:t>În curs (în funcție de numărul de luni de întârziere)</w:t>
            </w:r>
          </w:p>
        </w:tc>
      </w:tr>
      <w:tr w:rsidR="004310B4">
        <w:trPr>
          <w:trHeight w:val="307"/>
          <w:tblHeader/>
          <w:jc w:val="center"/>
        </w:trPr>
        <w:tc>
          <w:tcPr>
            <w:tcW w:w="631" w:type="dxa"/>
            <w:tcBorders>
              <w:top w:val="single" w:sz="12" w:space="0" w:color="000000"/>
              <w:left w:val="single" w:sz="12" w:space="0" w:color="000000"/>
              <w:bottom w:val="nil"/>
              <w:right w:val="single" w:sz="4" w:space="0" w:color="000000"/>
            </w:tcBorders>
            <w:shd w:val="clear" w:color="auto" w:fill="D9D9D9"/>
            <w:vAlign w:val="bottom"/>
            <w:hideMark/>
          </w:tcPr>
          <w:p w:rsidR="004310B4" w:rsidRDefault="004310B4">
            <w:pPr>
              <w:spacing w:after="0"/>
              <w:jc w:val="center"/>
              <w:rPr>
                <w:noProof/>
                <w:color w:val="000000"/>
                <w:szCs w:val="24"/>
                <w:lang w:val="ro-RO"/>
              </w:rPr>
            </w:pPr>
            <w:r>
              <w:rPr>
                <w:b/>
                <w:noProof/>
                <w:sz w:val="18"/>
                <w:lang w:val="ro-RO"/>
              </w:rPr>
              <w:t>Anul </w:t>
            </w:r>
          </w:p>
        </w:tc>
        <w:tc>
          <w:tcPr>
            <w:tcW w:w="1445" w:type="dxa"/>
            <w:tcBorders>
              <w:top w:val="single" w:sz="12" w:space="0" w:color="000000"/>
              <w:left w:val="nil"/>
              <w:bottom w:val="nil"/>
              <w:right w:val="single" w:sz="4" w:space="0" w:color="000000"/>
            </w:tcBorders>
            <w:shd w:val="clear" w:color="auto" w:fill="D9D9D9"/>
            <w:vAlign w:val="bottom"/>
            <w:hideMark/>
          </w:tcPr>
          <w:p w:rsidR="004310B4" w:rsidRDefault="004310B4">
            <w:pPr>
              <w:spacing w:after="0"/>
              <w:jc w:val="center"/>
              <w:rPr>
                <w:noProof/>
                <w:color w:val="000000"/>
                <w:szCs w:val="24"/>
                <w:lang w:val="ro-RO"/>
              </w:rPr>
            </w:pPr>
            <w:r>
              <w:rPr>
                <w:b/>
                <w:noProof/>
                <w:sz w:val="18"/>
                <w:lang w:val="ro-RO"/>
              </w:rPr>
              <w:t>Prioritate</w:t>
            </w:r>
          </w:p>
        </w:tc>
        <w:tc>
          <w:tcPr>
            <w:tcW w:w="831" w:type="dxa"/>
            <w:tcBorders>
              <w:top w:val="single" w:sz="12" w:space="0" w:color="000000"/>
              <w:left w:val="nil"/>
              <w:bottom w:val="nil"/>
              <w:right w:val="single" w:sz="12" w:space="0" w:color="000000"/>
            </w:tcBorders>
            <w:shd w:val="clear" w:color="auto" w:fill="D9D9D9"/>
            <w:vAlign w:val="bottom"/>
            <w:hideMark/>
          </w:tcPr>
          <w:p w:rsidR="004310B4" w:rsidRDefault="004310B4">
            <w:pPr>
              <w:spacing w:after="0"/>
              <w:jc w:val="center"/>
              <w:rPr>
                <w:noProof/>
                <w:color w:val="000000"/>
                <w:szCs w:val="24"/>
                <w:lang w:val="ro-RO"/>
              </w:rPr>
            </w:pPr>
            <w:r>
              <w:rPr>
                <w:b/>
                <w:noProof/>
                <w:sz w:val="18"/>
                <w:lang w:val="ro-RO"/>
              </w:rPr>
              <w:t>Total </w:t>
            </w:r>
          </w:p>
        </w:tc>
        <w:tc>
          <w:tcPr>
            <w:tcW w:w="728" w:type="dxa"/>
            <w:tcBorders>
              <w:top w:val="nil"/>
              <w:left w:val="single" w:sz="12" w:space="0" w:color="000000"/>
              <w:bottom w:val="nil"/>
              <w:right w:val="single" w:sz="4" w:space="0" w:color="000000"/>
            </w:tcBorders>
            <w:shd w:val="clear" w:color="auto" w:fill="D9D9D9"/>
            <w:vAlign w:val="bottom"/>
            <w:hideMark/>
          </w:tcPr>
          <w:p w:rsidR="004310B4" w:rsidRDefault="004310B4">
            <w:pPr>
              <w:spacing w:after="0"/>
              <w:jc w:val="center"/>
              <w:rPr>
                <w:noProof/>
                <w:color w:val="000000"/>
                <w:szCs w:val="24"/>
                <w:lang w:val="ro-RO"/>
              </w:rPr>
            </w:pPr>
            <w:r>
              <w:rPr>
                <w:b/>
                <w:noProof/>
                <w:sz w:val="18"/>
                <w:lang w:val="ro-RO"/>
              </w:rPr>
              <w:t>#</w:t>
            </w:r>
          </w:p>
        </w:tc>
        <w:tc>
          <w:tcPr>
            <w:tcW w:w="850" w:type="dxa"/>
            <w:tcBorders>
              <w:top w:val="nil"/>
              <w:left w:val="nil"/>
              <w:bottom w:val="nil"/>
              <w:right w:val="single" w:sz="12" w:space="0" w:color="000000"/>
            </w:tcBorders>
            <w:shd w:val="clear" w:color="auto" w:fill="D9D9D9"/>
            <w:vAlign w:val="bottom"/>
            <w:hideMark/>
          </w:tcPr>
          <w:p w:rsidR="004310B4" w:rsidRDefault="004310B4">
            <w:pPr>
              <w:spacing w:after="0"/>
              <w:jc w:val="center"/>
              <w:rPr>
                <w:noProof/>
                <w:color w:val="000000"/>
                <w:szCs w:val="24"/>
                <w:lang w:val="ro-RO"/>
              </w:rPr>
            </w:pPr>
            <w:r>
              <w:rPr>
                <w:b/>
                <w:noProof/>
                <w:sz w:val="18"/>
                <w:lang w:val="ro-RO"/>
              </w:rPr>
              <w:t>%</w:t>
            </w:r>
          </w:p>
        </w:tc>
        <w:tc>
          <w:tcPr>
            <w:tcW w:w="567" w:type="dxa"/>
            <w:tcBorders>
              <w:top w:val="nil"/>
              <w:left w:val="single" w:sz="12" w:space="0" w:color="000000"/>
              <w:bottom w:val="nil"/>
              <w:right w:val="single" w:sz="4" w:space="0" w:color="000000"/>
            </w:tcBorders>
            <w:shd w:val="clear" w:color="auto" w:fill="D9D9D9"/>
            <w:vAlign w:val="bottom"/>
            <w:hideMark/>
          </w:tcPr>
          <w:p w:rsidR="004310B4" w:rsidRDefault="004310B4">
            <w:pPr>
              <w:spacing w:after="0"/>
              <w:jc w:val="center"/>
              <w:rPr>
                <w:noProof/>
                <w:color w:val="000000"/>
                <w:szCs w:val="24"/>
                <w:lang w:val="ro-RO"/>
              </w:rPr>
            </w:pPr>
            <w:r>
              <w:rPr>
                <w:b/>
                <w:noProof/>
                <w:sz w:val="18"/>
                <w:lang w:val="ro-RO"/>
              </w:rPr>
              <w:t>#</w:t>
            </w:r>
          </w:p>
        </w:tc>
        <w:tc>
          <w:tcPr>
            <w:tcW w:w="725" w:type="dxa"/>
            <w:tcBorders>
              <w:top w:val="nil"/>
              <w:left w:val="nil"/>
              <w:bottom w:val="nil"/>
              <w:right w:val="single" w:sz="4" w:space="0" w:color="000000"/>
            </w:tcBorders>
            <w:shd w:val="clear" w:color="auto" w:fill="D9D9D9"/>
            <w:vAlign w:val="bottom"/>
            <w:hideMark/>
          </w:tcPr>
          <w:p w:rsidR="004310B4" w:rsidRDefault="004310B4">
            <w:pPr>
              <w:spacing w:after="0"/>
              <w:jc w:val="center"/>
              <w:rPr>
                <w:noProof/>
                <w:color w:val="000000"/>
                <w:szCs w:val="24"/>
                <w:lang w:val="ro-RO"/>
              </w:rPr>
            </w:pPr>
            <w:r>
              <w:rPr>
                <w:b/>
                <w:noProof/>
                <w:sz w:val="18"/>
                <w:lang w:val="ro-RO"/>
              </w:rPr>
              <w:t>%</w:t>
            </w:r>
          </w:p>
        </w:tc>
        <w:tc>
          <w:tcPr>
            <w:tcW w:w="782" w:type="dxa"/>
            <w:tcBorders>
              <w:top w:val="nil"/>
              <w:left w:val="nil"/>
              <w:bottom w:val="nil"/>
              <w:right w:val="single" w:sz="4" w:space="0" w:color="000000"/>
            </w:tcBorders>
            <w:shd w:val="clear" w:color="auto" w:fill="D9D9D9"/>
            <w:vAlign w:val="bottom"/>
            <w:hideMark/>
          </w:tcPr>
          <w:p w:rsidR="004310B4" w:rsidRDefault="004310B4">
            <w:pPr>
              <w:spacing w:after="0"/>
              <w:jc w:val="center"/>
              <w:rPr>
                <w:noProof/>
                <w:color w:val="000000"/>
                <w:szCs w:val="24"/>
                <w:lang w:val="ro-RO"/>
              </w:rPr>
            </w:pPr>
            <w:r>
              <w:rPr>
                <w:b/>
                <w:noProof/>
                <w:sz w:val="18"/>
                <w:lang w:val="ro-RO"/>
              </w:rPr>
              <w:t>Nicio întârziere</w:t>
            </w:r>
          </w:p>
        </w:tc>
        <w:tc>
          <w:tcPr>
            <w:tcW w:w="672" w:type="dxa"/>
            <w:tcBorders>
              <w:top w:val="nil"/>
              <w:left w:val="nil"/>
              <w:bottom w:val="nil"/>
              <w:right w:val="single" w:sz="4" w:space="0" w:color="000000"/>
            </w:tcBorders>
            <w:shd w:val="clear" w:color="auto" w:fill="D9D9D9"/>
            <w:vAlign w:val="bottom"/>
            <w:hideMark/>
          </w:tcPr>
          <w:p w:rsidR="004310B4" w:rsidRDefault="004310B4">
            <w:pPr>
              <w:spacing w:after="0"/>
              <w:jc w:val="center"/>
              <w:rPr>
                <w:noProof/>
                <w:color w:val="000000"/>
                <w:szCs w:val="24"/>
                <w:lang w:val="ro-RO"/>
              </w:rPr>
            </w:pPr>
            <w:r>
              <w:rPr>
                <w:b/>
                <w:noProof/>
                <w:sz w:val="18"/>
                <w:lang w:val="ro-RO"/>
              </w:rPr>
              <w:t>0 - 6</w:t>
            </w:r>
          </w:p>
        </w:tc>
        <w:tc>
          <w:tcPr>
            <w:tcW w:w="672" w:type="dxa"/>
            <w:tcBorders>
              <w:top w:val="nil"/>
              <w:left w:val="nil"/>
              <w:bottom w:val="nil"/>
              <w:right w:val="single" w:sz="4" w:space="0" w:color="000000"/>
            </w:tcBorders>
            <w:shd w:val="clear" w:color="auto" w:fill="D9D9D9"/>
            <w:vAlign w:val="bottom"/>
            <w:hideMark/>
          </w:tcPr>
          <w:p w:rsidR="004310B4" w:rsidRDefault="004310B4">
            <w:pPr>
              <w:spacing w:after="0"/>
              <w:jc w:val="center"/>
              <w:rPr>
                <w:noProof/>
                <w:color w:val="000000"/>
                <w:szCs w:val="24"/>
                <w:lang w:val="ro-RO"/>
              </w:rPr>
            </w:pPr>
            <w:r>
              <w:rPr>
                <w:b/>
                <w:noProof/>
                <w:sz w:val="18"/>
                <w:lang w:val="ro-RO"/>
              </w:rPr>
              <w:t xml:space="preserve"> 6 - 12</w:t>
            </w:r>
          </w:p>
        </w:tc>
        <w:tc>
          <w:tcPr>
            <w:tcW w:w="613" w:type="dxa"/>
            <w:tcBorders>
              <w:top w:val="nil"/>
              <w:left w:val="nil"/>
              <w:bottom w:val="nil"/>
              <w:right w:val="single" w:sz="12" w:space="0" w:color="000000"/>
            </w:tcBorders>
            <w:shd w:val="clear" w:color="auto" w:fill="D9D9D9"/>
            <w:vAlign w:val="bottom"/>
            <w:hideMark/>
          </w:tcPr>
          <w:p w:rsidR="004310B4" w:rsidRDefault="004310B4">
            <w:pPr>
              <w:spacing w:after="0"/>
              <w:jc w:val="center"/>
              <w:rPr>
                <w:noProof/>
                <w:color w:val="000000"/>
                <w:szCs w:val="24"/>
                <w:lang w:val="ro-RO"/>
              </w:rPr>
            </w:pPr>
            <w:r>
              <w:rPr>
                <w:b/>
                <w:noProof/>
                <w:sz w:val="18"/>
                <w:lang w:val="ro-RO"/>
              </w:rPr>
              <w:t>12+</w:t>
            </w:r>
          </w:p>
        </w:tc>
      </w:tr>
      <w:tr w:rsidR="004310B4">
        <w:trPr>
          <w:trHeight w:val="225"/>
          <w:jc w:val="center"/>
        </w:trPr>
        <w:tc>
          <w:tcPr>
            <w:tcW w:w="631" w:type="dxa"/>
            <w:vMerge w:val="restart"/>
            <w:tcBorders>
              <w:top w:val="nil"/>
              <w:left w:val="single" w:sz="12" w:space="0" w:color="000000"/>
              <w:bottom w:val="single" w:sz="8" w:space="0" w:color="000000"/>
              <w:right w:val="single" w:sz="4" w:space="0" w:color="000000"/>
            </w:tcBorders>
            <w:shd w:val="clear" w:color="auto" w:fill="F2F2F2"/>
            <w:vAlign w:val="center"/>
            <w:hideMark/>
          </w:tcPr>
          <w:p w:rsidR="004310B4" w:rsidRDefault="004310B4">
            <w:pPr>
              <w:spacing w:after="0"/>
              <w:jc w:val="center"/>
              <w:rPr>
                <w:noProof/>
                <w:color w:val="000000"/>
                <w:szCs w:val="24"/>
                <w:lang w:val="ro-RO"/>
              </w:rPr>
            </w:pPr>
            <w:r>
              <w:rPr>
                <w:noProof/>
                <w:sz w:val="18"/>
                <w:lang w:val="ro-RO"/>
              </w:rPr>
              <w:t>2011</w:t>
            </w:r>
          </w:p>
        </w:tc>
        <w:tc>
          <w:tcPr>
            <w:tcW w:w="1445" w:type="dxa"/>
            <w:tcBorders>
              <w:top w:val="nil"/>
              <w:left w:val="nil"/>
              <w:bottom w:val="single" w:sz="4" w:space="0" w:color="000000"/>
              <w:right w:val="single" w:sz="4" w:space="0" w:color="000000"/>
            </w:tcBorders>
            <w:vAlign w:val="bottom"/>
            <w:hideMark/>
          </w:tcPr>
          <w:p w:rsidR="004310B4" w:rsidRDefault="004310B4">
            <w:pPr>
              <w:spacing w:after="0"/>
              <w:jc w:val="left"/>
              <w:rPr>
                <w:noProof/>
                <w:color w:val="000000"/>
                <w:szCs w:val="24"/>
                <w:lang w:val="ro-RO"/>
              </w:rPr>
            </w:pPr>
            <w:r>
              <w:rPr>
                <w:noProof/>
                <w:sz w:val="18"/>
                <w:lang w:val="ro-RO"/>
              </w:rPr>
              <w:t>Esențială</w:t>
            </w:r>
          </w:p>
        </w:tc>
        <w:tc>
          <w:tcPr>
            <w:tcW w:w="831" w:type="dxa"/>
            <w:tcBorders>
              <w:top w:val="nil"/>
              <w:left w:val="nil"/>
              <w:bottom w:val="single" w:sz="4" w:space="0" w:color="000000"/>
              <w:right w:val="single" w:sz="12" w:space="0" w:color="000000"/>
            </w:tcBorders>
            <w:vAlign w:val="center"/>
            <w:hideMark/>
          </w:tcPr>
          <w:p w:rsidR="004310B4" w:rsidRDefault="004310B4">
            <w:pPr>
              <w:spacing w:after="0"/>
              <w:jc w:val="center"/>
              <w:rPr>
                <w:noProof/>
                <w:color w:val="000000"/>
                <w:szCs w:val="24"/>
                <w:lang w:val="ro-RO"/>
              </w:rPr>
            </w:pPr>
            <w:r>
              <w:rPr>
                <w:noProof/>
                <w:sz w:val="18"/>
                <w:lang w:val="ro-RO"/>
              </w:rPr>
              <w:t>0</w:t>
            </w:r>
          </w:p>
        </w:tc>
        <w:tc>
          <w:tcPr>
            <w:tcW w:w="728" w:type="dxa"/>
            <w:tcBorders>
              <w:top w:val="nil"/>
              <w:left w:val="single" w:sz="12" w:space="0" w:color="000000"/>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0</w:t>
            </w:r>
          </w:p>
        </w:tc>
        <w:tc>
          <w:tcPr>
            <w:tcW w:w="850" w:type="dxa"/>
            <w:tcBorders>
              <w:top w:val="nil"/>
              <w:left w:val="nil"/>
              <w:bottom w:val="single" w:sz="4" w:space="0" w:color="000000"/>
              <w:right w:val="single" w:sz="12" w:space="0" w:color="000000"/>
            </w:tcBorders>
            <w:vAlign w:val="center"/>
            <w:hideMark/>
          </w:tcPr>
          <w:p w:rsidR="004310B4" w:rsidRDefault="004310B4">
            <w:pPr>
              <w:spacing w:after="0"/>
              <w:jc w:val="center"/>
              <w:rPr>
                <w:noProof/>
                <w:color w:val="000000"/>
                <w:szCs w:val="24"/>
                <w:lang w:val="ro-RO"/>
              </w:rPr>
            </w:pPr>
            <w:r>
              <w:rPr>
                <w:noProof/>
                <w:sz w:val="18"/>
                <w:lang w:val="ro-RO"/>
              </w:rPr>
              <w:t>0 %</w:t>
            </w:r>
          </w:p>
        </w:tc>
        <w:tc>
          <w:tcPr>
            <w:tcW w:w="567" w:type="dxa"/>
            <w:tcBorders>
              <w:top w:val="nil"/>
              <w:left w:val="single" w:sz="12" w:space="0" w:color="000000"/>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0</w:t>
            </w:r>
          </w:p>
        </w:tc>
        <w:tc>
          <w:tcPr>
            <w:tcW w:w="725"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0 %</w:t>
            </w:r>
          </w:p>
        </w:tc>
        <w:tc>
          <w:tcPr>
            <w:tcW w:w="782"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0</w:t>
            </w:r>
          </w:p>
        </w:tc>
        <w:tc>
          <w:tcPr>
            <w:tcW w:w="672"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0</w:t>
            </w:r>
          </w:p>
        </w:tc>
        <w:tc>
          <w:tcPr>
            <w:tcW w:w="672"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0</w:t>
            </w:r>
          </w:p>
        </w:tc>
        <w:tc>
          <w:tcPr>
            <w:tcW w:w="613" w:type="dxa"/>
            <w:tcBorders>
              <w:top w:val="nil"/>
              <w:left w:val="nil"/>
              <w:bottom w:val="single" w:sz="4" w:space="0" w:color="000000"/>
              <w:right w:val="single" w:sz="12" w:space="0" w:color="000000"/>
            </w:tcBorders>
            <w:vAlign w:val="center"/>
            <w:hideMark/>
          </w:tcPr>
          <w:p w:rsidR="004310B4" w:rsidRDefault="004310B4">
            <w:pPr>
              <w:spacing w:after="0"/>
              <w:jc w:val="center"/>
              <w:rPr>
                <w:noProof/>
                <w:color w:val="000000"/>
                <w:szCs w:val="24"/>
                <w:lang w:val="ro-RO"/>
              </w:rPr>
            </w:pPr>
            <w:r>
              <w:rPr>
                <w:noProof/>
                <w:sz w:val="18"/>
                <w:lang w:val="ro-RO"/>
              </w:rPr>
              <w:t>0</w:t>
            </w:r>
          </w:p>
        </w:tc>
      </w:tr>
      <w:tr w:rsidR="004310B4">
        <w:trPr>
          <w:trHeight w:val="225"/>
          <w:jc w:val="center"/>
        </w:trPr>
        <w:tc>
          <w:tcPr>
            <w:tcW w:w="631" w:type="dxa"/>
            <w:vMerge/>
            <w:tcBorders>
              <w:top w:val="nil"/>
              <w:left w:val="single" w:sz="12" w:space="0" w:color="000000"/>
              <w:bottom w:val="single" w:sz="8" w:space="0" w:color="000000"/>
              <w:right w:val="single" w:sz="4" w:space="0" w:color="000000"/>
            </w:tcBorders>
            <w:vAlign w:val="center"/>
            <w:hideMark/>
          </w:tcPr>
          <w:p w:rsidR="004310B4" w:rsidRDefault="004310B4">
            <w:pPr>
              <w:spacing w:after="0"/>
              <w:jc w:val="left"/>
              <w:rPr>
                <w:noProof/>
                <w:color w:val="000000"/>
                <w:szCs w:val="24"/>
                <w:lang w:val="ro-RO"/>
              </w:rPr>
            </w:pPr>
          </w:p>
        </w:tc>
        <w:tc>
          <w:tcPr>
            <w:tcW w:w="1445" w:type="dxa"/>
            <w:tcBorders>
              <w:top w:val="nil"/>
              <w:left w:val="nil"/>
              <w:bottom w:val="single" w:sz="4" w:space="0" w:color="000000"/>
              <w:right w:val="single" w:sz="4" w:space="0" w:color="000000"/>
            </w:tcBorders>
            <w:vAlign w:val="bottom"/>
            <w:hideMark/>
          </w:tcPr>
          <w:p w:rsidR="004310B4" w:rsidRDefault="004310B4">
            <w:pPr>
              <w:spacing w:after="0"/>
              <w:jc w:val="left"/>
              <w:rPr>
                <w:noProof/>
                <w:color w:val="000000"/>
                <w:szCs w:val="24"/>
                <w:lang w:val="ro-RO"/>
              </w:rPr>
            </w:pPr>
            <w:r>
              <w:rPr>
                <w:noProof/>
                <w:sz w:val="18"/>
                <w:lang w:val="ro-RO"/>
              </w:rPr>
              <w:t>Foarte importantă</w:t>
            </w:r>
          </w:p>
        </w:tc>
        <w:tc>
          <w:tcPr>
            <w:tcW w:w="831" w:type="dxa"/>
            <w:tcBorders>
              <w:top w:val="nil"/>
              <w:left w:val="nil"/>
              <w:bottom w:val="single" w:sz="4" w:space="0" w:color="000000"/>
              <w:right w:val="single" w:sz="12" w:space="0" w:color="000000"/>
            </w:tcBorders>
            <w:vAlign w:val="center"/>
            <w:hideMark/>
          </w:tcPr>
          <w:p w:rsidR="004310B4" w:rsidRDefault="004310B4">
            <w:pPr>
              <w:spacing w:after="0"/>
              <w:jc w:val="center"/>
              <w:rPr>
                <w:noProof/>
                <w:color w:val="000000"/>
                <w:szCs w:val="24"/>
                <w:lang w:val="ro-RO"/>
              </w:rPr>
            </w:pPr>
            <w:r>
              <w:rPr>
                <w:noProof/>
                <w:sz w:val="18"/>
                <w:lang w:val="ro-RO"/>
              </w:rPr>
              <w:t>47</w:t>
            </w:r>
          </w:p>
        </w:tc>
        <w:tc>
          <w:tcPr>
            <w:tcW w:w="728" w:type="dxa"/>
            <w:tcBorders>
              <w:top w:val="nil"/>
              <w:left w:val="single" w:sz="12" w:space="0" w:color="000000"/>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47</w:t>
            </w:r>
          </w:p>
        </w:tc>
        <w:tc>
          <w:tcPr>
            <w:tcW w:w="850" w:type="dxa"/>
            <w:tcBorders>
              <w:top w:val="nil"/>
              <w:left w:val="nil"/>
              <w:bottom w:val="single" w:sz="4" w:space="0" w:color="000000"/>
              <w:right w:val="single" w:sz="12" w:space="0" w:color="000000"/>
            </w:tcBorders>
            <w:vAlign w:val="center"/>
            <w:hideMark/>
          </w:tcPr>
          <w:p w:rsidR="004310B4" w:rsidRDefault="004310B4">
            <w:pPr>
              <w:spacing w:after="0"/>
              <w:jc w:val="center"/>
              <w:rPr>
                <w:noProof/>
                <w:color w:val="000000"/>
                <w:szCs w:val="24"/>
                <w:lang w:val="ro-RO"/>
              </w:rPr>
            </w:pPr>
            <w:r>
              <w:rPr>
                <w:noProof/>
                <w:sz w:val="18"/>
                <w:lang w:val="ro-RO"/>
              </w:rPr>
              <w:t>100 %</w:t>
            </w:r>
          </w:p>
        </w:tc>
        <w:tc>
          <w:tcPr>
            <w:tcW w:w="567" w:type="dxa"/>
            <w:tcBorders>
              <w:top w:val="nil"/>
              <w:left w:val="single" w:sz="12" w:space="0" w:color="000000"/>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0</w:t>
            </w:r>
          </w:p>
        </w:tc>
        <w:tc>
          <w:tcPr>
            <w:tcW w:w="725"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0 %</w:t>
            </w:r>
          </w:p>
        </w:tc>
        <w:tc>
          <w:tcPr>
            <w:tcW w:w="782"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0</w:t>
            </w:r>
          </w:p>
        </w:tc>
        <w:tc>
          <w:tcPr>
            <w:tcW w:w="672"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0</w:t>
            </w:r>
          </w:p>
        </w:tc>
        <w:tc>
          <w:tcPr>
            <w:tcW w:w="672" w:type="dxa"/>
            <w:tcBorders>
              <w:top w:val="single" w:sz="4" w:space="0" w:color="000000"/>
              <w:left w:val="nil"/>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0</w:t>
            </w:r>
          </w:p>
        </w:tc>
        <w:tc>
          <w:tcPr>
            <w:tcW w:w="613" w:type="dxa"/>
            <w:tcBorders>
              <w:top w:val="single" w:sz="4" w:space="0" w:color="000000"/>
              <w:left w:val="nil"/>
              <w:bottom w:val="single" w:sz="4" w:space="0" w:color="000000"/>
              <w:right w:val="single" w:sz="12" w:space="0" w:color="000000"/>
            </w:tcBorders>
            <w:vAlign w:val="center"/>
            <w:hideMark/>
          </w:tcPr>
          <w:p w:rsidR="004310B4" w:rsidRDefault="004310B4">
            <w:pPr>
              <w:spacing w:after="0"/>
              <w:jc w:val="center"/>
              <w:rPr>
                <w:noProof/>
                <w:color w:val="000000"/>
                <w:szCs w:val="24"/>
                <w:lang w:val="ro-RO"/>
              </w:rPr>
            </w:pPr>
            <w:r>
              <w:rPr>
                <w:noProof/>
                <w:sz w:val="18"/>
                <w:lang w:val="ro-RO"/>
              </w:rPr>
              <w:t>0</w:t>
            </w:r>
          </w:p>
        </w:tc>
      </w:tr>
      <w:tr w:rsidR="004310B4">
        <w:trPr>
          <w:trHeight w:val="225"/>
          <w:jc w:val="center"/>
        </w:trPr>
        <w:tc>
          <w:tcPr>
            <w:tcW w:w="631" w:type="dxa"/>
            <w:vMerge/>
            <w:tcBorders>
              <w:top w:val="nil"/>
              <w:left w:val="single" w:sz="12" w:space="0" w:color="000000"/>
              <w:bottom w:val="single" w:sz="8" w:space="0" w:color="000000"/>
              <w:right w:val="single" w:sz="4" w:space="0" w:color="000000"/>
            </w:tcBorders>
            <w:vAlign w:val="center"/>
            <w:hideMark/>
          </w:tcPr>
          <w:p w:rsidR="004310B4" w:rsidRDefault="004310B4">
            <w:pPr>
              <w:spacing w:after="0"/>
              <w:jc w:val="left"/>
              <w:rPr>
                <w:noProof/>
                <w:color w:val="000000"/>
                <w:szCs w:val="24"/>
                <w:lang w:val="ro-RO"/>
              </w:rPr>
            </w:pPr>
          </w:p>
        </w:tc>
        <w:tc>
          <w:tcPr>
            <w:tcW w:w="1445" w:type="dxa"/>
            <w:tcBorders>
              <w:top w:val="nil"/>
              <w:left w:val="nil"/>
              <w:bottom w:val="single" w:sz="4" w:space="0" w:color="000000"/>
              <w:right w:val="single" w:sz="4" w:space="0" w:color="000000"/>
            </w:tcBorders>
            <w:vAlign w:val="bottom"/>
            <w:hideMark/>
          </w:tcPr>
          <w:p w:rsidR="004310B4" w:rsidRDefault="004310B4">
            <w:pPr>
              <w:spacing w:after="0"/>
              <w:jc w:val="left"/>
              <w:rPr>
                <w:noProof/>
                <w:color w:val="000000"/>
                <w:szCs w:val="24"/>
                <w:lang w:val="ro-RO"/>
              </w:rPr>
            </w:pPr>
            <w:r>
              <w:rPr>
                <w:noProof/>
                <w:sz w:val="18"/>
                <w:lang w:val="ro-RO"/>
              </w:rPr>
              <w:t>Importantă</w:t>
            </w:r>
          </w:p>
        </w:tc>
        <w:tc>
          <w:tcPr>
            <w:tcW w:w="831" w:type="dxa"/>
            <w:tcBorders>
              <w:top w:val="nil"/>
              <w:left w:val="nil"/>
              <w:bottom w:val="single" w:sz="4" w:space="0" w:color="000000"/>
              <w:right w:val="single" w:sz="12" w:space="0" w:color="000000"/>
            </w:tcBorders>
            <w:vAlign w:val="center"/>
            <w:hideMark/>
          </w:tcPr>
          <w:p w:rsidR="004310B4" w:rsidRDefault="004310B4">
            <w:pPr>
              <w:spacing w:after="0"/>
              <w:jc w:val="center"/>
              <w:rPr>
                <w:noProof/>
                <w:color w:val="000000"/>
                <w:szCs w:val="24"/>
                <w:lang w:val="ro-RO"/>
              </w:rPr>
            </w:pPr>
            <w:r>
              <w:rPr>
                <w:noProof/>
                <w:sz w:val="18"/>
                <w:lang w:val="ro-RO"/>
              </w:rPr>
              <w:t>101</w:t>
            </w:r>
          </w:p>
        </w:tc>
        <w:tc>
          <w:tcPr>
            <w:tcW w:w="728" w:type="dxa"/>
            <w:tcBorders>
              <w:top w:val="nil"/>
              <w:left w:val="single" w:sz="12" w:space="0" w:color="000000"/>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99</w:t>
            </w:r>
          </w:p>
        </w:tc>
        <w:tc>
          <w:tcPr>
            <w:tcW w:w="850" w:type="dxa"/>
            <w:tcBorders>
              <w:top w:val="nil"/>
              <w:left w:val="nil"/>
              <w:bottom w:val="single" w:sz="4" w:space="0" w:color="000000"/>
              <w:right w:val="single" w:sz="12" w:space="0" w:color="000000"/>
            </w:tcBorders>
            <w:vAlign w:val="center"/>
            <w:hideMark/>
          </w:tcPr>
          <w:p w:rsidR="004310B4" w:rsidRDefault="004310B4">
            <w:pPr>
              <w:spacing w:after="0"/>
              <w:jc w:val="center"/>
              <w:rPr>
                <w:noProof/>
                <w:color w:val="000000"/>
                <w:szCs w:val="24"/>
                <w:lang w:val="ro-RO"/>
              </w:rPr>
            </w:pPr>
            <w:r>
              <w:rPr>
                <w:noProof/>
                <w:sz w:val="18"/>
                <w:lang w:val="ro-RO"/>
              </w:rPr>
              <w:t>98 %</w:t>
            </w:r>
          </w:p>
        </w:tc>
        <w:tc>
          <w:tcPr>
            <w:tcW w:w="567" w:type="dxa"/>
            <w:tcBorders>
              <w:top w:val="nil"/>
              <w:left w:val="single" w:sz="12" w:space="0" w:color="000000"/>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2</w:t>
            </w:r>
          </w:p>
        </w:tc>
        <w:tc>
          <w:tcPr>
            <w:tcW w:w="725"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2 %</w:t>
            </w:r>
          </w:p>
        </w:tc>
        <w:tc>
          <w:tcPr>
            <w:tcW w:w="782"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0</w:t>
            </w:r>
          </w:p>
        </w:tc>
        <w:tc>
          <w:tcPr>
            <w:tcW w:w="672"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0</w:t>
            </w:r>
          </w:p>
        </w:tc>
        <w:tc>
          <w:tcPr>
            <w:tcW w:w="672"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0</w:t>
            </w:r>
          </w:p>
        </w:tc>
        <w:tc>
          <w:tcPr>
            <w:tcW w:w="613" w:type="dxa"/>
            <w:tcBorders>
              <w:top w:val="nil"/>
              <w:left w:val="nil"/>
              <w:bottom w:val="single" w:sz="4" w:space="0" w:color="000000"/>
              <w:right w:val="single" w:sz="12" w:space="0" w:color="000000"/>
            </w:tcBorders>
            <w:vAlign w:val="center"/>
            <w:hideMark/>
          </w:tcPr>
          <w:p w:rsidR="004310B4" w:rsidRDefault="004310B4">
            <w:pPr>
              <w:spacing w:after="0"/>
              <w:jc w:val="center"/>
              <w:rPr>
                <w:noProof/>
                <w:color w:val="000000"/>
                <w:szCs w:val="24"/>
                <w:lang w:val="ro-RO"/>
              </w:rPr>
            </w:pPr>
            <w:r>
              <w:rPr>
                <w:noProof/>
                <w:sz w:val="18"/>
                <w:lang w:val="ro-RO"/>
              </w:rPr>
              <w:t>2</w:t>
            </w:r>
          </w:p>
        </w:tc>
      </w:tr>
      <w:tr w:rsidR="004310B4">
        <w:trPr>
          <w:trHeight w:val="246"/>
          <w:jc w:val="center"/>
        </w:trPr>
        <w:tc>
          <w:tcPr>
            <w:tcW w:w="631" w:type="dxa"/>
            <w:vMerge/>
            <w:tcBorders>
              <w:top w:val="nil"/>
              <w:left w:val="single" w:sz="12" w:space="0" w:color="000000"/>
              <w:bottom w:val="single" w:sz="8" w:space="0" w:color="000000"/>
              <w:right w:val="single" w:sz="4" w:space="0" w:color="000000"/>
            </w:tcBorders>
            <w:vAlign w:val="center"/>
            <w:hideMark/>
          </w:tcPr>
          <w:p w:rsidR="004310B4" w:rsidRDefault="004310B4">
            <w:pPr>
              <w:spacing w:after="0"/>
              <w:jc w:val="left"/>
              <w:rPr>
                <w:noProof/>
                <w:color w:val="000000"/>
                <w:szCs w:val="24"/>
                <w:lang w:val="ro-RO"/>
              </w:rPr>
            </w:pPr>
          </w:p>
        </w:tc>
        <w:tc>
          <w:tcPr>
            <w:tcW w:w="1445" w:type="dxa"/>
            <w:tcBorders>
              <w:top w:val="nil"/>
              <w:left w:val="nil"/>
              <w:bottom w:val="nil"/>
              <w:right w:val="single" w:sz="4" w:space="0" w:color="000000"/>
            </w:tcBorders>
            <w:vAlign w:val="bottom"/>
            <w:hideMark/>
          </w:tcPr>
          <w:p w:rsidR="004310B4" w:rsidRDefault="004310B4">
            <w:pPr>
              <w:spacing w:after="0"/>
              <w:jc w:val="left"/>
              <w:rPr>
                <w:noProof/>
                <w:color w:val="000000"/>
                <w:szCs w:val="24"/>
                <w:lang w:val="ro-RO"/>
              </w:rPr>
            </w:pPr>
            <w:r>
              <w:rPr>
                <w:noProof/>
                <w:sz w:val="18"/>
                <w:lang w:val="ro-RO"/>
              </w:rPr>
              <w:t>De dorit</w:t>
            </w:r>
          </w:p>
        </w:tc>
        <w:tc>
          <w:tcPr>
            <w:tcW w:w="831" w:type="dxa"/>
            <w:tcBorders>
              <w:top w:val="nil"/>
              <w:left w:val="nil"/>
              <w:bottom w:val="nil"/>
              <w:right w:val="single" w:sz="12" w:space="0" w:color="000000"/>
            </w:tcBorders>
            <w:vAlign w:val="center"/>
            <w:hideMark/>
          </w:tcPr>
          <w:p w:rsidR="004310B4" w:rsidRDefault="004310B4">
            <w:pPr>
              <w:spacing w:after="0"/>
              <w:jc w:val="center"/>
              <w:rPr>
                <w:noProof/>
                <w:color w:val="000000"/>
                <w:szCs w:val="24"/>
                <w:lang w:val="ro-RO"/>
              </w:rPr>
            </w:pPr>
            <w:r>
              <w:rPr>
                <w:noProof/>
                <w:sz w:val="18"/>
                <w:lang w:val="ro-RO"/>
              </w:rPr>
              <w:t>10</w:t>
            </w:r>
          </w:p>
        </w:tc>
        <w:tc>
          <w:tcPr>
            <w:tcW w:w="728" w:type="dxa"/>
            <w:tcBorders>
              <w:top w:val="nil"/>
              <w:left w:val="single" w:sz="12" w:space="0" w:color="000000"/>
              <w:bottom w:val="nil"/>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10</w:t>
            </w:r>
          </w:p>
        </w:tc>
        <w:tc>
          <w:tcPr>
            <w:tcW w:w="850" w:type="dxa"/>
            <w:tcBorders>
              <w:top w:val="nil"/>
              <w:left w:val="nil"/>
              <w:bottom w:val="single" w:sz="4" w:space="0" w:color="000000"/>
              <w:right w:val="single" w:sz="12" w:space="0" w:color="000000"/>
            </w:tcBorders>
            <w:vAlign w:val="center"/>
            <w:hideMark/>
          </w:tcPr>
          <w:p w:rsidR="004310B4" w:rsidRDefault="004310B4">
            <w:pPr>
              <w:spacing w:after="0"/>
              <w:jc w:val="center"/>
              <w:rPr>
                <w:noProof/>
                <w:color w:val="000000"/>
                <w:szCs w:val="24"/>
                <w:lang w:val="ro-RO"/>
              </w:rPr>
            </w:pPr>
            <w:r>
              <w:rPr>
                <w:noProof/>
                <w:sz w:val="18"/>
                <w:lang w:val="ro-RO"/>
              </w:rPr>
              <w:t>100 %</w:t>
            </w:r>
          </w:p>
        </w:tc>
        <w:tc>
          <w:tcPr>
            <w:tcW w:w="567" w:type="dxa"/>
            <w:tcBorders>
              <w:top w:val="nil"/>
              <w:left w:val="single" w:sz="12" w:space="0" w:color="000000"/>
              <w:bottom w:val="nil"/>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0</w:t>
            </w:r>
          </w:p>
        </w:tc>
        <w:tc>
          <w:tcPr>
            <w:tcW w:w="725"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0 %</w:t>
            </w:r>
          </w:p>
        </w:tc>
        <w:tc>
          <w:tcPr>
            <w:tcW w:w="782" w:type="dxa"/>
            <w:tcBorders>
              <w:top w:val="nil"/>
              <w:left w:val="nil"/>
              <w:bottom w:val="nil"/>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0</w:t>
            </w:r>
          </w:p>
        </w:tc>
        <w:tc>
          <w:tcPr>
            <w:tcW w:w="672" w:type="dxa"/>
            <w:tcBorders>
              <w:top w:val="nil"/>
              <w:left w:val="nil"/>
              <w:bottom w:val="nil"/>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0</w:t>
            </w:r>
          </w:p>
        </w:tc>
        <w:tc>
          <w:tcPr>
            <w:tcW w:w="672" w:type="dxa"/>
            <w:tcBorders>
              <w:top w:val="nil"/>
              <w:left w:val="nil"/>
              <w:bottom w:val="nil"/>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0</w:t>
            </w:r>
          </w:p>
        </w:tc>
        <w:tc>
          <w:tcPr>
            <w:tcW w:w="613" w:type="dxa"/>
            <w:tcBorders>
              <w:top w:val="nil"/>
              <w:left w:val="nil"/>
              <w:bottom w:val="nil"/>
              <w:right w:val="single" w:sz="12" w:space="0" w:color="000000"/>
            </w:tcBorders>
            <w:vAlign w:val="center"/>
            <w:hideMark/>
          </w:tcPr>
          <w:p w:rsidR="004310B4" w:rsidRDefault="004310B4">
            <w:pPr>
              <w:spacing w:after="0"/>
              <w:jc w:val="center"/>
              <w:rPr>
                <w:noProof/>
                <w:color w:val="000000"/>
                <w:szCs w:val="24"/>
                <w:lang w:val="ro-RO"/>
              </w:rPr>
            </w:pPr>
            <w:r>
              <w:rPr>
                <w:noProof/>
                <w:sz w:val="18"/>
                <w:lang w:val="ro-RO"/>
              </w:rPr>
              <w:t>0</w:t>
            </w:r>
          </w:p>
        </w:tc>
      </w:tr>
      <w:tr w:rsidR="004310B4">
        <w:trPr>
          <w:trHeight w:val="246"/>
          <w:jc w:val="center"/>
        </w:trPr>
        <w:tc>
          <w:tcPr>
            <w:tcW w:w="631" w:type="dxa"/>
            <w:vMerge/>
            <w:tcBorders>
              <w:top w:val="nil"/>
              <w:left w:val="single" w:sz="12" w:space="0" w:color="000000"/>
              <w:bottom w:val="single" w:sz="8" w:space="0" w:color="000000"/>
              <w:right w:val="single" w:sz="4" w:space="0" w:color="000000"/>
            </w:tcBorders>
            <w:vAlign w:val="center"/>
            <w:hideMark/>
          </w:tcPr>
          <w:p w:rsidR="004310B4" w:rsidRDefault="004310B4">
            <w:pPr>
              <w:spacing w:after="0"/>
              <w:jc w:val="left"/>
              <w:rPr>
                <w:noProof/>
                <w:color w:val="000000"/>
                <w:szCs w:val="24"/>
                <w:lang w:val="ro-RO"/>
              </w:rPr>
            </w:pPr>
          </w:p>
        </w:tc>
        <w:tc>
          <w:tcPr>
            <w:tcW w:w="1445" w:type="dxa"/>
            <w:tcBorders>
              <w:top w:val="single" w:sz="8" w:space="0" w:color="000000"/>
              <w:left w:val="nil"/>
              <w:bottom w:val="single" w:sz="8" w:space="0" w:color="000000"/>
              <w:right w:val="single" w:sz="4" w:space="0" w:color="000000"/>
            </w:tcBorders>
            <w:shd w:val="clear" w:color="auto" w:fill="F2F2F2"/>
            <w:vAlign w:val="bottom"/>
            <w:hideMark/>
          </w:tcPr>
          <w:p w:rsidR="004310B4" w:rsidRDefault="004310B4">
            <w:pPr>
              <w:spacing w:after="0"/>
              <w:jc w:val="left"/>
              <w:rPr>
                <w:noProof/>
                <w:color w:val="000000"/>
                <w:szCs w:val="24"/>
                <w:lang w:val="ro-RO"/>
              </w:rPr>
            </w:pPr>
            <w:r>
              <w:rPr>
                <w:b/>
                <w:noProof/>
                <w:sz w:val="18"/>
                <w:lang w:val="ro-RO"/>
              </w:rPr>
              <w:t>Total 2011</w:t>
            </w:r>
          </w:p>
        </w:tc>
        <w:tc>
          <w:tcPr>
            <w:tcW w:w="831" w:type="dxa"/>
            <w:tcBorders>
              <w:top w:val="single" w:sz="8" w:space="0" w:color="000000"/>
              <w:left w:val="nil"/>
              <w:bottom w:val="single" w:sz="8" w:space="0" w:color="000000"/>
              <w:right w:val="single" w:sz="12" w:space="0" w:color="000000"/>
            </w:tcBorders>
            <w:shd w:val="clear" w:color="auto" w:fill="F2F2F2"/>
            <w:vAlign w:val="center"/>
            <w:hideMark/>
          </w:tcPr>
          <w:p w:rsidR="004310B4" w:rsidRDefault="004310B4">
            <w:pPr>
              <w:spacing w:after="0"/>
              <w:jc w:val="center"/>
              <w:rPr>
                <w:noProof/>
                <w:color w:val="000000"/>
                <w:szCs w:val="24"/>
                <w:lang w:val="ro-RO"/>
              </w:rPr>
            </w:pPr>
            <w:r>
              <w:rPr>
                <w:b/>
                <w:noProof/>
                <w:sz w:val="18"/>
                <w:lang w:val="ro-RO"/>
              </w:rPr>
              <w:t>158</w:t>
            </w:r>
          </w:p>
        </w:tc>
        <w:tc>
          <w:tcPr>
            <w:tcW w:w="728" w:type="dxa"/>
            <w:tcBorders>
              <w:top w:val="single" w:sz="8" w:space="0" w:color="000000"/>
              <w:left w:val="single" w:sz="12" w:space="0" w:color="000000"/>
              <w:bottom w:val="single" w:sz="8" w:space="0" w:color="000000"/>
              <w:right w:val="single" w:sz="4" w:space="0" w:color="000000"/>
            </w:tcBorders>
            <w:shd w:val="clear" w:color="auto" w:fill="F2F2F2"/>
            <w:vAlign w:val="center"/>
            <w:hideMark/>
          </w:tcPr>
          <w:p w:rsidR="004310B4" w:rsidRDefault="004310B4">
            <w:pPr>
              <w:spacing w:after="0"/>
              <w:jc w:val="center"/>
              <w:rPr>
                <w:noProof/>
                <w:color w:val="000000"/>
                <w:szCs w:val="24"/>
                <w:lang w:val="ro-RO"/>
              </w:rPr>
            </w:pPr>
            <w:r>
              <w:rPr>
                <w:b/>
                <w:noProof/>
                <w:sz w:val="18"/>
                <w:lang w:val="ro-RO"/>
              </w:rPr>
              <w:t>156</w:t>
            </w:r>
          </w:p>
        </w:tc>
        <w:tc>
          <w:tcPr>
            <w:tcW w:w="850" w:type="dxa"/>
            <w:tcBorders>
              <w:top w:val="single" w:sz="8" w:space="0" w:color="000000"/>
              <w:left w:val="nil"/>
              <w:bottom w:val="single" w:sz="8" w:space="0" w:color="000000"/>
              <w:right w:val="single" w:sz="12" w:space="0" w:color="000000"/>
            </w:tcBorders>
            <w:shd w:val="clear" w:color="auto" w:fill="F2F2F2"/>
            <w:vAlign w:val="center"/>
            <w:hideMark/>
          </w:tcPr>
          <w:p w:rsidR="004310B4" w:rsidRDefault="004310B4">
            <w:pPr>
              <w:spacing w:after="0"/>
              <w:jc w:val="center"/>
              <w:rPr>
                <w:noProof/>
                <w:color w:val="000000"/>
                <w:szCs w:val="24"/>
                <w:lang w:val="ro-RO"/>
              </w:rPr>
            </w:pPr>
            <w:r>
              <w:rPr>
                <w:b/>
                <w:noProof/>
                <w:sz w:val="18"/>
                <w:lang w:val="ro-RO"/>
              </w:rPr>
              <w:t>99 %</w:t>
            </w:r>
          </w:p>
        </w:tc>
        <w:tc>
          <w:tcPr>
            <w:tcW w:w="567" w:type="dxa"/>
            <w:tcBorders>
              <w:top w:val="single" w:sz="8" w:space="0" w:color="000000"/>
              <w:left w:val="single" w:sz="12" w:space="0" w:color="000000"/>
              <w:bottom w:val="single" w:sz="8" w:space="0" w:color="000000"/>
              <w:right w:val="single" w:sz="4" w:space="0" w:color="000000"/>
            </w:tcBorders>
            <w:shd w:val="clear" w:color="auto" w:fill="F2F2F2"/>
            <w:vAlign w:val="center"/>
            <w:hideMark/>
          </w:tcPr>
          <w:p w:rsidR="004310B4" w:rsidRDefault="004310B4">
            <w:pPr>
              <w:spacing w:after="0"/>
              <w:jc w:val="center"/>
              <w:rPr>
                <w:noProof/>
                <w:color w:val="000000"/>
                <w:szCs w:val="24"/>
                <w:lang w:val="ro-RO"/>
              </w:rPr>
            </w:pPr>
            <w:r>
              <w:rPr>
                <w:b/>
                <w:noProof/>
                <w:sz w:val="18"/>
                <w:lang w:val="ro-RO"/>
              </w:rPr>
              <w:t>2</w:t>
            </w:r>
          </w:p>
        </w:tc>
        <w:tc>
          <w:tcPr>
            <w:tcW w:w="725" w:type="dxa"/>
            <w:tcBorders>
              <w:top w:val="single" w:sz="8" w:space="0" w:color="000000"/>
              <w:left w:val="nil"/>
              <w:bottom w:val="single" w:sz="8" w:space="0" w:color="000000"/>
              <w:right w:val="single" w:sz="8" w:space="0" w:color="000000"/>
            </w:tcBorders>
            <w:shd w:val="clear" w:color="auto" w:fill="F2F2F2"/>
            <w:vAlign w:val="center"/>
            <w:hideMark/>
          </w:tcPr>
          <w:p w:rsidR="004310B4" w:rsidRDefault="004310B4">
            <w:pPr>
              <w:spacing w:after="0"/>
              <w:jc w:val="center"/>
              <w:rPr>
                <w:noProof/>
                <w:color w:val="000000"/>
                <w:szCs w:val="24"/>
                <w:lang w:val="ro-RO"/>
              </w:rPr>
            </w:pPr>
            <w:r>
              <w:rPr>
                <w:b/>
                <w:noProof/>
                <w:sz w:val="18"/>
                <w:lang w:val="ro-RO"/>
              </w:rPr>
              <w:t>1 %</w:t>
            </w:r>
          </w:p>
        </w:tc>
        <w:tc>
          <w:tcPr>
            <w:tcW w:w="782" w:type="dxa"/>
            <w:tcBorders>
              <w:top w:val="single" w:sz="8" w:space="0" w:color="000000"/>
              <w:left w:val="single" w:sz="4" w:space="0" w:color="000000"/>
              <w:bottom w:val="single" w:sz="8" w:space="0" w:color="000000"/>
              <w:right w:val="single" w:sz="4" w:space="0" w:color="000000"/>
            </w:tcBorders>
            <w:shd w:val="clear" w:color="auto" w:fill="F2F2F2"/>
            <w:vAlign w:val="center"/>
            <w:hideMark/>
          </w:tcPr>
          <w:p w:rsidR="004310B4" w:rsidRDefault="004310B4">
            <w:pPr>
              <w:spacing w:after="0"/>
              <w:jc w:val="center"/>
              <w:rPr>
                <w:noProof/>
                <w:color w:val="000000"/>
                <w:szCs w:val="24"/>
                <w:lang w:val="ro-RO"/>
              </w:rPr>
            </w:pPr>
            <w:r>
              <w:rPr>
                <w:b/>
                <w:noProof/>
                <w:sz w:val="18"/>
                <w:lang w:val="ro-RO"/>
              </w:rPr>
              <w:t>0</w:t>
            </w:r>
          </w:p>
        </w:tc>
        <w:tc>
          <w:tcPr>
            <w:tcW w:w="672" w:type="dxa"/>
            <w:tcBorders>
              <w:top w:val="single" w:sz="8" w:space="0" w:color="000000"/>
              <w:left w:val="nil"/>
              <w:bottom w:val="single" w:sz="8" w:space="0" w:color="000000"/>
              <w:right w:val="single" w:sz="4" w:space="0" w:color="000000"/>
            </w:tcBorders>
            <w:shd w:val="clear" w:color="auto" w:fill="F2F2F2"/>
            <w:vAlign w:val="center"/>
            <w:hideMark/>
          </w:tcPr>
          <w:p w:rsidR="004310B4" w:rsidRDefault="004310B4">
            <w:pPr>
              <w:spacing w:after="0"/>
              <w:jc w:val="center"/>
              <w:rPr>
                <w:noProof/>
                <w:color w:val="000000"/>
                <w:szCs w:val="24"/>
                <w:lang w:val="ro-RO"/>
              </w:rPr>
            </w:pPr>
            <w:r>
              <w:rPr>
                <w:b/>
                <w:noProof/>
                <w:sz w:val="18"/>
                <w:lang w:val="ro-RO"/>
              </w:rPr>
              <w:t>0</w:t>
            </w:r>
          </w:p>
        </w:tc>
        <w:tc>
          <w:tcPr>
            <w:tcW w:w="672" w:type="dxa"/>
            <w:tcBorders>
              <w:top w:val="single" w:sz="8" w:space="0" w:color="000000"/>
              <w:left w:val="nil"/>
              <w:bottom w:val="single" w:sz="8" w:space="0" w:color="000000"/>
              <w:right w:val="single" w:sz="4" w:space="0" w:color="000000"/>
            </w:tcBorders>
            <w:shd w:val="clear" w:color="auto" w:fill="F2F2F2"/>
            <w:vAlign w:val="center"/>
            <w:hideMark/>
          </w:tcPr>
          <w:p w:rsidR="004310B4" w:rsidRDefault="004310B4">
            <w:pPr>
              <w:spacing w:after="0"/>
              <w:jc w:val="center"/>
              <w:rPr>
                <w:noProof/>
                <w:color w:val="000000"/>
                <w:szCs w:val="24"/>
                <w:lang w:val="ro-RO"/>
              </w:rPr>
            </w:pPr>
            <w:r>
              <w:rPr>
                <w:b/>
                <w:noProof/>
                <w:sz w:val="18"/>
                <w:lang w:val="ro-RO"/>
              </w:rPr>
              <w:t>0</w:t>
            </w:r>
          </w:p>
        </w:tc>
        <w:tc>
          <w:tcPr>
            <w:tcW w:w="613" w:type="dxa"/>
            <w:tcBorders>
              <w:top w:val="single" w:sz="8" w:space="0" w:color="000000"/>
              <w:left w:val="nil"/>
              <w:bottom w:val="single" w:sz="8" w:space="0" w:color="000000"/>
              <w:right w:val="single" w:sz="12" w:space="0" w:color="000000"/>
            </w:tcBorders>
            <w:shd w:val="clear" w:color="auto" w:fill="F2F2F2"/>
            <w:vAlign w:val="center"/>
            <w:hideMark/>
          </w:tcPr>
          <w:p w:rsidR="004310B4" w:rsidRDefault="004310B4">
            <w:pPr>
              <w:spacing w:after="0"/>
              <w:jc w:val="center"/>
              <w:rPr>
                <w:noProof/>
                <w:color w:val="000000"/>
                <w:szCs w:val="24"/>
                <w:lang w:val="ro-RO"/>
              </w:rPr>
            </w:pPr>
            <w:r>
              <w:rPr>
                <w:b/>
                <w:noProof/>
                <w:sz w:val="18"/>
                <w:lang w:val="ro-RO"/>
              </w:rPr>
              <w:t>2</w:t>
            </w:r>
          </w:p>
        </w:tc>
      </w:tr>
      <w:tr w:rsidR="004310B4">
        <w:trPr>
          <w:trHeight w:val="225"/>
          <w:jc w:val="center"/>
        </w:trPr>
        <w:tc>
          <w:tcPr>
            <w:tcW w:w="631" w:type="dxa"/>
            <w:vMerge w:val="restart"/>
            <w:tcBorders>
              <w:top w:val="nil"/>
              <w:left w:val="single" w:sz="12" w:space="0" w:color="000000"/>
              <w:bottom w:val="single" w:sz="8" w:space="0" w:color="000000"/>
              <w:right w:val="single" w:sz="4" w:space="0" w:color="000000"/>
            </w:tcBorders>
            <w:shd w:val="clear" w:color="auto" w:fill="F2F2F2"/>
            <w:vAlign w:val="center"/>
            <w:hideMark/>
          </w:tcPr>
          <w:p w:rsidR="004310B4" w:rsidRDefault="004310B4">
            <w:pPr>
              <w:spacing w:after="0"/>
              <w:jc w:val="center"/>
              <w:rPr>
                <w:noProof/>
                <w:color w:val="000000"/>
                <w:szCs w:val="24"/>
                <w:lang w:val="ro-RO"/>
              </w:rPr>
            </w:pPr>
            <w:r>
              <w:rPr>
                <w:noProof/>
                <w:sz w:val="18"/>
                <w:lang w:val="ro-RO"/>
              </w:rPr>
              <w:t>2012</w:t>
            </w:r>
          </w:p>
        </w:tc>
        <w:tc>
          <w:tcPr>
            <w:tcW w:w="1445" w:type="dxa"/>
            <w:tcBorders>
              <w:top w:val="nil"/>
              <w:left w:val="nil"/>
              <w:bottom w:val="single" w:sz="4" w:space="0" w:color="000000"/>
              <w:right w:val="single" w:sz="4" w:space="0" w:color="000000"/>
            </w:tcBorders>
            <w:vAlign w:val="bottom"/>
            <w:hideMark/>
          </w:tcPr>
          <w:p w:rsidR="004310B4" w:rsidRDefault="004310B4">
            <w:pPr>
              <w:spacing w:after="0"/>
              <w:jc w:val="left"/>
              <w:rPr>
                <w:noProof/>
                <w:color w:val="000000"/>
                <w:szCs w:val="24"/>
                <w:lang w:val="ro-RO"/>
              </w:rPr>
            </w:pPr>
            <w:r>
              <w:rPr>
                <w:noProof/>
                <w:sz w:val="18"/>
                <w:lang w:val="ro-RO"/>
              </w:rPr>
              <w:t>Esențială</w:t>
            </w:r>
          </w:p>
        </w:tc>
        <w:tc>
          <w:tcPr>
            <w:tcW w:w="831" w:type="dxa"/>
            <w:tcBorders>
              <w:top w:val="nil"/>
              <w:left w:val="nil"/>
              <w:bottom w:val="single" w:sz="4" w:space="0" w:color="000000"/>
              <w:right w:val="single" w:sz="12" w:space="0" w:color="000000"/>
            </w:tcBorders>
            <w:vAlign w:val="center"/>
            <w:hideMark/>
          </w:tcPr>
          <w:p w:rsidR="004310B4" w:rsidRDefault="004310B4">
            <w:pPr>
              <w:spacing w:after="0"/>
              <w:jc w:val="center"/>
              <w:rPr>
                <w:noProof/>
                <w:color w:val="000000"/>
                <w:szCs w:val="24"/>
                <w:lang w:val="ro-RO"/>
              </w:rPr>
            </w:pPr>
            <w:r>
              <w:rPr>
                <w:noProof/>
                <w:sz w:val="18"/>
                <w:lang w:val="ro-RO"/>
              </w:rPr>
              <w:t>0</w:t>
            </w:r>
          </w:p>
        </w:tc>
        <w:tc>
          <w:tcPr>
            <w:tcW w:w="728" w:type="dxa"/>
            <w:tcBorders>
              <w:top w:val="nil"/>
              <w:left w:val="single" w:sz="12" w:space="0" w:color="000000"/>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0</w:t>
            </w:r>
          </w:p>
        </w:tc>
        <w:tc>
          <w:tcPr>
            <w:tcW w:w="850" w:type="dxa"/>
            <w:tcBorders>
              <w:top w:val="nil"/>
              <w:left w:val="nil"/>
              <w:bottom w:val="single" w:sz="4" w:space="0" w:color="000000"/>
              <w:right w:val="single" w:sz="12" w:space="0" w:color="000000"/>
            </w:tcBorders>
            <w:vAlign w:val="center"/>
            <w:hideMark/>
          </w:tcPr>
          <w:p w:rsidR="004310B4" w:rsidRDefault="004310B4">
            <w:pPr>
              <w:spacing w:after="0"/>
              <w:jc w:val="center"/>
              <w:rPr>
                <w:noProof/>
                <w:color w:val="000000"/>
                <w:szCs w:val="24"/>
                <w:lang w:val="ro-RO"/>
              </w:rPr>
            </w:pPr>
            <w:r>
              <w:rPr>
                <w:noProof/>
                <w:sz w:val="18"/>
                <w:lang w:val="ro-RO"/>
              </w:rPr>
              <w:t>0 %</w:t>
            </w:r>
          </w:p>
        </w:tc>
        <w:tc>
          <w:tcPr>
            <w:tcW w:w="567" w:type="dxa"/>
            <w:tcBorders>
              <w:top w:val="nil"/>
              <w:left w:val="single" w:sz="12" w:space="0" w:color="000000"/>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0</w:t>
            </w:r>
          </w:p>
        </w:tc>
        <w:tc>
          <w:tcPr>
            <w:tcW w:w="725"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0 %</w:t>
            </w:r>
          </w:p>
        </w:tc>
        <w:tc>
          <w:tcPr>
            <w:tcW w:w="782"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0</w:t>
            </w:r>
          </w:p>
        </w:tc>
        <w:tc>
          <w:tcPr>
            <w:tcW w:w="672"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0</w:t>
            </w:r>
          </w:p>
        </w:tc>
        <w:tc>
          <w:tcPr>
            <w:tcW w:w="672"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0</w:t>
            </w:r>
          </w:p>
        </w:tc>
        <w:tc>
          <w:tcPr>
            <w:tcW w:w="613" w:type="dxa"/>
            <w:tcBorders>
              <w:top w:val="nil"/>
              <w:left w:val="nil"/>
              <w:bottom w:val="single" w:sz="4" w:space="0" w:color="000000"/>
              <w:right w:val="single" w:sz="12" w:space="0" w:color="000000"/>
            </w:tcBorders>
            <w:vAlign w:val="center"/>
            <w:hideMark/>
          </w:tcPr>
          <w:p w:rsidR="004310B4" w:rsidRDefault="004310B4">
            <w:pPr>
              <w:spacing w:after="0"/>
              <w:jc w:val="center"/>
              <w:rPr>
                <w:noProof/>
                <w:color w:val="000000"/>
                <w:szCs w:val="24"/>
                <w:lang w:val="ro-RO"/>
              </w:rPr>
            </w:pPr>
            <w:r>
              <w:rPr>
                <w:noProof/>
                <w:sz w:val="18"/>
                <w:lang w:val="ro-RO"/>
              </w:rPr>
              <w:t>0</w:t>
            </w:r>
          </w:p>
        </w:tc>
      </w:tr>
      <w:tr w:rsidR="004310B4">
        <w:trPr>
          <w:trHeight w:val="225"/>
          <w:jc w:val="center"/>
        </w:trPr>
        <w:tc>
          <w:tcPr>
            <w:tcW w:w="631" w:type="dxa"/>
            <w:vMerge/>
            <w:tcBorders>
              <w:top w:val="nil"/>
              <w:left w:val="single" w:sz="12" w:space="0" w:color="000000"/>
              <w:bottom w:val="single" w:sz="8" w:space="0" w:color="000000"/>
              <w:right w:val="single" w:sz="4" w:space="0" w:color="000000"/>
            </w:tcBorders>
            <w:vAlign w:val="center"/>
            <w:hideMark/>
          </w:tcPr>
          <w:p w:rsidR="004310B4" w:rsidRDefault="004310B4">
            <w:pPr>
              <w:spacing w:after="0"/>
              <w:jc w:val="left"/>
              <w:rPr>
                <w:noProof/>
                <w:color w:val="000000"/>
                <w:szCs w:val="24"/>
                <w:lang w:val="ro-RO"/>
              </w:rPr>
            </w:pPr>
          </w:p>
        </w:tc>
        <w:tc>
          <w:tcPr>
            <w:tcW w:w="1445" w:type="dxa"/>
            <w:tcBorders>
              <w:top w:val="nil"/>
              <w:left w:val="nil"/>
              <w:bottom w:val="single" w:sz="4" w:space="0" w:color="000000"/>
              <w:right w:val="single" w:sz="4" w:space="0" w:color="000000"/>
            </w:tcBorders>
            <w:vAlign w:val="bottom"/>
            <w:hideMark/>
          </w:tcPr>
          <w:p w:rsidR="004310B4" w:rsidRDefault="004310B4">
            <w:pPr>
              <w:spacing w:after="0"/>
              <w:jc w:val="left"/>
              <w:rPr>
                <w:noProof/>
                <w:color w:val="000000"/>
                <w:szCs w:val="24"/>
                <w:lang w:val="ro-RO"/>
              </w:rPr>
            </w:pPr>
            <w:r>
              <w:rPr>
                <w:noProof/>
                <w:sz w:val="18"/>
                <w:lang w:val="ro-RO"/>
              </w:rPr>
              <w:t>Foarte importantă</w:t>
            </w:r>
          </w:p>
        </w:tc>
        <w:tc>
          <w:tcPr>
            <w:tcW w:w="831" w:type="dxa"/>
            <w:tcBorders>
              <w:top w:val="nil"/>
              <w:left w:val="nil"/>
              <w:bottom w:val="single" w:sz="4" w:space="0" w:color="000000"/>
              <w:right w:val="single" w:sz="12" w:space="0" w:color="000000"/>
            </w:tcBorders>
            <w:vAlign w:val="center"/>
            <w:hideMark/>
          </w:tcPr>
          <w:p w:rsidR="004310B4" w:rsidRDefault="004310B4">
            <w:pPr>
              <w:spacing w:after="0"/>
              <w:jc w:val="center"/>
              <w:rPr>
                <w:noProof/>
                <w:color w:val="000000"/>
                <w:szCs w:val="24"/>
                <w:lang w:val="ro-RO"/>
              </w:rPr>
            </w:pPr>
            <w:r>
              <w:rPr>
                <w:noProof/>
                <w:sz w:val="18"/>
                <w:lang w:val="ro-RO"/>
              </w:rPr>
              <w:t>68</w:t>
            </w:r>
          </w:p>
        </w:tc>
        <w:tc>
          <w:tcPr>
            <w:tcW w:w="728" w:type="dxa"/>
            <w:tcBorders>
              <w:top w:val="nil"/>
              <w:left w:val="single" w:sz="12" w:space="0" w:color="000000"/>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62</w:t>
            </w:r>
          </w:p>
        </w:tc>
        <w:tc>
          <w:tcPr>
            <w:tcW w:w="850" w:type="dxa"/>
            <w:tcBorders>
              <w:top w:val="nil"/>
              <w:left w:val="nil"/>
              <w:bottom w:val="single" w:sz="4" w:space="0" w:color="000000"/>
              <w:right w:val="single" w:sz="12" w:space="0" w:color="000000"/>
            </w:tcBorders>
            <w:vAlign w:val="center"/>
            <w:hideMark/>
          </w:tcPr>
          <w:p w:rsidR="004310B4" w:rsidRDefault="004310B4">
            <w:pPr>
              <w:spacing w:after="0"/>
              <w:jc w:val="center"/>
              <w:rPr>
                <w:noProof/>
                <w:color w:val="000000"/>
                <w:szCs w:val="24"/>
                <w:lang w:val="ro-RO"/>
              </w:rPr>
            </w:pPr>
            <w:r>
              <w:rPr>
                <w:noProof/>
                <w:sz w:val="18"/>
                <w:lang w:val="ro-RO"/>
              </w:rPr>
              <w:t>91 %</w:t>
            </w:r>
          </w:p>
        </w:tc>
        <w:tc>
          <w:tcPr>
            <w:tcW w:w="567" w:type="dxa"/>
            <w:tcBorders>
              <w:top w:val="nil"/>
              <w:left w:val="single" w:sz="12" w:space="0" w:color="000000"/>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6</w:t>
            </w:r>
          </w:p>
        </w:tc>
        <w:tc>
          <w:tcPr>
            <w:tcW w:w="725"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9 %</w:t>
            </w:r>
          </w:p>
        </w:tc>
        <w:tc>
          <w:tcPr>
            <w:tcW w:w="782"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0</w:t>
            </w:r>
          </w:p>
        </w:tc>
        <w:tc>
          <w:tcPr>
            <w:tcW w:w="672"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0</w:t>
            </w:r>
          </w:p>
        </w:tc>
        <w:tc>
          <w:tcPr>
            <w:tcW w:w="672" w:type="dxa"/>
            <w:tcBorders>
              <w:top w:val="single" w:sz="4" w:space="0" w:color="000000"/>
              <w:left w:val="nil"/>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3</w:t>
            </w:r>
          </w:p>
        </w:tc>
        <w:tc>
          <w:tcPr>
            <w:tcW w:w="613" w:type="dxa"/>
            <w:tcBorders>
              <w:top w:val="single" w:sz="4" w:space="0" w:color="000000"/>
              <w:left w:val="nil"/>
              <w:bottom w:val="single" w:sz="4" w:space="0" w:color="000000"/>
              <w:right w:val="single" w:sz="12" w:space="0" w:color="000000"/>
            </w:tcBorders>
            <w:vAlign w:val="center"/>
            <w:hideMark/>
          </w:tcPr>
          <w:p w:rsidR="004310B4" w:rsidRDefault="004310B4">
            <w:pPr>
              <w:spacing w:after="0"/>
              <w:jc w:val="center"/>
              <w:rPr>
                <w:noProof/>
                <w:color w:val="000000"/>
                <w:szCs w:val="24"/>
                <w:lang w:val="ro-RO"/>
              </w:rPr>
            </w:pPr>
            <w:r>
              <w:rPr>
                <w:noProof/>
                <w:sz w:val="18"/>
                <w:lang w:val="ro-RO"/>
              </w:rPr>
              <w:t>3</w:t>
            </w:r>
          </w:p>
        </w:tc>
      </w:tr>
      <w:tr w:rsidR="004310B4">
        <w:trPr>
          <w:trHeight w:val="225"/>
          <w:jc w:val="center"/>
        </w:trPr>
        <w:tc>
          <w:tcPr>
            <w:tcW w:w="631" w:type="dxa"/>
            <w:vMerge/>
            <w:tcBorders>
              <w:top w:val="nil"/>
              <w:left w:val="single" w:sz="12" w:space="0" w:color="000000"/>
              <w:bottom w:val="single" w:sz="8" w:space="0" w:color="000000"/>
              <w:right w:val="single" w:sz="4" w:space="0" w:color="000000"/>
            </w:tcBorders>
            <w:vAlign w:val="center"/>
            <w:hideMark/>
          </w:tcPr>
          <w:p w:rsidR="004310B4" w:rsidRDefault="004310B4">
            <w:pPr>
              <w:spacing w:after="0"/>
              <w:jc w:val="left"/>
              <w:rPr>
                <w:noProof/>
                <w:color w:val="000000"/>
                <w:szCs w:val="24"/>
                <w:lang w:val="ro-RO"/>
              </w:rPr>
            </w:pPr>
          </w:p>
        </w:tc>
        <w:tc>
          <w:tcPr>
            <w:tcW w:w="1445" w:type="dxa"/>
            <w:tcBorders>
              <w:top w:val="nil"/>
              <w:left w:val="nil"/>
              <w:bottom w:val="single" w:sz="4" w:space="0" w:color="000000"/>
              <w:right w:val="single" w:sz="4" w:space="0" w:color="000000"/>
            </w:tcBorders>
            <w:vAlign w:val="bottom"/>
            <w:hideMark/>
          </w:tcPr>
          <w:p w:rsidR="004310B4" w:rsidRDefault="004310B4">
            <w:pPr>
              <w:spacing w:after="0"/>
              <w:jc w:val="left"/>
              <w:rPr>
                <w:noProof/>
                <w:color w:val="000000"/>
                <w:szCs w:val="24"/>
                <w:lang w:val="ro-RO"/>
              </w:rPr>
            </w:pPr>
            <w:r>
              <w:rPr>
                <w:noProof/>
                <w:sz w:val="18"/>
                <w:lang w:val="ro-RO"/>
              </w:rPr>
              <w:t>Importantă</w:t>
            </w:r>
          </w:p>
        </w:tc>
        <w:tc>
          <w:tcPr>
            <w:tcW w:w="831" w:type="dxa"/>
            <w:tcBorders>
              <w:top w:val="nil"/>
              <w:left w:val="nil"/>
              <w:bottom w:val="single" w:sz="4" w:space="0" w:color="000000"/>
              <w:right w:val="single" w:sz="12" w:space="0" w:color="000000"/>
            </w:tcBorders>
            <w:vAlign w:val="center"/>
            <w:hideMark/>
          </w:tcPr>
          <w:p w:rsidR="004310B4" w:rsidRDefault="004310B4">
            <w:pPr>
              <w:spacing w:after="0"/>
              <w:jc w:val="center"/>
              <w:rPr>
                <w:noProof/>
                <w:color w:val="000000"/>
                <w:szCs w:val="24"/>
                <w:lang w:val="ro-RO"/>
              </w:rPr>
            </w:pPr>
            <w:r>
              <w:rPr>
                <w:noProof/>
                <w:sz w:val="18"/>
                <w:lang w:val="ro-RO"/>
              </w:rPr>
              <w:t>123</w:t>
            </w:r>
          </w:p>
        </w:tc>
        <w:tc>
          <w:tcPr>
            <w:tcW w:w="728" w:type="dxa"/>
            <w:tcBorders>
              <w:top w:val="nil"/>
              <w:left w:val="single" w:sz="12" w:space="0" w:color="000000"/>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113</w:t>
            </w:r>
          </w:p>
        </w:tc>
        <w:tc>
          <w:tcPr>
            <w:tcW w:w="850" w:type="dxa"/>
            <w:tcBorders>
              <w:top w:val="nil"/>
              <w:left w:val="nil"/>
              <w:bottom w:val="single" w:sz="4" w:space="0" w:color="000000"/>
              <w:right w:val="single" w:sz="12" w:space="0" w:color="000000"/>
            </w:tcBorders>
            <w:vAlign w:val="center"/>
            <w:hideMark/>
          </w:tcPr>
          <w:p w:rsidR="004310B4" w:rsidRDefault="004310B4">
            <w:pPr>
              <w:spacing w:after="0"/>
              <w:jc w:val="center"/>
              <w:rPr>
                <w:noProof/>
                <w:color w:val="000000"/>
                <w:szCs w:val="24"/>
                <w:lang w:val="ro-RO"/>
              </w:rPr>
            </w:pPr>
            <w:r>
              <w:rPr>
                <w:noProof/>
                <w:sz w:val="18"/>
                <w:lang w:val="ro-RO"/>
              </w:rPr>
              <w:t>92 %</w:t>
            </w:r>
          </w:p>
        </w:tc>
        <w:tc>
          <w:tcPr>
            <w:tcW w:w="567" w:type="dxa"/>
            <w:tcBorders>
              <w:top w:val="nil"/>
              <w:left w:val="single" w:sz="12" w:space="0" w:color="000000"/>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10</w:t>
            </w:r>
          </w:p>
        </w:tc>
        <w:tc>
          <w:tcPr>
            <w:tcW w:w="725"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8 %</w:t>
            </w:r>
          </w:p>
        </w:tc>
        <w:tc>
          <w:tcPr>
            <w:tcW w:w="782"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2</w:t>
            </w:r>
          </w:p>
        </w:tc>
        <w:tc>
          <w:tcPr>
            <w:tcW w:w="672"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2</w:t>
            </w:r>
          </w:p>
        </w:tc>
        <w:tc>
          <w:tcPr>
            <w:tcW w:w="672"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0</w:t>
            </w:r>
          </w:p>
        </w:tc>
        <w:tc>
          <w:tcPr>
            <w:tcW w:w="613" w:type="dxa"/>
            <w:tcBorders>
              <w:top w:val="nil"/>
              <w:left w:val="nil"/>
              <w:bottom w:val="single" w:sz="4" w:space="0" w:color="000000"/>
              <w:right w:val="single" w:sz="12" w:space="0" w:color="000000"/>
            </w:tcBorders>
            <w:vAlign w:val="center"/>
            <w:hideMark/>
          </w:tcPr>
          <w:p w:rsidR="004310B4" w:rsidRDefault="004310B4">
            <w:pPr>
              <w:spacing w:after="0"/>
              <w:jc w:val="center"/>
              <w:rPr>
                <w:noProof/>
                <w:color w:val="000000"/>
                <w:szCs w:val="24"/>
                <w:lang w:val="ro-RO"/>
              </w:rPr>
            </w:pPr>
            <w:r>
              <w:rPr>
                <w:noProof/>
                <w:sz w:val="18"/>
                <w:lang w:val="ro-RO"/>
              </w:rPr>
              <w:t>6</w:t>
            </w:r>
          </w:p>
        </w:tc>
      </w:tr>
      <w:tr w:rsidR="004310B4">
        <w:trPr>
          <w:trHeight w:val="246"/>
          <w:jc w:val="center"/>
        </w:trPr>
        <w:tc>
          <w:tcPr>
            <w:tcW w:w="631" w:type="dxa"/>
            <w:vMerge/>
            <w:tcBorders>
              <w:top w:val="nil"/>
              <w:left w:val="single" w:sz="12" w:space="0" w:color="000000"/>
              <w:bottom w:val="single" w:sz="8" w:space="0" w:color="000000"/>
              <w:right w:val="single" w:sz="4" w:space="0" w:color="000000"/>
            </w:tcBorders>
            <w:vAlign w:val="center"/>
            <w:hideMark/>
          </w:tcPr>
          <w:p w:rsidR="004310B4" w:rsidRDefault="004310B4">
            <w:pPr>
              <w:spacing w:after="0"/>
              <w:jc w:val="left"/>
              <w:rPr>
                <w:noProof/>
                <w:color w:val="000000"/>
                <w:szCs w:val="24"/>
                <w:lang w:val="ro-RO"/>
              </w:rPr>
            </w:pPr>
          </w:p>
        </w:tc>
        <w:tc>
          <w:tcPr>
            <w:tcW w:w="1445" w:type="dxa"/>
            <w:tcBorders>
              <w:top w:val="nil"/>
              <w:left w:val="nil"/>
              <w:bottom w:val="nil"/>
              <w:right w:val="single" w:sz="4" w:space="0" w:color="000000"/>
            </w:tcBorders>
            <w:vAlign w:val="bottom"/>
            <w:hideMark/>
          </w:tcPr>
          <w:p w:rsidR="004310B4" w:rsidRDefault="004310B4">
            <w:pPr>
              <w:spacing w:after="0"/>
              <w:jc w:val="left"/>
              <w:rPr>
                <w:noProof/>
                <w:color w:val="000000"/>
                <w:szCs w:val="24"/>
                <w:lang w:val="ro-RO"/>
              </w:rPr>
            </w:pPr>
            <w:r>
              <w:rPr>
                <w:noProof/>
                <w:sz w:val="18"/>
                <w:lang w:val="ro-RO"/>
              </w:rPr>
              <w:t>De dorit</w:t>
            </w:r>
          </w:p>
        </w:tc>
        <w:tc>
          <w:tcPr>
            <w:tcW w:w="831" w:type="dxa"/>
            <w:tcBorders>
              <w:top w:val="nil"/>
              <w:left w:val="nil"/>
              <w:bottom w:val="nil"/>
              <w:right w:val="single" w:sz="12" w:space="0" w:color="000000"/>
            </w:tcBorders>
            <w:vAlign w:val="center"/>
            <w:hideMark/>
          </w:tcPr>
          <w:p w:rsidR="004310B4" w:rsidRDefault="004310B4">
            <w:pPr>
              <w:spacing w:after="0"/>
              <w:jc w:val="center"/>
              <w:rPr>
                <w:noProof/>
                <w:color w:val="000000"/>
                <w:szCs w:val="24"/>
                <w:lang w:val="ro-RO"/>
              </w:rPr>
            </w:pPr>
            <w:r>
              <w:rPr>
                <w:noProof/>
                <w:sz w:val="18"/>
                <w:lang w:val="ro-RO"/>
              </w:rPr>
              <w:t>0</w:t>
            </w:r>
          </w:p>
        </w:tc>
        <w:tc>
          <w:tcPr>
            <w:tcW w:w="728" w:type="dxa"/>
            <w:tcBorders>
              <w:top w:val="nil"/>
              <w:left w:val="single" w:sz="12" w:space="0" w:color="000000"/>
              <w:bottom w:val="nil"/>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0</w:t>
            </w:r>
          </w:p>
        </w:tc>
        <w:tc>
          <w:tcPr>
            <w:tcW w:w="850" w:type="dxa"/>
            <w:tcBorders>
              <w:top w:val="nil"/>
              <w:left w:val="nil"/>
              <w:bottom w:val="single" w:sz="4" w:space="0" w:color="000000"/>
              <w:right w:val="single" w:sz="12" w:space="0" w:color="000000"/>
            </w:tcBorders>
            <w:vAlign w:val="center"/>
            <w:hideMark/>
          </w:tcPr>
          <w:p w:rsidR="004310B4" w:rsidRDefault="004310B4">
            <w:pPr>
              <w:spacing w:after="0"/>
              <w:jc w:val="center"/>
              <w:rPr>
                <w:noProof/>
                <w:color w:val="000000"/>
                <w:szCs w:val="24"/>
                <w:lang w:val="ro-RO"/>
              </w:rPr>
            </w:pPr>
            <w:r>
              <w:rPr>
                <w:noProof/>
                <w:sz w:val="18"/>
                <w:lang w:val="ro-RO"/>
              </w:rPr>
              <w:t>0 %</w:t>
            </w:r>
          </w:p>
        </w:tc>
        <w:tc>
          <w:tcPr>
            <w:tcW w:w="567" w:type="dxa"/>
            <w:tcBorders>
              <w:top w:val="nil"/>
              <w:left w:val="single" w:sz="12" w:space="0" w:color="000000"/>
              <w:bottom w:val="nil"/>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0</w:t>
            </w:r>
          </w:p>
        </w:tc>
        <w:tc>
          <w:tcPr>
            <w:tcW w:w="725"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0 %</w:t>
            </w:r>
          </w:p>
        </w:tc>
        <w:tc>
          <w:tcPr>
            <w:tcW w:w="782" w:type="dxa"/>
            <w:tcBorders>
              <w:top w:val="nil"/>
              <w:left w:val="nil"/>
              <w:bottom w:val="nil"/>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0</w:t>
            </w:r>
          </w:p>
        </w:tc>
        <w:tc>
          <w:tcPr>
            <w:tcW w:w="672" w:type="dxa"/>
            <w:tcBorders>
              <w:top w:val="nil"/>
              <w:left w:val="nil"/>
              <w:bottom w:val="nil"/>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0</w:t>
            </w:r>
          </w:p>
        </w:tc>
        <w:tc>
          <w:tcPr>
            <w:tcW w:w="672" w:type="dxa"/>
            <w:tcBorders>
              <w:top w:val="nil"/>
              <w:left w:val="nil"/>
              <w:bottom w:val="nil"/>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0</w:t>
            </w:r>
          </w:p>
        </w:tc>
        <w:tc>
          <w:tcPr>
            <w:tcW w:w="613" w:type="dxa"/>
            <w:tcBorders>
              <w:top w:val="nil"/>
              <w:left w:val="nil"/>
              <w:bottom w:val="nil"/>
              <w:right w:val="single" w:sz="12" w:space="0" w:color="000000"/>
            </w:tcBorders>
            <w:vAlign w:val="center"/>
            <w:hideMark/>
          </w:tcPr>
          <w:p w:rsidR="004310B4" w:rsidRDefault="004310B4">
            <w:pPr>
              <w:spacing w:after="0"/>
              <w:jc w:val="center"/>
              <w:rPr>
                <w:noProof/>
                <w:color w:val="000000"/>
                <w:szCs w:val="24"/>
                <w:lang w:val="ro-RO"/>
              </w:rPr>
            </w:pPr>
            <w:r>
              <w:rPr>
                <w:noProof/>
                <w:sz w:val="18"/>
                <w:lang w:val="ro-RO"/>
              </w:rPr>
              <w:t>0</w:t>
            </w:r>
          </w:p>
        </w:tc>
      </w:tr>
      <w:tr w:rsidR="004310B4">
        <w:trPr>
          <w:trHeight w:val="246"/>
          <w:jc w:val="center"/>
        </w:trPr>
        <w:tc>
          <w:tcPr>
            <w:tcW w:w="631" w:type="dxa"/>
            <w:vMerge/>
            <w:tcBorders>
              <w:top w:val="nil"/>
              <w:left w:val="single" w:sz="12" w:space="0" w:color="000000"/>
              <w:bottom w:val="single" w:sz="8" w:space="0" w:color="000000"/>
              <w:right w:val="single" w:sz="4" w:space="0" w:color="000000"/>
            </w:tcBorders>
            <w:vAlign w:val="center"/>
            <w:hideMark/>
          </w:tcPr>
          <w:p w:rsidR="004310B4" w:rsidRDefault="004310B4">
            <w:pPr>
              <w:spacing w:after="0"/>
              <w:jc w:val="left"/>
              <w:rPr>
                <w:noProof/>
                <w:color w:val="000000"/>
                <w:szCs w:val="24"/>
                <w:lang w:val="ro-RO"/>
              </w:rPr>
            </w:pPr>
          </w:p>
        </w:tc>
        <w:tc>
          <w:tcPr>
            <w:tcW w:w="1445" w:type="dxa"/>
            <w:tcBorders>
              <w:top w:val="single" w:sz="8" w:space="0" w:color="000000"/>
              <w:left w:val="nil"/>
              <w:bottom w:val="single" w:sz="8" w:space="0" w:color="000000"/>
              <w:right w:val="single" w:sz="4" w:space="0" w:color="000000"/>
            </w:tcBorders>
            <w:shd w:val="clear" w:color="auto" w:fill="F2F2F2"/>
            <w:vAlign w:val="bottom"/>
            <w:hideMark/>
          </w:tcPr>
          <w:p w:rsidR="004310B4" w:rsidRDefault="004310B4">
            <w:pPr>
              <w:spacing w:after="0"/>
              <w:jc w:val="left"/>
              <w:rPr>
                <w:noProof/>
                <w:color w:val="000000"/>
                <w:szCs w:val="24"/>
                <w:lang w:val="ro-RO"/>
              </w:rPr>
            </w:pPr>
            <w:r>
              <w:rPr>
                <w:b/>
                <w:noProof/>
                <w:sz w:val="18"/>
                <w:lang w:val="ro-RO"/>
              </w:rPr>
              <w:t>Total 2012</w:t>
            </w:r>
          </w:p>
        </w:tc>
        <w:tc>
          <w:tcPr>
            <w:tcW w:w="831" w:type="dxa"/>
            <w:tcBorders>
              <w:top w:val="single" w:sz="8" w:space="0" w:color="000000"/>
              <w:left w:val="nil"/>
              <w:bottom w:val="single" w:sz="8" w:space="0" w:color="000000"/>
              <w:right w:val="single" w:sz="12" w:space="0" w:color="000000"/>
            </w:tcBorders>
            <w:shd w:val="clear" w:color="auto" w:fill="F2F2F2"/>
            <w:vAlign w:val="center"/>
            <w:hideMark/>
          </w:tcPr>
          <w:p w:rsidR="004310B4" w:rsidRDefault="004310B4">
            <w:pPr>
              <w:spacing w:after="0"/>
              <w:jc w:val="center"/>
              <w:rPr>
                <w:noProof/>
                <w:color w:val="000000"/>
                <w:szCs w:val="24"/>
                <w:lang w:val="ro-RO"/>
              </w:rPr>
            </w:pPr>
            <w:r>
              <w:rPr>
                <w:b/>
                <w:noProof/>
                <w:sz w:val="18"/>
                <w:lang w:val="ro-RO"/>
              </w:rPr>
              <w:t>191</w:t>
            </w:r>
          </w:p>
        </w:tc>
        <w:tc>
          <w:tcPr>
            <w:tcW w:w="728" w:type="dxa"/>
            <w:tcBorders>
              <w:top w:val="single" w:sz="8" w:space="0" w:color="000000"/>
              <w:left w:val="single" w:sz="12" w:space="0" w:color="000000"/>
              <w:bottom w:val="single" w:sz="8" w:space="0" w:color="000000"/>
              <w:right w:val="single" w:sz="4" w:space="0" w:color="000000"/>
            </w:tcBorders>
            <w:shd w:val="clear" w:color="auto" w:fill="F2F2F2"/>
            <w:vAlign w:val="center"/>
            <w:hideMark/>
          </w:tcPr>
          <w:p w:rsidR="004310B4" w:rsidRDefault="004310B4">
            <w:pPr>
              <w:spacing w:after="0"/>
              <w:jc w:val="center"/>
              <w:rPr>
                <w:noProof/>
                <w:color w:val="000000"/>
                <w:szCs w:val="24"/>
                <w:lang w:val="ro-RO"/>
              </w:rPr>
            </w:pPr>
            <w:r>
              <w:rPr>
                <w:b/>
                <w:noProof/>
                <w:sz w:val="18"/>
                <w:lang w:val="ro-RO"/>
              </w:rPr>
              <w:t>175</w:t>
            </w:r>
          </w:p>
        </w:tc>
        <w:tc>
          <w:tcPr>
            <w:tcW w:w="850" w:type="dxa"/>
            <w:tcBorders>
              <w:top w:val="single" w:sz="8" w:space="0" w:color="000000"/>
              <w:left w:val="nil"/>
              <w:bottom w:val="single" w:sz="8" w:space="0" w:color="000000"/>
              <w:right w:val="single" w:sz="12" w:space="0" w:color="000000"/>
            </w:tcBorders>
            <w:shd w:val="clear" w:color="auto" w:fill="F2F2F2"/>
            <w:vAlign w:val="center"/>
            <w:hideMark/>
          </w:tcPr>
          <w:p w:rsidR="004310B4" w:rsidRDefault="004310B4">
            <w:pPr>
              <w:spacing w:after="0"/>
              <w:jc w:val="center"/>
              <w:rPr>
                <w:noProof/>
                <w:color w:val="000000"/>
                <w:szCs w:val="24"/>
                <w:lang w:val="ro-RO"/>
              </w:rPr>
            </w:pPr>
            <w:r>
              <w:rPr>
                <w:b/>
                <w:noProof/>
                <w:sz w:val="18"/>
                <w:lang w:val="ro-RO"/>
              </w:rPr>
              <w:t>92 %</w:t>
            </w:r>
          </w:p>
        </w:tc>
        <w:tc>
          <w:tcPr>
            <w:tcW w:w="567" w:type="dxa"/>
            <w:tcBorders>
              <w:top w:val="single" w:sz="8" w:space="0" w:color="000000"/>
              <w:left w:val="single" w:sz="12" w:space="0" w:color="000000"/>
              <w:bottom w:val="single" w:sz="8" w:space="0" w:color="000000"/>
              <w:right w:val="single" w:sz="4" w:space="0" w:color="000000"/>
            </w:tcBorders>
            <w:shd w:val="clear" w:color="auto" w:fill="F2F2F2"/>
            <w:vAlign w:val="center"/>
            <w:hideMark/>
          </w:tcPr>
          <w:p w:rsidR="004310B4" w:rsidRDefault="004310B4">
            <w:pPr>
              <w:spacing w:after="0"/>
              <w:jc w:val="center"/>
              <w:rPr>
                <w:noProof/>
                <w:color w:val="000000"/>
                <w:szCs w:val="24"/>
                <w:lang w:val="ro-RO"/>
              </w:rPr>
            </w:pPr>
            <w:r>
              <w:rPr>
                <w:b/>
                <w:noProof/>
                <w:sz w:val="18"/>
                <w:lang w:val="ro-RO"/>
              </w:rPr>
              <w:t>16</w:t>
            </w:r>
          </w:p>
        </w:tc>
        <w:tc>
          <w:tcPr>
            <w:tcW w:w="725" w:type="dxa"/>
            <w:tcBorders>
              <w:top w:val="single" w:sz="8" w:space="0" w:color="000000"/>
              <w:left w:val="nil"/>
              <w:bottom w:val="single" w:sz="8" w:space="0" w:color="000000"/>
              <w:right w:val="single" w:sz="8" w:space="0" w:color="000000"/>
            </w:tcBorders>
            <w:shd w:val="clear" w:color="auto" w:fill="F2F2F2"/>
            <w:vAlign w:val="center"/>
            <w:hideMark/>
          </w:tcPr>
          <w:p w:rsidR="004310B4" w:rsidRDefault="004310B4">
            <w:pPr>
              <w:spacing w:after="0"/>
              <w:jc w:val="center"/>
              <w:rPr>
                <w:noProof/>
                <w:color w:val="000000"/>
                <w:szCs w:val="24"/>
                <w:lang w:val="ro-RO"/>
              </w:rPr>
            </w:pPr>
            <w:r>
              <w:rPr>
                <w:b/>
                <w:noProof/>
                <w:sz w:val="18"/>
                <w:lang w:val="ro-RO"/>
              </w:rPr>
              <w:t>8 %</w:t>
            </w:r>
          </w:p>
        </w:tc>
        <w:tc>
          <w:tcPr>
            <w:tcW w:w="782" w:type="dxa"/>
            <w:tcBorders>
              <w:top w:val="single" w:sz="8" w:space="0" w:color="000000"/>
              <w:left w:val="single" w:sz="4" w:space="0" w:color="000000"/>
              <w:bottom w:val="single" w:sz="8" w:space="0" w:color="000000"/>
              <w:right w:val="single" w:sz="4" w:space="0" w:color="000000"/>
            </w:tcBorders>
            <w:shd w:val="clear" w:color="auto" w:fill="F2F2F2"/>
            <w:vAlign w:val="center"/>
            <w:hideMark/>
          </w:tcPr>
          <w:p w:rsidR="004310B4" w:rsidRDefault="004310B4">
            <w:pPr>
              <w:spacing w:after="0"/>
              <w:jc w:val="center"/>
              <w:rPr>
                <w:noProof/>
                <w:color w:val="000000"/>
                <w:szCs w:val="24"/>
                <w:lang w:val="ro-RO"/>
              </w:rPr>
            </w:pPr>
            <w:r>
              <w:rPr>
                <w:b/>
                <w:noProof/>
                <w:sz w:val="18"/>
                <w:lang w:val="ro-RO"/>
              </w:rPr>
              <w:t>2</w:t>
            </w:r>
          </w:p>
        </w:tc>
        <w:tc>
          <w:tcPr>
            <w:tcW w:w="672" w:type="dxa"/>
            <w:tcBorders>
              <w:top w:val="single" w:sz="8" w:space="0" w:color="000000"/>
              <w:left w:val="nil"/>
              <w:bottom w:val="single" w:sz="8" w:space="0" w:color="000000"/>
              <w:right w:val="single" w:sz="4" w:space="0" w:color="000000"/>
            </w:tcBorders>
            <w:shd w:val="clear" w:color="auto" w:fill="F2F2F2"/>
            <w:vAlign w:val="center"/>
            <w:hideMark/>
          </w:tcPr>
          <w:p w:rsidR="004310B4" w:rsidRDefault="004310B4">
            <w:pPr>
              <w:spacing w:after="0"/>
              <w:jc w:val="center"/>
              <w:rPr>
                <w:noProof/>
                <w:color w:val="000000"/>
                <w:szCs w:val="24"/>
                <w:lang w:val="ro-RO"/>
              </w:rPr>
            </w:pPr>
            <w:r>
              <w:rPr>
                <w:b/>
                <w:noProof/>
                <w:sz w:val="18"/>
                <w:lang w:val="ro-RO"/>
              </w:rPr>
              <w:t>2</w:t>
            </w:r>
          </w:p>
        </w:tc>
        <w:tc>
          <w:tcPr>
            <w:tcW w:w="672" w:type="dxa"/>
            <w:tcBorders>
              <w:top w:val="single" w:sz="8" w:space="0" w:color="000000"/>
              <w:left w:val="nil"/>
              <w:bottom w:val="single" w:sz="8" w:space="0" w:color="000000"/>
              <w:right w:val="single" w:sz="4" w:space="0" w:color="000000"/>
            </w:tcBorders>
            <w:shd w:val="clear" w:color="auto" w:fill="F2F2F2"/>
            <w:vAlign w:val="center"/>
            <w:hideMark/>
          </w:tcPr>
          <w:p w:rsidR="004310B4" w:rsidRDefault="004310B4">
            <w:pPr>
              <w:spacing w:after="0"/>
              <w:jc w:val="center"/>
              <w:rPr>
                <w:noProof/>
                <w:color w:val="000000"/>
                <w:szCs w:val="24"/>
                <w:lang w:val="ro-RO"/>
              </w:rPr>
            </w:pPr>
            <w:r>
              <w:rPr>
                <w:b/>
                <w:noProof/>
                <w:sz w:val="18"/>
                <w:lang w:val="ro-RO"/>
              </w:rPr>
              <w:t>3</w:t>
            </w:r>
          </w:p>
        </w:tc>
        <w:tc>
          <w:tcPr>
            <w:tcW w:w="613" w:type="dxa"/>
            <w:tcBorders>
              <w:top w:val="single" w:sz="8" w:space="0" w:color="000000"/>
              <w:left w:val="nil"/>
              <w:bottom w:val="single" w:sz="8" w:space="0" w:color="000000"/>
              <w:right w:val="single" w:sz="12" w:space="0" w:color="000000"/>
            </w:tcBorders>
            <w:shd w:val="clear" w:color="auto" w:fill="F2F2F2"/>
            <w:vAlign w:val="center"/>
            <w:hideMark/>
          </w:tcPr>
          <w:p w:rsidR="004310B4" w:rsidRDefault="004310B4">
            <w:pPr>
              <w:spacing w:after="0"/>
              <w:jc w:val="center"/>
              <w:rPr>
                <w:noProof/>
                <w:color w:val="000000"/>
                <w:szCs w:val="24"/>
                <w:lang w:val="ro-RO"/>
              </w:rPr>
            </w:pPr>
            <w:r>
              <w:rPr>
                <w:b/>
                <w:noProof/>
                <w:sz w:val="18"/>
                <w:lang w:val="ro-RO"/>
              </w:rPr>
              <w:t>9</w:t>
            </w:r>
          </w:p>
        </w:tc>
      </w:tr>
      <w:tr w:rsidR="004310B4">
        <w:trPr>
          <w:trHeight w:val="225"/>
          <w:jc w:val="center"/>
        </w:trPr>
        <w:tc>
          <w:tcPr>
            <w:tcW w:w="631" w:type="dxa"/>
            <w:vMerge w:val="restart"/>
            <w:tcBorders>
              <w:top w:val="nil"/>
              <w:left w:val="single" w:sz="12" w:space="0" w:color="000000"/>
              <w:bottom w:val="single" w:sz="8" w:space="0" w:color="000000"/>
              <w:right w:val="single" w:sz="4" w:space="0" w:color="000000"/>
            </w:tcBorders>
            <w:shd w:val="clear" w:color="auto" w:fill="F2F2F2"/>
            <w:vAlign w:val="center"/>
            <w:hideMark/>
          </w:tcPr>
          <w:p w:rsidR="004310B4" w:rsidRDefault="004310B4">
            <w:pPr>
              <w:spacing w:after="0"/>
              <w:jc w:val="center"/>
              <w:rPr>
                <w:noProof/>
                <w:color w:val="000000"/>
                <w:szCs w:val="24"/>
                <w:lang w:val="ro-RO"/>
              </w:rPr>
            </w:pPr>
            <w:r>
              <w:rPr>
                <w:noProof/>
                <w:sz w:val="18"/>
                <w:lang w:val="ro-RO"/>
              </w:rPr>
              <w:t>2013</w:t>
            </w:r>
          </w:p>
        </w:tc>
        <w:tc>
          <w:tcPr>
            <w:tcW w:w="1445" w:type="dxa"/>
            <w:tcBorders>
              <w:top w:val="nil"/>
              <w:left w:val="nil"/>
              <w:bottom w:val="single" w:sz="4" w:space="0" w:color="000000"/>
              <w:right w:val="single" w:sz="4" w:space="0" w:color="000000"/>
            </w:tcBorders>
            <w:vAlign w:val="bottom"/>
            <w:hideMark/>
          </w:tcPr>
          <w:p w:rsidR="004310B4" w:rsidRDefault="004310B4">
            <w:pPr>
              <w:spacing w:after="0"/>
              <w:jc w:val="left"/>
              <w:rPr>
                <w:noProof/>
                <w:color w:val="000000"/>
                <w:szCs w:val="24"/>
                <w:lang w:val="ro-RO"/>
              </w:rPr>
            </w:pPr>
            <w:r>
              <w:rPr>
                <w:noProof/>
                <w:sz w:val="18"/>
                <w:lang w:val="ro-RO"/>
              </w:rPr>
              <w:t>Esențială</w:t>
            </w:r>
          </w:p>
        </w:tc>
        <w:tc>
          <w:tcPr>
            <w:tcW w:w="831" w:type="dxa"/>
            <w:tcBorders>
              <w:top w:val="nil"/>
              <w:left w:val="nil"/>
              <w:bottom w:val="single" w:sz="4" w:space="0" w:color="000000"/>
              <w:right w:val="single" w:sz="12" w:space="0" w:color="000000"/>
            </w:tcBorders>
            <w:vAlign w:val="center"/>
            <w:hideMark/>
          </w:tcPr>
          <w:p w:rsidR="004310B4" w:rsidRDefault="004310B4">
            <w:pPr>
              <w:spacing w:after="0"/>
              <w:jc w:val="center"/>
              <w:rPr>
                <w:noProof/>
                <w:color w:val="000000"/>
                <w:szCs w:val="24"/>
                <w:lang w:val="ro-RO"/>
              </w:rPr>
            </w:pPr>
            <w:r>
              <w:rPr>
                <w:noProof/>
                <w:sz w:val="18"/>
                <w:lang w:val="ro-RO"/>
              </w:rPr>
              <w:t>0</w:t>
            </w:r>
          </w:p>
        </w:tc>
        <w:tc>
          <w:tcPr>
            <w:tcW w:w="728" w:type="dxa"/>
            <w:tcBorders>
              <w:top w:val="nil"/>
              <w:left w:val="single" w:sz="12" w:space="0" w:color="000000"/>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0</w:t>
            </w:r>
          </w:p>
        </w:tc>
        <w:tc>
          <w:tcPr>
            <w:tcW w:w="850" w:type="dxa"/>
            <w:tcBorders>
              <w:top w:val="nil"/>
              <w:left w:val="nil"/>
              <w:bottom w:val="single" w:sz="4" w:space="0" w:color="000000"/>
              <w:right w:val="single" w:sz="12" w:space="0" w:color="000000"/>
            </w:tcBorders>
            <w:vAlign w:val="center"/>
            <w:hideMark/>
          </w:tcPr>
          <w:p w:rsidR="004310B4" w:rsidRDefault="004310B4">
            <w:pPr>
              <w:spacing w:after="0"/>
              <w:jc w:val="center"/>
              <w:rPr>
                <w:noProof/>
                <w:color w:val="000000"/>
                <w:szCs w:val="24"/>
                <w:lang w:val="ro-RO"/>
              </w:rPr>
            </w:pPr>
            <w:r>
              <w:rPr>
                <w:noProof/>
                <w:sz w:val="18"/>
                <w:lang w:val="ro-RO"/>
              </w:rPr>
              <w:t>0 %</w:t>
            </w:r>
          </w:p>
        </w:tc>
        <w:tc>
          <w:tcPr>
            <w:tcW w:w="567" w:type="dxa"/>
            <w:tcBorders>
              <w:top w:val="nil"/>
              <w:left w:val="single" w:sz="12" w:space="0" w:color="000000"/>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0</w:t>
            </w:r>
          </w:p>
        </w:tc>
        <w:tc>
          <w:tcPr>
            <w:tcW w:w="725"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0 %</w:t>
            </w:r>
          </w:p>
        </w:tc>
        <w:tc>
          <w:tcPr>
            <w:tcW w:w="782"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0</w:t>
            </w:r>
          </w:p>
        </w:tc>
        <w:tc>
          <w:tcPr>
            <w:tcW w:w="672"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0</w:t>
            </w:r>
          </w:p>
        </w:tc>
        <w:tc>
          <w:tcPr>
            <w:tcW w:w="672"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0</w:t>
            </w:r>
          </w:p>
        </w:tc>
        <w:tc>
          <w:tcPr>
            <w:tcW w:w="613" w:type="dxa"/>
            <w:tcBorders>
              <w:top w:val="nil"/>
              <w:left w:val="nil"/>
              <w:bottom w:val="single" w:sz="4" w:space="0" w:color="000000"/>
              <w:right w:val="single" w:sz="12" w:space="0" w:color="000000"/>
            </w:tcBorders>
            <w:vAlign w:val="center"/>
            <w:hideMark/>
          </w:tcPr>
          <w:p w:rsidR="004310B4" w:rsidRDefault="004310B4">
            <w:pPr>
              <w:spacing w:after="0"/>
              <w:jc w:val="center"/>
              <w:rPr>
                <w:noProof/>
                <w:color w:val="000000"/>
                <w:szCs w:val="24"/>
                <w:lang w:val="ro-RO"/>
              </w:rPr>
            </w:pPr>
            <w:r>
              <w:rPr>
                <w:noProof/>
                <w:sz w:val="18"/>
                <w:lang w:val="ro-RO"/>
              </w:rPr>
              <w:t>0</w:t>
            </w:r>
          </w:p>
        </w:tc>
      </w:tr>
      <w:tr w:rsidR="004310B4">
        <w:trPr>
          <w:trHeight w:val="225"/>
          <w:jc w:val="center"/>
        </w:trPr>
        <w:tc>
          <w:tcPr>
            <w:tcW w:w="631" w:type="dxa"/>
            <w:vMerge/>
            <w:tcBorders>
              <w:top w:val="nil"/>
              <w:left w:val="single" w:sz="12" w:space="0" w:color="000000"/>
              <w:bottom w:val="single" w:sz="8" w:space="0" w:color="000000"/>
              <w:right w:val="single" w:sz="4" w:space="0" w:color="000000"/>
            </w:tcBorders>
            <w:vAlign w:val="center"/>
            <w:hideMark/>
          </w:tcPr>
          <w:p w:rsidR="004310B4" w:rsidRDefault="004310B4">
            <w:pPr>
              <w:spacing w:after="0"/>
              <w:jc w:val="left"/>
              <w:rPr>
                <w:noProof/>
                <w:color w:val="000000"/>
                <w:szCs w:val="24"/>
                <w:lang w:val="ro-RO"/>
              </w:rPr>
            </w:pPr>
          </w:p>
        </w:tc>
        <w:tc>
          <w:tcPr>
            <w:tcW w:w="1445" w:type="dxa"/>
            <w:tcBorders>
              <w:top w:val="nil"/>
              <w:left w:val="nil"/>
              <w:bottom w:val="single" w:sz="4" w:space="0" w:color="000000"/>
              <w:right w:val="single" w:sz="4" w:space="0" w:color="000000"/>
            </w:tcBorders>
            <w:vAlign w:val="bottom"/>
            <w:hideMark/>
          </w:tcPr>
          <w:p w:rsidR="004310B4" w:rsidRDefault="004310B4">
            <w:pPr>
              <w:spacing w:after="0"/>
              <w:jc w:val="left"/>
              <w:rPr>
                <w:noProof/>
                <w:color w:val="000000"/>
                <w:szCs w:val="24"/>
                <w:lang w:val="ro-RO"/>
              </w:rPr>
            </w:pPr>
            <w:r>
              <w:rPr>
                <w:noProof/>
                <w:sz w:val="18"/>
                <w:lang w:val="ro-RO"/>
              </w:rPr>
              <w:t>Foarte importantă</w:t>
            </w:r>
          </w:p>
        </w:tc>
        <w:tc>
          <w:tcPr>
            <w:tcW w:w="831" w:type="dxa"/>
            <w:tcBorders>
              <w:top w:val="nil"/>
              <w:left w:val="nil"/>
              <w:bottom w:val="single" w:sz="4" w:space="0" w:color="000000"/>
              <w:right w:val="single" w:sz="12" w:space="0" w:color="000000"/>
            </w:tcBorders>
            <w:vAlign w:val="center"/>
            <w:hideMark/>
          </w:tcPr>
          <w:p w:rsidR="004310B4" w:rsidRDefault="004310B4">
            <w:pPr>
              <w:spacing w:after="0"/>
              <w:jc w:val="center"/>
              <w:rPr>
                <w:noProof/>
                <w:color w:val="000000"/>
                <w:szCs w:val="24"/>
                <w:lang w:val="ro-RO"/>
              </w:rPr>
            </w:pPr>
            <w:r>
              <w:rPr>
                <w:noProof/>
                <w:sz w:val="18"/>
                <w:lang w:val="ro-RO"/>
              </w:rPr>
              <w:t>48</w:t>
            </w:r>
          </w:p>
        </w:tc>
        <w:tc>
          <w:tcPr>
            <w:tcW w:w="728" w:type="dxa"/>
            <w:tcBorders>
              <w:top w:val="nil"/>
              <w:left w:val="single" w:sz="12" w:space="0" w:color="000000"/>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40</w:t>
            </w:r>
          </w:p>
        </w:tc>
        <w:tc>
          <w:tcPr>
            <w:tcW w:w="850" w:type="dxa"/>
            <w:tcBorders>
              <w:top w:val="nil"/>
              <w:left w:val="nil"/>
              <w:bottom w:val="single" w:sz="4" w:space="0" w:color="000000"/>
              <w:right w:val="single" w:sz="12" w:space="0" w:color="000000"/>
            </w:tcBorders>
            <w:vAlign w:val="center"/>
            <w:hideMark/>
          </w:tcPr>
          <w:p w:rsidR="004310B4" w:rsidRDefault="004310B4">
            <w:pPr>
              <w:spacing w:after="0"/>
              <w:jc w:val="center"/>
              <w:rPr>
                <w:noProof/>
                <w:color w:val="000000"/>
                <w:szCs w:val="24"/>
                <w:lang w:val="ro-RO"/>
              </w:rPr>
            </w:pPr>
            <w:r>
              <w:rPr>
                <w:noProof/>
                <w:sz w:val="18"/>
                <w:lang w:val="ro-RO"/>
              </w:rPr>
              <w:t>83 %</w:t>
            </w:r>
          </w:p>
        </w:tc>
        <w:tc>
          <w:tcPr>
            <w:tcW w:w="567" w:type="dxa"/>
            <w:tcBorders>
              <w:top w:val="nil"/>
              <w:left w:val="single" w:sz="12" w:space="0" w:color="000000"/>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8</w:t>
            </w:r>
          </w:p>
        </w:tc>
        <w:tc>
          <w:tcPr>
            <w:tcW w:w="725"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17 %</w:t>
            </w:r>
          </w:p>
        </w:tc>
        <w:tc>
          <w:tcPr>
            <w:tcW w:w="782"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5</w:t>
            </w:r>
          </w:p>
        </w:tc>
        <w:tc>
          <w:tcPr>
            <w:tcW w:w="672"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0</w:t>
            </w:r>
          </w:p>
        </w:tc>
        <w:tc>
          <w:tcPr>
            <w:tcW w:w="672" w:type="dxa"/>
            <w:tcBorders>
              <w:top w:val="single" w:sz="4" w:space="0" w:color="000000"/>
              <w:left w:val="nil"/>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0</w:t>
            </w:r>
          </w:p>
        </w:tc>
        <w:tc>
          <w:tcPr>
            <w:tcW w:w="613" w:type="dxa"/>
            <w:tcBorders>
              <w:top w:val="single" w:sz="4" w:space="0" w:color="000000"/>
              <w:left w:val="nil"/>
              <w:bottom w:val="single" w:sz="4" w:space="0" w:color="000000"/>
              <w:right w:val="single" w:sz="12" w:space="0" w:color="000000"/>
            </w:tcBorders>
            <w:vAlign w:val="center"/>
            <w:hideMark/>
          </w:tcPr>
          <w:p w:rsidR="004310B4" w:rsidRDefault="004310B4">
            <w:pPr>
              <w:spacing w:after="0"/>
              <w:jc w:val="center"/>
              <w:rPr>
                <w:noProof/>
                <w:color w:val="000000"/>
                <w:szCs w:val="24"/>
                <w:lang w:val="ro-RO"/>
              </w:rPr>
            </w:pPr>
            <w:r>
              <w:rPr>
                <w:noProof/>
                <w:sz w:val="18"/>
                <w:lang w:val="ro-RO"/>
              </w:rPr>
              <w:t>3</w:t>
            </w:r>
          </w:p>
        </w:tc>
      </w:tr>
      <w:tr w:rsidR="004310B4">
        <w:trPr>
          <w:trHeight w:val="225"/>
          <w:jc w:val="center"/>
        </w:trPr>
        <w:tc>
          <w:tcPr>
            <w:tcW w:w="631" w:type="dxa"/>
            <w:vMerge/>
            <w:tcBorders>
              <w:top w:val="nil"/>
              <w:left w:val="single" w:sz="12" w:space="0" w:color="000000"/>
              <w:bottom w:val="single" w:sz="8" w:space="0" w:color="000000"/>
              <w:right w:val="single" w:sz="4" w:space="0" w:color="000000"/>
            </w:tcBorders>
            <w:vAlign w:val="center"/>
            <w:hideMark/>
          </w:tcPr>
          <w:p w:rsidR="004310B4" w:rsidRDefault="004310B4">
            <w:pPr>
              <w:spacing w:after="0"/>
              <w:jc w:val="left"/>
              <w:rPr>
                <w:noProof/>
                <w:color w:val="000000"/>
                <w:szCs w:val="24"/>
                <w:lang w:val="ro-RO"/>
              </w:rPr>
            </w:pPr>
          </w:p>
        </w:tc>
        <w:tc>
          <w:tcPr>
            <w:tcW w:w="1445" w:type="dxa"/>
            <w:tcBorders>
              <w:top w:val="nil"/>
              <w:left w:val="nil"/>
              <w:bottom w:val="single" w:sz="4" w:space="0" w:color="000000"/>
              <w:right w:val="single" w:sz="4" w:space="0" w:color="000000"/>
            </w:tcBorders>
            <w:vAlign w:val="bottom"/>
            <w:hideMark/>
          </w:tcPr>
          <w:p w:rsidR="004310B4" w:rsidRDefault="004310B4">
            <w:pPr>
              <w:spacing w:after="0"/>
              <w:jc w:val="left"/>
              <w:rPr>
                <w:noProof/>
                <w:color w:val="000000"/>
                <w:szCs w:val="24"/>
                <w:lang w:val="ro-RO"/>
              </w:rPr>
            </w:pPr>
            <w:bookmarkStart w:id="22" w:name="h.17dp8vu"/>
            <w:bookmarkEnd w:id="22"/>
            <w:r>
              <w:rPr>
                <w:noProof/>
                <w:sz w:val="18"/>
                <w:lang w:val="ro-RO"/>
              </w:rPr>
              <w:t>Importantă</w:t>
            </w:r>
          </w:p>
        </w:tc>
        <w:tc>
          <w:tcPr>
            <w:tcW w:w="831" w:type="dxa"/>
            <w:tcBorders>
              <w:top w:val="nil"/>
              <w:left w:val="nil"/>
              <w:bottom w:val="single" w:sz="4" w:space="0" w:color="000000"/>
              <w:right w:val="single" w:sz="12" w:space="0" w:color="000000"/>
            </w:tcBorders>
            <w:vAlign w:val="center"/>
            <w:hideMark/>
          </w:tcPr>
          <w:p w:rsidR="004310B4" w:rsidRDefault="004310B4">
            <w:pPr>
              <w:spacing w:after="0"/>
              <w:jc w:val="center"/>
              <w:rPr>
                <w:noProof/>
                <w:color w:val="000000"/>
                <w:szCs w:val="24"/>
                <w:lang w:val="ro-RO"/>
              </w:rPr>
            </w:pPr>
            <w:r>
              <w:rPr>
                <w:noProof/>
                <w:sz w:val="18"/>
                <w:lang w:val="ro-RO"/>
              </w:rPr>
              <w:t>73</w:t>
            </w:r>
          </w:p>
        </w:tc>
        <w:tc>
          <w:tcPr>
            <w:tcW w:w="728" w:type="dxa"/>
            <w:tcBorders>
              <w:top w:val="nil"/>
              <w:left w:val="single" w:sz="12" w:space="0" w:color="000000"/>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60</w:t>
            </w:r>
          </w:p>
        </w:tc>
        <w:tc>
          <w:tcPr>
            <w:tcW w:w="850" w:type="dxa"/>
            <w:tcBorders>
              <w:top w:val="nil"/>
              <w:left w:val="nil"/>
              <w:bottom w:val="single" w:sz="4" w:space="0" w:color="000000"/>
              <w:right w:val="single" w:sz="12" w:space="0" w:color="000000"/>
            </w:tcBorders>
            <w:vAlign w:val="center"/>
            <w:hideMark/>
          </w:tcPr>
          <w:p w:rsidR="004310B4" w:rsidRDefault="004310B4">
            <w:pPr>
              <w:spacing w:after="0"/>
              <w:jc w:val="center"/>
              <w:rPr>
                <w:noProof/>
                <w:color w:val="000000"/>
                <w:szCs w:val="24"/>
                <w:lang w:val="ro-RO"/>
              </w:rPr>
            </w:pPr>
            <w:r>
              <w:rPr>
                <w:noProof/>
                <w:sz w:val="18"/>
                <w:lang w:val="ro-RO"/>
              </w:rPr>
              <w:t>82 %</w:t>
            </w:r>
          </w:p>
        </w:tc>
        <w:tc>
          <w:tcPr>
            <w:tcW w:w="567" w:type="dxa"/>
            <w:tcBorders>
              <w:top w:val="nil"/>
              <w:left w:val="single" w:sz="12" w:space="0" w:color="000000"/>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13</w:t>
            </w:r>
          </w:p>
        </w:tc>
        <w:tc>
          <w:tcPr>
            <w:tcW w:w="725"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18 %</w:t>
            </w:r>
          </w:p>
        </w:tc>
        <w:tc>
          <w:tcPr>
            <w:tcW w:w="782"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1</w:t>
            </w:r>
          </w:p>
        </w:tc>
        <w:tc>
          <w:tcPr>
            <w:tcW w:w="672"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1</w:t>
            </w:r>
          </w:p>
        </w:tc>
        <w:tc>
          <w:tcPr>
            <w:tcW w:w="672"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1</w:t>
            </w:r>
          </w:p>
        </w:tc>
        <w:tc>
          <w:tcPr>
            <w:tcW w:w="613" w:type="dxa"/>
            <w:tcBorders>
              <w:top w:val="nil"/>
              <w:left w:val="nil"/>
              <w:bottom w:val="single" w:sz="4" w:space="0" w:color="000000"/>
              <w:right w:val="single" w:sz="12" w:space="0" w:color="000000"/>
            </w:tcBorders>
            <w:vAlign w:val="center"/>
            <w:hideMark/>
          </w:tcPr>
          <w:p w:rsidR="004310B4" w:rsidRDefault="004310B4">
            <w:pPr>
              <w:spacing w:after="0"/>
              <w:jc w:val="center"/>
              <w:rPr>
                <w:noProof/>
                <w:color w:val="000000"/>
                <w:szCs w:val="24"/>
                <w:lang w:val="ro-RO"/>
              </w:rPr>
            </w:pPr>
            <w:r>
              <w:rPr>
                <w:noProof/>
                <w:sz w:val="18"/>
                <w:lang w:val="ro-RO"/>
              </w:rPr>
              <w:t>10</w:t>
            </w:r>
          </w:p>
        </w:tc>
      </w:tr>
      <w:tr w:rsidR="004310B4">
        <w:trPr>
          <w:trHeight w:val="246"/>
          <w:jc w:val="center"/>
        </w:trPr>
        <w:tc>
          <w:tcPr>
            <w:tcW w:w="631" w:type="dxa"/>
            <w:vMerge/>
            <w:tcBorders>
              <w:top w:val="nil"/>
              <w:left w:val="single" w:sz="12" w:space="0" w:color="000000"/>
              <w:bottom w:val="single" w:sz="8" w:space="0" w:color="000000"/>
              <w:right w:val="single" w:sz="4" w:space="0" w:color="000000"/>
            </w:tcBorders>
            <w:vAlign w:val="center"/>
            <w:hideMark/>
          </w:tcPr>
          <w:p w:rsidR="004310B4" w:rsidRDefault="004310B4">
            <w:pPr>
              <w:spacing w:after="0"/>
              <w:jc w:val="left"/>
              <w:rPr>
                <w:noProof/>
                <w:color w:val="000000"/>
                <w:szCs w:val="24"/>
                <w:lang w:val="ro-RO"/>
              </w:rPr>
            </w:pPr>
          </w:p>
        </w:tc>
        <w:tc>
          <w:tcPr>
            <w:tcW w:w="1445" w:type="dxa"/>
            <w:tcBorders>
              <w:top w:val="nil"/>
              <w:left w:val="nil"/>
              <w:bottom w:val="nil"/>
              <w:right w:val="single" w:sz="4" w:space="0" w:color="000000"/>
            </w:tcBorders>
            <w:vAlign w:val="bottom"/>
            <w:hideMark/>
          </w:tcPr>
          <w:p w:rsidR="004310B4" w:rsidRDefault="004310B4">
            <w:pPr>
              <w:spacing w:after="0"/>
              <w:jc w:val="left"/>
              <w:rPr>
                <w:noProof/>
                <w:color w:val="000000"/>
                <w:szCs w:val="24"/>
                <w:lang w:val="ro-RO"/>
              </w:rPr>
            </w:pPr>
            <w:r>
              <w:rPr>
                <w:noProof/>
                <w:sz w:val="18"/>
                <w:lang w:val="ro-RO"/>
              </w:rPr>
              <w:t>De dorit</w:t>
            </w:r>
          </w:p>
        </w:tc>
        <w:tc>
          <w:tcPr>
            <w:tcW w:w="831" w:type="dxa"/>
            <w:tcBorders>
              <w:top w:val="nil"/>
              <w:left w:val="nil"/>
              <w:bottom w:val="nil"/>
              <w:right w:val="single" w:sz="12" w:space="0" w:color="000000"/>
            </w:tcBorders>
            <w:vAlign w:val="center"/>
            <w:hideMark/>
          </w:tcPr>
          <w:p w:rsidR="004310B4" w:rsidRDefault="004310B4">
            <w:pPr>
              <w:spacing w:after="0"/>
              <w:jc w:val="center"/>
              <w:rPr>
                <w:noProof/>
                <w:color w:val="000000"/>
                <w:szCs w:val="24"/>
                <w:lang w:val="ro-RO"/>
              </w:rPr>
            </w:pPr>
            <w:r>
              <w:rPr>
                <w:noProof/>
                <w:sz w:val="18"/>
                <w:lang w:val="ro-RO"/>
              </w:rPr>
              <w:t>6</w:t>
            </w:r>
          </w:p>
        </w:tc>
        <w:tc>
          <w:tcPr>
            <w:tcW w:w="728" w:type="dxa"/>
            <w:tcBorders>
              <w:top w:val="nil"/>
              <w:left w:val="single" w:sz="12" w:space="0" w:color="000000"/>
              <w:bottom w:val="nil"/>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6</w:t>
            </w:r>
          </w:p>
        </w:tc>
        <w:tc>
          <w:tcPr>
            <w:tcW w:w="850" w:type="dxa"/>
            <w:tcBorders>
              <w:top w:val="nil"/>
              <w:left w:val="nil"/>
              <w:bottom w:val="single" w:sz="4" w:space="0" w:color="000000"/>
              <w:right w:val="single" w:sz="12" w:space="0" w:color="000000"/>
            </w:tcBorders>
            <w:vAlign w:val="center"/>
            <w:hideMark/>
          </w:tcPr>
          <w:p w:rsidR="004310B4" w:rsidRDefault="004310B4">
            <w:pPr>
              <w:spacing w:after="0"/>
              <w:jc w:val="center"/>
              <w:rPr>
                <w:noProof/>
                <w:color w:val="000000"/>
                <w:szCs w:val="24"/>
                <w:lang w:val="ro-RO"/>
              </w:rPr>
            </w:pPr>
            <w:r>
              <w:rPr>
                <w:noProof/>
                <w:sz w:val="18"/>
                <w:lang w:val="ro-RO"/>
              </w:rPr>
              <w:t>100 %</w:t>
            </w:r>
          </w:p>
        </w:tc>
        <w:tc>
          <w:tcPr>
            <w:tcW w:w="567" w:type="dxa"/>
            <w:tcBorders>
              <w:top w:val="nil"/>
              <w:left w:val="single" w:sz="12" w:space="0" w:color="000000"/>
              <w:bottom w:val="nil"/>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0</w:t>
            </w:r>
          </w:p>
        </w:tc>
        <w:tc>
          <w:tcPr>
            <w:tcW w:w="725"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0 %</w:t>
            </w:r>
          </w:p>
        </w:tc>
        <w:tc>
          <w:tcPr>
            <w:tcW w:w="782" w:type="dxa"/>
            <w:tcBorders>
              <w:top w:val="nil"/>
              <w:left w:val="nil"/>
              <w:bottom w:val="nil"/>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0</w:t>
            </w:r>
          </w:p>
        </w:tc>
        <w:tc>
          <w:tcPr>
            <w:tcW w:w="672" w:type="dxa"/>
            <w:tcBorders>
              <w:top w:val="nil"/>
              <w:left w:val="nil"/>
              <w:bottom w:val="nil"/>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0</w:t>
            </w:r>
          </w:p>
        </w:tc>
        <w:tc>
          <w:tcPr>
            <w:tcW w:w="672" w:type="dxa"/>
            <w:tcBorders>
              <w:top w:val="nil"/>
              <w:left w:val="nil"/>
              <w:bottom w:val="nil"/>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0</w:t>
            </w:r>
          </w:p>
        </w:tc>
        <w:tc>
          <w:tcPr>
            <w:tcW w:w="613" w:type="dxa"/>
            <w:tcBorders>
              <w:top w:val="nil"/>
              <w:left w:val="nil"/>
              <w:bottom w:val="nil"/>
              <w:right w:val="single" w:sz="12" w:space="0" w:color="000000"/>
            </w:tcBorders>
            <w:vAlign w:val="center"/>
            <w:hideMark/>
          </w:tcPr>
          <w:p w:rsidR="004310B4" w:rsidRDefault="004310B4">
            <w:pPr>
              <w:spacing w:after="0"/>
              <w:jc w:val="center"/>
              <w:rPr>
                <w:noProof/>
                <w:color w:val="000000"/>
                <w:szCs w:val="24"/>
                <w:lang w:val="ro-RO"/>
              </w:rPr>
            </w:pPr>
            <w:r>
              <w:rPr>
                <w:noProof/>
                <w:sz w:val="18"/>
                <w:lang w:val="ro-RO"/>
              </w:rPr>
              <w:t>0</w:t>
            </w:r>
          </w:p>
        </w:tc>
      </w:tr>
      <w:tr w:rsidR="004310B4">
        <w:trPr>
          <w:trHeight w:val="246"/>
          <w:jc w:val="center"/>
        </w:trPr>
        <w:tc>
          <w:tcPr>
            <w:tcW w:w="631" w:type="dxa"/>
            <w:vMerge/>
            <w:tcBorders>
              <w:top w:val="nil"/>
              <w:left w:val="single" w:sz="12" w:space="0" w:color="000000"/>
              <w:bottom w:val="single" w:sz="8" w:space="0" w:color="000000"/>
              <w:right w:val="single" w:sz="4" w:space="0" w:color="000000"/>
            </w:tcBorders>
            <w:vAlign w:val="center"/>
            <w:hideMark/>
          </w:tcPr>
          <w:p w:rsidR="004310B4" w:rsidRDefault="004310B4">
            <w:pPr>
              <w:spacing w:after="0"/>
              <w:jc w:val="left"/>
              <w:rPr>
                <w:noProof/>
                <w:color w:val="000000"/>
                <w:szCs w:val="24"/>
                <w:lang w:val="ro-RO"/>
              </w:rPr>
            </w:pPr>
          </w:p>
        </w:tc>
        <w:tc>
          <w:tcPr>
            <w:tcW w:w="1445" w:type="dxa"/>
            <w:tcBorders>
              <w:top w:val="single" w:sz="8" w:space="0" w:color="000000"/>
              <w:left w:val="nil"/>
              <w:bottom w:val="single" w:sz="8" w:space="0" w:color="000000"/>
              <w:right w:val="single" w:sz="4" w:space="0" w:color="000000"/>
            </w:tcBorders>
            <w:shd w:val="clear" w:color="auto" w:fill="F2F2F2"/>
            <w:vAlign w:val="bottom"/>
            <w:hideMark/>
          </w:tcPr>
          <w:p w:rsidR="004310B4" w:rsidRDefault="004310B4">
            <w:pPr>
              <w:spacing w:after="0"/>
              <w:jc w:val="left"/>
              <w:rPr>
                <w:noProof/>
                <w:color w:val="000000"/>
                <w:szCs w:val="24"/>
                <w:lang w:val="ro-RO"/>
              </w:rPr>
            </w:pPr>
            <w:r>
              <w:rPr>
                <w:b/>
                <w:noProof/>
                <w:sz w:val="18"/>
                <w:lang w:val="ro-RO"/>
              </w:rPr>
              <w:t>Total 2013</w:t>
            </w:r>
          </w:p>
        </w:tc>
        <w:tc>
          <w:tcPr>
            <w:tcW w:w="831" w:type="dxa"/>
            <w:tcBorders>
              <w:top w:val="single" w:sz="8" w:space="0" w:color="000000"/>
              <w:left w:val="nil"/>
              <w:bottom w:val="single" w:sz="8" w:space="0" w:color="000000"/>
              <w:right w:val="single" w:sz="12" w:space="0" w:color="000000"/>
            </w:tcBorders>
            <w:shd w:val="clear" w:color="auto" w:fill="F2F2F2"/>
            <w:vAlign w:val="center"/>
            <w:hideMark/>
          </w:tcPr>
          <w:p w:rsidR="004310B4" w:rsidRDefault="004310B4">
            <w:pPr>
              <w:spacing w:after="0"/>
              <w:jc w:val="center"/>
              <w:rPr>
                <w:noProof/>
                <w:color w:val="000000"/>
                <w:szCs w:val="24"/>
                <w:lang w:val="ro-RO"/>
              </w:rPr>
            </w:pPr>
            <w:r>
              <w:rPr>
                <w:b/>
                <w:noProof/>
                <w:sz w:val="18"/>
                <w:lang w:val="ro-RO"/>
              </w:rPr>
              <w:t>127</w:t>
            </w:r>
          </w:p>
        </w:tc>
        <w:tc>
          <w:tcPr>
            <w:tcW w:w="728" w:type="dxa"/>
            <w:tcBorders>
              <w:top w:val="single" w:sz="8" w:space="0" w:color="000000"/>
              <w:left w:val="single" w:sz="12" w:space="0" w:color="000000"/>
              <w:bottom w:val="single" w:sz="8" w:space="0" w:color="000000"/>
              <w:right w:val="single" w:sz="4" w:space="0" w:color="000000"/>
            </w:tcBorders>
            <w:shd w:val="clear" w:color="auto" w:fill="F2F2F2"/>
            <w:vAlign w:val="center"/>
            <w:hideMark/>
          </w:tcPr>
          <w:p w:rsidR="004310B4" w:rsidRDefault="004310B4">
            <w:pPr>
              <w:spacing w:after="0"/>
              <w:jc w:val="center"/>
              <w:rPr>
                <w:noProof/>
                <w:color w:val="000000"/>
                <w:szCs w:val="24"/>
                <w:lang w:val="ro-RO"/>
              </w:rPr>
            </w:pPr>
            <w:r>
              <w:rPr>
                <w:b/>
                <w:noProof/>
                <w:sz w:val="18"/>
                <w:lang w:val="ro-RO"/>
              </w:rPr>
              <w:t>106</w:t>
            </w:r>
          </w:p>
        </w:tc>
        <w:tc>
          <w:tcPr>
            <w:tcW w:w="850" w:type="dxa"/>
            <w:tcBorders>
              <w:top w:val="single" w:sz="8" w:space="0" w:color="000000"/>
              <w:left w:val="nil"/>
              <w:bottom w:val="single" w:sz="8" w:space="0" w:color="000000"/>
              <w:right w:val="single" w:sz="12" w:space="0" w:color="000000"/>
            </w:tcBorders>
            <w:shd w:val="clear" w:color="auto" w:fill="F2F2F2"/>
            <w:vAlign w:val="center"/>
            <w:hideMark/>
          </w:tcPr>
          <w:p w:rsidR="004310B4" w:rsidRDefault="004310B4">
            <w:pPr>
              <w:spacing w:after="0"/>
              <w:jc w:val="center"/>
              <w:rPr>
                <w:noProof/>
                <w:color w:val="000000"/>
                <w:szCs w:val="24"/>
                <w:lang w:val="ro-RO"/>
              </w:rPr>
            </w:pPr>
            <w:r>
              <w:rPr>
                <w:b/>
                <w:noProof/>
                <w:sz w:val="18"/>
                <w:lang w:val="ro-RO"/>
              </w:rPr>
              <w:t>83 %</w:t>
            </w:r>
          </w:p>
        </w:tc>
        <w:tc>
          <w:tcPr>
            <w:tcW w:w="567" w:type="dxa"/>
            <w:tcBorders>
              <w:top w:val="single" w:sz="8" w:space="0" w:color="000000"/>
              <w:left w:val="single" w:sz="12" w:space="0" w:color="000000"/>
              <w:bottom w:val="single" w:sz="8" w:space="0" w:color="000000"/>
              <w:right w:val="single" w:sz="4" w:space="0" w:color="000000"/>
            </w:tcBorders>
            <w:shd w:val="clear" w:color="auto" w:fill="F2F2F2"/>
            <w:vAlign w:val="center"/>
            <w:hideMark/>
          </w:tcPr>
          <w:p w:rsidR="004310B4" w:rsidRDefault="004310B4">
            <w:pPr>
              <w:spacing w:after="0"/>
              <w:jc w:val="center"/>
              <w:rPr>
                <w:noProof/>
                <w:color w:val="000000"/>
                <w:szCs w:val="24"/>
                <w:lang w:val="ro-RO"/>
              </w:rPr>
            </w:pPr>
            <w:r>
              <w:rPr>
                <w:b/>
                <w:noProof/>
                <w:sz w:val="18"/>
                <w:lang w:val="ro-RO"/>
              </w:rPr>
              <w:t>21</w:t>
            </w:r>
          </w:p>
        </w:tc>
        <w:tc>
          <w:tcPr>
            <w:tcW w:w="725" w:type="dxa"/>
            <w:tcBorders>
              <w:top w:val="single" w:sz="8" w:space="0" w:color="000000"/>
              <w:left w:val="nil"/>
              <w:bottom w:val="single" w:sz="8" w:space="0" w:color="000000"/>
              <w:right w:val="single" w:sz="8" w:space="0" w:color="000000"/>
            </w:tcBorders>
            <w:shd w:val="clear" w:color="auto" w:fill="F2F2F2"/>
            <w:vAlign w:val="center"/>
            <w:hideMark/>
          </w:tcPr>
          <w:p w:rsidR="004310B4" w:rsidRDefault="004310B4">
            <w:pPr>
              <w:spacing w:after="0"/>
              <w:jc w:val="center"/>
              <w:rPr>
                <w:noProof/>
                <w:color w:val="000000"/>
                <w:szCs w:val="24"/>
                <w:lang w:val="ro-RO"/>
              </w:rPr>
            </w:pPr>
            <w:r>
              <w:rPr>
                <w:b/>
                <w:noProof/>
                <w:sz w:val="18"/>
                <w:lang w:val="ro-RO"/>
              </w:rPr>
              <w:t>17 %</w:t>
            </w:r>
          </w:p>
        </w:tc>
        <w:tc>
          <w:tcPr>
            <w:tcW w:w="782" w:type="dxa"/>
            <w:tcBorders>
              <w:top w:val="single" w:sz="8" w:space="0" w:color="000000"/>
              <w:left w:val="single" w:sz="4" w:space="0" w:color="000000"/>
              <w:bottom w:val="single" w:sz="8" w:space="0" w:color="000000"/>
              <w:right w:val="single" w:sz="4" w:space="0" w:color="000000"/>
            </w:tcBorders>
            <w:shd w:val="clear" w:color="auto" w:fill="F2F2F2"/>
            <w:vAlign w:val="center"/>
            <w:hideMark/>
          </w:tcPr>
          <w:p w:rsidR="004310B4" w:rsidRDefault="004310B4">
            <w:pPr>
              <w:spacing w:after="0"/>
              <w:jc w:val="center"/>
              <w:rPr>
                <w:noProof/>
                <w:color w:val="000000"/>
                <w:szCs w:val="24"/>
                <w:lang w:val="ro-RO"/>
              </w:rPr>
            </w:pPr>
            <w:r>
              <w:rPr>
                <w:b/>
                <w:noProof/>
                <w:sz w:val="18"/>
                <w:lang w:val="ro-RO"/>
              </w:rPr>
              <w:t>6</w:t>
            </w:r>
          </w:p>
        </w:tc>
        <w:tc>
          <w:tcPr>
            <w:tcW w:w="672" w:type="dxa"/>
            <w:tcBorders>
              <w:top w:val="single" w:sz="8" w:space="0" w:color="000000"/>
              <w:left w:val="nil"/>
              <w:bottom w:val="single" w:sz="8" w:space="0" w:color="000000"/>
              <w:right w:val="single" w:sz="4" w:space="0" w:color="000000"/>
            </w:tcBorders>
            <w:shd w:val="clear" w:color="auto" w:fill="F2F2F2"/>
            <w:vAlign w:val="center"/>
            <w:hideMark/>
          </w:tcPr>
          <w:p w:rsidR="004310B4" w:rsidRDefault="004310B4">
            <w:pPr>
              <w:spacing w:after="0"/>
              <w:jc w:val="center"/>
              <w:rPr>
                <w:noProof/>
                <w:color w:val="000000"/>
                <w:szCs w:val="24"/>
                <w:lang w:val="ro-RO"/>
              </w:rPr>
            </w:pPr>
            <w:r>
              <w:rPr>
                <w:b/>
                <w:noProof/>
                <w:sz w:val="18"/>
                <w:lang w:val="ro-RO"/>
              </w:rPr>
              <w:t>1</w:t>
            </w:r>
          </w:p>
        </w:tc>
        <w:tc>
          <w:tcPr>
            <w:tcW w:w="672" w:type="dxa"/>
            <w:tcBorders>
              <w:top w:val="single" w:sz="8" w:space="0" w:color="000000"/>
              <w:left w:val="nil"/>
              <w:bottom w:val="single" w:sz="8" w:space="0" w:color="000000"/>
              <w:right w:val="single" w:sz="4" w:space="0" w:color="000000"/>
            </w:tcBorders>
            <w:shd w:val="clear" w:color="auto" w:fill="F2F2F2"/>
            <w:vAlign w:val="center"/>
            <w:hideMark/>
          </w:tcPr>
          <w:p w:rsidR="004310B4" w:rsidRDefault="004310B4">
            <w:pPr>
              <w:spacing w:after="0"/>
              <w:jc w:val="center"/>
              <w:rPr>
                <w:noProof/>
                <w:color w:val="000000"/>
                <w:szCs w:val="24"/>
                <w:lang w:val="ro-RO"/>
              </w:rPr>
            </w:pPr>
            <w:r>
              <w:rPr>
                <w:b/>
                <w:noProof/>
                <w:sz w:val="18"/>
                <w:lang w:val="ro-RO"/>
              </w:rPr>
              <w:t>1</w:t>
            </w:r>
          </w:p>
        </w:tc>
        <w:tc>
          <w:tcPr>
            <w:tcW w:w="613" w:type="dxa"/>
            <w:tcBorders>
              <w:top w:val="single" w:sz="8" w:space="0" w:color="000000"/>
              <w:left w:val="nil"/>
              <w:bottom w:val="single" w:sz="8" w:space="0" w:color="000000"/>
              <w:right w:val="single" w:sz="12" w:space="0" w:color="000000"/>
            </w:tcBorders>
            <w:shd w:val="clear" w:color="auto" w:fill="F2F2F2"/>
            <w:vAlign w:val="center"/>
            <w:hideMark/>
          </w:tcPr>
          <w:p w:rsidR="004310B4" w:rsidRDefault="004310B4">
            <w:pPr>
              <w:spacing w:after="0"/>
              <w:jc w:val="center"/>
              <w:rPr>
                <w:noProof/>
                <w:color w:val="000000"/>
                <w:szCs w:val="24"/>
                <w:lang w:val="ro-RO"/>
              </w:rPr>
            </w:pPr>
            <w:r>
              <w:rPr>
                <w:b/>
                <w:noProof/>
                <w:sz w:val="18"/>
                <w:lang w:val="ro-RO"/>
              </w:rPr>
              <w:t>13</w:t>
            </w:r>
          </w:p>
        </w:tc>
      </w:tr>
      <w:tr w:rsidR="004310B4">
        <w:trPr>
          <w:trHeight w:val="225"/>
          <w:jc w:val="center"/>
        </w:trPr>
        <w:tc>
          <w:tcPr>
            <w:tcW w:w="631" w:type="dxa"/>
            <w:vMerge w:val="restart"/>
            <w:tcBorders>
              <w:top w:val="nil"/>
              <w:left w:val="single" w:sz="12" w:space="0" w:color="000000"/>
              <w:bottom w:val="single" w:sz="8" w:space="0" w:color="000000"/>
              <w:right w:val="single" w:sz="4" w:space="0" w:color="000000"/>
            </w:tcBorders>
            <w:shd w:val="clear" w:color="auto" w:fill="F2F2F2"/>
            <w:vAlign w:val="center"/>
            <w:hideMark/>
          </w:tcPr>
          <w:p w:rsidR="004310B4" w:rsidRDefault="004310B4">
            <w:pPr>
              <w:spacing w:after="0"/>
              <w:jc w:val="center"/>
              <w:rPr>
                <w:noProof/>
                <w:color w:val="000000"/>
                <w:szCs w:val="24"/>
                <w:lang w:val="ro-RO"/>
              </w:rPr>
            </w:pPr>
            <w:r>
              <w:rPr>
                <w:noProof/>
                <w:sz w:val="18"/>
                <w:lang w:val="ro-RO"/>
              </w:rPr>
              <w:t>2014</w:t>
            </w:r>
          </w:p>
        </w:tc>
        <w:tc>
          <w:tcPr>
            <w:tcW w:w="1445" w:type="dxa"/>
            <w:tcBorders>
              <w:top w:val="nil"/>
              <w:left w:val="nil"/>
              <w:bottom w:val="single" w:sz="4" w:space="0" w:color="000000"/>
              <w:right w:val="single" w:sz="4" w:space="0" w:color="000000"/>
            </w:tcBorders>
            <w:vAlign w:val="bottom"/>
            <w:hideMark/>
          </w:tcPr>
          <w:p w:rsidR="004310B4" w:rsidRDefault="004310B4">
            <w:pPr>
              <w:spacing w:after="0"/>
              <w:jc w:val="left"/>
              <w:rPr>
                <w:noProof/>
                <w:color w:val="000000"/>
                <w:szCs w:val="24"/>
                <w:lang w:val="ro-RO"/>
              </w:rPr>
            </w:pPr>
            <w:r>
              <w:rPr>
                <w:noProof/>
                <w:sz w:val="18"/>
                <w:lang w:val="ro-RO"/>
              </w:rPr>
              <w:t>Esențială</w:t>
            </w:r>
          </w:p>
        </w:tc>
        <w:tc>
          <w:tcPr>
            <w:tcW w:w="831" w:type="dxa"/>
            <w:tcBorders>
              <w:top w:val="nil"/>
              <w:left w:val="nil"/>
              <w:bottom w:val="single" w:sz="4" w:space="0" w:color="000000"/>
              <w:right w:val="single" w:sz="12" w:space="0" w:color="000000"/>
            </w:tcBorders>
            <w:vAlign w:val="center"/>
            <w:hideMark/>
          </w:tcPr>
          <w:p w:rsidR="004310B4" w:rsidRDefault="004310B4">
            <w:pPr>
              <w:spacing w:after="0"/>
              <w:jc w:val="center"/>
              <w:rPr>
                <w:noProof/>
                <w:color w:val="000000"/>
                <w:szCs w:val="24"/>
                <w:lang w:val="ro-RO"/>
              </w:rPr>
            </w:pPr>
            <w:r>
              <w:rPr>
                <w:noProof/>
                <w:sz w:val="18"/>
                <w:lang w:val="ro-RO"/>
              </w:rPr>
              <w:t>0</w:t>
            </w:r>
          </w:p>
        </w:tc>
        <w:tc>
          <w:tcPr>
            <w:tcW w:w="728" w:type="dxa"/>
            <w:tcBorders>
              <w:top w:val="nil"/>
              <w:left w:val="single" w:sz="12" w:space="0" w:color="000000"/>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0</w:t>
            </w:r>
          </w:p>
        </w:tc>
        <w:tc>
          <w:tcPr>
            <w:tcW w:w="850" w:type="dxa"/>
            <w:tcBorders>
              <w:top w:val="nil"/>
              <w:left w:val="nil"/>
              <w:bottom w:val="single" w:sz="4" w:space="0" w:color="000000"/>
              <w:right w:val="single" w:sz="12" w:space="0" w:color="000000"/>
            </w:tcBorders>
            <w:vAlign w:val="center"/>
            <w:hideMark/>
          </w:tcPr>
          <w:p w:rsidR="004310B4" w:rsidRDefault="004310B4">
            <w:pPr>
              <w:spacing w:after="0"/>
              <w:jc w:val="center"/>
              <w:rPr>
                <w:noProof/>
                <w:color w:val="000000"/>
                <w:szCs w:val="24"/>
                <w:lang w:val="ro-RO"/>
              </w:rPr>
            </w:pPr>
            <w:r>
              <w:rPr>
                <w:noProof/>
                <w:sz w:val="18"/>
                <w:lang w:val="ro-RO"/>
              </w:rPr>
              <w:t>0 %</w:t>
            </w:r>
          </w:p>
        </w:tc>
        <w:tc>
          <w:tcPr>
            <w:tcW w:w="567" w:type="dxa"/>
            <w:tcBorders>
              <w:top w:val="nil"/>
              <w:left w:val="single" w:sz="12" w:space="0" w:color="000000"/>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0</w:t>
            </w:r>
          </w:p>
        </w:tc>
        <w:tc>
          <w:tcPr>
            <w:tcW w:w="725"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0 %</w:t>
            </w:r>
          </w:p>
        </w:tc>
        <w:tc>
          <w:tcPr>
            <w:tcW w:w="782"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0</w:t>
            </w:r>
          </w:p>
        </w:tc>
        <w:tc>
          <w:tcPr>
            <w:tcW w:w="672"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0</w:t>
            </w:r>
          </w:p>
        </w:tc>
        <w:tc>
          <w:tcPr>
            <w:tcW w:w="672"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0</w:t>
            </w:r>
          </w:p>
        </w:tc>
        <w:tc>
          <w:tcPr>
            <w:tcW w:w="613" w:type="dxa"/>
            <w:tcBorders>
              <w:top w:val="nil"/>
              <w:left w:val="nil"/>
              <w:bottom w:val="single" w:sz="4" w:space="0" w:color="000000"/>
              <w:right w:val="single" w:sz="12" w:space="0" w:color="000000"/>
            </w:tcBorders>
            <w:vAlign w:val="center"/>
            <w:hideMark/>
          </w:tcPr>
          <w:p w:rsidR="004310B4" w:rsidRDefault="004310B4">
            <w:pPr>
              <w:spacing w:after="0"/>
              <w:jc w:val="center"/>
              <w:rPr>
                <w:noProof/>
                <w:color w:val="000000"/>
                <w:szCs w:val="24"/>
                <w:lang w:val="ro-RO"/>
              </w:rPr>
            </w:pPr>
            <w:r>
              <w:rPr>
                <w:noProof/>
                <w:sz w:val="18"/>
                <w:lang w:val="ro-RO"/>
              </w:rPr>
              <w:t>0</w:t>
            </w:r>
          </w:p>
        </w:tc>
      </w:tr>
      <w:tr w:rsidR="004310B4">
        <w:trPr>
          <w:trHeight w:val="225"/>
          <w:jc w:val="center"/>
        </w:trPr>
        <w:tc>
          <w:tcPr>
            <w:tcW w:w="631" w:type="dxa"/>
            <w:vMerge/>
            <w:tcBorders>
              <w:top w:val="nil"/>
              <w:left w:val="single" w:sz="12" w:space="0" w:color="000000"/>
              <w:bottom w:val="single" w:sz="8" w:space="0" w:color="000000"/>
              <w:right w:val="single" w:sz="4" w:space="0" w:color="000000"/>
            </w:tcBorders>
            <w:vAlign w:val="center"/>
            <w:hideMark/>
          </w:tcPr>
          <w:p w:rsidR="004310B4" w:rsidRDefault="004310B4">
            <w:pPr>
              <w:spacing w:after="0"/>
              <w:jc w:val="left"/>
              <w:rPr>
                <w:noProof/>
                <w:color w:val="000000"/>
                <w:szCs w:val="24"/>
                <w:lang w:val="ro-RO"/>
              </w:rPr>
            </w:pPr>
          </w:p>
        </w:tc>
        <w:tc>
          <w:tcPr>
            <w:tcW w:w="1445" w:type="dxa"/>
            <w:tcBorders>
              <w:top w:val="nil"/>
              <w:left w:val="nil"/>
              <w:bottom w:val="single" w:sz="4" w:space="0" w:color="000000"/>
              <w:right w:val="single" w:sz="4" w:space="0" w:color="000000"/>
            </w:tcBorders>
            <w:vAlign w:val="bottom"/>
            <w:hideMark/>
          </w:tcPr>
          <w:p w:rsidR="004310B4" w:rsidRDefault="004310B4">
            <w:pPr>
              <w:spacing w:after="0"/>
              <w:jc w:val="left"/>
              <w:rPr>
                <w:noProof/>
                <w:color w:val="000000"/>
                <w:szCs w:val="24"/>
                <w:lang w:val="ro-RO"/>
              </w:rPr>
            </w:pPr>
            <w:r>
              <w:rPr>
                <w:noProof/>
                <w:sz w:val="18"/>
                <w:lang w:val="ro-RO"/>
              </w:rPr>
              <w:t>Foarte importantă</w:t>
            </w:r>
          </w:p>
        </w:tc>
        <w:tc>
          <w:tcPr>
            <w:tcW w:w="831" w:type="dxa"/>
            <w:tcBorders>
              <w:top w:val="nil"/>
              <w:left w:val="nil"/>
              <w:bottom w:val="single" w:sz="4" w:space="0" w:color="000000"/>
              <w:right w:val="single" w:sz="12" w:space="0" w:color="000000"/>
            </w:tcBorders>
            <w:vAlign w:val="center"/>
            <w:hideMark/>
          </w:tcPr>
          <w:p w:rsidR="004310B4" w:rsidRDefault="004310B4">
            <w:pPr>
              <w:spacing w:after="0"/>
              <w:jc w:val="center"/>
              <w:rPr>
                <w:noProof/>
                <w:color w:val="000000"/>
                <w:szCs w:val="24"/>
                <w:lang w:val="ro-RO"/>
              </w:rPr>
            </w:pPr>
            <w:r>
              <w:rPr>
                <w:noProof/>
                <w:sz w:val="18"/>
                <w:lang w:val="ro-RO"/>
              </w:rPr>
              <w:t>45</w:t>
            </w:r>
          </w:p>
        </w:tc>
        <w:tc>
          <w:tcPr>
            <w:tcW w:w="728" w:type="dxa"/>
            <w:tcBorders>
              <w:top w:val="nil"/>
              <w:left w:val="single" w:sz="12" w:space="0" w:color="000000"/>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19</w:t>
            </w:r>
          </w:p>
        </w:tc>
        <w:tc>
          <w:tcPr>
            <w:tcW w:w="850" w:type="dxa"/>
            <w:tcBorders>
              <w:top w:val="nil"/>
              <w:left w:val="nil"/>
              <w:bottom w:val="single" w:sz="4" w:space="0" w:color="000000"/>
              <w:right w:val="single" w:sz="12" w:space="0" w:color="000000"/>
            </w:tcBorders>
            <w:vAlign w:val="center"/>
            <w:hideMark/>
          </w:tcPr>
          <w:p w:rsidR="004310B4" w:rsidRDefault="004310B4">
            <w:pPr>
              <w:spacing w:after="0"/>
              <w:jc w:val="center"/>
              <w:rPr>
                <w:noProof/>
                <w:color w:val="000000"/>
                <w:szCs w:val="24"/>
                <w:lang w:val="ro-RO"/>
              </w:rPr>
            </w:pPr>
            <w:r>
              <w:rPr>
                <w:noProof/>
                <w:sz w:val="18"/>
                <w:lang w:val="ro-RO"/>
              </w:rPr>
              <w:t>42 %</w:t>
            </w:r>
          </w:p>
        </w:tc>
        <w:tc>
          <w:tcPr>
            <w:tcW w:w="567" w:type="dxa"/>
            <w:tcBorders>
              <w:top w:val="nil"/>
              <w:left w:val="single" w:sz="12" w:space="0" w:color="000000"/>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26</w:t>
            </w:r>
          </w:p>
        </w:tc>
        <w:tc>
          <w:tcPr>
            <w:tcW w:w="725"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58 %</w:t>
            </w:r>
          </w:p>
        </w:tc>
        <w:tc>
          <w:tcPr>
            <w:tcW w:w="782"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5</w:t>
            </w:r>
          </w:p>
        </w:tc>
        <w:tc>
          <w:tcPr>
            <w:tcW w:w="672"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14</w:t>
            </w:r>
          </w:p>
        </w:tc>
        <w:tc>
          <w:tcPr>
            <w:tcW w:w="672" w:type="dxa"/>
            <w:tcBorders>
              <w:top w:val="single" w:sz="4" w:space="0" w:color="000000"/>
              <w:left w:val="nil"/>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7</w:t>
            </w:r>
          </w:p>
        </w:tc>
        <w:tc>
          <w:tcPr>
            <w:tcW w:w="613" w:type="dxa"/>
            <w:tcBorders>
              <w:top w:val="single" w:sz="4" w:space="0" w:color="000000"/>
              <w:left w:val="nil"/>
              <w:bottom w:val="single" w:sz="4" w:space="0" w:color="000000"/>
              <w:right w:val="single" w:sz="12" w:space="0" w:color="000000"/>
            </w:tcBorders>
            <w:vAlign w:val="center"/>
            <w:hideMark/>
          </w:tcPr>
          <w:p w:rsidR="004310B4" w:rsidRDefault="004310B4">
            <w:pPr>
              <w:spacing w:after="0"/>
              <w:jc w:val="center"/>
              <w:rPr>
                <w:noProof/>
                <w:color w:val="000000"/>
                <w:szCs w:val="24"/>
                <w:lang w:val="ro-RO"/>
              </w:rPr>
            </w:pPr>
            <w:r>
              <w:rPr>
                <w:noProof/>
                <w:sz w:val="18"/>
                <w:lang w:val="ro-RO"/>
              </w:rPr>
              <w:t>0</w:t>
            </w:r>
          </w:p>
        </w:tc>
      </w:tr>
      <w:tr w:rsidR="004310B4">
        <w:trPr>
          <w:trHeight w:val="225"/>
          <w:jc w:val="center"/>
        </w:trPr>
        <w:tc>
          <w:tcPr>
            <w:tcW w:w="631" w:type="dxa"/>
            <w:vMerge/>
            <w:tcBorders>
              <w:top w:val="nil"/>
              <w:left w:val="single" w:sz="12" w:space="0" w:color="000000"/>
              <w:bottom w:val="single" w:sz="8" w:space="0" w:color="000000"/>
              <w:right w:val="single" w:sz="4" w:space="0" w:color="000000"/>
            </w:tcBorders>
            <w:vAlign w:val="center"/>
            <w:hideMark/>
          </w:tcPr>
          <w:p w:rsidR="004310B4" w:rsidRDefault="004310B4">
            <w:pPr>
              <w:spacing w:after="0"/>
              <w:jc w:val="left"/>
              <w:rPr>
                <w:noProof/>
                <w:color w:val="000000"/>
                <w:szCs w:val="24"/>
                <w:lang w:val="ro-RO"/>
              </w:rPr>
            </w:pPr>
          </w:p>
        </w:tc>
        <w:tc>
          <w:tcPr>
            <w:tcW w:w="1445" w:type="dxa"/>
            <w:tcBorders>
              <w:top w:val="nil"/>
              <w:left w:val="nil"/>
              <w:bottom w:val="single" w:sz="4" w:space="0" w:color="000000"/>
              <w:right w:val="single" w:sz="4" w:space="0" w:color="000000"/>
            </w:tcBorders>
            <w:vAlign w:val="bottom"/>
            <w:hideMark/>
          </w:tcPr>
          <w:p w:rsidR="004310B4" w:rsidRDefault="004310B4">
            <w:pPr>
              <w:spacing w:after="0"/>
              <w:jc w:val="left"/>
              <w:rPr>
                <w:noProof/>
                <w:color w:val="000000"/>
                <w:szCs w:val="24"/>
                <w:lang w:val="ro-RO"/>
              </w:rPr>
            </w:pPr>
            <w:r>
              <w:rPr>
                <w:noProof/>
                <w:sz w:val="18"/>
                <w:lang w:val="ro-RO"/>
              </w:rPr>
              <w:t>Importantă</w:t>
            </w:r>
          </w:p>
        </w:tc>
        <w:tc>
          <w:tcPr>
            <w:tcW w:w="831" w:type="dxa"/>
            <w:tcBorders>
              <w:top w:val="nil"/>
              <w:left w:val="nil"/>
              <w:bottom w:val="single" w:sz="4" w:space="0" w:color="000000"/>
              <w:right w:val="single" w:sz="12" w:space="0" w:color="000000"/>
            </w:tcBorders>
            <w:vAlign w:val="center"/>
            <w:hideMark/>
          </w:tcPr>
          <w:p w:rsidR="004310B4" w:rsidRDefault="004310B4">
            <w:pPr>
              <w:spacing w:after="0"/>
              <w:jc w:val="center"/>
              <w:rPr>
                <w:noProof/>
                <w:color w:val="000000"/>
                <w:szCs w:val="24"/>
                <w:lang w:val="ro-RO"/>
              </w:rPr>
            </w:pPr>
            <w:r>
              <w:rPr>
                <w:noProof/>
                <w:sz w:val="18"/>
                <w:lang w:val="ro-RO"/>
              </w:rPr>
              <w:t>77</w:t>
            </w:r>
          </w:p>
        </w:tc>
        <w:tc>
          <w:tcPr>
            <w:tcW w:w="728" w:type="dxa"/>
            <w:tcBorders>
              <w:top w:val="nil"/>
              <w:left w:val="single" w:sz="12" w:space="0" w:color="000000"/>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53</w:t>
            </w:r>
          </w:p>
        </w:tc>
        <w:tc>
          <w:tcPr>
            <w:tcW w:w="850" w:type="dxa"/>
            <w:tcBorders>
              <w:top w:val="nil"/>
              <w:left w:val="nil"/>
              <w:bottom w:val="single" w:sz="4" w:space="0" w:color="000000"/>
              <w:right w:val="single" w:sz="12" w:space="0" w:color="000000"/>
            </w:tcBorders>
            <w:vAlign w:val="center"/>
            <w:hideMark/>
          </w:tcPr>
          <w:p w:rsidR="004310B4" w:rsidRDefault="004310B4">
            <w:pPr>
              <w:spacing w:after="0"/>
              <w:jc w:val="center"/>
              <w:rPr>
                <w:noProof/>
                <w:color w:val="000000"/>
                <w:szCs w:val="24"/>
                <w:lang w:val="ro-RO"/>
              </w:rPr>
            </w:pPr>
            <w:r>
              <w:rPr>
                <w:noProof/>
                <w:sz w:val="18"/>
                <w:lang w:val="ro-RO"/>
              </w:rPr>
              <w:t>69 %</w:t>
            </w:r>
          </w:p>
        </w:tc>
        <w:tc>
          <w:tcPr>
            <w:tcW w:w="567" w:type="dxa"/>
            <w:tcBorders>
              <w:top w:val="nil"/>
              <w:left w:val="single" w:sz="12" w:space="0" w:color="000000"/>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24</w:t>
            </w:r>
          </w:p>
        </w:tc>
        <w:tc>
          <w:tcPr>
            <w:tcW w:w="725"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31 %</w:t>
            </w:r>
          </w:p>
        </w:tc>
        <w:tc>
          <w:tcPr>
            <w:tcW w:w="782"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6</w:t>
            </w:r>
          </w:p>
        </w:tc>
        <w:tc>
          <w:tcPr>
            <w:tcW w:w="672"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8</w:t>
            </w:r>
          </w:p>
        </w:tc>
        <w:tc>
          <w:tcPr>
            <w:tcW w:w="672"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9</w:t>
            </w:r>
          </w:p>
        </w:tc>
        <w:tc>
          <w:tcPr>
            <w:tcW w:w="613" w:type="dxa"/>
            <w:tcBorders>
              <w:top w:val="nil"/>
              <w:left w:val="nil"/>
              <w:bottom w:val="single" w:sz="4" w:space="0" w:color="000000"/>
              <w:right w:val="single" w:sz="12" w:space="0" w:color="000000"/>
            </w:tcBorders>
            <w:vAlign w:val="center"/>
            <w:hideMark/>
          </w:tcPr>
          <w:p w:rsidR="004310B4" w:rsidRDefault="004310B4">
            <w:pPr>
              <w:spacing w:after="0"/>
              <w:jc w:val="center"/>
              <w:rPr>
                <w:noProof/>
                <w:color w:val="000000"/>
                <w:szCs w:val="24"/>
                <w:lang w:val="ro-RO"/>
              </w:rPr>
            </w:pPr>
            <w:r>
              <w:rPr>
                <w:noProof/>
                <w:sz w:val="18"/>
                <w:lang w:val="ro-RO"/>
              </w:rPr>
              <w:t>1</w:t>
            </w:r>
          </w:p>
        </w:tc>
      </w:tr>
      <w:tr w:rsidR="004310B4">
        <w:trPr>
          <w:trHeight w:val="246"/>
          <w:jc w:val="center"/>
        </w:trPr>
        <w:tc>
          <w:tcPr>
            <w:tcW w:w="631" w:type="dxa"/>
            <w:vMerge/>
            <w:tcBorders>
              <w:top w:val="nil"/>
              <w:left w:val="single" w:sz="12" w:space="0" w:color="000000"/>
              <w:bottom w:val="single" w:sz="8" w:space="0" w:color="000000"/>
              <w:right w:val="single" w:sz="4" w:space="0" w:color="000000"/>
            </w:tcBorders>
            <w:vAlign w:val="center"/>
            <w:hideMark/>
          </w:tcPr>
          <w:p w:rsidR="004310B4" w:rsidRDefault="004310B4">
            <w:pPr>
              <w:spacing w:after="0"/>
              <w:jc w:val="left"/>
              <w:rPr>
                <w:noProof/>
                <w:color w:val="000000"/>
                <w:szCs w:val="24"/>
                <w:lang w:val="ro-RO"/>
              </w:rPr>
            </w:pPr>
          </w:p>
        </w:tc>
        <w:tc>
          <w:tcPr>
            <w:tcW w:w="1445" w:type="dxa"/>
            <w:tcBorders>
              <w:top w:val="nil"/>
              <w:left w:val="nil"/>
              <w:bottom w:val="nil"/>
              <w:right w:val="single" w:sz="4" w:space="0" w:color="000000"/>
            </w:tcBorders>
            <w:vAlign w:val="bottom"/>
            <w:hideMark/>
          </w:tcPr>
          <w:p w:rsidR="004310B4" w:rsidRDefault="004310B4">
            <w:pPr>
              <w:spacing w:after="0"/>
              <w:jc w:val="left"/>
              <w:rPr>
                <w:noProof/>
                <w:color w:val="000000"/>
                <w:szCs w:val="24"/>
                <w:lang w:val="ro-RO"/>
              </w:rPr>
            </w:pPr>
            <w:r>
              <w:rPr>
                <w:noProof/>
                <w:sz w:val="18"/>
                <w:lang w:val="ro-RO"/>
              </w:rPr>
              <w:t>De dorit</w:t>
            </w:r>
          </w:p>
        </w:tc>
        <w:tc>
          <w:tcPr>
            <w:tcW w:w="831" w:type="dxa"/>
            <w:tcBorders>
              <w:top w:val="nil"/>
              <w:left w:val="nil"/>
              <w:bottom w:val="nil"/>
              <w:right w:val="single" w:sz="12" w:space="0" w:color="000000"/>
            </w:tcBorders>
            <w:vAlign w:val="center"/>
            <w:hideMark/>
          </w:tcPr>
          <w:p w:rsidR="004310B4" w:rsidRDefault="004310B4">
            <w:pPr>
              <w:spacing w:after="0"/>
              <w:jc w:val="center"/>
              <w:rPr>
                <w:noProof/>
                <w:color w:val="000000"/>
                <w:szCs w:val="24"/>
                <w:lang w:val="ro-RO"/>
              </w:rPr>
            </w:pPr>
            <w:r>
              <w:rPr>
                <w:noProof/>
                <w:sz w:val="18"/>
                <w:lang w:val="ro-RO"/>
              </w:rPr>
              <w:t>3</w:t>
            </w:r>
          </w:p>
        </w:tc>
        <w:tc>
          <w:tcPr>
            <w:tcW w:w="728" w:type="dxa"/>
            <w:tcBorders>
              <w:top w:val="nil"/>
              <w:left w:val="single" w:sz="12" w:space="0" w:color="000000"/>
              <w:bottom w:val="nil"/>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3</w:t>
            </w:r>
          </w:p>
        </w:tc>
        <w:tc>
          <w:tcPr>
            <w:tcW w:w="850" w:type="dxa"/>
            <w:tcBorders>
              <w:top w:val="nil"/>
              <w:left w:val="nil"/>
              <w:bottom w:val="single" w:sz="4" w:space="0" w:color="000000"/>
              <w:right w:val="single" w:sz="12" w:space="0" w:color="000000"/>
            </w:tcBorders>
            <w:vAlign w:val="center"/>
            <w:hideMark/>
          </w:tcPr>
          <w:p w:rsidR="004310B4" w:rsidRDefault="004310B4">
            <w:pPr>
              <w:spacing w:after="0"/>
              <w:jc w:val="center"/>
              <w:rPr>
                <w:noProof/>
                <w:color w:val="000000"/>
                <w:szCs w:val="24"/>
                <w:lang w:val="ro-RO"/>
              </w:rPr>
            </w:pPr>
            <w:r>
              <w:rPr>
                <w:noProof/>
                <w:sz w:val="18"/>
                <w:lang w:val="ro-RO"/>
              </w:rPr>
              <w:t>100 %</w:t>
            </w:r>
          </w:p>
        </w:tc>
        <w:tc>
          <w:tcPr>
            <w:tcW w:w="567" w:type="dxa"/>
            <w:tcBorders>
              <w:top w:val="nil"/>
              <w:left w:val="single" w:sz="12" w:space="0" w:color="000000"/>
              <w:bottom w:val="nil"/>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0</w:t>
            </w:r>
          </w:p>
        </w:tc>
        <w:tc>
          <w:tcPr>
            <w:tcW w:w="725"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0 %</w:t>
            </w:r>
          </w:p>
        </w:tc>
        <w:tc>
          <w:tcPr>
            <w:tcW w:w="782" w:type="dxa"/>
            <w:tcBorders>
              <w:top w:val="nil"/>
              <w:left w:val="nil"/>
              <w:bottom w:val="nil"/>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0</w:t>
            </w:r>
          </w:p>
        </w:tc>
        <w:tc>
          <w:tcPr>
            <w:tcW w:w="672" w:type="dxa"/>
            <w:tcBorders>
              <w:top w:val="nil"/>
              <w:left w:val="nil"/>
              <w:bottom w:val="nil"/>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0</w:t>
            </w:r>
          </w:p>
        </w:tc>
        <w:tc>
          <w:tcPr>
            <w:tcW w:w="672" w:type="dxa"/>
            <w:tcBorders>
              <w:top w:val="nil"/>
              <w:left w:val="nil"/>
              <w:bottom w:val="nil"/>
              <w:right w:val="single" w:sz="4" w:space="0" w:color="000000"/>
            </w:tcBorders>
            <w:vAlign w:val="center"/>
            <w:hideMark/>
          </w:tcPr>
          <w:p w:rsidR="004310B4" w:rsidRDefault="004310B4">
            <w:pPr>
              <w:spacing w:after="0"/>
              <w:jc w:val="center"/>
              <w:rPr>
                <w:noProof/>
                <w:color w:val="000000"/>
                <w:szCs w:val="24"/>
                <w:lang w:val="ro-RO"/>
              </w:rPr>
            </w:pPr>
            <w:r>
              <w:rPr>
                <w:noProof/>
                <w:sz w:val="18"/>
                <w:lang w:val="ro-RO"/>
              </w:rPr>
              <w:t>0</w:t>
            </w:r>
          </w:p>
        </w:tc>
        <w:tc>
          <w:tcPr>
            <w:tcW w:w="613" w:type="dxa"/>
            <w:tcBorders>
              <w:top w:val="nil"/>
              <w:left w:val="nil"/>
              <w:bottom w:val="nil"/>
              <w:right w:val="single" w:sz="12" w:space="0" w:color="000000"/>
            </w:tcBorders>
            <w:vAlign w:val="center"/>
            <w:hideMark/>
          </w:tcPr>
          <w:p w:rsidR="004310B4" w:rsidRDefault="004310B4">
            <w:pPr>
              <w:spacing w:after="0"/>
              <w:jc w:val="center"/>
              <w:rPr>
                <w:noProof/>
                <w:color w:val="000000"/>
                <w:szCs w:val="24"/>
                <w:lang w:val="ro-RO"/>
              </w:rPr>
            </w:pPr>
            <w:r>
              <w:rPr>
                <w:noProof/>
                <w:sz w:val="18"/>
                <w:lang w:val="ro-RO"/>
              </w:rPr>
              <w:t>0</w:t>
            </w:r>
          </w:p>
        </w:tc>
      </w:tr>
      <w:tr w:rsidR="004310B4">
        <w:trPr>
          <w:trHeight w:val="246"/>
          <w:jc w:val="center"/>
        </w:trPr>
        <w:tc>
          <w:tcPr>
            <w:tcW w:w="631" w:type="dxa"/>
            <w:vMerge/>
            <w:tcBorders>
              <w:top w:val="nil"/>
              <w:left w:val="single" w:sz="12" w:space="0" w:color="000000"/>
              <w:bottom w:val="single" w:sz="8" w:space="0" w:color="000000"/>
              <w:right w:val="single" w:sz="4" w:space="0" w:color="000000"/>
            </w:tcBorders>
            <w:vAlign w:val="center"/>
            <w:hideMark/>
          </w:tcPr>
          <w:p w:rsidR="004310B4" w:rsidRDefault="004310B4">
            <w:pPr>
              <w:spacing w:after="0"/>
              <w:jc w:val="left"/>
              <w:rPr>
                <w:noProof/>
                <w:color w:val="000000"/>
                <w:szCs w:val="24"/>
                <w:lang w:val="ro-RO"/>
              </w:rPr>
            </w:pPr>
          </w:p>
        </w:tc>
        <w:tc>
          <w:tcPr>
            <w:tcW w:w="1445" w:type="dxa"/>
            <w:tcBorders>
              <w:top w:val="single" w:sz="8" w:space="0" w:color="000000"/>
              <w:left w:val="nil"/>
              <w:bottom w:val="single" w:sz="8" w:space="0" w:color="000000"/>
              <w:right w:val="single" w:sz="4" w:space="0" w:color="000000"/>
            </w:tcBorders>
            <w:shd w:val="clear" w:color="auto" w:fill="F2F2F2"/>
            <w:vAlign w:val="bottom"/>
            <w:hideMark/>
          </w:tcPr>
          <w:p w:rsidR="004310B4" w:rsidRDefault="004310B4">
            <w:pPr>
              <w:spacing w:after="0"/>
              <w:jc w:val="left"/>
              <w:rPr>
                <w:noProof/>
                <w:color w:val="000000"/>
                <w:szCs w:val="24"/>
                <w:lang w:val="ro-RO"/>
              </w:rPr>
            </w:pPr>
            <w:r>
              <w:rPr>
                <w:b/>
                <w:noProof/>
                <w:sz w:val="18"/>
                <w:lang w:val="ro-RO"/>
              </w:rPr>
              <w:t>Total 2014</w:t>
            </w:r>
          </w:p>
        </w:tc>
        <w:tc>
          <w:tcPr>
            <w:tcW w:w="831" w:type="dxa"/>
            <w:tcBorders>
              <w:top w:val="single" w:sz="8" w:space="0" w:color="000000"/>
              <w:left w:val="nil"/>
              <w:bottom w:val="single" w:sz="8" w:space="0" w:color="000000"/>
              <w:right w:val="single" w:sz="12" w:space="0" w:color="000000"/>
            </w:tcBorders>
            <w:shd w:val="clear" w:color="auto" w:fill="F2F2F2"/>
            <w:vAlign w:val="center"/>
            <w:hideMark/>
          </w:tcPr>
          <w:p w:rsidR="004310B4" w:rsidRDefault="004310B4">
            <w:pPr>
              <w:spacing w:after="0"/>
              <w:jc w:val="center"/>
              <w:rPr>
                <w:noProof/>
                <w:color w:val="000000"/>
                <w:szCs w:val="24"/>
                <w:lang w:val="ro-RO"/>
              </w:rPr>
            </w:pPr>
            <w:r>
              <w:rPr>
                <w:b/>
                <w:noProof/>
                <w:sz w:val="18"/>
                <w:lang w:val="ro-RO"/>
              </w:rPr>
              <w:t>125</w:t>
            </w:r>
          </w:p>
        </w:tc>
        <w:tc>
          <w:tcPr>
            <w:tcW w:w="728" w:type="dxa"/>
            <w:tcBorders>
              <w:top w:val="single" w:sz="8" w:space="0" w:color="000000"/>
              <w:left w:val="single" w:sz="12" w:space="0" w:color="000000"/>
              <w:bottom w:val="single" w:sz="8" w:space="0" w:color="000000"/>
              <w:right w:val="single" w:sz="4" w:space="0" w:color="000000"/>
            </w:tcBorders>
            <w:shd w:val="clear" w:color="auto" w:fill="F2F2F2"/>
            <w:vAlign w:val="center"/>
            <w:hideMark/>
          </w:tcPr>
          <w:p w:rsidR="004310B4" w:rsidRDefault="004310B4">
            <w:pPr>
              <w:spacing w:after="0"/>
              <w:jc w:val="center"/>
              <w:rPr>
                <w:noProof/>
                <w:color w:val="000000"/>
                <w:szCs w:val="24"/>
                <w:lang w:val="ro-RO"/>
              </w:rPr>
            </w:pPr>
            <w:r>
              <w:rPr>
                <w:b/>
                <w:noProof/>
                <w:sz w:val="18"/>
                <w:lang w:val="ro-RO"/>
              </w:rPr>
              <w:t>75</w:t>
            </w:r>
          </w:p>
        </w:tc>
        <w:tc>
          <w:tcPr>
            <w:tcW w:w="850" w:type="dxa"/>
            <w:tcBorders>
              <w:top w:val="single" w:sz="8" w:space="0" w:color="000000"/>
              <w:left w:val="nil"/>
              <w:bottom w:val="single" w:sz="8" w:space="0" w:color="000000"/>
              <w:right w:val="single" w:sz="12" w:space="0" w:color="000000"/>
            </w:tcBorders>
            <w:shd w:val="clear" w:color="auto" w:fill="F2F2F2"/>
            <w:vAlign w:val="center"/>
            <w:hideMark/>
          </w:tcPr>
          <w:p w:rsidR="004310B4" w:rsidRDefault="004310B4">
            <w:pPr>
              <w:spacing w:after="0"/>
              <w:jc w:val="center"/>
              <w:rPr>
                <w:noProof/>
                <w:color w:val="000000"/>
                <w:szCs w:val="24"/>
                <w:lang w:val="ro-RO"/>
              </w:rPr>
            </w:pPr>
            <w:r>
              <w:rPr>
                <w:b/>
                <w:noProof/>
                <w:sz w:val="18"/>
                <w:lang w:val="ro-RO"/>
              </w:rPr>
              <w:t>60 %</w:t>
            </w:r>
          </w:p>
        </w:tc>
        <w:tc>
          <w:tcPr>
            <w:tcW w:w="567" w:type="dxa"/>
            <w:tcBorders>
              <w:top w:val="single" w:sz="8" w:space="0" w:color="000000"/>
              <w:left w:val="single" w:sz="12" w:space="0" w:color="000000"/>
              <w:bottom w:val="single" w:sz="8" w:space="0" w:color="000000"/>
              <w:right w:val="single" w:sz="4" w:space="0" w:color="000000"/>
            </w:tcBorders>
            <w:shd w:val="clear" w:color="auto" w:fill="F2F2F2"/>
            <w:vAlign w:val="center"/>
            <w:hideMark/>
          </w:tcPr>
          <w:p w:rsidR="004310B4" w:rsidRDefault="004310B4">
            <w:pPr>
              <w:spacing w:after="0"/>
              <w:jc w:val="center"/>
              <w:rPr>
                <w:noProof/>
                <w:color w:val="000000"/>
                <w:szCs w:val="24"/>
                <w:lang w:val="ro-RO"/>
              </w:rPr>
            </w:pPr>
            <w:r>
              <w:rPr>
                <w:b/>
                <w:noProof/>
                <w:sz w:val="18"/>
                <w:lang w:val="ro-RO"/>
              </w:rPr>
              <w:t>50</w:t>
            </w:r>
          </w:p>
        </w:tc>
        <w:tc>
          <w:tcPr>
            <w:tcW w:w="725" w:type="dxa"/>
            <w:tcBorders>
              <w:top w:val="single" w:sz="8" w:space="0" w:color="000000"/>
              <w:left w:val="nil"/>
              <w:bottom w:val="single" w:sz="8" w:space="0" w:color="000000"/>
              <w:right w:val="single" w:sz="8" w:space="0" w:color="000000"/>
            </w:tcBorders>
            <w:shd w:val="clear" w:color="auto" w:fill="F2F2F2"/>
            <w:vAlign w:val="center"/>
            <w:hideMark/>
          </w:tcPr>
          <w:p w:rsidR="004310B4" w:rsidRDefault="004310B4">
            <w:pPr>
              <w:spacing w:after="0"/>
              <w:jc w:val="center"/>
              <w:rPr>
                <w:noProof/>
                <w:color w:val="000000"/>
                <w:szCs w:val="24"/>
                <w:lang w:val="ro-RO"/>
              </w:rPr>
            </w:pPr>
            <w:r>
              <w:rPr>
                <w:b/>
                <w:noProof/>
                <w:sz w:val="18"/>
                <w:lang w:val="ro-RO"/>
              </w:rPr>
              <w:t>40 %</w:t>
            </w:r>
          </w:p>
        </w:tc>
        <w:tc>
          <w:tcPr>
            <w:tcW w:w="782" w:type="dxa"/>
            <w:tcBorders>
              <w:top w:val="single" w:sz="8" w:space="0" w:color="000000"/>
              <w:left w:val="single" w:sz="4" w:space="0" w:color="000000"/>
              <w:bottom w:val="single" w:sz="8" w:space="0" w:color="000000"/>
              <w:right w:val="single" w:sz="4" w:space="0" w:color="000000"/>
            </w:tcBorders>
            <w:shd w:val="clear" w:color="auto" w:fill="F2F2F2"/>
            <w:vAlign w:val="center"/>
            <w:hideMark/>
          </w:tcPr>
          <w:p w:rsidR="004310B4" w:rsidRDefault="004310B4">
            <w:pPr>
              <w:spacing w:after="0"/>
              <w:jc w:val="center"/>
              <w:rPr>
                <w:noProof/>
                <w:color w:val="000000"/>
                <w:szCs w:val="24"/>
                <w:lang w:val="ro-RO"/>
              </w:rPr>
            </w:pPr>
            <w:r>
              <w:rPr>
                <w:b/>
                <w:noProof/>
                <w:sz w:val="18"/>
                <w:lang w:val="ro-RO"/>
              </w:rPr>
              <w:t>11</w:t>
            </w:r>
          </w:p>
        </w:tc>
        <w:tc>
          <w:tcPr>
            <w:tcW w:w="672" w:type="dxa"/>
            <w:tcBorders>
              <w:top w:val="single" w:sz="8" w:space="0" w:color="000000"/>
              <w:left w:val="nil"/>
              <w:bottom w:val="single" w:sz="8" w:space="0" w:color="000000"/>
              <w:right w:val="single" w:sz="4" w:space="0" w:color="000000"/>
            </w:tcBorders>
            <w:shd w:val="clear" w:color="auto" w:fill="F2F2F2"/>
            <w:vAlign w:val="center"/>
            <w:hideMark/>
          </w:tcPr>
          <w:p w:rsidR="004310B4" w:rsidRDefault="004310B4">
            <w:pPr>
              <w:spacing w:after="0"/>
              <w:jc w:val="center"/>
              <w:rPr>
                <w:noProof/>
                <w:color w:val="000000"/>
                <w:szCs w:val="24"/>
                <w:lang w:val="ro-RO"/>
              </w:rPr>
            </w:pPr>
            <w:r>
              <w:rPr>
                <w:b/>
                <w:noProof/>
                <w:sz w:val="18"/>
                <w:lang w:val="ro-RO"/>
              </w:rPr>
              <w:t>22</w:t>
            </w:r>
          </w:p>
        </w:tc>
        <w:tc>
          <w:tcPr>
            <w:tcW w:w="672" w:type="dxa"/>
            <w:tcBorders>
              <w:top w:val="single" w:sz="8" w:space="0" w:color="000000"/>
              <w:left w:val="nil"/>
              <w:bottom w:val="single" w:sz="8" w:space="0" w:color="000000"/>
              <w:right w:val="single" w:sz="4" w:space="0" w:color="000000"/>
            </w:tcBorders>
            <w:shd w:val="clear" w:color="auto" w:fill="F2F2F2"/>
            <w:vAlign w:val="center"/>
            <w:hideMark/>
          </w:tcPr>
          <w:p w:rsidR="004310B4" w:rsidRDefault="004310B4">
            <w:pPr>
              <w:spacing w:after="0"/>
              <w:jc w:val="center"/>
              <w:rPr>
                <w:noProof/>
                <w:color w:val="000000"/>
                <w:szCs w:val="24"/>
                <w:lang w:val="ro-RO"/>
              </w:rPr>
            </w:pPr>
            <w:r>
              <w:rPr>
                <w:b/>
                <w:noProof/>
                <w:sz w:val="18"/>
                <w:lang w:val="ro-RO"/>
              </w:rPr>
              <w:t>16</w:t>
            </w:r>
          </w:p>
        </w:tc>
        <w:tc>
          <w:tcPr>
            <w:tcW w:w="613" w:type="dxa"/>
            <w:tcBorders>
              <w:top w:val="single" w:sz="8" w:space="0" w:color="000000"/>
              <w:left w:val="nil"/>
              <w:bottom w:val="single" w:sz="8" w:space="0" w:color="000000"/>
              <w:right w:val="single" w:sz="12" w:space="0" w:color="000000"/>
            </w:tcBorders>
            <w:shd w:val="clear" w:color="auto" w:fill="F2F2F2"/>
            <w:vAlign w:val="center"/>
            <w:hideMark/>
          </w:tcPr>
          <w:p w:rsidR="004310B4" w:rsidRDefault="004310B4">
            <w:pPr>
              <w:spacing w:after="0"/>
              <w:jc w:val="center"/>
              <w:rPr>
                <w:noProof/>
                <w:color w:val="000000"/>
                <w:szCs w:val="24"/>
                <w:lang w:val="ro-RO"/>
              </w:rPr>
            </w:pPr>
            <w:r>
              <w:rPr>
                <w:b/>
                <w:noProof/>
                <w:sz w:val="18"/>
                <w:lang w:val="ro-RO"/>
              </w:rPr>
              <w:t>1</w:t>
            </w:r>
          </w:p>
        </w:tc>
      </w:tr>
      <w:tr w:rsidR="004310B4">
        <w:trPr>
          <w:trHeight w:val="225"/>
          <w:jc w:val="center"/>
        </w:trPr>
        <w:tc>
          <w:tcPr>
            <w:tcW w:w="631" w:type="dxa"/>
            <w:vMerge w:val="restart"/>
            <w:tcBorders>
              <w:top w:val="nil"/>
              <w:left w:val="single" w:sz="12" w:space="0" w:color="000000"/>
              <w:bottom w:val="single" w:sz="4" w:space="0" w:color="000000"/>
              <w:right w:val="single" w:sz="4" w:space="0" w:color="000000"/>
            </w:tcBorders>
            <w:shd w:val="clear" w:color="auto" w:fill="F2F2F2"/>
            <w:vAlign w:val="center"/>
            <w:hideMark/>
          </w:tcPr>
          <w:p w:rsidR="004310B4" w:rsidRDefault="004310B4">
            <w:pPr>
              <w:spacing w:after="0"/>
              <w:jc w:val="center"/>
              <w:rPr>
                <w:noProof/>
                <w:color w:val="000000"/>
                <w:sz w:val="18"/>
                <w:szCs w:val="18"/>
                <w:lang w:val="ro-RO"/>
              </w:rPr>
            </w:pPr>
            <w:r>
              <w:rPr>
                <w:noProof/>
                <w:sz w:val="18"/>
                <w:lang w:val="ro-RO"/>
              </w:rPr>
              <w:t>Recomandări IAC preluate</w:t>
            </w:r>
          </w:p>
        </w:tc>
        <w:tc>
          <w:tcPr>
            <w:tcW w:w="1445" w:type="dxa"/>
            <w:tcBorders>
              <w:top w:val="nil"/>
              <w:left w:val="nil"/>
              <w:bottom w:val="single" w:sz="4" w:space="0" w:color="000000"/>
              <w:right w:val="single" w:sz="4" w:space="0" w:color="000000"/>
            </w:tcBorders>
            <w:vAlign w:val="bottom"/>
            <w:hideMark/>
          </w:tcPr>
          <w:p w:rsidR="004310B4" w:rsidRDefault="004310B4">
            <w:pPr>
              <w:spacing w:after="0"/>
              <w:jc w:val="left"/>
              <w:rPr>
                <w:noProof/>
                <w:color w:val="000000"/>
                <w:sz w:val="18"/>
                <w:szCs w:val="18"/>
                <w:lang w:val="ro-RO"/>
              </w:rPr>
            </w:pPr>
            <w:r>
              <w:rPr>
                <w:noProof/>
                <w:sz w:val="18"/>
                <w:lang w:val="ro-RO"/>
              </w:rPr>
              <w:t>Esențială</w:t>
            </w:r>
          </w:p>
        </w:tc>
        <w:tc>
          <w:tcPr>
            <w:tcW w:w="831" w:type="dxa"/>
            <w:tcBorders>
              <w:top w:val="nil"/>
              <w:left w:val="nil"/>
              <w:bottom w:val="single" w:sz="4" w:space="0" w:color="000000"/>
              <w:right w:val="single" w:sz="12" w:space="0" w:color="000000"/>
            </w:tcBorders>
            <w:vAlign w:val="center"/>
            <w:hideMark/>
          </w:tcPr>
          <w:p w:rsidR="004310B4" w:rsidRDefault="004310B4">
            <w:pPr>
              <w:spacing w:after="0"/>
              <w:jc w:val="center"/>
              <w:rPr>
                <w:noProof/>
                <w:color w:val="000000"/>
                <w:sz w:val="18"/>
                <w:szCs w:val="18"/>
                <w:lang w:val="ro-RO"/>
              </w:rPr>
            </w:pPr>
            <w:r>
              <w:rPr>
                <w:noProof/>
                <w:sz w:val="18"/>
                <w:lang w:val="ro-RO"/>
              </w:rPr>
              <w:t>0</w:t>
            </w:r>
          </w:p>
        </w:tc>
        <w:tc>
          <w:tcPr>
            <w:tcW w:w="728" w:type="dxa"/>
            <w:tcBorders>
              <w:top w:val="nil"/>
              <w:left w:val="single" w:sz="12" w:space="0" w:color="000000"/>
              <w:bottom w:val="single" w:sz="4" w:space="0" w:color="000000"/>
              <w:right w:val="single" w:sz="4" w:space="0" w:color="000000"/>
            </w:tcBorders>
            <w:vAlign w:val="center"/>
            <w:hideMark/>
          </w:tcPr>
          <w:p w:rsidR="004310B4" w:rsidRDefault="004310B4">
            <w:pPr>
              <w:spacing w:after="0"/>
              <w:jc w:val="center"/>
              <w:rPr>
                <w:noProof/>
                <w:color w:val="000000"/>
                <w:sz w:val="18"/>
                <w:szCs w:val="18"/>
                <w:lang w:val="ro-RO"/>
              </w:rPr>
            </w:pPr>
            <w:r>
              <w:rPr>
                <w:noProof/>
                <w:sz w:val="18"/>
                <w:lang w:val="ro-RO"/>
              </w:rPr>
              <w:t>0</w:t>
            </w:r>
          </w:p>
        </w:tc>
        <w:tc>
          <w:tcPr>
            <w:tcW w:w="850" w:type="dxa"/>
            <w:tcBorders>
              <w:top w:val="nil"/>
              <w:left w:val="nil"/>
              <w:bottom w:val="single" w:sz="4" w:space="0" w:color="000000"/>
              <w:right w:val="single" w:sz="12" w:space="0" w:color="000000"/>
            </w:tcBorders>
            <w:vAlign w:val="center"/>
            <w:hideMark/>
          </w:tcPr>
          <w:p w:rsidR="004310B4" w:rsidRDefault="004310B4">
            <w:pPr>
              <w:spacing w:after="0"/>
              <w:jc w:val="center"/>
              <w:rPr>
                <w:noProof/>
                <w:color w:val="000000"/>
                <w:sz w:val="18"/>
                <w:szCs w:val="18"/>
                <w:lang w:val="ro-RO"/>
              </w:rPr>
            </w:pPr>
            <w:r>
              <w:rPr>
                <w:noProof/>
                <w:sz w:val="18"/>
                <w:lang w:val="ro-RO"/>
              </w:rPr>
              <w:t>0 %</w:t>
            </w:r>
          </w:p>
        </w:tc>
        <w:tc>
          <w:tcPr>
            <w:tcW w:w="567" w:type="dxa"/>
            <w:tcBorders>
              <w:top w:val="nil"/>
              <w:left w:val="single" w:sz="12" w:space="0" w:color="000000"/>
              <w:bottom w:val="single" w:sz="4" w:space="0" w:color="000000"/>
              <w:right w:val="single" w:sz="4" w:space="0" w:color="000000"/>
            </w:tcBorders>
            <w:vAlign w:val="center"/>
            <w:hideMark/>
          </w:tcPr>
          <w:p w:rsidR="004310B4" w:rsidRDefault="004310B4">
            <w:pPr>
              <w:spacing w:after="0"/>
              <w:jc w:val="center"/>
              <w:rPr>
                <w:noProof/>
                <w:color w:val="000000"/>
                <w:sz w:val="18"/>
                <w:szCs w:val="18"/>
                <w:lang w:val="ro-RO"/>
              </w:rPr>
            </w:pPr>
            <w:r>
              <w:rPr>
                <w:noProof/>
                <w:sz w:val="18"/>
                <w:lang w:val="ro-RO"/>
              </w:rPr>
              <w:t>0</w:t>
            </w:r>
          </w:p>
        </w:tc>
        <w:tc>
          <w:tcPr>
            <w:tcW w:w="725"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 w:val="18"/>
                <w:szCs w:val="18"/>
                <w:lang w:val="ro-RO"/>
              </w:rPr>
            </w:pPr>
            <w:r>
              <w:rPr>
                <w:noProof/>
                <w:sz w:val="18"/>
                <w:lang w:val="ro-RO"/>
              </w:rPr>
              <w:t>0 %</w:t>
            </w:r>
          </w:p>
        </w:tc>
        <w:tc>
          <w:tcPr>
            <w:tcW w:w="782"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 w:val="18"/>
                <w:szCs w:val="18"/>
                <w:lang w:val="ro-RO"/>
              </w:rPr>
            </w:pPr>
            <w:r>
              <w:rPr>
                <w:noProof/>
                <w:sz w:val="18"/>
                <w:lang w:val="ro-RO"/>
              </w:rPr>
              <w:t>0</w:t>
            </w:r>
          </w:p>
        </w:tc>
        <w:tc>
          <w:tcPr>
            <w:tcW w:w="672"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 w:val="18"/>
                <w:szCs w:val="18"/>
                <w:lang w:val="ro-RO"/>
              </w:rPr>
            </w:pPr>
            <w:r>
              <w:rPr>
                <w:noProof/>
                <w:sz w:val="18"/>
                <w:lang w:val="ro-RO"/>
              </w:rPr>
              <w:t>0</w:t>
            </w:r>
          </w:p>
        </w:tc>
        <w:tc>
          <w:tcPr>
            <w:tcW w:w="672"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 w:val="18"/>
                <w:szCs w:val="18"/>
                <w:lang w:val="ro-RO"/>
              </w:rPr>
            </w:pPr>
            <w:r>
              <w:rPr>
                <w:noProof/>
                <w:sz w:val="18"/>
                <w:lang w:val="ro-RO"/>
              </w:rPr>
              <w:t>0</w:t>
            </w:r>
          </w:p>
        </w:tc>
        <w:tc>
          <w:tcPr>
            <w:tcW w:w="613" w:type="dxa"/>
            <w:tcBorders>
              <w:top w:val="nil"/>
              <w:left w:val="nil"/>
              <w:bottom w:val="single" w:sz="4" w:space="0" w:color="000000"/>
              <w:right w:val="single" w:sz="12" w:space="0" w:color="000000"/>
            </w:tcBorders>
            <w:vAlign w:val="center"/>
            <w:hideMark/>
          </w:tcPr>
          <w:p w:rsidR="004310B4" w:rsidRDefault="004310B4">
            <w:pPr>
              <w:spacing w:after="0"/>
              <w:jc w:val="center"/>
              <w:rPr>
                <w:noProof/>
                <w:color w:val="000000"/>
                <w:sz w:val="18"/>
                <w:szCs w:val="18"/>
                <w:lang w:val="ro-RO"/>
              </w:rPr>
            </w:pPr>
            <w:r>
              <w:rPr>
                <w:noProof/>
                <w:sz w:val="18"/>
                <w:lang w:val="ro-RO"/>
              </w:rPr>
              <w:t>0</w:t>
            </w:r>
          </w:p>
        </w:tc>
      </w:tr>
      <w:tr w:rsidR="004310B4">
        <w:trPr>
          <w:trHeight w:val="225"/>
          <w:jc w:val="center"/>
        </w:trPr>
        <w:tc>
          <w:tcPr>
            <w:tcW w:w="631" w:type="dxa"/>
            <w:vMerge/>
            <w:tcBorders>
              <w:top w:val="nil"/>
              <w:left w:val="single" w:sz="12" w:space="0" w:color="000000"/>
              <w:bottom w:val="single" w:sz="4" w:space="0" w:color="000000"/>
              <w:right w:val="single" w:sz="4" w:space="0" w:color="000000"/>
            </w:tcBorders>
            <w:vAlign w:val="center"/>
            <w:hideMark/>
          </w:tcPr>
          <w:p w:rsidR="004310B4" w:rsidRDefault="004310B4">
            <w:pPr>
              <w:spacing w:after="0"/>
              <w:jc w:val="left"/>
              <w:rPr>
                <w:noProof/>
                <w:color w:val="000000"/>
                <w:sz w:val="18"/>
                <w:szCs w:val="18"/>
                <w:lang w:val="ro-RO"/>
              </w:rPr>
            </w:pPr>
          </w:p>
        </w:tc>
        <w:tc>
          <w:tcPr>
            <w:tcW w:w="1445" w:type="dxa"/>
            <w:tcBorders>
              <w:top w:val="nil"/>
              <w:left w:val="nil"/>
              <w:bottom w:val="single" w:sz="4" w:space="0" w:color="000000"/>
              <w:right w:val="single" w:sz="4" w:space="0" w:color="000000"/>
            </w:tcBorders>
            <w:vAlign w:val="bottom"/>
            <w:hideMark/>
          </w:tcPr>
          <w:p w:rsidR="004310B4" w:rsidRDefault="004310B4">
            <w:pPr>
              <w:spacing w:after="0"/>
              <w:jc w:val="left"/>
              <w:rPr>
                <w:noProof/>
                <w:color w:val="000000"/>
                <w:sz w:val="18"/>
                <w:szCs w:val="18"/>
                <w:lang w:val="ro-RO"/>
              </w:rPr>
            </w:pPr>
            <w:r>
              <w:rPr>
                <w:noProof/>
                <w:sz w:val="18"/>
                <w:lang w:val="ro-RO"/>
              </w:rPr>
              <w:t>Foarte importantă</w:t>
            </w:r>
          </w:p>
        </w:tc>
        <w:tc>
          <w:tcPr>
            <w:tcW w:w="831" w:type="dxa"/>
            <w:tcBorders>
              <w:top w:val="nil"/>
              <w:left w:val="nil"/>
              <w:bottom w:val="single" w:sz="4" w:space="0" w:color="000000"/>
              <w:right w:val="single" w:sz="12" w:space="0" w:color="000000"/>
            </w:tcBorders>
            <w:vAlign w:val="center"/>
            <w:hideMark/>
          </w:tcPr>
          <w:p w:rsidR="004310B4" w:rsidRDefault="004310B4">
            <w:pPr>
              <w:spacing w:after="0"/>
              <w:jc w:val="center"/>
              <w:rPr>
                <w:noProof/>
                <w:color w:val="000000"/>
                <w:sz w:val="18"/>
                <w:szCs w:val="18"/>
                <w:lang w:val="ro-RO"/>
              </w:rPr>
            </w:pPr>
            <w:r>
              <w:rPr>
                <w:noProof/>
                <w:sz w:val="18"/>
                <w:lang w:val="ro-RO"/>
              </w:rPr>
              <w:t>281</w:t>
            </w:r>
          </w:p>
        </w:tc>
        <w:tc>
          <w:tcPr>
            <w:tcW w:w="728" w:type="dxa"/>
            <w:tcBorders>
              <w:top w:val="nil"/>
              <w:left w:val="single" w:sz="12" w:space="0" w:color="000000"/>
              <w:bottom w:val="single" w:sz="4" w:space="0" w:color="000000"/>
              <w:right w:val="single" w:sz="4" w:space="0" w:color="000000"/>
            </w:tcBorders>
            <w:vAlign w:val="center"/>
            <w:hideMark/>
          </w:tcPr>
          <w:p w:rsidR="004310B4" w:rsidRDefault="004310B4">
            <w:pPr>
              <w:spacing w:after="0"/>
              <w:jc w:val="center"/>
              <w:rPr>
                <w:noProof/>
                <w:color w:val="000000"/>
                <w:sz w:val="18"/>
                <w:szCs w:val="18"/>
                <w:lang w:val="ro-RO"/>
              </w:rPr>
            </w:pPr>
            <w:r>
              <w:rPr>
                <w:noProof/>
                <w:sz w:val="18"/>
                <w:lang w:val="ro-RO"/>
              </w:rPr>
              <w:t>233</w:t>
            </w:r>
          </w:p>
        </w:tc>
        <w:tc>
          <w:tcPr>
            <w:tcW w:w="850" w:type="dxa"/>
            <w:tcBorders>
              <w:top w:val="nil"/>
              <w:left w:val="nil"/>
              <w:bottom w:val="single" w:sz="4" w:space="0" w:color="000000"/>
              <w:right w:val="single" w:sz="12" w:space="0" w:color="000000"/>
            </w:tcBorders>
            <w:vAlign w:val="center"/>
            <w:hideMark/>
          </w:tcPr>
          <w:p w:rsidR="004310B4" w:rsidRDefault="004310B4">
            <w:pPr>
              <w:spacing w:after="0"/>
              <w:jc w:val="center"/>
              <w:rPr>
                <w:noProof/>
                <w:color w:val="000000"/>
                <w:sz w:val="18"/>
                <w:szCs w:val="18"/>
                <w:lang w:val="ro-RO"/>
              </w:rPr>
            </w:pPr>
            <w:r>
              <w:rPr>
                <w:noProof/>
                <w:sz w:val="18"/>
                <w:lang w:val="ro-RO"/>
              </w:rPr>
              <w:t>83 %</w:t>
            </w:r>
          </w:p>
        </w:tc>
        <w:tc>
          <w:tcPr>
            <w:tcW w:w="567" w:type="dxa"/>
            <w:tcBorders>
              <w:top w:val="nil"/>
              <w:left w:val="single" w:sz="12" w:space="0" w:color="000000"/>
              <w:bottom w:val="single" w:sz="4" w:space="0" w:color="000000"/>
              <w:right w:val="single" w:sz="4" w:space="0" w:color="000000"/>
            </w:tcBorders>
            <w:vAlign w:val="center"/>
            <w:hideMark/>
          </w:tcPr>
          <w:p w:rsidR="004310B4" w:rsidRDefault="004310B4">
            <w:pPr>
              <w:spacing w:after="0"/>
              <w:jc w:val="center"/>
              <w:rPr>
                <w:noProof/>
                <w:color w:val="000000"/>
                <w:sz w:val="18"/>
                <w:szCs w:val="18"/>
                <w:lang w:val="ro-RO"/>
              </w:rPr>
            </w:pPr>
            <w:r>
              <w:rPr>
                <w:noProof/>
                <w:sz w:val="18"/>
                <w:lang w:val="ro-RO"/>
              </w:rPr>
              <w:t>48</w:t>
            </w:r>
          </w:p>
        </w:tc>
        <w:tc>
          <w:tcPr>
            <w:tcW w:w="725"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 w:val="18"/>
                <w:szCs w:val="18"/>
                <w:lang w:val="ro-RO"/>
              </w:rPr>
            </w:pPr>
            <w:r>
              <w:rPr>
                <w:noProof/>
                <w:sz w:val="18"/>
                <w:lang w:val="ro-RO"/>
              </w:rPr>
              <w:t>17 %</w:t>
            </w:r>
          </w:p>
        </w:tc>
        <w:tc>
          <w:tcPr>
            <w:tcW w:w="782"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 w:val="18"/>
                <w:szCs w:val="18"/>
                <w:lang w:val="ro-RO"/>
              </w:rPr>
            </w:pPr>
            <w:r>
              <w:rPr>
                <w:noProof/>
                <w:sz w:val="18"/>
                <w:lang w:val="ro-RO"/>
              </w:rPr>
              <w:t>10</w:t>
            </w:r>
          </w:p>
        </w:tc>
        <w:tc>
          <w:tcPr>
            <w:tcW w:w="672"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 w:val="18"/>
                <w:szCs w:val="18"/>
                <w:lang w:val="ro-RO"/>
              </w:rPr>
            </w:pPr>
            <w:r>
              <w:rPr>
                <w:noProof/>
                <w:sz w:val="18"/>
                <w:lang w:val="ro-RO"/>
              </w:rPr>
              <w:t>23</w:t>
            </w:r>
          </w:p>
        </w:tc>
        <w:tc>
          <w:tcPr>
            <w:tcW w:w="672" w:type="dxa"/>
            <w:tcBorders>
              <w:top w:val="single" w:sz="4" w:space="0" w:color="000000"/>
              <w:left w:val="nil"/>
              <w:bottom w:val="single" w:sz="4" w:space="0" w:color="000000"/>
              <w:right w:val="single" w:sz="4" w:space="0" w:color="000000"/>
            </w:tcBorders>
            <w:vAlign w:val="center"/>
            <w:hideMark/>
          </w:tcPr>
          <w:p w:rsidR="004310B4" w:rsidRDefault="004310B4">
            <w:pPr>
              <w:spacing w:after="0"/>
              <w:jc w:val="center"/>
              <w:rPr>
                <w:noProof/>
                <w:color w:val="000000"/>
                <w:sz w:val="18"/>
                <w:szCs w:val="18"/>
                <w:lang w:val="ro-RO"/>
              </w:rPr>
            </w:pPr>
            <w:r>
              <w:rPr>
                <w:noProof/>
                <w:sz w:val="18"/>
                <w:lang w:val="ro-RO"/>
              </w:rPr>
              <w:t>5</w:t>
            </w:r>
          </w:p>
        </w:tc>
        <w:tc>
          <w:tcPr>
            <w:tcW w:w="613" w:type="dxa"/>
            <w:tcBorders>
              <w:top w:val="single" w:sz="4" w:space="0" w:color="000000"/>
              <w:left w:val="nil"/>
              <w:bottom w:val="single" w:sz="4" w:space="0" w:color="000000"/>
              <w:right w:val="single" w:sz="12" w:space="0" w:color="000000"/>
            </w:tcBorders>
            <w:vAlign w:val="center"/>
            <w:hideMark/>
          </w:tcPr>
          <w:p w:rsidR="004310B4" w:rsidRDefault="004310B4">
            <w:pPr>
              <w:spacing w:after="0"/>
              <w:jc w:val="center"/>
              <w:rPr>
                <w:noProof/>
                <w:color w:val="000000"/>
                <w:sz w:val="18"/>
                <w:szCs w:val="18"/>
                <w:lang w:val="ro-RO"/>
              </w:rPr>
            </w:pPr>
            <w:r>
              <w:rPr>
                <w:noProof/>
                <w:sz w:val="18"/>
                <w:lang w:val="ro-RO"/>
              </w:rPr>
              <w:t>10</w:t>
            </w:r>
          </w:p>
        </w:tc>
      </w:tr>
      <w:tr w:rsidR="004310B4">
        <w:trPr>
          <w:trHeight w:val="225"/>
          <w:jc w:val="center"/>
        </w:trPr>
        <w:tc>
          <w:tcPr>
            <w:tcW w:w="631" w:type="dxa"/>
            <w:vMerge/>
            <w:tcBorders>
              <w:top w:val="nil"/>
              <w:left w:val="single" w:sz="12" w:space="0" w:color="000000"/>
              <w:bottom w:val="single" w:sz="4" w:space="0" w:color="000000"/>
              <w:right w:val="single" w:sz="4" w:space="0" w:color="000000"/>
            </w:tcBorders>
            <w:vAlign w:val="center"/>
            <w:hideMark/>
          </w:tcPr>
          <w:p w:rsidR="004310B4" w:rsidRDefault="004310B4">
            <w:pPr>
              <w:spacing w:after="0"/>
              <w:jc w:val="left"/>
              <w:rPr>
                <w:noProof/>
                <w:color w:val="000000"/>
                <w:sz w:val="18"/>
                <w:szCs w:val="18"/>
                <w:lang w:val="ro-RO"/>
              </w:rPr>
            </w:pPr>
          </w:p>
        </w:tc>
        <w:tc>
          <w:tcPr>
            <w:tcW w:w="1445" w:type="dxa"/>
            <w:tcBorders>
              <w:top w:val="nil"/>
              <w:left w:val="nil"/>
              <w:bottom w:val="single" w:sz="4" w:space="0" w:color="000000"/>
              <w:right w:val="single" w:sz="4" w:space="0" w:color="000000"/>
            </w:tcBorders>
            <w:vAlign w:val="bottom"/>
            <w:hideMark/>
          </w:tcPr>
          <w:p w:rsidR="004310B4" w:rsidRDefault="004310B4">
            <w:pPr>
              <w:spacing w:after="0"/>
              <w:jc w:val="left"/>
              <w:rPr>
                <w:noProof/>
                <w:color w:val="000000"/>
                <w:sz w:val="18"/>
                <w:szCs w:val="18"/>
                <w:lang w:val="ro-RO"/>
              </w:rPr>
            </w:pPr>
            <w:r>
              <w:rPr>
                <w:noProof/>
                <w:sz w:val="18"/>
                <w:lang w:val="ro-RO"/>
              </w:rPr>
              <w:t>Importantă</w:t>
            </w:r>
          </w:p>
        </w:tc>
        <w:tc>
          <w:tcPr>
            <w:tcW w:w="831" w:type="dxa"/>
            <w:tcBorders>
              <w:top w:val="nil"/>
              <w:left w:val="nil"/>
              <w:bottom w:val="single" w:sz="4" w:space="0" w:color="000000"/>
              <w:right w:val="single" w:sz="12" w:space="0" w:color="000000"/>
            </w:tcBorders>
            <w:vAlign w:val="center"/>
            <w:hideMark/>
          </w:tcPr>
          <w:p w:rsidR="004310B4" w:rsidRDefault="004310B4">
            <w:pPr>
              <w:spacing w:after="0"/>
              <w:jc w:val="center"/>
              <w:rPr>
                <w:noProof/>
                <w:color w:val="000000"/>
                <w:sz w:val="18"/>
                <w:szCs w:val="18"/>
                <w:lang w:val="ro-RO"/>
              </w:rPr>
            </w:pPr>
            <w:r>
              <w:rPr>
                <w:noProof/>
                <w:sz w:val="18"/>
                <w:lang w:val="ro-RO"/>
              </w:rPr>
              <w:t>583</w:t>
            </w:r>
          </w:p>
        </w:tc>
        <w:tc>
          <w:tcPr>
            <w:tcW w:w="728" w:type="dxa"/>
            <w:tcBorders>
              <w:top w:val="nil"/>
              <w:left w:val="single" w:sz="12" w:space="0" w:color="000000"/>
              <w:bottom w:val="single" w:sz="4" w:space="0" w:color="000000"/>
              <w:right w:val="single" w:sz="4" w:space="0" w:color="000000"/>
            </w:tcBorders>
            <w:vAlign w:val="center"/>
            <w:hideMark/>
          </w:tcPr>
          <w:p w:rsidR="004310B4" w:rsidRDefault="004310B4">
            <w:pPr>
              <w:spacing w:after="0"/>
              <w:jc w:val="center"/>
              <w:rPr>
                <w:noProof/>
                <w:color w:val="000000"/>
                <w:sz w:val="18"/>
                <w:szCs w:val="18"/>
                <w:lang w:val="ro-RO"/>
              </w:rPr>
            </w:pPr>
            <w:r>
              <w:rPr>
                <w:noProof/>
                <w:sz w:val="18"/>
                <w:lang w:val="ro-RO"/>
              </w:rPr>
              <w:t>466</w:t>
            </w:r>
          </w:p>
        </w:tc>
        <w:tc>
          <w:tcPr>
            <w:tcW w:w="850" w:type="dxa"/>
            <w:tcBorders>
              <w:top w:val="nil"/>
              <w:left w:val="nil"/>
              <w:bottom w:val="single" w:sz="4" w:space="0" w:color="000000"/>
              <w:right w:val="single" w:sz="12" w:space="0" w:color="000000"/>
            </w:tcBorders>
            <w:vAlign w:val="center"/>
            <w:hideMark/>
          </w:tcPr>
          <w:p w:rsidR="004310B4" w:rsidRDefault="004310B4">
            <w:pPr>
              <w:spacing w:after="0"/>
              <w:jc w:val="center"/>
              <w:rPr>
                <w:noProof/>
                <w:color w:val="000000"/>
                <w:sz w:val="18"/>
                <w:szCs w:val="18"/>
                <w:lang w:val="ro-RO"/>
              </w:rPr>
            </w:pPr>
            <w:r>
              <w:rPr>
                <w:noProof/>
                <w:sz w:val="18"/>
                <w:lang w:val="ro-RO"/>
              </w:rPr>
              <w:t>80 %</w:t>
            </w:r>
          </w:p>
        </w:tc>
        <w:tc>
          <w:tcPr>
            <w:tcW w:w="567" w:type="dxa"/>
            <w:tcBorders>
              <w:top w:val="nil"/>
              <w:left w:val="single" w:sz="12" w:space="0" w:color="000000"/>
              <w:bottom w:val="single" w:sz="4" w:space="0" w:color="000000"/>
              <w:right w:val="single" w:sz="4" w:space="0" w:color="000000"/>
            </w:tcBorders>
            <w:vAlign w:val="center"/>
            <w:hideMark/>
          </w:tcPr>
          <w:p w:rsidR="004310B4" w:rsidRDefault="004310B4">
            <w:pPr>
              <w:spacing w:after="0"/>
              <w:jc w:val="center"/>
              <w:rPr>
                <w:noProof/>
                <w:color w:val="000000"/>
                <w:sz w:val="18"/>
                <w:szCs w:val="18"/>
                <w:lang w:val="ro-RO"/>
              </w:rPr>
            </w:pPr>
            <w:r>
              <w:rPr>
                <w:noProof/>
                <w:sz w:val="18"/>
                <w:lang w:val="ro-RO"/>
              </w:rPr>
              <w:t>117</w:t>
            </w:r>
          </w:p>
        </w:tc>
        <w:tc>
          <w:tcPr>
            <w:tcW w:w="725"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 w:val="18"/>
                <w:szCs w:val="18"/>
                <w:lang w:val="ro-RO"/>
              </w:rPr>
            </w:pPr>
            <w:r>
              <w:rPr>
                <w:noProof/>
                <w:sz w:val="18"/>
                <w:lang w:val="ro-RO"/>
              </w:rPr>
              <w:t>20 %</w:t>
            </w:r>
          </w:p>
        </w:tc>
        <w:tc>
          <w:tcPr>
            <w:tcW w:w="782"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 w:val="18"/>
                <w:szCs w:val="18"/>
                <w:lang w:val="ro-RO"/>
              </w:rPr>
            </w:pPr>
            <w:r>
              <w:rPr>
                <w:noProof/>
                <w:sz w:val="18"/>
                <w:lang w:val="ro-RO"/>
              </w:rPr>
              <w:t>20</w:t>
            </w:r>
          </w:p>
        </w:tc>
        <w:tc>
          <w:tcPr>
            <w:tcW w:w="672"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 w:val="18"/>
                <w:szCs w:val="18"/>
                <w:lang w:val="ro-RO"/>
              </w:rPr>
            </w:pPr>
            <w:r>
              <w:rPr>
                <w:noProof/>
                <w:sz w:val="18"/>
                <w:lang w:val="ro-RO"/>
              </w:rPr>
              <w:t>40</w:t>
            </w:r>
          </w:p>
        </w:tc>
        <w:tc>
          <w:tcPr>
            <w:tcW w:w="672"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 w:val="18"/>
                <w:szCs w:val="18"/>
                <w:lang w:val="ro-RO"/>
              </w:rPr>
            </w:pPr>
            <w:r>
              <w:rPr>
                <w:noProof/>
                <w:sz w:val="18"/>
                <w:lang w:val="ro-RO"/>
              </w:rPr>
              <w:t>23</w:t>
            </w:r>
          </w:p>
        </w:tc>
        <w:tc>
          <w:tcPr>
            <w:tcW w:w="613" w:type="dxa"/>
            <w:tcBorders>
              <w:top w:val="nil"/>
              <w:left w:val="nil"/>
              <w:bottom w:val="single" w:sz="4" w:space="0" w:color="000000"/>
              <w:right w:val="single" w:sz="12" w:space="0" w:color="000000"/>
            </w:tcBorders>
            <w:vAlign w:val="center"/>
            <w:hideMark/>
          </w:tcPr>
          <w:p w:rsidR="004310B4" w:rsidRDefault="004310B4">
            <w:pPr>
              <w:spacing w:after="0"/>
              <w:jc w:val="center"/>
              <w:rPr>
                <w:noProof/>
                <w:color w:val="000000"/>
                <w:sz w:val="18"/>
                <w:szCs w:val="18"/>
                <w:lang w:val="ro-RO"/>
              </w:rPr>
            </w:pPr>
            <w:r>
              <w:rPr>
                <w:noProof/>
                <w:sz w:val="18"/>
                <w:lang w:val="ro-RO"/>
              </w:rPr>
              <w:t>34</w:t>
            </w:r>
          </w:p>
        </w:tc>
      </w:tr>
      <w:tr w:rsidR="004310B4">
        <w:trPr>
          <w:trHeight w:val="225"/>
          <w:jc w:val="center"/>
        </w:trPr>
        <w:tc>
          <w:tcPr>
            <w:tcW w:w="631" w:type="dxa"/>
            <w:vMerge/>
            <w:tcBorders>
              <w:top w:val="nil"/>
              <w:left w:val="single" w:sz="12" w:space="0" w:color="000000"/>
              <w:bottom w:val="single" w:sz="4" w:space="0" w:color="000000"/>
              <w:right w:val="single" w:sz="4" w:space="0" w:color="000000"/>
            </w:tcBorders>
            <w:vAlign w:val="center"/>
            <w:hideMark/>
          </w:tcPr>
          <w:p w:rsidR="004310B4" w:rsidRDefault="004310B4">
            <w:pPr>
              <w:spacing w:after="0"/>
              <w:jc w:val="left"/>
              <w:rPr>
                <w:noProof/>
                <w:color w:val="000000"/>
                <w:sz w:val="18"/>
                <w:szCs w:val="18"/>
                <w:lang w:val="ro-RO"/>
              </w:rPr>
            </w:pPr>
          </w:p>
        </w:tc>
        <w:tc>
          <w:tcPr>
            <w:tcW w:w="1445" w:type="dxa"/>
            <w:tcBorders>
              <w:top w:val="nil"/>
              <w:left w:val="nil"/>
              <w:bottom w:val="single" w:sz="4" w:space="0" w:color="000000"/>
              <w:right w:val="single" w:sz="4" w:space="0" w:color="000000"/>
            </w:tcBorders>
            <w:vAlign w:val="bottom"/>
            <w:hideMark/>
          </w:tcPr>
          <w:p w:rsidR="004310B4" w:rsidRDefault="004310B4">
            <w:pPr>
              <w:spacing w:after="0"/>
              <w:jc w:val="left"/>
              <w:rPr>
                <w:noProof/>
                <w:color w:val="000000"/>
                <w:sz w:val="18"/>
                <w:szCs w:val="18"/>
                <w:lang w:val="ro-RO"/>
              </w:rPr>
            </w:pPr>
            <w:r>
              <w:rPr>
                <w:noProof/>
                <w:sz w:val="18"/>
                <w:lang w:val="ro-RO"/>
              </w:rPr>
              <w:t>De dorit</w:t>
            </w:r>
          </w:p>
        </w:tc>
        <w:tc>
          <w:tcPr>
            <w:tcW w:w="831" w:type="dxa"/>
            <w:tcBorders>
              <w:top w:val="nil"/>
              <w:left w:val="nil"/>
              <w:bottom w:val="single" w:sz="4" w:space="0" w:color="000000"/>
              <w:right w:val="single" w:sz="12" w:space="0" w:color="000000"/>
            </w:tcBorders>
            <w:vAlign w:val="center"/>
            <w:hideMark/>
          </w:tcPr>
          <w:p w:rsidR="004310B4" w:rsidRDefault="004310B4">
            <w:pPr>
              <w:spacing w:after="0"/>
              <w:jc w:val="center"/>
              <w:rPr>
                <w:noProof/>
                <w:color w:val="000000"/>
                <w:sz w:val="18"/>
                <w:szCs w:val="18"/>
                <w:lang w:val="ro-RO"/>
              </w:rPr>
            </w:pPr>
            <w:r>
              <w:rPr>
                <w:noProof/>
                <w:sz w:val="18"/>
                <w:lang w:val="ro-RO"/>
              </w:rPr>
              <w:t>44</w:t>
            </w:r>
          </w:p>
        </w:tc>
        <w:tc>
          <w:tcPr>
            <w:tcW w:w="728" w:type="dxa"/>
            <w:tcBorders>
              <w:top w:val="nil"/>
              <w:left w:val="single" w:sz="12" w:space="0" w:color="000000"/>
              <w:bottom w:val="single" w:sz="4" w:space="0" w:color="000000"/>
              <w:right w:val="single" w:sz="4" w:space="0" w:color="000000"/>
            </w:tcBorders>
            <w:vAlign w:val="center"/>
            <w:hideMark/>
          </w:tcPr>
          <w:p w:rsidR="004310B4" w:rsidRDefault="004310B4">
            <w:pPr>
              <w:spacing w:after="0"/>
              <w:jc w:val="center"/>
              <w:rPr>
                <w:noProof/>
                <w:color w:val="000000"/>
                <w:sz w:val="18"/>
                <w:szCs w:val="18"/>
                <w:lang w:val="ro-RO"/>
              </w:rPr>
            </w:pPr>
            <w:r>
              <w:rPr>
                <w:noProof/>
                <w:sz w:val="18"/>
                <w:lang w:val="ro-RO"/>
              </w:rPr>
              <w:t>44</w:t>
            </w:r>
          </w:p>
        </w:tc>
        <w:tc>
          <w:tcPr>
            <w:tcW w:w="850" w:type="dxa"/>
            <w:tcBorders>
              <w:top w:val="nil"/>
              <w:left w:val="nil"/>
              <w:bottom w:val="single" w:sz="4" w:space="0" w:color="000000"/>
              <w:right w:val="single" w:sz="12" w:space="0" w:color="000000"/>
            </w:tcBorders>
            <w:vAlign w:val="center"/>
            <w:hideMark/>
          </w:tcPr>
          <w:p w:rsidR="004310B4" w:rsidRDefault="004310B4">
            <w:pPr>
              <w:spacing w:after="0"/>
              <w:jc w:val="center"/>
              <w:rPr>
                <w:noProof/>
                <w:color w:val="000000"/>
                <w:sz w:val="18"/>
                <w:szCs w:val="18"/>
                <w:lang w:val="ro-RO"/>
              </w:rPr>
            </w:pPr>
            <w:r>
              <w:rPr>
                <w:noProof/>
                <w:sz w:val="18"/>
                <w:lang w:val="ro-RO"/>
              </w:rPr>
              <w:t>100 %</w:t>
            </w:r>
          </w:p>
        </w:tc>
        <w:tc>
          <w:tcPr>
            <w:tcW w:w="567" w:type="dxa"/>
            <w:tcBorders>
              <w:top w:val="nil"/>
              <w:left w:val="single" w:sz="12" w:space="0" w:color="000000"/>
              <w:bottom w:val="single" w:sz="4" w:space="0" w:color="000000"/>
              <w:right w:val="single" w:sz="4" w:space="0" w:color="000000"/>
            </w:tcBorders>
            <w:vAlign w:val="center"/>
            <w:hideMark/>
          </w:tcPr>
          <w:p w:rsidR="004310B4" w:rsidRDefault="004310B4">
            <w:pPr>
              <w:spacing w:after="0"/>
              <w:jc w:val="center"/>
              <w:rPr>
                <w:noProof/>
                <w:color w:val="000000"/>
                <w:sz w:val="18"/>
                <w:szCs w:val="18"/>
                <w:lang w:val="ro-RO"/>
              </w:rPr>
            </w:pPr>
            <w:r>
              <w:rPr>
                <w:noProof/>
                <w:sz w:val="18"/>
                <w:lang w:val="ro-RO"/>
              </w:rPr>
              <w:t>0</w:t>
            </w:r>
          </w:p>
        </w:tc>
        <w:tc>
          <w:tcPr>
            <w:tcW w:w="725"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 w:val="18"/>
                <w:szCs w:val="18"/>
                <w:lang w:val="ro-RO"/>
              </w:rPr>
            </w:pPr>
            <w:r>
              <w:rPr>
                <w:noProof/>
                <w:sz w:val="18"/>
                <w:lang w:val="ro-RO"/>
              </w:rPr>
              <w:t>0 %</w:t>
            </w:r>
          </w:p>
        </w:tc>
        <w:tc>
          <w:tcPr>
            <w:tcW w:w="782"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 w:val="18"/>
                <w:szCs w:val="18"/>
                <w:lang w:val="ro-RO"/>
              </w:rPr>
            </w:pPr>
            <w:r>
              <w:rPr>
                <w:noProof/>
                <w:sz w:val="18"/>
                <w:lang w:val="ro-RO"/>
              </w:rPr>
              <w:t>0</w:t>
            </w:r>
          </w:p>
        </w:tc>
        <w:tc>
          <w:tcPr>
            <w:tcW w:w="672"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 w:val="18"/>
                <w:szCs w:val="18"/>
                <w:lang w:val="ro-RO"/>
              </w:rPr>
            </w:pPr>
            <w:r>
              <w:rPr>
                <w:noProof/>
                <w:sz w:val="18"/>
                <w:lang w:val="ro-RO"/>
              </w:rPr>
              <w:t>0</w:t>
            </w:r>
          </w:p>
        </w:tc>
        <w:tc>
          <w:tcPr>
            <w:tcW w:w="672"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 w:val="18"/>
                <w:szCs w:val="18"/>
                <w:lang w:val="ro-RO"/>
              </w:rPr>
            </w:pPr>
            <w:r>
              <w:rPr>
                <w:noProof/>
                <w:sz w:val="18"/>
                <w:lang w:val="ro-RO"/>
              </w:rPr>
              <w:t>0</w:t>
            </w:r>
          </w:p>
        </w:tc>
        <w:tc>
          <w:tcPr>
            <w:tcW w:w="613" w:type="dxa"/>
            <w:tcBorders>
              <w:top w:val="nil"/>
              <w:left w:val="nil"/>
              <w:bottom w:val="single" w:sz="4" w:space="0" w:color="000000"/>
              <w:right w:val="single" w:sz="12" w:space="0" w:color="000000"/>
            </w:tcBorders>
            <w:vAlign w:val="center"/>
            <w:hideMark/>
          </w:tcPr>
          <w:p w:rsidR="004310B4" w:rsidRDefault="004310B4">
            <w:pPr>
              <w:spacing w:after="0"/>
              <w:jc w:val="center"/>
              <w:rPr>
                <w:noProof/>
                <w:color w:val="000000"/>
                <w:sz w:val="18"/>
                <w:szCs w:val="18"/>
                <w:lang w:val="ro-RO"/>
              </w:rPr>
            </w:pPr>
            <w:r>
              <w:rPr>
                <w:noProof/>
                <w:sz w:val="18"/>
                <w:lang w:val="ro-RO"/>
              </w:rPr>
              <w:t>0</w:t>
            </w:r>
          </w:p>
        </w:tc>
      </w:tr>
      <w:tr w:rsidR="004310B4">
        <w:trPr>
          <w:trHeight w:val="225"/>
          <w:jc w:val="center"/>
        </w:trPr>
        <w:tc>
          <w:tcPr>
            <w:tcW w:w="631" w:type="dxa"/>
            <w:vMerge/>
            <w:tcBorders>
              <w:top w:val="nil"/>
              <w:left w:val="single" w:sz="12" w:space="0" w:color="000000"/>
              <w:bottom w:val="single" w:sz="4" w:space="0" w:color="000000"/>
              <w:right w:val="single" w:sz="4" w:space="0" w:color="000000"/>
            </w:tcBorders>
            <w:vAlign w:val="center"/>
            <w:hideMark/>
          </w:tcPr>
          <w:p w:rsidR="004310B4" w:rsidRDefault="004310B4">
            <w:pPr>
              <w:spacing w:after="0"/>
              <w:jc w:val="left"/>
              <w:rPr>
                <w:noProof/>
                <w:color w:val="000000"/>
                <w:sz w:val="18"/>
                <w:szCs w:val="18"/>
                <w:lang w:val="ro-RO"/>
              </w:rPr>
            </w:pPr>
          </w:p>
        </w:tc>
        <w:tc>
          <w:tcPr>
            <w:tcW w:w="1445" w:type="dxa"/>
            <w:tcBorders>
              <w:top w:val="single" w:sz="4" w:space="0" w:color="000000"/>
              <w:left w:val="nil"/>
              <w:bottom w:val="single" w:sz="4" w:space="0" w:color="000000"/>
              <w:right w:val="single" w:sz="4" w:space="0" w:color="000000"/>
            </w:tcBorders>
            <w:shd w:val="pct10" w:color="auto" w:fill="auto"/>
            <w:vAlign w:val="bottom"/>
            <w:hideMark/>
          </w:tcPr>
          <w:p w:rsidR="004310B4" w:rsidRDefault="004310B4">
            <w:pPr>
              <w:spacing w:after="0"/>
              <w:jc w:val="left"/>
              <w:rPr>
                <w:b/>
                <w:noProof/>
                <w:color w:val="000000"/>
                <w:sz w:val="18"/>
                <w:szCs w:val="18"/>
                <w:lang w:val="ro-RO"/>
              </w:rPr>
            </w:pPr>
            <w:r>
              <w:rPr>
                <w:b/>
                <w:noProof/>
                <w:sz w:val="18"/>
                <w:lang w:val="ro-RO"/>
              </w:rPr>
              <w:t>Total IAC</w:t>
            </w:r>
          </w:p>
        </w:tc>
        <w:tc>
          <w:tcPr>
            <w:tcW w:w="831" w:type="dxa"/>
            <w:tcBorders>
              <w:top w:val="single" w:sz="4" w:space="0" w:color="000000"/>
              <w:left w:val="nil"/>
              <w:bottom w:val="single" w:sz="4" w:space="0" w:color="000000"/>
              <w:right w:val="single" w:sz="12" w:space="0" w:color="000000"/>
            </w:tcBorders>
            <w:shd w:val="pct10" w:color="auto" w:fill="auto"/>
            <w:vAlign w:val="center"/>
            <w:hideMark/>
          </w:tcPr>
          <w:p w:rsidR="004310B4" w:rsidRDefault="004310B4">
            <w:pPr>
              <w:spacing w:after="0"/>
              <w:jc w:val="center"/>
              <w:rPr>
                <w:b/>
                <w:noProof/>
                <w:color w:val="000000"/>
                <w:sz w:val="18"/>
                <w:szCs w:val="18"/>
                <w:lang w:val="ro-RO"/>
              </w:rPr>
            </w:pPr>
            <w:r>
              <w:rPr>
                <w:b/>
                <w:noProof/>
                <w:sz w:val="18"/>
                <w:lang w:val="ro-RO"/>
              </w:rPr>
              <w:t>908</w:t>
            </w:r>
          </w:p>
        </w:tc>
        <w:tc>
          <w:tcPr>
            <w:tcW w:w="728" w:type="dxa"/>
            <w:tcBorders>
              <w:top w:val="single" w:sz="4" w:space="0" w:color="000000"/>
              <w:left w:val="single" w:sz="12" w:space="0" w:color="000000"/>
              <w:bottom w:val="single" w:sz="4" w:space="0" w:color="000000"/>
              <w:right w:val="single" w:sz="4" w:space="0" w:color="000000"/>
            </w:tcBorders>
            <w:shd w:val="pct10" w:color="auto" w:fill="auto"/>
            <w:vAlign w:val="center"/>
            <w:hideMark/>
          </w:tcPr>
          <w:p w:rsidR="004310B4" w:rsidRDefault="004310B4">
            <w:pPr>
              <w:spacing w:after="0"/>
              <w:jc w:val="center"/>
              <w:rPr>
                <w:b/>
                <w:noProof/>
                <w:color w:val="000000"/>
                <w:sz w:val="18"/>
                <w:szCs w:val="18"/>
                <w:lang w:val="ro-RO"/>
              </w:rPr>
            </w:pPr>
            <w:r>
              <w:rPr>
                <w:b/>
                <w:noProof/>
                <w:sz w:val="18"/>
                <w:lang w:val="ro-RO"/>
              </w:rPr>
              <w:t>743</w:t>
            </w:r>
          </w:p>
        </w:tc>
        <w:tc>
          <w:tcPr>
            <w:tcW w:w="850" w:type="dxa"/>
            <w:tcBorders>
              <w:top w:val="single" w:sz="4" w:space="0" w:color="000000"/>
              <w:left w:val="nil"/>
              <w:bottom w:val="single" w:sz="4" w:space="0" w:color="000000"/>
              <w:right w:val="single" w:sz="12" w:space="0" w:color="000000"/>
            </w:tcBorders>
            <w:shd w:val="pct10" w:color="auto" w:fill="auto"/>
            <w:vAlign w:val="center"/>
            <w:hideMark/>
          </w:tcPr>
          <w:p w:rsidR="004310B4" w:rsidRDefault="004310B4">
            <w:pPr>
              <w:spacing w:after="0"/>
              <w:jc w:val="center"/>
              <w:rPr>
                <w:b/>
                <w:noProof/>
                <w:color w:val="000000"/>
                <w:sz w:val="18"/>
                <w:szCs w:val="18"/>
                <w:lang w:val="ro-RO"/>
              </w:rPr>
            </w:pPr>
            <w:r>
              <w:rPr>
                <w:b/>
                <w:noProof/>
                <w:sz w:val="18"/>
                <w:lang w:val="ro-RO"/>
              </w:rPr>
              <w:t>82 %</w:t>
            </w:r>
          </w:p>
        </w:tc>
        <w:tc>
          <w:tcPr>
            <w:tcW w:w="567" w:type="dxa"/>
            <w:tcBorders>
              <w:top w:val="single" w:sz="4" w:space="0" w:color="000000"/>
              <w:left w:val="single" w:sz="12" w:space="0" w:color="000000"/>
              <w:bottom w:val="single" w:sz="4" w:space="0" w:color="000000"/>
              <w:right w:val="single" w:sz="4" w:space="0" w:color="000000"/>
            </w:tcBorders>
            <w:shd w:val="pct10" w:color="auto" w:fill="auto"/>
            <w:vAlign w:val="center"/>
            <w:hideMark/>
          </w:tcPr>
          <w:p w:rsidR="004310B4" w:rsidRDefault="004310B4">
            <w:pPr>
              <w:spacing w:after="0"/>
              <w:jc w:val="center"/>
              <w:rPr>
                <w:b/>
                <w:noProof/>
                <w:color w:val="000000"/>
                <w:sz w:val="18"/>
                <w:szCs w:val="18"/>
                <w:lang w:val="ro-RO"/>
              </w:rPr>
            </w:pPr>
            <w:r>
              <w:rPr>
                <w:b/>
                <w:noProof/>
                <w:sz w:val="18"/>
                <w:lang w:val="ro-RO"/>
              </w:rPr>
              <w:t>165</w:t>
            </w:r>
          </w:p>
        </w:tc>
        <w:tc>
          <w:tcPr>
            <w:tcW w:w="725" w:type="dxa"/>
            <w:tcBorders>
              <w:top w:val="single" w:sz="4" w:space="0" w:color="000000"/>
              <w:left w:val="nil"/>
              <w:bottom w:val="single" w:sz="4" w:space="0" w:color="000000"/>
              <w:right w:val="single" w:sz="4" w:space="0" w:color="000000"/>
            </w:tcBorders>
            <w:shd w:val="pct10" w:color="auto" w:fill="auto"/>
            <w:vAlign w:val="center"/>
            <w:hideMark/>
          </w:tcPr>
          <w:p w:rsidR="004310B4" w:rsidRDefault="004310B4">
            <w:pPr>
              <w:spacing w:after="0"/>
              <w:jc w:val="center"/>
              <w:rPr>
                <w:b/>
                <w:noProof/>
                <w:color w:val="000000"/>
                <w:sz w:val="18"/>
                <w:szCs w:val="18"/>
                <w:lang w:val="ro-RO"/>
              </w:rPr>
            </w:pPr>
            <w:r>
              <w:rPr>
                <w:b/>
                <w:noProof/>
                <w:sz w:val="18"/>
                <w:lang w:val="ro-RO"/>
              </w:rPr>
              <w:t>18 %</w:t>
            </w:r>
          </w:p>
        </w:tc>
        <w:tc>
          <w:tcPr>
            <w:tcW w:w="782" w:type="dxa"/>
            <w:tcBorders>
              <w:top w:val="single" w:sz="4" w:space="0" w:color="000000"/>
              <w:left w:val="nil"/>
              <w:bottom w:val="single" w:sz="4" w:space="0" w:color="000000"/>
              <w:right w:val="single" w:sz="4" w:space="0" w:color="000000"/>
            </w:tcBorders>
            <w:shd w:val="pct10" w:color="auto" w:fill="auto"/>
            <w:vAlign w:val="center"/>
            <w:hideMark/>
          </w:tcPr>
          <w:p w:rsidR="004310B4" w:rsidRDefault="004310B4">
            <w:pPr>
              <w:spacing w:after="0"/>
              <w:jc w:val="center"/>
              <w:rPr>
                <w:b/>
                <w:noProof/>
                <w:color w:val="000000"/>
                <w:sz w:val="18"/>
                <w:szCs w:val="18"/>
                <w:lang w:val="ro-RO"/>
              </w:rPr>
            </w:pPr>
            <w:r>
              <w:rPr>
                <w:b/>
                <w:noProof/>
                <w:sz w:val="18"/>
                <w:lang w:val="ro-RO"/>
              </w:rPr>
              <w:t>30</w:t>
            </w:r>
          </w:p>
        </w:tc>
        <w:tc>
          <w:tcPr>
            <w:tcW w:w="672" w:type="dxa"/>
            <w:tcBorders>
              <w:top w:val="single" w:sz="4" w:space="0" w:color="000000"/>
              <w:left w:val="nil"/>
              <w:bottom w:val="single" w:sz="4" w:space="0" w:color="000000"/>
              <w:right w:val="single" w:sz="4" w:space="0" w:color="000000"/>
            </w:tcBorders>
            <w:shd w:val="pct10" w:color="auto" w:fill="auto"/>
            <w:vAlign w:val="center"/>
            <w:hideMark/>
          </w:tcPr>
          <w:p w:rsidR="004310B4" w:rsidRDefault="004310B4">
            <w:pPr>
              <w:spacing w:after="0"/>
              <w:jc w:val="center"/>
              <w:rPr>
                <w:b/>
                <w:noProof/>
                <w:color w:val="000000"/>
                <w:sz w:val="18"/>
                <w:szCs w:val="18"/>
                <w:lang w:val="ro-RO"/>
              </w:rPr>
            </w:pPr>
            <w:r>
              <w:rPr>
                <w:b/>
                <w:noProof/>
                <w:sz w:val="18"/>
                <w:lang w:val="ro-RO"/>
              </w:rPr>
              <w:t>63</w:t>
            </w:r>
          </w:p>
        </w:tc>
        <w:tc>
          <w:tcPr>
            <w:tcW w:w="672" w:type="dxa"/>
            <w:tcBorders>
              <w:top w:val="single" w:sz="4" w:space="0" w:color="000000"/>
              <w:left w:val="nil"/>
              <w:bottom w:val="single" w:sz="4" w:space="0" w:color="000000"/>
              <w:right w:val="single" w:sz="4" w:space="0" w:color="000000"/>
            </w:tcBorders>
            <w:shd w:val="pct10" w:color="auto" w:fill="auto"/>
            <w:vAlign w:val="center"/>
            <w:hideMark/>
          </w:tcPr>
          <w:p w:rsidR="004310B4" w:rsidRDefault="004310B4">
            <w:pPr>
              <w:spacing w:after="0"/>
              <w:jc w:val="center"/>
              <w:rPr>
                <w:b/>
                <w:noProof/>
                <w:color w:val="000000"/>
                <w:sz w:val="18"/>
                <w:szCs w:val="18"/>
                <w:lang w:val="ro-RO"/>
              </w:rPr>
            </w:pPr>
            <w:r>
              <w:rPr>
                <w:b/>
                <w:noProof/>
                <w:sz w:val="18"/>
                <w:lang w:val="ro-RO"/>
              </w:rPr>
              <w:t>28</w:t>
            </w:r>
          </w:p>
        </w:tc>
        <w:tc>
          <w:tcPr>
            <w:tcW w:w="613" w:type="dxa"/>
            <w:tcBorders>
              <w:top w:val="single" w:sz="4" w:space="0" w:color="000000"/>
              <w:left w:val="nil"/>
              <w:bottom w:val="single" w:sz="4" w:space="0" w:color="000000"/>
              <w:right w:val="single" w:sz="12" w:space="0" w:color="000000"/>
            </w:tcBorders>
            <w:shd w:val="pct10" w:color="auto" w:fill="auto"/>
            <w:vAlign w:val="center"/>
            <w:hideMark/>
          </w:tcPr>
          <w:p w:rsidR="004310B4" w:rsidRDefault="004310B4">
            <w:pPr>
              <w:spacing w:after="0"/>
              <w:jc w:val="center"/>
              <w:rPr>
                <w:b/>
                <w:noProof/>
                <w:color w:val="000000"/>
                <w:sz w:val="18"/>
                <w:szCs w:val="18"/>
                <w:lang w:val="ro-RO"/>
              </w:rPr>
            </w:pPr>
            <w:r>
              <w:rPr>
                <w:b/>
                <w:noProof/>
                <w:sz w:val="18"/>
                <w:lang w:val="ro-RO"/>
              </w:rPr>
              <w:t>44</w:t>
            </w:r>
          </w:p>
        </w:tc>
      </w:tr>
      <w:tr w:rsidR="004310B4">
        <w:trPr>
          <w:trHeight w:val="225"/>
          <w:jc w:val="center"/>
        </w:trPr>
        <w:tc>
          <w:tcPr>
            <w:tcW w:w="631" w:type="dxa"/>
            <w:vMerge w:val="restart"/>
            <w:tcBorders>
              <w:top w:val="nil"/>
              <w:left w:val="single" w:sz="12" w:space="0" w:color="000000"/>
              <w:bottom w:val="single" w:sz="4" w:space="0" w:color="000000"/>
              <w:right w:val="single" w:sz="4" w:space="0" w:color="000000"/>
            </w:tcBorders>
            <w:shd w:val="clear" w:color="auto" w:fill="F2F2F2"/>
            <w:vAlign w:val="center"/>
            <w:hideMark/>
          </w:tcPr>
          <w:p w:rsidR="004310B4" w:rsidRDefault="004310B4">
            <w:pPr>
              <w:spacing w:after="0"/>
              <w:jc w:val="center"/>
              <w:rPr>
                <w:noProof/>
                <w:color w:val="000000"/>
                <w:szCs w:val="24"/>
                <w:lang w:val="ro-RO"/>
              </w:rPr>
            </w:pPr>
            <w:r>
              <w:rPr>
                <w:noProof/>
                <w:sz w:val="18"/>
                <w:lang w:val="ro-RO"/>
              </w:rPr>
              <w:t>2015</w:t>
            </w:r>
          </w:p>
        </w:tc>
        <w:tc>
          <w:tcPr>
            <w:tcW w:w="1445" w:type="dxa"/>
            <w:tcBorders>
              <w:top w:val="nil"/>
              <w:left w:val="nil"/>
              <w:bottom w:val="single" w:sz="4" w:space="0" w:color="000000"/>
              <w:right w:val="single" w:sz="4" w:space="0" w:color="000000"/>
            </w:tcBorders>
            <w:vAlign w:val="bottom"/>
            <w:hideMark/>
          </w:tcPr>
          <w:p w:rsidR="004310B4" w:rsidRDefault="004310B4">
            <w:pPr>
              <w:spacing w:after="0"/>
              <w:jc w:val="left"/>
              <w:rPr>
                <w:noProof/>
                <w:color w:val="000000"/>
                <w:sz w:val="18"/>
                <w:szCs w:val="18"/>
                <w:lang w:val="ro-RO"/>
              </w:rPr>
            </w:pPr>
            <w:r>
              <w:rPr>
                <w:noProof/>
                <w:sz w:val="18"/>
                <w:lang w:val="ro-RO"/>
              </w:rPr>
              <w:t>Esențială</w:t>
            </w:r>
          </w:p>
        </w:tc>
        <w:tc>
          <w:tcPr>
            <w:tcW w:w="831" w:type="dxa"/>
            <w:tcBorders>
              <w:top w:val="nil"/>
              <w:left w:val="nil"/>
              <w:bottom w:val="single" w:sz="4" w:space="0" w:color="000000"/>
              <w:right w:val="single" w:sz="12" w:space="0" w:color="000000"/>
            </w:tcBorders>
            <w:vAlign w:val="center"/>
            <w:hideMark/>
          </w:tcPr>
          <w:p w:rsidR="004310B4" w:rsidRDefault="004310B4">
            <w:pPr>
              <w:spacing w:after="0"/>
              <w:jc w:val="center"/>
              <w:rPr>
                <w:noProof/>
                <w:color w:val="000000"/>
                <w:sz w:val="18"/>
                <w:szCs w:val="18"/>
                <w:lang w:val="ro-RO"/>
              </w:rPr>
            </w:pPr>
            <w:r>
              <w:rPr>
                <w:noProof/>
                <w:sz w:val="18"/>
                <w:lang w:val="ro-RO"/>
              </w:rPr>
              <w:t>1</w:t>
            </w:r>
          </w:p>
        </w:tc>
        <w:tc>
          <w:tcPr>
            <w:tcW w:w="728" w:type="dxa"/>
            <w:tcBorders>
              <w:top w:val="nil"/>
              <w:left w:val="single" w:sz="12" w:space="0" w:color="000000"/>
              <w:bottom w:val="single" w:sz="4" w:space="0" w:color="000000"/>
              <w:right w:val="single" w:sz="4" w:space="0" w:color="000000"/>
            </w:tcBorders>
            <w:vAlign w:val="center"/>
            <w:hideMark/>
          </w:tcPr>
          <w:p w:rsidR="004310B4" w:rsidRDefault="004310B4">
            <w:pPr>
              <w:spacing w:after="0"/>
              <w:jc w:val="center"/>
              <w:rPr>
                <w:noProof/>
                <w:color w:val="000000"/>
                <w:sz w:val="18"/>
                <w:szCs w:val="18"/>
                <w:lang w:val="ro-RO"/>
              </w:rPr>
            </w:pPr>
            <w:r>
              <w:rPr>
                <w:noProof/>
                <w:sz w:val="18"/>
                <w:lang w:val="ro-RO"/>
              </w:rPr>
              <w:t>0</w:t>
            </w:r>
          </w:p>
        </w:tc>
        <w:tc>
          <w:tcPr>
            <w:tcW w:w="850" w:type="dxa"/>
            <w:tcBorders>
              <w:top w:val="nil"/>
              <w:left w:val="nil"/>
              <w:bottom w:val="single" w:sz="4" w:space="0" w:color="000000"/>
              <w:right w:val="single" w:sz="12" w:space="0" w:color="000000"/>
            </w:tcBorders>
            <w:vAlign w:val="center"/>
            <w:hideMark/>
          </w:tcPr>
          <w:p w:rsidR="004310B4" w:rsidRDefault="004310B4">
            <w:pPr>
              <w:spacing w:after="0"/>
              <w:jc w:val="center"/>
              <w:rPr>
                <w:noProof/>
                <w:color w:val="000000"/>
                <w:sz w:val="18"/>
                <w:szCs w:val="18"/>
                <w:lang w:val="ro-RO"/>
              </w:rPr>
            </w:pPr>
            <w:r>
              <w:rPr>
                <w:noProof/>
                <w:sz w:val="18"/>
                <w:lang w:val="ro-RO"/>
              </w:rPr>
              <w:t>0 %</w:t>
            </w:r>
          </w:p>
        </w:tc>
        <w:tc>
          <w:tcPr>
            <w:tcW w:w="567" w:type="dxa"/>
            <w:tcBorders>
              <w:top w:val="nil"/>
              <w:left w:val="single" w:sz="12" w:space="0" w:color="000000"/>
              <w:bottom w:val="single" w:sz="4" w:space="0" w:color="000000"/>
              <w:right w:val="single" w:sz="4" w:space="0" w:color="000000"/>
            </w:tcBorders>
            <w:vAlign w:val="center"/>
            <w:hideMark/>
          </w:tcPr>
          <w:p w:rsidR="004310B4" w:rsidRDefault="004310B4">
            <w:pPr>
              <w:spacing w:after="0"/>
              <w:jc w:val="center"/>
              <w:rPr>
                <w:noProof/>
                <w:color w:val="000000"/>
                <w:sz w:val="18"/>
                <w:szCs w:val="18"/>
                <w:lang w:val="ro-RO"/>
              </w:rPr>
            </w:pPr>
            <w:r>
              <w:rPr>
                <w:noProof/>
                <w:sz w:val="18"/>
                <w:lang w:val="ro-RO"/>
              </w:rPr>
              <w:t>1</w:t>
            </w:r>
          </w:p>
        </w:tc>
        <w:tc>
          <w:tcPr>
            <w:tcW w:w="725"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 w:val="18"/>
                <w:szCs w:val="18"/>
                <w:lang w:val="ro-RO"/>
              </w:rPr>
            </w:pPr>
            <w:r>
              <w:rPr>
                <w:noProof/>
                <w:sz w:val="18"/>
                <w:lang w:val="ro-RO"/>
              </w:rPr>
              <w:t>100 %</w:t>
            </w:r>
          </w:p>
        </w:tc>
        <w:tc>
          <w:tcPr>
            <w:tcW w:w="782"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 w:val="18"/>
                <w:szCs w:val="18"/>
                <w:lang w:val="ro-RO"/>
              </w:rPr>
            </w:pPr>
            <w:r>
              <w:rPr>
                <w:noProof/>
                <w:sz w:val="18"/>
                <w:lang w:val="ro-RO"/>
              </w:rPr>
              <w:t>1</w:t>
            </w:r>
          </w:p>
        </w:tc>
        <w:tc>
          <w:tcPr>
            <w:tcW w:w="672"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 w:val="18"/>
                <w:szCs w:val="18"/>
                <w:lang w:val="ro-RO"/>
              </w:rPr>
            </w:pPr>
            <w:r>
              <w:rPr>
                <w:noProof/>
                <w:sz w:val="18"/>
                <w:lang w:val="ro-RO"/>
              </w:rPr>
              <w:t>0</w:t>
            </w:r>
          </w:p>
        </w:tc>
        <w:tc>
          <w:tcPr>
            <w:tcW w:w="672"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 w:val="18"/>
                <w:szCs w:val="18"/>
                <w:lang w:val="ro-RO"/>
              </w:rPr>
            </w:pPr>
            <w:r>
              <w:rPr>
                <w:noProof/>
                <w:sz w:val="18"/>
                <w:lang w:val="ro-RO"/>
              </w:rPr>
              <w:t>0</w:t>
            </w:r>
          </w:p>
        </w:tc>
        <w:tc>
          <w:tcPr>
            <w:tcW w:w="613" w:type="dxa"/>
            <w:tcBorders>
              <w:top w:val="nil"/>
              <w:left w:val="nil"/>
              <w:bottom w:val="single" w:sz="4" w:space="0" w:color="000000"/>
              <w:right w:val="single" w:sz="12" w:space="0" w:color="000000"/>
            </w:tcBorders>
            <w:vAlign w:val="center"/>
            <w:hideMark/>
          </w:tcPr>
          <w:p w:rsidR="004310B4" w:rsidRDefault="004310B4">
            <w:pPr>
              <w:spacing w:after="0"/>
              <w:jc w:val="center"/>
              <w:rPr>
                <w:noProof/>
                <w:color w:val="000000"/>
                <w:sz w:val="18"/>
                <w:szCs w:val="18"/>
                <w:lang w:val="ro-RO"/>
              </w:rPr>
            </w:pPr>
            <w:r>
              <w:rPr>
                <w:noProof/>
                <w:sz w:val="18"/>
                <w:lang w:val="ro-RO"/>
              </w:rPr>
              <w:t>0</w:t>
            </w:r>
          </w:p>
        </w:tc>
      </w:tr>
      <w:tr w:rsidR="004310B4">
        <w:trPr>
          <w:trHeight w:val="225"/>
          <w:jc w:val="center"/>
        </w:trPr>
        <w:tc>
          <w:tcPr>
            <w:tcW w:w="631" w:type="dxa"/>
            <w:vMerge/>
            <w:tcBorders>
              <w:top w:val="nil"/>
              <w:left w:val="single" w:sz="12" w:space="0" w:color="000000"/>
              <w:bottom w:val="single" w:sz="4" w:space="0" w:color="000000"/>
              <w:right w:val="single" w:sz="4" w:space="0" w:color="000000"/>
            </w:tcBorders>
            <w:vAlign w:val="center"/>
            <w:hideMark/>
          </w:tcPr>
          <w:p w:rsidR="004310B4" w:rsidRDefault="004310B4">
            <w:pPr>
              <w:spacing w:after="0"/>
              <w:jc w:val="left"/>
              <w:rPr>
                <w:noProof/>
                <w:color w:val="000000"/>
                <w:szCs w:val="24"/>
                <w:lang w:val="ro-RO"/>
              </w:rPr>
            </w:pPr>
          </w:p>
        </w:tc>
        <w:tc>
          <w:tcPr>
            <w:tcW w:w="1445" w:type="dxa"/>
            <w:tcBorders>
              <w:top w:val="nil"/>
              <w:left w:val="nil"/>
              <w:bottom w:val="single" w:sz="4" w:space="0" w:color="000000"/>
              <w:right w:val="single" w:sz="4" w:space="0" w:color="000000"/>
            </w:tcBorders>
            <w:vAlign w:val="bottom"/>
            <w:hideMark/>
          </w:tcPr>
          <w:p w:rsidR="004310B4" w:rsidRDefault="004310B4">
            <w:pPr>
              <w:spacing w:after="0"/>
              <w:jc w:val="left"/>
              <w:rPr>
                <w:noProof/>
                <w:color w:val="000000"/>
                <w:sz w:val="18"/>
                <w:szCs w:val="18"/>
                <w:lang w:val="ro-RO"/>
              </w:rPr>
            </w:pPr>
            <w:r>
              <w:rPr>
                <w:noProof/>
                <w:sz w:val="18"/>
                <w:lang w:val="ro-RO"/>
              </w:rPr>
              <w:t>Foarte importantă</w:t>
            </w:r>
          </w:p>
        </w:tc>
        <w:tc>
          <w:tcPr>
            <w:tcW w:w="831" w:type="dxa"/>
            <w:tcBorders>
              <w:top w:val="nil"/>
              <w:left w:val="nil"/>
              <w:bottom w:val="single" w:sz="4" w:space="0" w:color="000000"/>
              <w:right w:val="single" w:sz="12" w:space="0" w:color="000000"/>
            </w:tcBorders>
            <w:vAlign w:val="center"/>
            <w:hideMark/>
          </w:tcPr>
          <w:p w:rsidR="004310B4" w:rsidRDefault="004310B4">
            <w:pPr>
              <w:spacing w:after="0"/>
              <w:jc w:val="center"/>
              <w:rPr>
                <w:noProof/>
                <w:color w:val="000000"/>
                <w:sz w:val="18"/>
                <w:szCs w:val="18"/>
                <w:lang w:val="ro-RO"/>
              </w:rPr>
            </w:pPr>
            <w:r>
              <w:rPr>
                <w:noProof/>
                <w:sz w:val="18"/>
                <w:lang w:val="ro-RO"/>
              </w:rPr>
              <w:t>80</w:t>
            </w:r>
          </w:p>
        </w:tc>
        <w:tc>
          <w:tcPr>
            <w:tcW w:w="728" w:type="dxa"/>
            <w:tcBorders>
              <w:top w:val="nil"/>
              <w:left w:val="single" w:sz="12" w:space="0" w:color="000000"/>
              <w:bottom w:val="single" w:sz="4" w:space="0" w:color="000000"/>
              <w:right w:val="single" w:sz="4" w:space="0" w:color="000000"/>
            </w:tcBorders>
            <w:vAlign w:val="center"/>
            <w:hideMark/>
          </w:tcPr>
          <w:p w:rsidR="004310B4" w:rsidRDefault="004310B4">
            <w:pPr>
              <w:spacing w:after="0"/>
              <w:jc w:val="center"/>
              <w:rPr>
                <w:noProof/>
                <w:color w:val="000000"/>
                <w:sz w:val="18"/>
                <w:szCs w:val="18"/>
                <w:lang w:val="ro-RO"/>
              </w:rPr>
            </w:pPr>
            <w:r>
              <w:rPr>
                <w:noProof/>
                <w:sz w:val="18"/>
                <w:lang w:val="ro-RO"/>
              </w:rPr>
              <w:t>6</w:t>
            </w:r>
          </w:p>
        </w:tc>
        <w:tc>
          <w:tcPr>
            <w:tcW w:w="850" w:type="dxa"/>
            <w:tcBorders>
              <w:top w:val="nil"/>
              <w:left w:val="nil"/>
              <w:bottom w:val="single" w:sz="4" w:space="0" w:color="000000"/>
              <w:right w:val="single" w:sz="12" w:space="0" w:color="000000"/>
            </w:tcBorders>
            <w:vAlign w:val="center"/>
            <w:hideMark/>
          </w:tcPr>
          <w:p w:rsidR="004310B4" w:rsidRDefault="004310B4">
            <w:pPr>
              <w:spacing w:after="0"/>
              <w:jc w:val="center"/>
              <w:rPr>
                <w:noProof/>
                <w:color w:val="000000"/>
                <w:sz w:val="18"/>
                <w:szCs w:val="18"/>
                <w:lang w:val="ro-RO"/>
              </w:rPr>
            </w:pPr>
            <w:r>
              <w:rPr>
                <w:noProof/>
                <w:sz w:val="18"/>
                <w:lang w:val="ro-RO"/>
              </w:rPr>
              <w:t>8 %</w:t>
            </w:r>
          </w:p>
        </w:tc>
        <w:tc>
          <w:tcPr>
            <w:tcW w:w="567" w:type="dxa"/>
            <w:tcBorders>
              <w:top w:val="nil"/>
              <w:left w:val="single" w:sz="12" w:space="0" w:color="000000"/>
              <w:bottom w:val="single" w:sz="4" w:space="0" w:color="000000"/>
              <w:right w:val="single" w:sz="4" w:space="0" w:color="000000"/>
            </w:tcBorders>
            <w:vAlign w:val="center"/>
            <w:hideMark/>
          </w:tcPr>
          <w:p w:rsidR="004310B4" w:rsidRDefault="004310B4">
            <w:pPr>
              <w:spacing w:after="0"/>
              <w:jc w:val="center"/>
              <w:rPr>
                <w:noProof/>
                <w:color w:val="000000"/>
                <w:sz w:val="18"/>
                <w:szCs w:val="18"/>
                <w:lang w:val="ro-RO"/>
              </w:rPr>
            </w:pPr>
            <w:r>
              <w:rPr>
                <w:noProof/>
                <w:sz w:val="18"/>
                <w:lang w:val="ro-RO"/>
              </w:rPr>
              <w:t>74</w:t>
            </w:r>
          </w:p>
        </w:tc>
        <w:tc>
          <w:tcPr>
            <w:tcW w:w="725"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 w:val="18"/>
                <w:szCs w:val="18"/>
                <w:lang w:val="ro-RO"/>
              </w:rPr>
            </w:pPr>
            <w:r>
              <w:rPr>
                <w:noProof/>
                <w:sz w:val="18"/>
                <w:lang w:val="ro-RO"/>
              </w:rPr>
              <w:t>92 %</w:t>
            </w:r>
          </w:p>
        </w:tc>
        <w:tc>
          <w:tcPr>
            <w:tcW w:w="782"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 w:val="18"/>
                <w:szCs w:val="18"/>
                <w:lang w:val="ro-RO"/>
              </w:rPr>
            </w:pPr>
            <w:r>
              <w:rPr>
                <w:noProof/>
                <w:sz w:val="18"/>
                <w:lang w:val="ro-RO"/>
              </w:rPr>
              <w:t>69</w:t>
            </w:r>
          </w:p>
        </w:tc>
        <w:tc>
          <w:tcPr>
            <w:tcW w:w="672"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 w:val="18"/>
                <w:szCs w:val="18"/>
                <w:lang w:val="ro-RO"/>
              </w:rPr>
            </w:pPr>
            <w:r>
              <w:rPr>
                <w:noProof/>
                <w:sz w:val="18"/>
                <w:lang w:val="ro-RO"/>
              </w:rPr>
              <w:t>5</w:t>
            </w:r>
          </w:p>
        </w:tc>
        <w:tc>
          <w:tcPr>
            <w:tcW w:w="672" w:type="dxa"/>
            <w:tcBorders>
              <w:top w:val="single" w:sz="4" w:space="0" w:color="000000"/>
              <w:left w:val="nil"/>
              <w:bottom w:val="single" w:sz="4" w:space="0" w:color="000000"/>
              <w:right w:val="single" w:sz="4" w:space="0" w:color="000000"/>
            </w:tcBorders>
            <w:vAlign w:val="center"/>
            <w:hideMark/>
          </w:tcPr>
          <w:p w:rsidR="004310B4" w:rsidRDefault="004310B4">
            <w:pPr>
              <w:spacing w:after="0"/>
              <w:jc w:val="center"/>
              <w:rPr>
                <w:noProof/>
                <w:color w:val="000000"/>
                <w:sz w:val="18"/>
                <w:szCs w:val="18"/>
                <w:lang w:val="ro-RO"/>
              </w:rPr>
            </w:pPr>
            <w:r>
              <w:rPr>
                <w:noProof/>
                <w:sz w:val="18"/>
                <w:lang w:val="ro-RO"/>
              </w:rPr>
              <w:t>0</w:t>
            </w:r>
          </w:p>
        </w:tc>
        <w:tc>
          <w:tcPr>
            <w:tcW w:w="613" w:type="dxa"/>
            <w:tcBorders>
              <w:top w:val="single" w:sz="4" w:space="0" w:color="000000"/>
              <w:left w:val="nil"/>
              <w:bottom w:val="single" w:sz="4" w:space="0" w:color="000000"/>
              <w:right w:val="single" w:sz="12" w:space="0" w:color="000000"/>
            </w:tcBorders>
            <w:vAlign w:val="center"/>
            <w:hideMark/>
          </w:tcPr>
          <w:p w:rsidR="004310B4" w:rsidRDefault="004310B4">
            <w:pPr>
              <w:spacing w:after="0"/>
              <w:jc w:val="center"/>
              <w:rPr>
                <w:noProof/>
                <w:color w:val="000000"/>
                <w:sz w:val="18"/>
                <w:szCs w:val="18"/>
                <w:lang w:val="ro-RO"/>
              </w:rPr>
            </w:pPr>
            <w:r>
              <w:rPr>
                <w:noProof/>
                <w:sz w:val="18"/>
                <w:lang w:val="ro-RO"/>
              </w:rPr>
              <w:t>0</w:t>
            </w:r>
          </w:p>
        </w:tc>
      </w:tr>
      <w:tr w:rsidR="004310B4">
        <w:trPr>
          <w:trHeight w:val="225"/>
          <w:jc w:val="center"/>
        </w:trPr>
        <w:tc>
          <w:tcPr>
            <w:tcW w:w="631" w:type="dxa"/>
            <w:vMerge/>
            <w:tcBorders>
              <w:top w:val="nil"/>
              <w:left w:val="single" w:sz="12" w:space="0" w:color="000000"/>
              <w:bottom w:val="single" w:sz="4" w:space="0" w:color="000000"/>
              <w:right w:val="single" w:sz="4" w:space="0" w:color="000000"/>
            </w:tcBorders>
            <w:vAlign w:val="center"/>
            <w:hideMark/>
          </w:tcPr>
          <w:p w:rsidR="004310B4" w:rsidRDefault="004310B4">
            <w:pPr>
              <w:spacing w:after="0"/>
              <w:jc w:val="left"/>
              <w:rPr>
                <w:noProof/>
                <w:color w:val="000000"/>
                <w:szCs w:val="24"/>
                <w:lang w:val="ro-RO"/>
              </w:rPr>
            </w:pPr>
          </w:p>
        </w:tc>
        <w:tc>
          <w:tcPr>
            <w:tcW w:w="1445" w:type="dxa"/>
            <w:tcBorders>
              <w:top w:val="nil"/>
              <w:left w:val="nil"/>
              <w:bottom w:val="single" w:sz="4" w:space="0" w:color="000000"/>
              <w:right w:val="single" w:sz="4" w:space="0" w:color="000000"/>
            </w:tcBorders>
            <w:vAlign w:val="bottom"/>
            <w:hideMark/>
          </w:tcPr>
          <w:p w:rsidR="004310B4" w:rsidRDefault="004310B4">
            <w:pPr>
              <w:spacing w:after="0"/>
              <w:jc w:val="left"/>
              <w:rPr>
                <w:noProof/>
                <w:color w:val="000000"/>
                <w:sz w:val="18"/>
                <w:szCs w:val="18"/>
                <w:lang w:val="ro-RO"/>
              </w:rPr>
            </w:pPr>
            <w:r>
              <w:rPr>
                <w:noProof/>
                <w:sz w:val="18"/>
                <w:lang w:val="ro-RO"/>
              </w:rPr>
              <w:t>Importantă</w:t>
            </w:r>
          </w:p>
        </w:tc>
        <w:tc>
          <w:tcPr>
            <w:tcW w:w="831" w:type="dxa"/>
            <w:tcBorders>
              <w:top w:val="nil"/>
              <w:left w:val="nil"/>
              <w:bottom w:val="single" w:sz="4" w:space="0" w:color="000000"/>
              <w:right w:val="single" w:sz="12" w:space="0" w:color="000000"/>
            </w:tcBorders>
            <w:vAlign w:val="center"/>
            <w:hideMark/>
          </w:tcPr>
          <w:p w:rsidR="004310B4" w:rsidRDefault="004310B4">
            <w:pPr>
              <w:spacing w:after="0"/>
              <w:jc w:val="center"/>
              <w:rPr>
                <w:noProof/>
                <w:color w:val="000000"/>
                <w:sz w:val="18"/>
                <w:szCs w:val="18"/>
                <w:lang w:val="ro-RO"/>
              </w:rPr>
            </w:pPr>
            <w:r>
              <w:rPr>
                <w:noProof/>
                <w:sz w:val="18"/>
                <w:lang w:val="ro-RO"/>
              </w:rPr>
              <w:t>128</w:t>
            </w:r>
          </w:p>
        </w:tc>
        <w:tc>
          <w:tcPr>
            <w:tcW w:w="728" w:type="dxa"/>
            <w:tcBorders>
              <w:top w:val="nil"/>
              <w:left w:val="single" w:sz="12" w:space="0" w:color="000000"/>
              <w:bottom w:val="single" w:sz="4" w:space="0" w:color="000000"/>
              <w:right w:val="single" w:sz="4" w:space="0" w:color="000000"/>
            </w:tcBorders>
            <w:vAlign w:val="center"/>
            <w:hideMark/>
          </w:tcPr>
          <w:p w:rsidR="004310B4" w:rsidRDefault="004310B4">
            <w:pPr>
              <w:spacing w:after="0"/>
              <w:jc w:val="center"/>
              <w:rPr>
                <w:noProof/>
                <w:color w:val="000000"/>
                <w:sz w:val="18"/>
                <w:szCs w:val="18"/>
                <w:lang w:val="ro-RO"/>
              </w:rPr>
            </w:pPr>
            <w:r>
              <w:rPr>
                <w:noProof/>
                <w:sz w:val="18"/>
                <w:lang w:val="ro-RO"/>
              </w:rPr>
              <w:t>9</w:t>
            </w:r>
          </w:p>
        </w:tc>
        <w:tc>
          <w:tcPr>
            <w:tcW w:w="850" w:type="dxa"/>
            <w:tcBorders>
              <w:top w:val="nil"/>
              <w:left w:val="nil"/>
              <w:bottom w:val="single" w:sz="4" w:space="0" w:color="000000"/>
              <w:right w:val="single" w:sz="12" w:space="0" w:color="000000"/>
            </w:tcBorders>
            <w:vAlign w:val="center"/>
            <w:hideMark/>
          </w:tcPr>
          <w:p w:rsidR="004310B4" w:rsidRDefault="004310B4">
            <w:pPr>
              <w:spacing w:after="0"/>
              <w:jc w:val="center"/>
              <w:rPr>
                <w:noProof/>
                <w:color w:val="000000"/>
                <w:sz w:val="18"/>
                <w:szCs w:val="18"/>
                <w:lang w:val="ro-RO"/>
              </w:rPr>
            </w:pPr>
            <w:r>
              <w:rPr>
                <w:noProof/>
                <w:sz w:val="18"/>
                <w:lang w:val="ro-RO"/>
              </w:rPr>
              <w:t>7 %</w:t>
            </w:r>
          </w:p>
        </w:tc>
        <w:tc>
          <w:tcPr>
            <w:tcW w:w="567" w:type="dxa"/>
            <w:tcBorders>
              <w:top w:val="nil"/>
              <w:left w:val="single" w:sz="12" w:space="0" w:color="000000"/>
              <w:bottom w:val="single" w:sz="4" w:space="0" w:color="000000"/>
              <w:right w:val="single" w:sz="4" w:space="0" w:color="000000"/>
            </w:tcBorders>
            <w:vAlign w:val="center"/>
            <w:hideMark/>
          </w:tcPr>
          <w:p w:rsidR="004310B4" w:rsidRDefault="004310B4">
            <w:pPr>
              <w:spacing w:after="0"/>
              <w:jc w:val="center"/>
              <w:rPr>
                <w:noProof/>
                <w:color w:val="000000"/>
                <w:sz w:val="18"/>
                <w:szCs w:val="18"/>
                <w:lang w:val="ro-RO"/>
              </w:rPr>
            </w:pPr>
            <w:r>
              <w:rPr>
                <w:noProof/>
                <w:sz w:val="18"/>
                <w:lang w:val="ro-RO"/>
              </w:rPr>
              <w:t>119</w:t>
            </w:r>
          </w:p>
        </w:tc>
        <w:tc>
          <w:tcPr>
            <w:tcW w:w="725"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 w:val="18"/>
                <w:szCs w:val="18"/>
                <w:lang w:val="ro-RO"/>
              </w:rPr>
            </w:pPr>
            <w:r>
              <w:rPr>
                <w:noProof/>
                <w:sz w:val="18"/>
                <w:lang w:val="ro-RO"/>
              </w:rPr>
              <w:t>93 %</w:t>
            </w:r>
          </w:p>
        </w:tc>
        <w:tc>
          <w:tcPr>
            <w:tcW w:w="782"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 w:val="18"/>
                <w:szCs w:val="18"/>
                <w:lang w:val="ro-RO"/>
              </w:rPr>
            </w:pPr>
            <w:r>
              <w:rPr>
                <w:noProof/>
                <w:sz w:val="18"/>
                <w:lang w:val="ro-RO"/>
              </w:rPr>
              <w:t>109</w:t>
            </w:r>
          </w:p>
        </w:tc>
        <w:tc>
          <w:tcPr>
            <w:tcW w:w="672"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 w:val="18"/>
                <w:szCs w:val="18"/>
                <w:lang w:val="ro-RO"/>
              </w:rPr>
            </w:pPr>
            <w:r>
              <w:rPr>
                <w:noProof/>
                <w:sz w:val="18"/>
                <w:lang w:val="ro-RO"/>
              </w:rPr>
              <w:t>10</w:t>
            </w:r>
          </w:p>
        </w:tc>
        <w:tc>
          <w:tcPr>
            <w:tcW w:w="672"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 w:val="18"/>
                <w:szCs w:val="18"/>
                <w:lang w:val="ro-RO"/>
              </w:rPr>
            </w:pPr>
            <w:r>
              <w:rPr>
                <w:noProof/>
                <w:sz w:val="18"/>
                <w:lang w:val="ro-RO"/>
              </w:rPr>
              <w:t>0</w:t>
            </w:r>
          </w:p>
        </w:tc>
        <w:tc>
          <w:tcPr>
            <w:tcW w:w="613" w:type="dxa"/>
            <w:tcBorders>
              <w:top w:val="nil"/>
              <w:left w:val="nil"/>
              <w:bottom w:val="single" w:sz="4" w:space="0" w:color="000000"/>
              <w:right w:val="single" w:sz="12" w:space="0" w:color="000000"/>
            </w:tcBorders>
            <w:vAlign w:val="center"/>
            <w:hideMark/>
          </w:tcPr>
          <w:p w:rsidR="004310B4" w:rsidRDefault="004310B4">
            <w:pPr>
              <w:spacing w:after="0"/>
              <w:jc w:val="center"/>
              <w:rPr>
                <w:noProof/>
                <w:color w:val="000000"/>
                <w:sz w:val="18"/>
                <w:szCs w:val="18"/>
                <w:lang w:val="ro-RO"/>
              </w:rPr>
            </w:pPr>
            <w:r>
              <w:rPr>
                <w:noProof/>
                <w:sz w:val="18"/>
                <w:lang w:val="ro-RO"/>
              </w:rPr>
              <w:t>0</w:t>
            </w:r>
          </w:p>
        </w:tc>
      </w:tr>
      <w:tr w:rsidR="004310B4">
        <w:trPr>
          <w:trHeight w:val="246"/>
          <w:jc w:val="center"/>
        </w:trPr>
        <w:tc>
          <w:tcPr>
            <w:tcW w:w="631" w:type="dxa"/>
            <w:vMerge/>
            <w:tcBorders>
              <w:top w:val="nil"/>
              <w:left w:val="single" w:sz="12" w:space="0" w:color="000000"/>
              <w:bottom w:val="single" w:sz="4" w:space="0" w:color="000000"/>
              <w:right w:val="single" w:sz="4" w:space="0" w:color="000000"/>
            </w:tcBorders>
            <w:vAlign w:val="center"/>
            <w:hideMark/>
          </w:tcPr>
          <w:p w:rsidR="004310B4" w:rsidRDefault="004310B4">
            <w:pPr>
              <w:spacing w:after="0"/>
              <w:jc w:val="left"/>
              <w:rPr>
                <w:noProof/>
                <w:color w:val="000000"/>
                <w:szCs w:val="24"/>
                <w:lang w:val="ro-RO"/>
              </w:rPr>
            </w:pPr>
          </w:p>
        </w:tc>
        <w:tc>
          <w:tcPr>
            <w:tcW w:w="1445" w:type="dxa"/>
            <w:tcBorders>
              <w:top w:val="nil"/>
              <w:left w:val="nil"/>
              <w:bottom w:val="nil"/>
              <w:right w:val="single" w:sz="4" w:space="0" w:color="000000"/>
            </w:tcBorders>
            <w:vAlign w:val="bottom"/>
            <w:hideMark/>
          </w:tcPr>
          <w:p w:rsidR="004310B4" w:rsidRDefault="004310B4">
            <w:pPr>
              <w:spacing w:after="0"/>
              <w:jc w:val="left"/>
              <w:rPr>
                <w:noProof/>
                <w:color w:val="000000"/>
                <w:sz w:val="18"/>
                <w:szCs w:val="18"/>
                <w:lang w:val="ro-RO"/>
              </w:rPr>
            </w:pPr>
            <w:r>
              <w:rPr>
                <w:noProof/>
                <w:sz w:val="18"/>
                <w:lang w:val="ro-RO"/>
              </w:rPr>
              <w:t>De dorit</w:t>
            </w:r>
          </w:p>
        </w:tc>
        <w:tc>
          <w:tcPr>
            <w:tcW w:w="831" w:type="dxa"/>
            <w:tcBorders>
              <w:top w:val="nil"/>
              <w:left w:val="nil"/>
              <w:bottom w:val="nil"/>
              <w:right w:val="single" w:sz="12" w:space="0" w:color="000000"/>
            </w:tcBorders>
            <w:vAlign w:val="center"/>
            <w:hideMark/>
          </w:tcPr>
          <w:p w:rsidR="004310B4" w:rsidRDefault="004310B4">
            <w:pPr>
              <w:spacing w:after="0"/>
              <w:jc w:val="center"/>
              <w:rPr>
                <w:noProof/>
                <w:color w:val="000000"/>
                <w:sz w:val="18"/>
                <w:szCs w:val="18"/>
                <w:lang w:val="ro-RO"/>
              </w:rPr>
            </w:pPr>
            <w:r>
              <w:rPr>
                <w:noProof/>
                <w:sz w:val="18"/>
                <w:lang w:val="ro-RO"/>
              </w:rPr>
              <w:t>7</w:t>
            </w:r>
          </w:p>
        </w:tc>
        <w:tc>
          <w:tcPr>
            <w:tcW w:w="728" w:type="dxa"/>
            <w:tcBorders>
              <w:top w:val="nil"/>
              <w:left w:val="single" w:sz="12" w:space="0" w:color="000000"/>
              <w:bottom w:val="nil"/>
              <w:right w:val="single" w:sz="4" w:space="0" w:color="000000"/>
            </w:tcBorders>
            <w:vAlign w:val="center"/>
            <w:hideMark/>
          </w:tcPr>
          <w:p w:rsidR="004310B4" w:rsidRDefault="004310B4">
            <w:pPr>
              <w:spacing w:after="0"/>
              <w:jc w:val="center"/>
              <w:rPr>
                <w:noProof/>
                <w:color w:val="000000"/>
                <w:sz w:val="18"/>
                <w:szCs w:val="18"/>
                <w:lang w:val="ro-RO"/>
              </w:rPr>
            </w:pPr>
            <w:r>
              <w:rPr>
                <w:noProof/>
                <w:sz w:val="18"/>
                <w:lang w:val="ro-RO"/>
              </w:rPr>
              <w:t>0</w:t>
            </w:r>
          </w:p>
        </w:tc>
        <w:tc>
          <w:tcPr>
            <w:tcW w:w="850" w:type="dxa"/>
            <w:tcBorders>
              <w:top w:val="nil"/>
              <w:left w:val="nil"/>
              <w:bottom w:val="single" w:sz="4" w:space="0" w:color="000000"/>
              <w:right w:val="single" w:sz="12" w:space="0" w:color="000000"/>
            </w:tcBorders>
            <w:vAlign w:val="center"/>
            <w:hideMark/>
          </w:tcPr>
          <w:p w:rsidR="004310B4" w:rsidRDefault="004310B4">
            <w:pPr>
              <w:spacing w:after="0"/>
              <w:jc w:val="center"/>
              <w:rPr>
                <w:noProof/>
                <w:color w:val="000000"/>
                <w:sz w:val="18"/>
                <w:szCs w:val="18"/>
                <w:lang w:val="ro-RO"/>
              </w:rPr>
            </w:pPr>
            <w:r>
              <w:rPr>
                <w:noProof/>
                <w:sz w:val="18"/>
                <w:lang w:val="ro-RO"/>
              </w:rPr>
              <w:t>0 %</w:t>
            </w:r>
          </w:p>
        </w:tc>
        <w:tc>
          <w:tcPr>
            <w:tcW w:w="567" w:type="dxa"/>
            <w:tcBorders>
              <w:top w:val="nil"/>
              <w:left w:val="single" w:sz="12" w:space="0" w:color="000000"/>
              <w:bottom w:val="nil"/>
              <w:right w:val="single" w:sz="4" w:space="0" w:color="000000"/>
            </w:tcBorders>
            <w:vAlign w:val="center"/>
            <w:hideMark/>
          </w:tcPr>
          <w:p w:rsidR="004310B4" w:rsidRDefault="004310B4">
            <w:pPr>
              <w:spacing w:after="0"/>
              <w:jc w:val="center"/>
              <w:rPr>
                <w:noProof/>
                <w:color w:val="000000"/>
                <w:sz w:val="18"/>
                <w:szCs w:val="18"/>
                <w:lang w:val="ro-RO"/>
              </w:rPr>
            </w:pPr>
            <w:r>
              <w:rPr>
                <w:noProof/>
                <w:sz w:val="18"/>
                <w:lang w:val="ro-RO"/>
              </w:rPr>
              <w:t>7</w:t>
            </w:r>
          </w:p>
        </w:tc>
        <w:tc>
          <w:tcPr>
            <w:tcW w:w="725" w:type="dxa"/>
            <w:tcBorders>
              <w:top w:val="nil"/>
              <w:left w:val="nil"/>
              <w:bottom w:val="single" w:sz="4" w:space="0" w:color="000000"/>
              <w:right w:val="single" w:sz="4" w:space="0" w:color="000000"/>
            </w:tcBorders>
            <w:vAlign w:val="center"/>
            <w:hideMark/>
          </w:tcPr>
          <w:p w:rsidR="004310B4" w:rsidRDefault="004310B4">
            <w:pPr>
              <w:spacing w:after="0"/>
              <w:jc w:val="center"/>
              <w:rPr>
                <w:noProof/>
                <w:color w:val="000000"/>
                <w:sz w:val="18"/>
                <w:szCs w:val="18"/>
                <w:lang w:val="ro-RO"/>
              </w:rPr>
            </w:pPr>
            <w:r>
              <w:rPr>
                <w:noProof/>
                <w:sz w:val="18"/>
                <w:lang w:val="ro-RO"/>
              </w:rPr>
              <w:t>100 %</w:t>
            </w:r>
          </w:p>
        </w:tc>
        <w:tc>
          <w:tcPr>
            <w:tcW w:w="782" w:type="dxa"/>
            <w:tcBorders>
              <w:top w:val="nil"/>
              <w:left w:val="nil"/>
              <w:bottom w:val="nil"/>
              <w:right w:val="single" w:sz="4" w:space="0" w:color="000000"/>
            </w:tcBorders>
            <w:vAlign w:val="center"/>
            <w:hideMark/>
          </w:tcPr>
          <w:p w:rsidR="004310B4" w:rsidRDefault="004310B4">
            <w:pPr>
              <w:spacing w:after="0"/>
              <w:jc w:val="center"/>
              <w:rPr>
                <w:noProof/>
                <w:color w:val="000000"/>
                <w:sz w:val="18"/>
                <w:szCs w:val="18"/>
                <w:lang w:val="ro-RO"/>
              </w:rPr>
            </w:pPr>
            <w:r>
              <w:rPr>
                <w:noProof/>
                <w:sz w:val="18"/>
                <w:lang w:val="ro-RO"/>
              </w:rPr>
              <w:t>7</w:t>
            </w:r>
          </w:p>
        </w:tc>
        <w:tc>
          <w:tcPr>
            <w:tcW w:w="672" w:type="dxa"/>
            <w:tcBorders>
              <w:top w:val="nil"/>
              <w:left w:val="nil"/>
              <w:bottom w:val="nil"/>
              <w:right w:val="single" w:sz="4" w:space="0" w:color="000000"/>
            </w:tcBorders>
            <w:vAlign w:val="center"/>
            <w:hideMark/>
          </w:tcPr>
          <w:p w:rsidR="004310B4" w:rsidRDefault="004310B4">
            <w:pPr>
              <w:spacing w:after="0"/>
              <w:jc w:val="center"/>
              <w:rPr>
                <w:noProof/>
                <w:color w:val="000000"/>
                <w:sz w:val="18"/>
                <w:szCs w:val="18"/>
                <w:lang w:val="ro-RO"/>
              </w:rPr>
            </w:pPr>
            <w:r>
              <w:rPr>
                <w:noProof/>
                <w:sz w:val="18"/>
                <w:lang w:val="ro-RO"/>
              </w:rPr>
              <w:t>0</w:t>
            </w:r>
          </w:p>
        </w:tc>
        <w:tc>
          <w:tcPr>
            <w:tcW w:w="672" w:type="dxa"/>
            <w:tcBorders>
              <w:top w:val="nil"/>
              <w:left w:val="nil"/>
              <w:bottom w:val="nil"/>
              <w:right w:val="single" w:sz="4" w:space="0" w:color="000000"/>
            </w:tcBorders>
            <w:vAlign w:val="center"/>
            <w:hideMark/>
          </w:tcPr>
          <w:p w:rsidR="004310B4" w:rsidRDefault="004310B4">
            <w:pPr>
              <w:spacing w:after="0"/>
              <w:jc w:val="center"/>
              <w:rPr>
                <w:noProof/>
                <w:color w:val="000000"/>
                <w:sz w:val="18"/>
                <w:szCs w:val="18"/>
                <w:lang w:val="ro-RO"/>
              </w:rPr>
            </w:pPr>
            <w:r>
              <w:rPr>
                <w:noProof/>
                <w:sz w:val="18"/>
                <w:lang w:val="ro-RO"/>
              </w:rPr>
              <w:t>0</w:t>
            </w:r>
          </w:p>
        </w:tc>
        <w:tc>
          <w:tcPr>
            <w:tcW w:w="613" w:type="dxa"/>
            <w:tcBorders>
              <w:top w:val="nil"/>
              <w:left w:val="nil"/>
              <w:bottom w:val="nil"/>
              <w:right w:val="single" w:sz="12" w:space="0" w:color="000000"/>
            </w:tcBorders>
            <w:vAlign w:val="center"/>
            <w:hideMark/>
          </w:tcPr>
          <w:p w:rsidR="004310B4" w:rsidRDefault="004310B4">
            <w:pPr>
              <w:spacing w:after="0"/>
              <w:jc w:val="center"/>
              <w:rPr>
                <w:noProof/>
                <w:color w:val="000000"/>
                <w:sz w:val="18"/>
                <w:szCs w:val="18"/>
                <w:lang w:val="ro-RO"/>
              </w:rPr>
            </w:pPr>
            <w:r>
              <w:rPr>
                <w:noProof/>
                <w:sz w:val="18"/>
                <w:lang w:val="ro-RO"/>
              </w:rPr>
              <w:t>0</w:t>
            </w:r>
          </w:p>
        </w:tc>
      </w:tr>
      <w:tr w:rsidR="004310B4">
        <w:trPr>
          <w:trHeight w:val="246"/>
          <w:jc w:val="center"/>
        </w:trPr>
        <w:tc>
          <w:tcPr>
            <w:tcW w:w="631" w:type="dxa"/>
            <w:vMerge/>
            <w:tcBorders>
              <w:top w:val="nil"/>
              <w:left w:val="single" w:sz="12" w:space="0" w:color="000000"/>
              <w:bottom w:val="single" w:sz="4" w:space="0" w:color="000000"/>
              <w:right w:val="single" w:sz="4" w:space="0" w:color="000000"/>
            </w:tcBorders>
            <w:vAlign w:val="center"/>
            <w:hideMark/>
          </w:tcPr>
          <w:p w:rsidR="004310B4" w:rsidRDefault="004310B4">
            <w:pPr>
              <w:spacing w:after="0"/>
              <w:jc w:val="left"/>
              <w:rPr>
                <w:noProof/>
                <w:color w:val="000000"/>
                <w:szCs w:val="24"/>
                <w:lang w:val="ro-RO"/>
              </w:rPr>
            </w:pPr>
          </w:p>
        </w:tc>
        <w:tc>
          <w:tcPr>
            <w:tcW w:w="1445" w:type="dxa"/>
            <w:tcBorders>
              <w:top w:val="single" w:sz="8" w:space="0" w:color="000000"/>
              <w:left w:val="nil"/>
              <w:bottom w:val="nil"/>
              <w:right w:val="single" w:sz="4" w:space="0" w:color="000000"/>
            </w:tcBorders>
            <w:shd w:val="clear" w:color="auto" w:fill="F2F2F2"/>
            <w:vAlign w:val="bottom"/>
            <w:hideMark/>
          </w:tcPr>
          <w:p w:rsidR="004310B4" w:rsidRDefault="004310B4">
            <w:pPr>
              <w:spacing w:after="0"/>
              <w:jc w:val="left"/>
              <w:rPr>
                <w:noProof/>
                <w:color w:val="000000"/>
                <w:sz w:val="18"/>
                <w:szCs w:val="18"/>
                <w:lang w:val="ro-RO"/>
              </w:rPr>
            </w:pPr>
            <w:r>
              <w:rPr>
                <w:b/>
                <w:noProof/>
                <w:sz w:val="18"/>
                <w:lang w:val="ro-RO"/>
              </w:rPr>
              <w:t xml:space="preserve">Total 2015 </w:t>
            </w:r>
          </w:p>
        </w:tc>
        <w:tc>
          <w:tcPr>
            <w:tcW w:w="831" w:type="dxa"/>
            <w:tcBorders>
              <w:top w:val="single" w:sz="8" w:space="0" w:color="000000"/>
              <w:left w:val="nil"/>
              <w:bottom w:val="nil"/>
              <w:right w:val="single" w:sz="12" w:space="0" w:color="000000"/>
            </w:tcBorders>
            <w:shd w:val="clear" w:color="auto" w:fill="F2F2F2"/>
            <w:vAlign w:val="center"/>
            <w:hideMark/>
          </w:tcPr>
          <w:p w:rsidR="004310B4" w:rsidRDefault="004310B4">
            <w:pPr>
              <w:spacing w:after="0"/>
              <w:jc w:val="center"/>
              <w:rPr>
                <w:noProof/>
                <w:color w:val="000000"/>
                <w:sz w:val="18"/>
                <w:szCs w:val="18"/>
                <w:lang w:val="ro-RO"/>
              </w:rPr>
            </w:pPr>
            <w:r>
              <w:rPr>
                <w:b/>
                <w:noProof/>
                <w:sz w:val="18"/>
                <w:lang w:val="ro-RO"/>
              </w:rPr>
              <w:t>216</w:t>
            </w:r>
          </w:p>
        </w:tc>
        <w:tc>
          <w:tcPr>
            <w:tcW w:w="728" w:type="dxa"/>
            <w:tcBorders>
              <w:top w:val="single" w:sz="8" w:space="0" w:color="000000"/>
              <w:left w:val="single" w:sz="12" w:space="0" w:color="000000"/>
              <w:bottom w:val="nil"/>
              <w:right w:val="single" w:sz="4" w:space="0" w:color="000000"/>
            </w:tcBorders>
            <w:shd w:val="clear" w:color="auto" w:fill="F2F2F2"/>
            <w:vAlign w:val="center"/>
            <w:hideMark/>
          </w:tcPr>
          <w:p w:rsidR="004310B4" w:rsidRDefault="004310B4">
            <w:pPr>
              <w:spacing w:after="0"/>
              <w:jc w:val="center"/>
              <w:rPr>
                <w:b/>
                <w:noProof/>
                <w:color w:val="000000"/>
                <w:sz w:val="18"/>
                <w:szCs w:val="18"/>
                <w:lang w:val="ro-RO"/>
              </w:rPr>
            </w:pPr>
            <w:r>
              <w:rPr>
                <w:b/>
                <w:noProof/>
                <w:sz w:val="18"/>
                <w:lang w:val="ro-RO"/>
              </w:rPr>
              <w:t>15</w:t>
            </w:r>
          </w:p>
        </w:tc>
        <w:tc>
          <w:tcPr>
            <w:tcW w:w="850" w:type="dxa"/>
            <w:tcBorders>
              <w:top w:val="single" w:sz="8" w:space="0" w:color="000000"/>
              <w:left w:val="nil"/>
              <w:bottom w:val="nil"/>
              <w:right w:val="single" w:sz="12" w:space="0" w:color="000000"/>
            </w:tcBorders>
            <w:shd w:val="clear" w:color="auto" w:fill="F2F2F2"/>
            <w:vAlign w:val="center"/>
            <w:hideMark/>
          </w:tcPr>
          <w:p w:rsidR="004310B4" w:rsidRDefault="004310B4">
            <w:pPr>
              <w:spacing w:after="0"/>
              <w:jc w:val="center"/>
              <w:rPr>
                <w:b/>
                <w:noProof/>
                <w:color w:val="000000"/>
                <w:sz w:val="18"/>
                <w:szCs w:val="18"/>
                <w:lang w:val="ro-RO"/>
              </w:rPr>
            </w:pPr>
            <w:r>
              <w:rPr>
                <w:b/>
                <w:noProof/>
                <w:sz w:val="18"/>
                <w:lang w:val="ro-RO"/>
              </w:rPr>
              <w:t>7 %</w:t>
            </w:r>
          </w:p>
        </w:tc>
        <w:tc>
          <w:tcPr>
            <w:tcW w:w="567" w:type="dxa"/>
            <w:tcBorders>
              <w:top w:val="single" w:sz="8" w:space="0" w:color="000000"/>
              <w:left w:val="single" w:sz="12" w:space="0" w:color="000000"/>
              <w:bottom w:val="nil"/>
              <w:right w:val="single" w:sz="4" w:space="0" w:color="000000"/>
            </w:tcBorders>
            <w:shd w:val="clear" w:color="auto" w:fill="F2F2F2"/>
            <w:vAlign w:val="center"/>
            <w:hideMark/>
          </w:tcPr>
          <w:p w:rsidR="004310B4" w:rsidRDefault="004310B4">
            <w:pPr>
              <w:spacing w:after="0"/>
              <w:jc w:val="center"/>
              <w:rPr>
                <w:b/>
                <w:noProof/>
                <w:color w:val="000000"/>
                <w:sz w:val="18"/>
                <w:szCs w:val="18"/>
                <w:lang w:val="ro-RO"/>
              </w:rPr>
            </w:pPr>
            <w:r>
              <w:rPr>
                <w:b/>
                <w:noProof/>
                <w:sz w:val="18"/>
                <w:lang w:val="ro-RO"/>
              </w:rPr>
              <w:t>201</w:t>
            </w:r>
          </w:p>
        </w:tc>
        <w:tc>
          <w:tcPr>
            <w:tcW w:w="725" w:type="dxa"/>
            <w:tcBorders>
              <w:top w:val="single" w:sz="8" w:space="0" w:color="000000"/>
              <w:left w:val="nil"/>
              <w:bottom w:val="nil"/>
              <w:right w:val="single" w:sz="8" w:space="0" w:color="000000"/>
            </w:tcBorders>
            <w:shd w:val="clear" w:color="auto" w:fill="F2F2F2"/>
            <w:vAlign w:val="center"/>
            <w:hideMark/>
          </w:tcPr>
          <w:p w:rsidR="004310B4" w:rsidRDefault="004310B4">
            <w:pPr>
              <w:spacing w:after="0"/>
              <w:jc w:val="center"/>
              <w:rPr>
                <w:b/>
                <w:noProof/>
                <w:color w:val="000000"/>
                <w:sz w:val="18"/>
                <w:szCs w:val="18"/>
                <w:lang w:val="ro-RO"/>
              </w:rPr>
            </w:pPr>
            <w:r>
              <w:rPr>
                <w:b/>
                <w:noProof/>
                <w:sz w:val="18"/>
                <w:lang w:val="ro-RO"/>
              </w:rPr>
              <w:t>93 %</w:t>
            </w:r>
          </w:p>
        </w:tc>
        <w:tc>
          <w:tcPr>
            <w:tcW w:w="782" w:type="dxa"/>
            <w:tcBorders>
              <w:top w:val="single" w:sz="8" w:space="0" w:color="000000"/>
              <w:left w:val="single" w:sz="4" w:space="0" w:color="000000"/>
              <w:bottom w:val="nil"/>
              <w:right w:val="single" w:sz="4" w:space="0" w:color="000000"/>
            </w:tcBorders>
            <w:shd w:val="clear" w:color="auto" w:fill="F2F2F2"/>
            <w:vAlign w:val="center"/>
            <w:hideMark/>
          </w:tcPr>
          <w:p w:rsidR="004310B4" w:rsidRDefault="004310B4">
            <w:pPr>
              <w:spacing w:after="0"/>
              <w:jc w:val="center"/>
              <w:rPr>
                <w:b/>
                <w:noProof/>
                <w:color w:val="000000"/>
                <w:sz w:val="18"/>
                <w:szCs w:val="18"/>
                <w:lang w:val="ro-RO"/>
              </w:rPr>
            </w:pPr>
            <w:r>
              <w:rPr>
                <w:b/>
                <w:noProof/>
                <w:sz w:val="18"/>
                <w:lang w:val="ro-RO"/>
              </w:rPr>
              <w:t>186</w:t>
            </w:r>
          </w:p>
        </w:tc>
        <w:tc>
          <w:tcPr>
            <w:tcW w:w="672" w:type="dxa"/>
            <w:tcBorders>
              <w:top w:val="single" w:sz="8" w:space="0" w:color="000000"/>
              <w:left w:val="nil"/>
              <w:bottom w:val="nil"/>
              <w:right w:val="single" w:sz="4" w:space="0" w:color="000000"/>
            </w:tcBorders>
            <w:shd w:val="clear" w:color="auto" w:fill="F2F2F2"/>
            <w:vAlign w:val="center"/>
            <w:hideMark/>
          </w:tcPr>
          <w:p w:rsidR="004310B4" w:rsidRDefault="004310B4">
            <w:pPr>
              <w:spacing w:after="0"/>
              <w:jc w:val="center"/>
              <w:rPr>
                <w:b/>
                <w:noProof/>
                <w:color w:val="000000"/>
                <w:sz w:val="18"/>
                <w:szCs w:val="18"/>
                <w:lang w:val="ro-RO"/>
              </w:rPr>
            </w:pPr>
            <w:r>
              <w:rPr>
                <w:b/>
                <w:noProof/>
                <w:sz w:val="18"/>
                <w:lang w:val="ro-RO"/>
              </w:rPr>
              <w:t>15</w:t>
            </w:r>
          </w:p>
        </w:tc>
        <w:tc>
          <w:tcPr>
            <w:tcW w:w="672" w:type="dxa"/>
            <w:tcBorders>
              <w:top w:val="single" w:sz="8" w:space="0" w:color="000000"/>
              <w:left w:val="nil"/>
              <w:bottom w:val="nil"/>
              <w:right w:val="single" w:sz="4" w:space="0" w:color="000000"/>
            </w:tcBorders>
            <w:shd w:val="clear" w:color="auto" w:fill="F2F2F2"/>
            <w:vAlign w:val="center"/>
            <w:hideMark/>
          </w:tcPr>
          <w:p w:rsidR="004310B4" w:rsidRDefault="004310B4">
            <w:pPr>
              <w:spacing w:after="0"/>
              <w:jc w:val="center"/>
              <w:rPr>
                <w:b/>
                <w:noProof/>
                <w:color w:val="000000"/>
                <w:sz w:val="18"/>
                <w:szCs w:val="18"/>
                <w:lang w:val="ro-RO"/>
              </w:rPr>
            </w:pPr>
            <w:r>
              <w:rPr>
                <w:b/>
                <w:noProof/>
                <w:sz w:val="18"/>
                <w:lang w:val="ro-RO"/>
              </w:rPr>
              <w:t>0</w:t>
            </w:r>
          </w:p>
        </w:tc>
        <w:tc>
          <w:tcPr>
            <w:tcW w:w="613" w:type="dxa"/>
            <w:tcBorders>
              <w:top w:val="single" w:sz="8" w:space="0" w:color="000000"/>
              <w:left w:val="nil"/>
              <w:bottom w:val="nil"/>
              <w:right w:val="single" w:sz="12" w:space="0" w:color="000000"/>
            </w:tcBorders>
            <w:shd w:val="clear" w:color="auto" w:fill="F2F2F2"/>
            <w:vAlign w:val="center"/>
            <w:hideMark/>
          </w:tcPr>
          <w:p w:rsidR="004310B4" w:rsidRDefault="004310B4">
            <w:pPr>
              <w:spacing w:after="0"/>
              <w:jc w:val="center"/>
              <w:rPr>
                <w:b/>
                <w:noProof/>
                <w:color w:val="000000"/>
                <w:sz w:val="18"/>
                <w:szCs w:val="18"/>
                <w:lang w:val="ro-RO"/>
              </w:rPr>
            </w:pPr>
            <w:r>
              <w:rPr>
                <w:b/>
                <w:noProof/>
                <w:sz w:val="18"/>
                <w:lang w:val="ro-RO"/>
              </w:rPr>
              <w:t>0</w:t>
            </w:r>
          </w:p>
        </w:tc>
      </w:tr>
      <w:tr w:rsidR="004310B4">
        <w:trPr>
          <w:trHeight w:val="225"/>
          <w:jc w:val="center"/>
        </w:trPr>
        <w:tc>
          <w:tcPr>
            <w:tcW w:w="2076" w:type="dxa"/>
            <w:gridSpan w:val="2"/>
            <w:tcBorders>
              <w:top w:val="single" w:sz="8" w:space="0" w:color="000000"/>
              <w:left w:val="single" w:sz="12" w:space="0" w:color="000000"/>
              <w:bottom w:val="single" w:sz="4" w:space="0" w:color="000000"/>
              <w:right w:val="single" w:sz="4" w:space="0" w:color="000000"/>
            </w:tcBorders>
            <w:shd w:val="clear" w:color="auto" w:fill="D9D9D9"/>
            <w:vAlign w:val="center"/>
            <w:hideMark/>
          </w:tcPr>
          <w:p w:rsidR="004310B4" w:rsidRDefault="004310B4">
            <w:pPr>
              <w:spacing w:after="0"/>
              <w:jc w:val="left"/>
              <w:rPr>
                <w:noProof/>
                <w:color w:val="000000"/>
                <w:szCs w:val="24"/>
                <w:lang w:val="ro-RO"/>
              </w:rPr>
            </w:pPr>
            <w:r>
              <w:rPr>
                <w:b/>
                <w:noProof/>
                <w:sz w:val="18"/>
                <w:lang w:val="ro-RO"/>
              </w:rPr>
              <w:t>TOTAL 2011-2015 </w:t>
            </w:r>
          </w:p>
        </w:tc>
        <w:tc>
          <w:tcPr>
            <w:tcW w:w="831" w:type="dxa"/>
            <w:tcBorders>
              <w:top w:val="single" w:sz="8" w:space="0" w:color="000000"/>
              <w:left w:val="nil"/>
              <w:bottom w:val="single" w:sz="4" w:space="0" w:color="000000"/>
              <w:right w:val="single" w:sz="12" w:space="0" w:color="000000"/>
            </w:tcBorders>
            <w:shd w:val="clear" w:color="auto" w:fill="D9D9D9"/>
            <w:vAlign w:val="center"/>
            <w:hideMark/>
          </w:tcPr>
          <w:p w:rsidR="004310B4" w:rsidRDefault="004310B4">
            <w:pPr>
              <w:spacing w:after="0"/>
              <w:jc w:val="center"/>
              <w:rPr>
                <w:noProof/>
                <w:color w:val="000000"/>
                <w:szCs w:val="24"/>
                <w:lang w:val="ro-RO"/>
              </w:rPr>
            </w:pPr>
            <w:r>
              <w:rPr>
                <w:b/>
                <w:noProof/>
                <w:sz w:val="18"/>
                <w:lang w:val="ro-RO"/>
              </w:rPr>
              <w:t>1725</w:t>
            </w:r>
          </w:p>
        </w:tc>
        <w:tc>
          <w:tcPr>
            <w:tcW w:w="728" w:type="dxa"/>
            <w:tcBorders>
              <w:top w:val="single" w:sz="8" w:space="0" w:color="000000"/>
              <w:left w:val="single" w:sz="12" w:space="0" w:color="000000"/>
              <w:bottom w:val="single" w:sz="4" w:space="0" w:color="000000"/>
              <w:right w:val="single" w:sz="4" w:space="0" w:color="000000"/>
            </w:tcBorders>
            <w:shd w:val="clear" w:color="auto" w:fill="D9D9D9"/>
            <w:vAlign w:val="center"/>
            <w:hideMark/>
          </w:tcPr>
          <w:p w:rsidR="004310B4" w:rsidRDefault="004310B4">
            <w:pPr>
              <w:spacing w:after="0"/>
              <w:jc w:val="center"/>
              <w:rPr>
                <w:noProof/>
                <w:color w:val="000000"/>
                <w:szCs w:val="24"/>
                <w:lang w:val="ro-RO"/>
              </w:rPr>
            </w:pPr>
            <w:r>
              <w:rPr>
                <w:b/>
                <w:noProof/>
                <w:sz w:val="18"/>
                <w:lang w:val="ro-RO"/>
              </w:rPr>
              <w:t>1270</w:t>
            </w:r>
          </w:p>
        </w:tc>
        <w:tc>
          <w:tcPr>
            <w:tcW w:w="850" w:type="dxa"/>
            <w:tcBorders>
              <w:top w:val="single" w:sz="8" w:space="0" w:color="000000"/>
              <w:left w:val="nil"/>
              <w:bottom w:val="single" w:sz="4" w:space="0" w:color="000000"/>
              <w:right w:val="single" w:sz="12" w:space="0" w:color="000000"/>
            </w:tcBorders>
            <w:shd w:val="clear" w:color="auto" w:fill="D9D9D9"/>
            <w:vAlign w:val="center"/>
            <w:hideMark/>
          </w:tcPr>
          <w:p w:rsidR="004310B4" w:rsidRDefault="004310B4">
            <w:pPr>
              <w:spacing w:after="0"/>
              <w:jc w:val="center"/>
              <w:rPr>
                <w:noProof/>
                <w:color w:val="000000"/>
                <w:szCs w:val="24"/>
                <w:lang w:val="ro-RO"/>
              </w:rPr>
            </w:pPr>
            <w:r>
              <w:rPr>
                <w:b/>
                <w:noProof/>
                <w:sz w:val="18"/>
                <w:lang w:val="ro-RO"/>
              </w:rPr>
              <w:t>74 %</w:t>
            </w:r>
          </w:p>
        </w:tc>
        <w:tc>
          <w:tcPr>
            <w:tcW w:w="567" w:type="dxa"/>
            <w:tcBorders>
              <w:top w:val="single" w:sz="8" w:space="0" w:color="000000"/>
              <w:left w:val="single" w:sz="12" w:space="0" w:color="000000"/>
              <w:bottom w:val="single" w:sz="4" w:space="0" w:color="000000"/>
              <w:right w:val="single" w:sz="4" w:space="0" w:color="000000"/>
            </w:tcBorders>
            <w:shd w:val="clear" w:color="auto" w:fill="D9D9D9"/>
            <w:vAlign w:val="center"/>
            <w:hideMark/>
          </w:tcPr>
          <w:p w:rsidR="004310B4" w:rsidRDefault="004310B4">
            <w:pPr>
              <w:spacing w:after="0"/>
              <w:jc w:val="center"/>
              <w:rPr>
                <w:noProof/>
                <w:color w:val="000000"/>
                <w:szCs w:val="24"/>
                <w:lang w:val="ro-RO"/>
              </w:rPr>
            </w:pPr>
            <w:r>
              <w:rPr>
                <w:b/>
                <w:noProof/>
                <w:sz w:val="18"/>
                <w:lang w:val="ro-RO"/>
              </w:rPr>
              <w:t>455</w:t>
            </w:r>
          </w:p>
        </w:tc>
        <w:tc>
          <w:tcPr>
            <w:tcW w:w="725" w:type="dxa"/>
            <w:tcBorders>
              <w:top w:val="single" w:sz="8" w:space="0" w:color="000000"/>
              <w:left w:val="nil"/>
              <w:bottom w:val="single" w:sz="4" w:space="0" w:color="000000"/>
              <w:right w:val="single" w:sz="4" w:space="0" w:color="000000"/>
            </w:tcBorders>
            <w:shd w:val="clear" w:color="auto" w:fill="D9D9D9"/>
            <w:vAlign w:val="center"/>
            <w:hideMark/>
          </w:tcPr>
          <w:p w:rsidR="004310B4" w:rsidRDefault="004310B4">
            <w:pPr>
              <w:spacing w:after="0"/>
              <w:jc w:val="center"/>
              <w:rPr>
                <w:noProof/>
                <w:color w:val="000000"/>
                <w:szCs w:val="24"/>
                <w:lang w:val="ro-RO"/>
              </w:rPr>
            </w:pPr>
            <w:r>
              <w:rPr>
                <w:b/>
                <w:noProof/>
                <w:sz w:val="18"/>
                <w:lang w:val="ro-RO"/>
              </w:rPr>
              <w:t>26 %</w:t>
            </w:r>
          </w:p>
        </w:tc>
        <w:tc>
          <w:tcPr>
            <w:tcW w:w="782" w:type="dxa"/>
            <w:tcBorders>
              <w:top w:val="single" w:sz="8" w:space="0" w:color="000000"/>
              <w:left w:val="nil"/>
              <w:bottom w:val="single" w:sz="4" w:space="0" w:color="000000"/>
              <w:right w:val="single" w:sz="4" w:space="0" w:color="000000"/>
            </w:tcBorders>
            <w:shd w:val="clear" w:color="auto" w:fill="D9D9D9"/>
            <w:vAlign w:val="center"/>
            <w:hideMark/>
          </w:tcPr>
          <w:p w:rsidR="004310B4" w:rsidRDefault="004310B4">
            <w:pPr>
              <w:spacing w:after="0"/>
              <w:jc w:val="center"/>
              <w:rPr>
                <w:noProof/>
                <w:color w:val="000000"/>
                <w:szCs w:val="24"/>
                <w:lang w:val="ro-RO"/>
              </w:rPr>
            </w:pPr>
            <w:r>
              <w:rPr>
                <w:b/>
                <w:noProof/>
                <w:sz w:val="18"/>
                <w:lang w:val="ro-RO"/>
              </w:rPr>
              <w:t>235</w:t>
            </w:r>
          </w:p>
        </w:tc>
        <w:tc>
          <w:tcPr>
            <w:tcW w:w="672" w:type="dxa"/>
            <w:tcBorders>
              <w:top w:val="single" w:sz="8" w:space="0" w:color="000000"/>
              <w:left w:val="nil"/>
              <w:bottom w:val="single" w:sz="4" w:space="0" w:color="000000"/>
              <w:right w:val="single" w:sz="4" w:space="0" w:color="000000"/>
            </w:tcBorders>
            <w:shd w:val="clear" w:color="auto" w:fill="D9D9D9"/>
            <w:vAlign w:val="center"/>
            <w:hideMark/>
          </w:tcPr>
          <w:p w:rsidR="004310B4" w:rsidRDefault="004310B4">
            <w:pPr>
              <w:spacing w:after="0"/>
              <w:jc w:val="center"/>
              <w:rPr>
                <w:noProof/>
                <w:color w:val="000000"/>
                <w:szCs w:val="24"/>
                <w:lang w:val="ro-RO"/>
              </w:rPr>
            </w:pPr>
            <w:r>
              <w:rPr>
                <w:b/>
                <w:noProof/>
                <w:sz w:val="18"/>
                <w:lang w:val="ro-RO"/>
              </w:rPr>
              <w:t>103</w:t>
            </w:r>
          </w:p>
        </w:tc>
        <w:tc>
          <w:tcPr>
            <w:tcW w:w="672" w:type="dxa"/>
            <w:tcBorders>
              <w:top w:val="single" w:sz="8" w:space="0" w:color="000000"/>
              <w:left w:val="nil"/>
              <w:bottom w:val="single" w:sz="4" w:space="0" w:color="000000"/>
              <w:right w:val="single" w:sz="4" w:space="0" w:color="000000"/>
            </w:tcBorders>
            <w:shd w:val="clear" w:color="auto" w:fill="D9D9D9"/>
            <w:vAlign w:val="center"/>
            <w:hideMark/>
          </w:tcPr>
          <w:p w:rsidR="004310B4" w:rsidRDefault="004310B4">
            <w:pPr>
              <w:spacing w:after="0"/>
              <w:jc w:val="center"/>
              <w:rPr>
                <w:noProof/>
                <w:color w:val="000000"/>
                <w:szCs w:val="24"/>
                <w:lang w:val="ro-RO"/>
              </w:rPr>
            </w:pPr>
            <w:r>
              <w:rPr>
                <w:b/>
                <w:noProof/>
                <w:sz w:val="18"/>
                <w:lang w:val="ro-RO"/>
              </w:rPr>
              <w:t>48</w:t>
            </w:r>
          </w:p>
        </w:tc>
        <w:tc>
          <w:tcPr>
            <w:tcW w:w="613" w:type="dxa"/>
            <w:tcBorders>
              <w:top w:val="single" w:sz="8" w:space="0" w:color="000000"/>
              <w:left w:val="nil"/>
              <w:bottom w:val="single" w:sz="4" w:space="0" w:color="000000"/>
              <w:right w:val="single" w:sz="12" w:space="0" w:color="000000"/>
            </w:tcBorders>
            <w:shd w:val="clear" w:color="auto" w:fill="D9D9D9"/>
            <w:vAlign w:val="center"/>
            <w:hideMark/>
          </w:tcPr>
          <w:p w:rsidR="004310B4" w:rsidRDefault="004310B4">
            <w:pPr>
              <w:spacing w:after="0"/>
              <w:jc w:val="center"/>
              <w:rPr>
                <w:noProof/>
                <w:color w:val="000000"/>
                <w:szCs w:val="24"/>
                <w:lang w:val="ro-RO"/>
              </w:rPr>
            </w:pPr>
            <w:r>
              <w:rPr>
                <w:b/>
                <w:noProof/>
                <w:sz w:val="18"/>
                <w:lang w:val="ro-RO"/>
              </w:rPr>
              <w:t>69</w:t>
            </w:r>
          </w:p>
        </w:tc>
      </w:tr>
      <w:tr w:rsidR="004310B4">
        <w:trPr>
          <w:trHeight w:val="246"/>
          <w:jc w:val="center"/>
        </w:trPr>
        <w:tc>
          <w:tcPr>
            <w:tcW w:w="2076" w:type="dxa"/>
            <w:gridSpan w:val="2"/>
            <w:tcBorders>
              <w:top w:val="nil"/>
              <w:left w:val="single" w:sz="12" w:space="0" w:color="000000"/>
              <w:bottom w:val="single" w:sz="12" w:space="0" w:color="000000"/>
              <w:right w:val="single" w:sz="4" w:space="0" w:color="000000"/>
            </w:tcBorders>
            <w:shd w:val="clear" w:color="auto" w:fill="D9D9D9"/>
            <w:vAlign w:val="center"/>
            <w:hideMark/>
          </w:tcPr>
          <w:p w:rsidR="004310B4" w:rsidRDefault="004310B4">
            <w:pPr>
              <w:spacing w:after="0"/>
              <w:jc w:val="left"/>
              <w:rPr>
                <w:noProof/>
                <w:color w:val="000000"/>
                <w:szCs w:val="24"/>
                <w:lang w:val="ro-RO"/>
              </w:rPr>
            </w:pPr>
            <w:r>
              <w:rPr>
                <w:b/>
                <w:noProof/>
                <w:sz w:val="18"/>
                <w:lang w:val="ro-RO"/>
              </w:rPr>
              <w:t>Esențială sau foarte importantă</w:t>
            </w:r>
            <w:r>
              <w:rPr>
                <w:noProof/>
                <w:sz w:val="18"/>
                <w:lang w:val="ro-RO"/>
              </w:rPr>
              <w:t> </w:t>
            </w:r>
          </w:p>
        </w:tc>
        <w:tc>
          <w:tcPr>
            <w:tcW w:w="831" w:type="dxa"/>
            <w:tcBorders>
              <w:top w:val="nil"/>
              <w:left w:val="nil"/>
              <w:bottom w:val="single" w:sz="12" w:space="0" w:color="000000"/>
              <w:right w:val="single" w:sz="12" w:space="0" w:color="000000"/>
            </w:tcBorders>
            <w:shd w:val="clear" w:color="auto" w:fill="D9D9D9"/>
            <w:vAlign w:val="center"/>
            <w:hideMark/>
          </w:tcPr>
          <w:p w:rsidR="004310B4" w:rsidRDefault="004310B4">
            <w:pPr>
              <w:spacing w:after="0"/>
              <w:jc w:val="center"/>
              <w:rPr>
                <w:noProof/>
                <w:color w:val="000000"/>
                <w:szCs w:val="24"/>
                <w:lang w:val="ro-RO"/>
              </w:rPr>
            </w:pPr>
            <w:r>
              <w:rPr>
                <w:b/>
                <w:noProof/>
                <w:sz w:val="18"/>
                <w:lang w:val="ro-RO"/>
              </w:rPr>
              <w:t>570</w:t>
            </w:r>
          </w:p>
        </w:tc>
        <w:tc>
          <w:tcPr>
            <w:tcW w:w="728" w:type="dxa"/>
            <w:tcBorders>
              <w:top w:val="nil"/>
              <w:left w:val="single" w:sz="12" w:space="0" w:color="000000"/>
              <w:bottom w:val="single" w:sz="12" w:space="0" w:color="000000"/>
              <w:right w:val="single" w:sz="4" w:space="0" w:color="000000"/>
            </w:tcBorders>
            <w:shd w:val="clear" w:color="auto" w:fill="D9D9D9"/>
            <w:vAlign w:val="center"/>
            <w:hideMark/>
          </w:tcPr>
          <w:p w:rsidR="004310B4" w:rsidRDefault="004310B4">
            <w:pPr>
              <w:spacing w:after="0"/>
              <w:jc w:val="center"/>
              <w:rPr>
                <w:noProof/>
                <w:color w:val="000000"/>
                <w:szCs w:val="24"/>
                <w:lang w:val="ro-RO"/>
              </w:rPr>
            </w:pPr>
            <w:r>
              <w:rPr>
                <w:b/>
                <w:noProof/>
                <w:sz w:val="18"/>
                <w:lang w:val="ro-RO"/>
              </w:rPr>
              <w:t>407</w:t>
            </w:r>
          </w:p>
        </w:tc>
        <w:tc>
          <w:tcPr>
            <w:tcW w:w="850" w:type="dxa"/>
            <w:tcBorders>
              <w:top w:val="nil"/>
              <w:left w:val="nil"/>
              <w:bottom w:val="single" w:sz="12" w:space="0" w:color="000000"/>
              <w:right w:val="single" w:sz="12" w:space="0" w:color="000000"/>
            </w:tcBorders>
            <w:shd w:val="clear" w:color="auto" w:fill="D9D9D9"/>
            <w:vAlign w:val="center"/>
            <w:hideMark/>
          </w:tcPr>
          <w:p w:rsidR="004310B4" w:rsidRDefault="004310B4">
            <w:pPr>
              <w:spacing w:after="0"/>
              <w:jc w:val="center"/>
              <w:rPr>
                <w:noProof/>
                <w:color w:val="000000"/>
                <w:szCs w:val="24"/>
                <w:lang w:val="ro-RO"/>
              </w:rPr>
            </w:pPr>
            <w:r>
              <w:rPr>
                <w:b/>
                <w:noProof/>
                <w:sz w:val="18"/>
                <w:lang w:val="ro-RO"/>
              </w:rPr>
              <w:t>72 %</w:t>
            </w:r>
          </w:p>
        </w:tc>
        <w:tc>
          <w:tcPr>
            <w:tcW w:w="567" w:type="dxa"/>
            <w:tcBorders>
              <w:top w:val="nil"/>
              <w:left w:val="single" w:sz="12" w:space="0" w:color="000000"/>
              <w:bottom w:val="single" w:sz="12" w:space="0" w:color="000000"/>
              <w:right w:val="single" w:sz="4" w:space="0" w:color="000000"/>
            </w:tcBorders>
            <w:shd w:val="clear" w:color="auto" w:fill="D9D9D9"/>
            <w:vAlign w:val="center"/>
            <w:hideMark/>
          </w:tcPr>
          <w:p w:rsidR="004310B4" w:rsidRDefault="004310B4">
            <w:pPr>
              <w:spacing w:after="0"/>
              <w:jc w:val="center"/>
              <w:rPr>
                <w:noProof/>
                <w:color w:val="000000"/>
                <w:szCs w:val="24"/>
                <w:lang w:val="ro-RO"/>
              </w:rPr>
            </w:pPr>
            <w:r>
              <w:rPr>
                <w:b/>
                <w:noProof/>
                <w:sz w:val="18"/>
                <w:lang w:val="ro-RO"/>
              </w:rPr>
              <w:t>163</w:t>
            </w:r>
          </w:p>
        </w:tc>
        <w:tc>
          <w:tcPr>
            <w:tcW w:w="725" w:type="dxa"/>
            <w:tcBorders>
              <w:top w:val="nil"/>
              <w:left w:val="nil"/>
              <w:bottom w:val="single" w:sz="12" w:space="0" w:color="000000"/>
              <w:right w:val="single" w:sz="4" w:space="0" w:color="000000"/>
            </w:tcBorders>
            <w:shd w:val="clear" w:color="auto" w:fill="D9D9D9"/>
            <w:vAlign w:val="center"/>
            <w:hideMark/>
          </w:tcPr>
          <w:p w:rsidR="004310B4" w:rsidRDefault="004310B4">
            <w:pPr>
              <w:spacing w:after="0"/>
              <w:jc w:val="center"/>
              <w:rPr>
                <w:noProof/>
                <w:color w:val="000000"/>
                <w:szCs w:val="24"/>
                <w:lang w:val="ro-RO"/>
              </w:rPr>
            </w:pPr>
            <w:r>
              <w:rPr>
                <w:b/>
                <w:noProof/>
                <w:sz w:val="18"/>
                <w:lang w:val="ro-RO"/>
              </w:rPr>
              <w:t>28 %</w:t>
            </w:r>
          </w:p>
        </w:tc>
        <w:tc>
          <w:tcPr>
            <w:tcW w:w="782" w:type="dxa"/>
            <w:tcBorders>
              <w:top w:val="nil"/>
              <w:left w:val="nil"/>
              <w:bottom w:val="single" w:sz="12" w:space="0" w:color="000000"/>
              <w:right w:val="single" w:sz="4" w:space="0" w:color="000000"/>
            </w:tcBorders>
            <w:shd w:val="clear" w:color="auto" w:fill="D9D9D9"/>
            <w:vAlign w:val="center"/>
            <w:hideMark/>
          </w:tcPr>
          <w:p w:rsidR="004310B4" w:rsidRDefault="004310B4">
            <w:pPr>
              <w:spacing w:after="0"/>
              <w:jc w:val="center"/>
              <w:rPr>
                <w:noProof/>
                <w:color w:val="000000"/>
                <w:szCs w:val="24"/>
                <w:lang w:val="ro-RO"/>
              </w:rPr>
            </w:pPr>
            <w:r>
              <w:rPr>
                <w:b/>
                <w:noProof/>
                <w:sz w:val="18"/>
                <w:lang w:val="ro-RO"/>
              </w:rPr>
              <w:t>90</w:t>
            </w:r>
          </w:p>
        </w:tc>
        <w:tc>
          <w:tcPr>
            <w:tcW w:w="672" w:type="dxa"/>
            <w:tcBorders>
              <w:top w:val="nil"/>
              <w:left w:val="nil"/>
              <w:bottom w:val="single" w:sz="12" w:space="0" w:color="000000"/>
              <w:right w:val="single" w:sz="4" w:space="0" w:color="000000"/>
            </w:tcBorders>
            <w:shd w:val="clear" w:color="auto" w:fill="D9D9D9"/>
            <w:vAlign w:val="center"/>
            <w:hideMark/>
          </w:tcPr>
          <w:p w:rsidR="004310B4" w:rsidRDefault="004310B4">
            <w:pPr>
              <w:spacing w:after="0"/>
              <w:jc w:val="center"/>
              <w:rPr>
                <w:noProof/>
                <w:color w:val="000000"/>
                <w:szCs w:val="24"/>
                <w:lang w:val="ro-RO"/>
              </w:rPr>
            </w:pPr>
            <w:r>
              <w:rPr>
                <w:b/>
                <w:noProof/>
                <w:sz w:val="18"/>
                <w:lang w:val="ro-RO"/>
              </w:rPr>
              <w:t>42</w:t>
            </w:r>
          </w:p>
        </w:tc>
        <w:tc>
          <w:tcPr>
            <w:tcW w:w="672" w:type="dxa"/>
            <w:tcBorders>
              <w:top w:val="nil"/>
              <w:left w:val="nil"/>
              <w:bottom w:val="single" w:sz="12" w:space="0" w:color="000000"/>
              <w:right w:val="single" w:sz="4" w:space="0" w:color="000000"/>
            </w:tcBorders>
            <w:shd w:val="clear" w:color="auto" w:fill="D9D9D9"/>
            <w:vAlign w:val="center"/>
            <w:hideMark/>
          </w:tcPr>
          <w:p w:rsidR="004310B4" w:rsidRDefault="004310B4">
            <w:pPr>
              <w:spacing w:after="0"/>
              <w:jc w:val="center"/>
              <w:rPr>
                <w:noProof/>
                <w:color w:val="000000"/>
                <w:szCs w:val="24"/>
                <w:lang w:val="ro-RO"/>
              </w:rPr>
            </w:pPr>
            <w:r>
              <w:rPr>
                <w:b/>
                <w:noProof/>
                <w:sz w:val="18"/>
                <w:lang w:val="ro-RO"/>
              </w:rPr>
              <w:t>15</w:t>
            </w:r>
          </w:p>
        </w:tc>
        <w:tc>
          <w:tcPr>
            <w:tcW w:w="613" w:type="dxa"/>
            <w:tcBorders>
              <w:top w:val="nil"/>
              <w:left w:val="nil"/>
              <w:bottom w:val="single" w:sz="12" w:space="0" w:color="000000"/>
              <w:right w:val="single" w:sz="12" w:space="0" w:color="000000"/>
            </w:tcBorders>
            <w:shd w:val="clear" w:color="auto" w:fill="D9D9D9"/>
            <w:vAlign w:val="center"/>
            <w:hideMark/>
          </w:tcPr>
          <w:p w:rsidR="004310B4" w:rsidRDefault="004310B4">
            <w:pPr>
              <w:spacing w:after="0"/>
              <w:jc w:val="center"/>
              <w:rPr>
                <w:noProof/>
                <w:color w:val="000000"/>
                <w:szCs w:val="24"/>
                <w:lang w:val="ro-RO"/>
              </w:rPr>
            </w:pPr>
            <w:r>
              <w:rPr>
                <w:b/>
                <w:noProof/>
                <w:sz w:val="18"/>
                <w:lang w:val="ro-RO"/>
              </w:rPr>
              <w:t>16</w:t>
            </w:r>
          </w:p>
        </w:tc>
      </w:tr>
    </w:tbl>
    <w:p w:rsidR="004310B4" w:rsidRDefault="004310B4">
      <w:pPr>
        <w:spacing w:before="100" w:beforeAutospacing="1"/>
        <w:ind w:left="567"/>
        <w:rPr>
          <w:noProof/>
          <w:lang w:val="ro-RO"/>
        </w:rPr>
      </w:pPr>
    </w:p>
    <w:p w:rsidR="004310B4" w:rsidRDefault="004310B4">
      <w:pPr>
        <w:ind w:left="567"/>
        <w:rPr>
          <w:noProof/>
          <w:lang w:val="ro-RO"/>
        </w:rPr>
      </w:pPr>
      <w:r>
        <w:rPr>
          <w:noProof/>
          <w:lang w:val="ro-RO"/>
        </w:rPr>
        <w:t>Creșterea considerabilă a numărului total de recomandări deschise se explică în principal prin faptul că, odată cu centralizarea funcției de audit intern, recomandările IAC anterioare au fost preluate de IAS.</w:t>
      </w:r>
    </w:p>
    <w:p w:rsidR="004310B4" w:rsidRDefault="004310B4">
      <w:pPr>
        <w:ind w:left="567"/>
        <w:rPr>
          <w:noProof/>
          <w:lang w:val="ro-RO"/>
        </w:rPr>
      </w:pPr>
      <w:r>
        <w:rPr>
          <w:noProof/>
          <w:lang w:val="ro-RO"/>
        </w:rPr>
        <w:t xml:space="preserve">În ansamblu, 1 270 sau 74 % din numărul total al recomandărilor acceptate în perioada 2011-2015 sunt considerate de către entitățile auditate ca fiind puse în aplicare, restul de 455 de recomandări (sau 26 %) fiind încă în curs de punere în aplicare. Din numărul total de 455 de recomandări în curs, una este esențială, dar nu întârziată, iar 162 de recomandări sunt foarte importante. </w:t>
      </w:r>
    </w:p>
    <w:p w:rsidR="004310B4" w:rsidRDefault="004310B4">
      <w:pPr>
        <w:ind w:left="567"/>
        <w:rPr>
          <w:noProof/>
          <w:lang w:val="ro-RO"/>
        </w:rPr>
      </w:pPr>
      <w:r>
        <w:rPr>
          <w:noProof/>
          <w:lang w:val="ro-RO"/>
        </w:rPr>
        <w:t>Din totalul de 455 de recomandări în curs, 220 înregistrau întârzieri, reprezentând 13 % din numărul total al recomandărilor acceptate, din care 31 recomandări foarte importante înregistrau întârzieri foarte mari (peste 6 luni față de termenul inițial). La această cifră ar trebui adăugată încă o recomandare foarte importantă, care a înregistrat o întârziere mare, dintr-un raport de audit emis înainte de actuala perioadă de raportare (2011-2015). În ansamblu, acestea reprezintă doar 1,9 % din numărul total al recomandărilor acceptate în perioada 2011-2015.</w:t>
      </w:r>
    </w:p>
    <w:p w:rsidR="004310B4" w:rsidRDefault="004310B4">
      <w:pPr>
        <w:spacing w:before="120"/>
        <w:ind w:left="567"/>
        <w:rPr>
          <w:noProof/>
          <w:lang w:val="ro-RO"/>
        </w:rPr>
      </w:pPr>
      <w:r>
        <w:rPr>
          <w:noProof/>
          <w:lang w:val="ro-RO"/>
        </w:rPr>
        <w:t xml:space="preserve">În ansamblu, IAS consideră că aceasta este situație bună, comparabilă cu rapoartele anterioare și o indicație a faptului că serviciile Comisiei tratează cu seriozitate punerea în aplicare a recomandărilor foarte importante și, prin urmare, reducerea riscurilor identificate. Cu toate acestea, trebuie să se acorde atenție recomandărilor „foarte importante” care înregistrează întârzieri mari, și anume o întârziere de peste șase luni. CMA a fost informat în mod regulat cu privire la stadiul actual al punerii în aplicare a recomandărilor IAS (evaluarea realizată de conducere și rezultatele misiunilor de urmărire subsecventă efectuate de IAS). S-a atras atenția, în special, asupra recomandărilor foarte importante cu o întârziere de peste șase luni. CMA a hotărât să ia măsuri specifice reamintind serviciilor de responsabilitatea acestora de a pune în aplicare recomandările IAS, după caz. </w:t>
      </w:r>
    </w:p>
    <w:p w:rsidR="004310B4" w:rsidRDefault="004310B4">
      <w:pPr>
        <w:ind w:left="567"/>
        <w:rPr>
          <w:noProof/>
          <w:highlight w:val="yellow"/>
          <w:lang w:val="ro-RO"/>
        </w:rPr>
      </w:pPr>
      <w:r>
        <w:rPr>
          <w:noProof/>
          <w:lang w:val="ro-RO"/>
        </w:rPr>
        <w:t>Numărul total de recomandări emise în perioada 2011-2015, pentru care s-a efectuat un audit de urmărire subsecventă se ridică la 1 004, în comparație cu cele 1 270 raportate ca fiind „pregătite pentru examinare” de către entitățile auditate.</w:t>
      </w:r>
    </w:p>
    <w:p w:rsidR="004310B4" w:rsidRDefault="004310B4">
      <w:pPr>
        <w:ind w:left="567"/>
        <w:rPr>
          <w:noProof/>
          <w:lang w:val="ro-RO"/>
        </w:rPr>
      </w:pPr>
      <w:r>
        <w:rPr>
          <w:noProof/>
          <w:lang w:val="ro-RO"/>
        </w:rPr>
        <w:t>Din numărul total de recomandări emise și monitorizate în cursul perioadei respective (1 004), 911 (91 %) au fost închise de auditor. Aceasta înseamnă că, în medie, IAS a apreciat că 9 % din recomandări nu au putut fi considerate deocamdată ca fiind puse în aplicare în mod efectiv și, prin urmare, nu au fost închise după încheierea auditului de urmărire subsecventă. Aceasta reprezintă o creștere în comparație cu anul anterior (5 %). Aceasta se explică prin faptul că IAS a efectuat o serie de audituri de urmărire subsecventă în a doua jumătate a anului 2015, care au inclus, de asemenea, o reexaminare a stadiului de punere în aplicare a recomandărilor care încă nu au fost evaluate de entitatea auditată ca fiind „pregătite pentru examinare”. Majoritatea acestor recomandări au fost recomandări IAC, IAS profitând de ocazie pentru a evalua situația actuală a acestora în același timp cu analizarea altor recomandări din cadrul aceluiași audit care au fost considerate de entitatea auditată ca fiind „pregătite pentru examinare”. În plus, IAS a evaluat progresele realizate cu privire la anumite recomandări legate direct de procesul de consolidare a asigurării în contextul rapoartelor anuale de activitate (RAA) pentru a transmite direcțiilor generale informații despre cea mai recentă situație a raportării în RAA. Aceasta a fost o nouă abordare în comparație cu anii precedenți.</w:t>
      </w:r>
    </w:p>
    <w:p w:rsidR="004310B4" w:rsidRDefault="004310B4">
      <w:pPr>
        <w:ind w:left="567"/>
        <w:rPr>
          <w:noProof/>
          <w:lang w:val="ro-RO"/>
        </w:rPr>
      </w:pPr>
      <w:r>
        <w:rPr>
          <w:noProof/>
          <w:lang w:val="ro-RO"/>
        </w:rPr>
        <w:t>După neutralizarea acestui efect (de exemplu, prin luarea în considerare doar a recomandărilor raportate de conducere ca fiind „pregătite pentru examinare”), procentul total din recomandările evaluate ca fiind „în curs de punere în aplicare” după un audit de urmărire subsecventă scade la 4 %, cifră care corespunde rapoartelor anterioare.</w:t>
      </w:r>
    </w:p>
    <w:p w:rsidR="004310B4" w:rsidRDefault="004310B4">
      <w:pPr>
        <w:pStyle w:val="Heading1"/>
        <w:rPr>
          <w:noProof/>
          <w:lang w:val="ro-RO"/>
        </w:rPr>
      </w:pPr>
      <w:bookmarkStart w:id="23" w:name="_Toc458419154"/>
      <w:r>
        <w:rPr>
          <w:noProof/>
          <w:lang w:val="ro-RO"/>
        </w:rPr>
        <w:t>Rezumatul activității de audit</w:t>
      </w:r>
      <w:bookmarkEnd w:id="23"/>
    </w:p>
    <w:p w:rsidR="004310B4" w:rsidRDefault="004310B4">
      <w:pPr>
        <w:pStyle w:val="Heading2"/>
        <w:rPr>
          <w:noProof/>
          <w:lang w:val="ro-RO"/>
        </w:rPr>
      </w:pPr>
      <w:bookmarkStart w:id="24" w:name="_Toc384658386"/>
      <w:bookmarkStart w:id="25" w:name="_Toc448503097"/>
      <w:bookmarkStart w:id="26" w:name="_Toc449541315"/>
      <w:bookmarkStart w:id="27" w:name="_Toc458419155"/>
      <w:bookmarkStart w:id="28" w:name="_Toc351391794"/>
      <w:bookmarkStart w:id="29" w:name="_Toc351391889"/>
      <w:bookmarkStart w:id="30" w:name="_Toc351391996"/>
      <w:bookmarkStart w:id="31" w:name="_Toc351392062"/>
      <w:bookmarkStart w:id="32" w:name="_Toc351392105"/>
      <w:r>
        <w:rPr>
          <w:noProof/>
          <w:lang w:val="ro-RO"/>
        </w:rPr>
        <w:t>Concluzii privind auditurile performanței</w:t>
      </w:r>
      <w:bookmarkEnd w:id="24"/>
      <w:bookmarkEnd w:id="25"/>
      <w:bookmarkEnd w:id="26"/>
      <w:bookmarkEnd w:id="27"/>
      <w:r>
        <w:rPr>
          <w:noProof/>
          <w:lang w:val="ro-RO"/>
        </w:rPr>
        <w:t xml:space="preserve"> </w:t>
      </w:r>
    </w:p>
    <w:p w:rsidR="004310B4" w:rsidRDefault="004310B4">
      <w:pPr>
        <w:tabs>
          <w:tab w:val="left" w:pos="2302"/>
        </w:tabs>
        <w:spacing w:after="120"/>
        <w:ind w:left="567"/>
        <w:rPr>
          <w:noProof/>
          <w:lang w:val="ro-RO"/>
        </w:rPr>
      </w:pPr>
      <w:r>
        <w:rPr>
          <w:noProof/>
          <w:lang w:val="ro-RO"/>
        </w:rPr>
        <w:t>Ca răspuns la orientarea Comisiei spre o consolidare a culturii bazate pe performanță și o mai mare concentrare asupra celui mai bun raport calitate-preț, IAS a continuat să efectueze audituri ale performanței</w:t>
      </w:r>
      <w:r>
        <w:rPr>
          <w:noProof/>
          <w:vertAlign w:val="superscript"/>
          <w:lang w:val="ro-RO"/>
        </w:rPr>
        <w:footnoteReference w:id="14"/>
      </w:r>
      <w:r>
        <w:rPr>
          <w:noProof/>
          <w:lang w:val="ro-RO"/>
        </w:rPr>
        <w:t xml:space="preserve"> și audituri care cuprind elemente importante de performanță (audituri cuprinzătoare) în 2015, ca parte a planului său strategic de audit pentru perioada 2013-2015.</w:t>
      </w:r>
    </w:p>
    <w:p w:rsidR="004310B4" w:rsidRDefault="004310B4">
      <w:pPr>
        <w:tabs>
          <w:tab w:val="left" w:pos="2302"/>
        </w:tabs>
        <w:ind w:left="567"/>
        <w:rPr>
          <w:noProof/>
          <w:lang w:val="ro-RO"/>
        </w:rPr>
      </w:pPr>
      <w:r>
        <w:rPr>
          <w:noProof/>
          <w:lang w:val="ro-RO"/>
        </w:rPr>
        <w:t xml:space="preserve">Aceste audituri au vizat o serie de aspecte legate de performanță: </w:t>
      </w:r>
    </w:p>
    <w:p w:rsidR="004310B4" w:rsidRDefault="004310B4">
      <w:pPr>
        <w:numPr>
          <w:ilvl w:val="0"/>
          <w:numId w:val="35"/>
        </w:numPr>
        <w:spacing w:after="120"/>
        <w:ind w:left="1196" w:hanging="357"/>
        <w:rPr>
          <w:noProof/>
          <w:lang w:val="ro-RO"/>
        </w:rPr>
      </w:pPr>
      <w:r>
        <w:rPr>
          <w:noProof/>
          <w:lang w:val="ro-RO"/>
        </w:rPr>
        <w:t xml:space="preserve">Direcțiile generale și serviciile se confruntă cu o presiune din ce în ce mai mare în ce privește resursele financiare și umane și trebuie să demonstreze în același timp că își îndeplinesc obiectivele și obțin cel mai bun raport calitate-preț. Serviciul de audit intern s-a concentrat pe (1) modul în care direcțiile generale și serviciile gestionează, monitorizează și raportează cu privire la obiectivele specifice care sunt sub controlul lor și pot fi atinse prin realizările și acțiunile acestora, (2) utilizarea resurselor interne și (3) modul în care acestea evaluează beneficiile proceselor și controalelor lor interne. </w:t>
      </w:r>
    </w:p>
    <w:p w:rsidR="004310B4" w:rsidRDefault="004310B4">
      <w:pPr>
        <w:numPr>
          <w:ilvl w:val="0"/>
          <w:numId w:val="35"/>
        </w:numPr>
        <w:rPr>
          <w:noProof/>
          <w:lang w:val="ro-RO"/>
        </w:rPr>
      </w:pPr>
      <w:r>
        <w:rPr>
          <w:noProof/>
          <w:lang w:val="ro-RO"/>
        </w:rPr>
        <w:t xml:space="preserve">Cadrul financiar multianual pentru perioada 2014-2020 pune un accent mai mare pe obținerea de rezultate, iar noile dispoziții din temeiurile juridice au introdus mecanisme menite să consolideze cadrele de performanță pentru programele de cheltuieli pentru perioada 2014-2020. </w:t>
      </w:r>
    </w:p>
    <w:p w:rsidR="004310B4" w:rsidRDefault="004310B4">
      <w:pPr>
        <w:tabs>
          <w:tab w:val="left" w:pos="2302"/>
        </w:tabs>
        <w:ind w:left="562"/>
        <w:rPr>
          <w:noProof/>
          <w:lang w:val="ro-RO"/>
        </w:rPr>
      </w:pPr>
      <w:r>
        <w:rPr>
          <w:noProof/>
          <w:lang w:val="ro-RO"/>
        </w:rPr>
        <w:t xml:space="preserve">IAS s-a axat pe modul în care direcțiile generale și serviciile gestionează, monitorizează și raportează cu privire la performanța politicilor UE. Aceasta se aplică atât programelor de cheltuieli, cât și activităților care nu implică cheltuieli. Obiectivele de politică sunt definite, în general, prin obiective generale la care direcțiile generale și serviciile contribuie într-o anumită măsură. Realizarea obiectivelor generale este influențată, de asemenea, de alți factori externi și de către terți. </w:t>
      </w:r>
    </w:p>
    <w:p w:rsidR="004310B4" w:rsidRDefault="004310B4">
      <w:pPr>
        <w:tabs>
          <w:tab w:val="left" w:pos="2302"/>
        </w:tabs>
        <w:spacing w:after="120"/>
        <w:ind w:left="567"/>
        <w:rPr>
          <w:noProof/>
          <w:lang w:val="ro-RO"/>
        </w:rPr>
      </w:pPr>
      <w:r>
        <w:rPr>
          <w:noProof/>
          <w:lang w:val="ro-RO"/>
        </w:rPr>
        <w:t>În conformitate cu metodologia sa și cu cele mai bune practici, IAS a abordat performanța în mod indirect, și anume a evaluat dacă și în ce mod conducerea a creat sisteme de gestionare pentru măsurarea performanței (eficiența și eficacitatea) activităților pe care le desfășoară. Prin această abordare, IAS urmărește să asigure că, în primul rând, direcțiile generale și serviciile au instituit cadre de performanță, inclusiv instrumente de măsurare a performanței (și anume, indicatori-cheie) și sisteme de monitorizare</w:t>
      </w:r>
      <w:r>
        <w:rPr>
          <w:noProof/>
          <w:vertAlign w:val="superscript"/>
          <w:lang w:val="ro-RO"/>
        </w:rPr>
        <w:footnoteReference w:id="15"/>
      </w:r>
      <w:r>
        <w:rPr>
          <w:noProof/>
          <w:lang w:val="ro-RO"/>
        </w:rPr>
        <w:t>. Aceasta se datorează, parțial, faptului că un mare număr de temeiuri juridice pentru programele de cheltuieli stabilesc obiective care au un domeniu de aplicare mai larg decât ceea ce Comisia poate realiza efectiv pe cont propriu. Aceasta înseamnă că obiectivele și criteriile de referință SMART trebuie să fie instituite în primul rând la nivelul Comisiei, pentru a separa, în măsura posibilului, obiectivele specifice ale Comisiei și performanța acesteia de cele ale programelor de cheltuieli, a căror realizare depinde, de asemenea, de alți actori­cheie, în special atunci când programele UE sunt puse în aplicare prin gestiune partajată și indirectă (state membre, regiuni etc.).</w:t>
      </w:r>
    </w:p>
    <w:p w:rsidR="004310B4" w:rsidRDefault="004310B4">
      <w:pPr>
        <w:tabs>
          <w:tab w:val="left" w:pos="2302"/>
        </w:tabs>
        <w:ind w:left="562"/>
        <w:rPr>
          <w:noProof/>
          <w:lang w:val="ro-RO"/>
        </w:rPr>
      </w:pPr>
      <w:r>
        <w:rPr>
          <w:noProof/>
          <w:lang w:val="ro-RO"/>
        </w:rPr>
        <w:t>Următoarele secțiuni prezintă concluziile IAS privind diferitele aspecte ale performanței controalelor de audit efectuate în 2015.</w:t>
      </w:r>
    </w:p>
    <w:p w:rsidR="004310B4" w:rsidRDefault="004310B4">
      <w:pPr>
        <w:keepNext/>
        <w:numPr>
          <w:ilvl w:val="2"/>
          <w:numId w:val="28"/>
        </w:numPr>
        <w:tabs>
          <w:tab w:val="clear" w:pos="7667"/>
          <w:tab w:val="num" w:pos="1430"/>
        </w:tabs>
        <w:ind w:left="1430"/>
        <w:outlineLvl w:val="2"/>
        <w:rPr>
          <w:i/>
          <w:noProof/>
          <w:lang w:val="ro-RO"/>
        </w:rPr>
      </w:pPr>
      <w:bookmarkStart w:id="33" w:name="_Toc458419156"/>
      <w:r>
        <w:rPr>
          <w:i/>
          <w:noProof/>
          <w:lang w:val="ro-RO"/>
        </w:rPr>
        <w:t>Performanța direcțiilor generale, a serviciilor și a agențiilor executive ale Comisiei: procese orizontale (resurse umane, sectorul informatic, antifraudă etc.)</w:t>
      </w:r>
      <w:bookmarkEnd w:id="33"/>
    </w:p>
    <w:p w:rsidR="004310B4" w:rsidRDefault="004310B4">
      <w:pPr>
        <w:pStyle w:val="Heading4"/>
        <w:rPr>
          <w:noProof/>
          <w:lang w:val="ro-RO"/>
        </w:rPr>
      </w:pPr>
      <w:r>
        <w:rPr>
          <w:noProof/>
          <w:lang w:val="ro-RO"/>
        </w:rPr>
        <w:t xml:space="preserve"> Planificare strategică și programare</w:t>
      </w:r>
    </w:p>
    <w:p w:rsidR="004310B4" w:rsidRDefault="004310B4">
      <w:pPr>
        <w:tabs>
          <w:tab w:val="left" w:pos="2302"/>
        </w:tabs>
        <w:spacing w:after="120"/>
        <w:ind w:left="567"/>
        <w:rPr>
          <w:noProof/>
          <w:lang w:val="ro-RO"/>
        </w:rPr>
      </w:pPr>
      <w:r>
        <w:rPr>
          <w:noProof/>
          <w:lang w:val="ro-RO"/>
        </w:rPr>
        <w:t xml:space="preserve">În ceea ce privește programarea și planificarea strategică, Comisia pune în aplicare un cadru de performanță solid, bazat pe (1) stabilirea </w:t>
      </w:r>
      <w:r>
        <w:rPr>
          <w:i/>
          <w:noProof/>
          <w:lang w:val="ro-RO"/>
        </w:rPr>
        <w:t>ex ante</w:t>
      </w:r>
      <w:r>
        <w:rPr>
          <w:noProof/>
          <w:lang w:val="ro-RO"/>
        </w:rPr>
        <w:t xml:space="preserve"> a unor obiective generale și specifice, care sunt derivate din orientările politice ale Comisiei, de către direcțiile generale și servicii în planurile lor de gestionare, (2) măsurarea și monitorizarea periodică a indicatorilor de performanță și (3) raportarea privind realizările în rapoartele lor anuale de activitate. Aceste responsabilități descentralizate sunt compensate la nivel instituțional de către SG și DG BUDG, care furnizează cadrul general, coordonează activitatea și oferă orientare și asistență. IAS a constatat că sunt necesare eforturi suplimentare, atât la nivel instituțional, cât și la nivel descentralizat, pentru a îmbunătăți și mai mult calitatea indicatorilor după misiunea de audit: între timp, serviciile centrale au efectuat o revizuire cuprinzătoare a ciclului de planificare strategică și de programare, care a avut drept principal rezultat instrucțiuni noi pentru documentele de planificare în noiembrie 2015. IAS nu a realizat încă un audit de urmărire subsecventă (a se vedea documentul de lucru al serviciilor Comisiei, partea 1, secțiunea 1.2).</w:t>
      </w:r>
    </w:p>
    <w:p w:rsidR="004310B4" w:rsidRDefault="004310B4">
      <w:pPr>
        <w:tabs>
          <w:tab w:val="left" w:pos="2302"/>
        </w:tabs>
        <w:ind w:left="562"/>
        <w:rPr>
          <w:noProof/>
          <w:lang w:val="ro-RO"/>
        </w:rPr>
      </w:pPr>
      <w:r>
        <w:rPr>
          <w:noProof/>
          <w:lang w:val="ro-RO"/>
        </w:rPr>
        <w:t>În acest context, IAS a realizat, de asemenea, o misiune de consultanță la cererea conducerii DG FISMA, care a condus la o serie de recomandări și sugestii pentru planurile strategice și planurile anuale de gestionare ale direcției generale și, în general, pentru trecerea la o cultură bazată pe performanță (a se vedea documentul de lucru al serviciilor Comisiei, partea 1, secțiunea 7.5).</w:t>
      </w:r>
    </w:p>
    <w:p w:rsidR="004310B4" w:rsidRDefault="004310B4">
      <w:pPr>
        <w:pStyle w:val="Heading4"/>
        <w:rPr>
          <w:noProof/>
          <w:lang w:val="ro-RO"/>
        </w:rPr>
      </w:pPr>
      <w:r>
        <w:rPr>
          <w:noProof/>
          <w:lang w:val="ro-RO"/>
        </w:rPr>
        <w:t xml:space="preserve"> Antifraudă</w:t>
      </w:r>
    </w:p>
    <w:p w:rsidR="004310B4" w:rsidRDefault="004310B4">
      <w:pPr>
        <w:tabs>
          <w:tab w:val="left" w:pos="2302"/>
        </w:tabs>
        <w:ind w:left="562"/>
        <w:rPr>
          <w:noProof/>
          <w:lang w:val="ro-RO"/>
        </w:rPr>
      </w:pPr>
      <w:r>
        <w:rPr>
          <w:noProof/>
          <w:lang w:val="ro-RO"/>
        </w:rPr>
        <w:t>În domeniul antifraudă, IAS a constatat că toate direcțiile generale și serviciile auditate au conceput și au pus în aplicare o strategie antifraudă, în conformitate cu orientările oferite de OLAF în domeniu. Cu toate acestea, sunt necesare îmbunătățiri suplimentare la nivel instituțional și la nivel operațional pentru a spori eficiența strategiei de combatere a fraudei. IAS a recomandat consolidarea cadrului și a orientărilor antifraudă la nivel instituțional și trecerea de la evaluări de înalt nivel individuale la un exercițiu coordonat încorporat în ciclul de planificare strategică și de programare prin care măsurile antifraudă sunt integrate efectiv în sistemele de control intern ale direcțiilor generale și serviciilor. De asemenea, IAS a considerat că sunt necesare măsuri ad hoc pentru a aborda statutul auditurilor de expertize criminalistice din cadrul DG DEVCO și pentru a consolida controalele efectuate cu privire la proiectele COFUND în cadrul Agenției Executive pentru Cercetare (a se vedea documentul de lucru al serviciilor Comisiei, partea 1, secțiunea 1.3).</w:t>
      </w:r>
    </w:p>
    <w:p w:rsidR="004310B4" w:rsidRDefault="004310B4">
      <w:pPr>
        <w:pStyle w:val="Heading4"/>
        <w:rPr>
          <w:noProof/>
          <w:lang w:val="ro-RO"/>
        </w:rPr>
      </w:pPr>
      <w:r>
        <w:rPr>
          <w:noProof/>
          <w:lang w:val="ro-RO"/>
        </w:rPr>
        <w:t xml:space="preserve"> Securitatea informatică</w:t>
      </w:r>
    </w:p>
    <w:p w:rsidR="004310B4" w:rsidRDefault="004310B4">
      <w:pPr>
        <w:tabs>
          <w:tab w:val="left" w:pos="2302"/>
        </w:tabs>
        <w:ind w:left="567"/>
        <w:rPr>
          <w:noProof/>
          <w:lang w:val="ro-RO"/>
        </w:rPr>
      </w:pPr>
      <w:r>
        <w:rPr>
          <w:noProof/>
          <w:lang w:val="ro-RO"/>
        </w:rPr>
        <w:t>În domeniul informatic, securitatea informatică eficace reprezintă o provocare majoră în fața unor amenințări în continuă evoluție care pot aduce prejudicii confidențialității, integrității și disponibilității informațiilor păstrate și prelucrate de Comisie. Auditurile anterioare efectuate de IAS în ultimii ani au identificat o serie de deficiențe sistemice și recurente în domeniu, care au fost prezentate într-o scrisoare cu recomandări către conducere adresată serviciilor operative responsabile cu securitatea informatică. În pofida disponibilității unei forțe de muncă de înaltă calificare și competentă din punct de vedere tehnic la nivel operațional, IAS a constatat că este necesară consolidarea de către Comisie a supravegherii eficace a aspectelor legate de securitatea informațiilor (a se vedea documentul de lucru al serviciilor Comisiei, partea 1, secțiunea 9.2).</w:t>
      </w:r>
    </w:p>
    <w:p w:rsidR="004310B4" w:rsidRDefault="004310B4">
      <w:pPr>
        <w:tabs>
          <w:tab w:val="left" w:pos="2302"/>
        </w:tabs>
        <w:ind w:left="567"/>
        <w:rPr>
          <w:noProof/>
          <w:lang w:val="ro-RO"/>
        </w:rPr>
      </w:pPr>
      <w:r>
        <w:rPr>
          <w:noProof/>
          <w:lang w:val="ro-RO"/>
        </w:rPr>
        <w:t>La nivel local, un audit privind gestionarea sistemelor informatice locale în cadrul DG COMP a confirmat unele dintre aspectele privind securitatea informatică și a identificat, de asemenea, alte aspecte cu privire la finanțarea în domeniul informatic, alinierea activității cu sistemul informatic, precum și gestionarea proiectului și a calității (a se vedea documentul de lucru al serviciilor Comisiei, partea 1, secțiunea 9.1).</w:t>
      </w:r>
    </w:p>
    <w:p w:rsidR="004310B4" w:rsidRDefault="004310B4">
      <w:pPr>
        <w:pStyle w:val="Heading4"/>
        <w:rPr>
          <w:noProof/>
          <w:lang w:val="ro-RO"/>
        </w:rPr>
      </w:pPr>
      <w:r>
        <w:rPr>
          <w:noProof/>
          <w:lang w:val="ro-RO"/>
        </w:rPr>
        <w:t xml:space="preserve"> Centrul comun de asistență în domeniul cercetării (procese operative, instrumente informatice, guvernanță)</w:t>
      </w:r>
    </w:p>
    <w:p w:rsidR="004310B4" w:rsidRDefault="004310B4">
      <w:pPr>
        <w:tabs>
          <w:tab w:val="left" w:pos="2302"/>
        </w:tabs>
        <w:ind w:left="567"/>
        <w:rPr>
          <w:noProof/>
          <w:lang w:val="ro-RO"/>
        </w:rPr>
      </w:pPr>
      <w:r>
        <w:rPr>
          <w:noProof/>
          <w:lang w:val="ro-RO"/>
        </w:rPr>
        <w:t>Pentru direcțiile generale și serviciile din domeniul cercetării, Centrul comun de asistență oferă procese operative comune și servicii informatice, juridice, de audit, de informare și de date. În plus, se aștepta ca centralizarea serviciilor de asistență să aibă drept rezultat câștiguri de eficiență generate de reducerea costurilor, economii la nivelul locurilor de muncă și raționalizarea proceselor și procedurilor. Auditul IAS, efectuat într-un stadiu timpuriu al operațiunilor centrului, a recunoscut realizările importante în ceea ce privește armonizarea și simplificarea proceselor operative și a instrumentelor informatice, care a condus la un rezultat pozitiv pentru beneficiarii fondurilor UE (limitarea duratei procedurii de acordare a subvențiilor, reducerea sarcinii administrative), chiar dacă persistă anumite deficiențe, în special în ceea ce privește structura de guvernanță (a se vedea documentul de lucru al serviciilor Comisiei, partea 1, secțiunea 4.7).</w:t>
      </w:r>
    </w:p>
    <w:p w:rsidR="004310B4" w:rsidRDefault="004310B4">
      <w:pPr>
        <w:pStyle w:val="Heading4"/>
        <w:rPr>
          <w:noProof/>
          <w:lang w:val="ro-RO"/>
        </w:rPr>
      </w:pPr>
      <w:r>
        <w:rPr>
          <w:noProof/>
          <w:lang w:val="ro-RO"/>
        </w:rPr>
        <w:t xml:space="preserve"> RESURSE UMANE</w:t>
      </w:r>
    </w:p>
    <w:p w:rsidR="004310B4" w:rsidRDefault="004310B4">
      <w:pPr>
        <w:tabs>
          <w:tab w:val="left" w:pos="2302"/>
        </w:tabs>
        <w:ind w:left="562"/>
        <w:rPr>
          <w:noProof/>
          <w:lang w:val="ro-RO"/>
        </w:rPr>
      </w:pPr>
      <w:r>
        <w:rPr>
          <w:noProof/>
          <w:lang w:val="ro-RO"/>
        </w:rPr>
        <w:t>În domeniul resurselor umane, IAS a constatat că rata de absență din motive de boală în cadrul Comisiei este stabilă, dar că rata medie este semnificativ mai mare în cadrul birourilor (OIB, OIL, PMO). Responsabilitatea pentru gestionarea absențelor din motive de boală revine atât structurilor operaționale, cât și celor instituționale (DG HR). La ambele niveluri, administratorii au cunoștință de absențele din motive de boală și s-au angajat pe deplin să gestioneze fenomenul în domeniile lor de competență. Cu toate acestea, sunt necesare măsuri suplimentare la ambele niveluri, pentru a îmbunătăți măsurarea, monitorizarea și raportarea cu privire la nivelul absenței din motive de boală, identificarea ratelor de referință ale absenței din motive de boală și verificarea absențelor din motive de boală de către serviciul medical (a se vedea documentul de lucru al serviciilor Comisiei, partea 1, secțiunea 1.1).</w:t>
      </w:r>
    </w:p>
    <w:p w:rsidR="004310B4" w:rsidRDefault="004310B4">
      <w:pPr>
        <w:tabs>
          <w:tab w:val="left" w:pos="2302"/>
        </w:tabs>
        <w:ind w:left="562"/>
        <w:rPr>
          <w:noProof/>
          <w:lang w:val="ro-RO"/>
        </w:rPr>
      </w:pPr>
      <w:r>
        <w:rPr>
          <w:noProof/>
          <w:lang w:val="ro-RO"/>
        </w:rPr>
        <w:t>O altă temă legată de resursele umane abordată în 2015 a fost procesul de gestionare a cunoștințelor în cadrul DG COMP, unde IAS a constatat că sistemele existente de colectare, de stocare și de schimb de cunoștințe sunt, în general, eficiente și eficace și sprijină în mod adecvat personalul DG COMP în asigurarea calității ridicate și a consecvenței în soluționarea cazurilor din domeniul concurenței (a se vedea documentul de lucru al serviciilor Comisiei, partea 1, secțiunea 7.4).</w:t>
      </w:r>
    </w:p>
    <w:p w:rsidR="004310B4" w:rsidRDefault="004310B4">
      <w:pPr>
        <w:keepNext/>
        <w:numPr>
          <w:ilvl w:val="2"/>
          <w:numId w:val="28"/>
        </w:numPr>
        <w:tabs>
          <w:tab w:val="clear" w:pos="7667"/>
          <w:tab w:val="num" w:pos="1430"/>
        </w:tabs>
        <w:ind w:left="1430"/>
        <w:outlineLvl w:val="2"/>
        <w:rPr>
          <w:i/>
          <w:noProof/>
          <w:lang w:val="ro-RO"/>
        </w:rPr>
      </w:pPr>
      <w:bookmarkStart w:id="34" w:name="_Toc458419157"/>
      <w:r>
        <w:rPr>
          <w:i/>
          <w:noProof/>
          <w:lang w:val="ro-RO"/>
        </w:rPr>
        <w:t>Performanță în ceea ce privește executarea creditelor operaționale bugetare</w:t>
      </w:r>
      <w:bookmarkEnd w:id="34"/>
    </w:p>
    <w:p w:rsidR="004310B4" w:rsidRDefault="004310B4">
      <w:pPr>
        <w:pStyle w:val="Heading4"/>
        <w:rPr>
          <w:noProof/>
          <w:lang w:val="ro-RO"/>
        </w:rPr>
      </w:pPr>
      <w:r>
        <w:rPr>
          <w:noProof/>
          <w:lang w:val="ro-RO"/>
        </w:rPr>
        <w:t xml:space="preserve"> Gestiunea directă</w:t>
      </w:r>
    </w:p>
    <w:p w:rsidR="004310B4" w:rsidRDefault="004310B4">
      <w:pPr>
        <w:keepNext/>
        <w:tabs>
          <w:tab w:val="left" w:pos="2302"/>
        </w:tabs>
        <w:ind w:left="562"/>
        <w:rPr>
          <w:noProof/>
          <w:lang w:val="ro-RO"/>
        </w:rPr>
      </w:pPr>
      <w:r>
        <w:rPr>
          <w:noProof/>
          <w:lang w:val="ro-RO"/>
        </w:rPr>
        <w:t>În ceea ce privește fondurile gestionate direct, mai multe audituri au evaluat gradul de pregătire a sistemelor de gestiune și control ale direcțiilor generale și serviciilor pentru a executa bugetul programelor de cheltuieli pentru care sunt responsabile (Orizont 2020, programele din domeniul protecției consumatorilor și al sănătății, programul LIFE, instrumentul pentru IMM-uri, Mecanismul pentru interconectarea Europei). Unele dintre audituri s-au axat, în special, pe caracterul adecvat al procesului de gestionare a subvențiilor, în timp ce altele au evaluat eficiența și eficacitatea sistemelor instituite pentru gestionarea și controlul unor programe specifice. În general, auditurile IAS au constatat că direcțiile generale și serviciile auditate (DG CNECT, DG RTD, CHAFEA și ERCEA) au instituit proceduri eficace și eficiente pentru gestionarea subvențiilor. Cu toate acestea, în cadrul CHAFEA și EASME au fost identificate deficiențe semnificative în ceea ce privește procedurile de gestionare a subvențiilor, care trebuie să fie abordate. Unele agenții executive, în special EASME și INEA, se confruntă cu provocări semnificative în gestionarea adecvată a punerii în aplicare a diferitelor programe de cheltuieli care le-au fost delegate. Deficiențele constatate în ceea ce privește strategia de control și procesele de consolidare a asigurării pentru diferitele programe gestionate de către EASME și INEA constituie un domeniu specific de interes [a se vedea documentul de lucru al serviciilor Comisiei, partea 1, secțiunile 2.5 (CHAFEA), 4.1 (DG CONNECT), 4.8 (DG RTD), 4.10 (EASME), 4.11 (ERCEA), 4.12 (INEA)].</w:t>
      </w:r>
    </w:p>
    <w:p w:rsidR="004310B4" w:rsidRDefault="004310B4">
      <w:pPr>
        <w:pStyle w:val="Heading4"/>
        <w:rPr>
          <w:noProof/>
          <w:lang w:val="ro-RO"/>
        </w:rPr>
      </w:pPr>
      <w:r>
        <w:rPr>
          <w:noProof/>
          <w:lang w:val="ro-RO"/>
        </w:rPr>
        <w:t xml:space="preserve"> Gestiunea indirectă</w:t>
      </w:r>
    </w:p>
    <w:p w:rsidR="004310B4" w:rsidRDefault="004310B4">
      <w:pPr>
        <w:numPr>
          <w:ilvl w:val="1"/>
          <w:numId w:val="25"/>
        </w:numPr>
        <w:rPr>
          <w:noProof/>
          <w:lang w:val="ro-RO"/>
        </w:rPr>
      </w:pPr>
      <w:r>
        <w:rPr>
          <w:noProof/>
          <w:lang w:val="ro-RO"/>
        </w:rPr>
        <w:t>Domeniul acțiunii externe (fonduri fiduciare ale UE)</w:t>
      </w:r>
    </w:p>
    <w:p w:rsidR="004310B4" w:rsidRDefault="004310B4">
      <w:pPr>
        <w:tabs>
          <w:tab w:val="left" w:pos="2302"/>
        </w:tabs>
        <w:ind w:left="562"/>
        <w:rPr>
          <w:noProof/>
          <w:lang w:val="ro-RO"/>
        </w:rPr>
      </w:pPr>
      <w:r>
        <w:rPr>
          <w:noProof/>
          <w:lang w:val="ro-RO"/>
        </w:rPr>
        <w:t xml:space="preserve">În domeniul acțiunii externe a direcțiilor generale, s-a efectuat un audit în cadrul DG DEVCO și DG NEAR privind conceperea și punerea în aplicare a fondurilor fiduciare ale UE. Acesta a concluzionat că, deși primele fonduri fiduciare au înregistrat un anumit succes în atragerea unui număr limitat de donatori și în creșterea vizibilității activității acestora, sunt necesare eforturi suplimentare pentru a beneficia pe deplin de acest mecanism de finanțare pentru a aborda provocările complexe din punct de vedere operațional și financiar prezentate de punerea în aplicare a unor proiecte în situații de criză și medii fragile. În special, ar trebui consolidate procesele de guvernanță și gestionarea performanței operaționale a </w:t>
      </w:r>
      <w:r>
        <w:rPr>
          <w:noProof/>
          <w:spacing w:val="-2"/>
          <w:lang w:val="ro-RO"/>
        </w:rPr>
        <w:t>fondurilor fiduciare (a se vedea documentul de lucru al serviciilor Comisiei, partea 1</w:t>
      </w:r>
      <w:r>
        <w:rPr>
          <w:noProof/>
          <w:lang w:val="ro-RO"/>
        </w:rPr>
        <w:t>, secțiunea 5.1).</w:t>
      </w:r>
    </w:p>
    <w:p w:rsidR="004310B4" w:rsidRDefault="004310B4">
      <w:pPr>
        <w:numPr>
          <w:ilvl w:val="1"/>
          <w:numId w:val="25"/>
        </w:numPr>
        <w:rPr>
          <w:noProof/>
          <w:lang w:val="ro-RO"/>
        </w:rPr>
      </w:pPr>
      <w:r>
        <w:rPr>
          <w:noProof/>
          <w:lang w:val="ro-RO"/>
        </w:rPr>
        <w:t>Combinarea unor moduri de gestiune diferite: Erasmus+ (EAC și EACEA) și ENI/IPA (NEAR)</w:t>
      </w:r>
    </w:p>
    <w:p w:rsidR="004310B4" w:rsidRDefault="004310B4">
      <w:pPr>
        <w:tabs>
          <w:tab w:val="left" w:pos="2302"/>
        </w:tabs>
        <w:ind w:left="562"/>
        <w:rPr>
          <w:noProof/>
          <w:lang w:val="ro-RO"/>
        </w:rPr>
      </w:pPr>
      <w:r>
        <w:rPr>
          <w:noProof/>
          <w:lang w:val="ro-RO"/>
        </w:rPr>
        <w:t xml:space="preserve">Unele programe de finanțare sunt puse în aplicare prin combinarea unor moduri de gestiune diferite. Acest lucru este valabil pentru programul Erasmus+ gestionat de DG EAC și EACEA și pentru Instrumentul european de vecinătate și Instrumentul de asistență pentru pre-aderare gestionate de DG NEAR. </w:t>
      </w:r>
    </w:p>
    <w:p w:rsidR="004310B4" w:rsidRDefault="004310B4">
      <w:pPr>
        <w:tabs>
          <w:tab w:val="left" w:pos="2302"/>
        </w:tabs>
        <w:ind w:left="562"/>
        <w:rPr>
          <w:noProof/>
          <w:lang w:val="ro-RO"/>
        </w:rPr>
      </w:pPr>
      <w:r>
        <w:rPr>
          <w:noProof/>
          <w:lang w:val="ro-RO"/>
        </w:rPr>
        <w:t>În ceea ce privește Erasmus+, atât DG EAC, cât și EACEA au pus în aplicare sisteme eficace de control intern capabile să ofere o asigurare rezonabilă ordonatorilor de credite prin (sub)delegare [a se vedea documentul de lucru al serviciilor Comisiei, partea 1, secțiunile 6.2 (DG EAC) și 6.3 (EACEA)].</w:t>
      </w:r>
    </w:p>
    <w:p w:rsidR="004310B4" w:rsidRDefault="004310B4">
      <w:pPr>
        <w:tabs>
          <w:tab w:val="left" w:pos="2302"/>
        </w:tabs>
        <w:ind w:left="562"/>
        <w:rPr>
          <w:noProof/>
          <w:lang w:val="ro-RO"/>
        </w:rPr>
      </w:pPr>
      <w:r>
        <w:rPr>
          <w:noProof/>
          <w:lang w:val="ro-RO"/>
        </w:rPr>
        <w:t>Cu toate acestea, în cadrul DG NEAR, IAS a identificat deficiențe importante în ceea ce privește strategia de control a Instrumentului de preaderare, în special pentru a obține asigurări privind capacitatea țărilor beneficiare de a executa bugetul (a se vedea documentul de lucru al serviciilor Comisiei, partea 1, secțiunea 5.3).</w:t>
      </w:r>
    </w:p>
    <w:p w:rsidR="004310B4" w:rsidRDefault="004310B4">
      <w:pPr>
        <w:tabs>
          <w:tab w:val="left" w:pos="2302"/>
        </w:tabs>
        <w:ind w:left="562"/>
        <w:rPr>
          <w:noProof/>
          <w:lang w:val="ro-RO"/>
        </w:rPr>
      </w:pPr>
      <w:r>
        <w:rPr>
          <w:noProof/>
          <w:lang w:val="ro-RO"/>
        </w:rPr>
        <w:t>În ceea ce privește noul instrument de preaderare din cadrul programului 2014­2020, DG NEAR nu este suficient de pregătită pentru punerea în aplicare a unui cadru de evaluare a performanței pentru țările beneficiare (a se vedea documentul de lucru al serviciilor Comisiei, partea 1, secțiunea 5.2).</w:t>
      </w:r>
    </w:p>
    <w:p w:rsidR="004310B4" w:rsidRDefault="004310B4">
      <w:pPr>
        <w:numPr>
          <w:ilvl w:val="1"/>
          <w:numId w:val="25"/>
        </w:numPr>
        <w:rPr>
          <w:noProof/>
          <w:lang w:val="ro-RO"/>
        </w:rPr>
      </w:pPr>
      <w:r>
        <w:rPr>
          <w:noProof/>
          <w:lang w:val="ro-RO"/>
        </w:rPr>
        <w:t>Gestiunea indirectă: mecanisme de supraveghere instituite (DG DEVCO, DG ENER, DG GROW, DG MOVE)</w:t>
      </w:r>
    </w:p>
    <w:p w:rsidR="004310B4" w:rsidRDefault="004310B4">
      <w:pPr>
        <w:tabs>
          <w:tab w:val="left" w:pos="2302"/>
        </w:tabs>
        <w:ind w:left="562"/>
        <w:rPr>
          <w:noProof/>
          <w:lang w:val="ro-RO"/>
        </w:rPr>
      </w:pPr>
      <w:r>
        <w:rPr>
          <w:noProof/>
          <w:lang w:val="ro-RO"/>
        </w:rPr>
        <w:t>În domeniul fondurilor gestionate indirect, mai multe audituri au vizat mecanismele de supraveghere instituite în direcțiile generale și servicii (DG DEVCO, DG ENER, DG GROW, DG MOVE) pentru gestionarea unor programe specifice (Instrumentul financiar pentru pace în Africa, Mecanismul pentru interconectarea Europei, Programul de asistență pentru dezafectare nucleară și Galileo). În acest domeniu, au fost identificate mai multe deficiențe semnificative ale strategiilor de control și de supraveghere ale direcțiilor generale, care ar putea pune în pericol realizarea obiectivelor de politică, dând naștere unor recomandări esențiale și foarte importante care necesită măsuri urgente [a se vedea documentul de lucru al serviciilor Comisiei, partea 1, secțiunile 5.4 (DG DEVCO), 4.4 (DG ENER), 7.1 (DG GROWTH), 4.6 (DG MOVE)].</w:t>
      </w:r>
    </w:p>
    <w:p w:rsidR="004310B4" w:rsidRDefault="004310B4">
      <w:pPr>
        <w:pStyle w:val="Heading4"/>
        <w:rPr>
          <w:noProof/>
          <w:lang w:val="ro-RO"/>
        </w:rPr>
      </w:pPr>
      <w:r>
        <w:rPr>
          <w:noProof/>
          <w:lang w:val="ro-RO"/>
        </w:rPr>
        <w:t xml:space="preserve"> Gestiunea partajată</w:t>
      </w:r>
    </w:p>
    <w:p w:rsidR="004310B4" w:rsidRDefault="004310B4">
      <w:pPr>
        <w:numPr>
          <w:ilvl w:val="1"/>
          <w:numId w:val="37"/>
        </w:numPr>
        <w:rPr>
          <w:noProof/>
          <w:lang w:val="ro-RO"/>
        </w:rPr>
      </w:pPr>
      <w:r>
        <w:rPr>
          <w:noProof/>
          <w:lang w:val="ro-RO"/>
        </w:rPr>
        <w:t>Analiza decalajului: pregătirea pentru gestionarea noilor cerințe juridice și concentrarea asupra performanței în cadrul programelor de cheltuieli, conceperea sistemelor de gestiune și control</w:t>
      </w:r>
    </w:p>
    <w:p w:rsidR="004310B4" w:rsidRDefault="004310B4">
      <w:pPr>
        <w:tabs>
          <w:tab w:val="left" w:pos="2302"/>
        </w:tabs>
        <w:ind w:left="567"/>
        <w:rPr>
          <w:noProof/>
          <w:lang w:val="ro-RO"/>
        </w:rPr>
      </w:pPr>
      <w:r>
        <w:rPr>
          <w:noProof/>
          <w:lang w:val="ro-RO"/>
        </w:rPr>
        <w:t>În 2014, IAS s-a concentrat într-o serie de audituri asupra modului în care direcțiile generale și serviciile au răspuns la noile cerințe legislative de finanțare a programelor pentru perioada de programare 2014-2020. Aceste analize ale lacunelor au fost finalizate în 2015 (DG MARE și DG HOME) și au identificat o serie de riscuri cu care se confruntă Comisia ca urmare a procesului colegislativ, care trebuie atenuate prin elaborarea și punerea în aplicare a sistemelor de gestiune și control ale direcțiilor generale și serviciilor [a se vedea documentul de lucru al serviciilor Comisiei, partea 1, secțiunile 2.4 (DG MARE), 6.1 (DG HOME)].</w:t>
      </w:r>
    </w:p>
    <w:p w:rsidR="004310B4" w:rsidRDefault="004310B4">
      <w:pPr>
        <w:numPr>
          <w:ilvl w:val="1"/>
          <w:numId w:val="37"/>
        </w:numPr>
        <w:rPr>
          <w:noProof/>
          <w:lang w:val="ro-RO"/>
        </w:rPr>
      </w:pPr>
      <w:r>
        <w:rPr>
          <w:noProof/>
          <w:lang w:val="ro-RO"/>
        </w:rPr>
        <w:t xml:space="preserve">Gestiunea partajată: supravegherea sistemelor de gestiune și control ale statelor membre, orientarea către rezultate și cadrul de performanță, condiționalitățile </w:t>
      </w:r>
      <w:r>
        <w:rPr>
          <w:i/>
          <w:noProof/>
          <w:lang w:val="ro-RO"/>
        </w:rPr>
        <w:t>ex ante</w:t>
      </w:r>
    </w:p>
    <w:p w:rsidR="004310B4" w:rsidRDefault="004310B4">
      <w:pPr>
        <w:tabs>
          <w:tab w:val="left" w:pos="2302"/>
        </w:tabs>
        <w:ind w:left="567"/>
        <w:rPr>
          <w:noProof/>
          <w:spacing w:val="-2"/>
          <w:lang w:val="ro-RO"/>
        </w:rPr>
      </w:pPr>
      <w:r>
        <w:rPr>
          <w:noProof/>
          <w:spacing w:val="-2"/>
          <w:lang w:val="ro-RO"/>
        </w:rPr>
        <w:t>În ceea ce privește gestiunea partajată, s-au identificat deficiențe semnificative în supravegherea sistemelor de gestiune și control ale statelor membre instituite pentru anumite domenii de politică (DG AGRI – ecologizare), care pot pune în pericol realizarea obiectivelor de politică (a se vedea anexa 1, partea 1, secțiunea 2.1).</w:t>
      </w:r>
    </w:p>
    <w:p w:rsidR="004310B4" w:rsidRDefault="004310B4">
      <w:pPr>
        <w:tabs>
          <w:tab w:val="left" w:pos="2302"/>
        </w:tabs>
        <w:ind w:left="567"/>
        <w:rPr>
          <w:noProof/>
          <w:lang w:val="ro-RO"/>
        </w:rPr>
      </w:pPr>
      <w:r>
        <w:rPr>
          <w:noProof/>
          <w:lang w:val="ro-RO"/>
        </w:rPr>
        <w:t xml:space="preserve">În plus, evaluarea elementelor legate de performanță, orientarea către rezultate și cadrul de performanță, precum și evaluarea, monitorizarea și raportarea unor astfel de condiționalități </w:t>
      </w:r>
      <w:r>
        <w:rPr>
          <w:i/>
          <w:noProof/>
          <w:lang w:val="ro-RO"/>
        </w:rPr>
        <w:t>ex ante</w:t>
      </w:r>
      <w:r>
        <w:rPr>
          <w:noProof/>
          <w:lang w:val="ro-RO"/>
        </w:rPr>
        <w:t xml:space="preserve"> trebuie să fie consolidate în mai multe domenii de politică (DG REGIO și DG EMPL) pentru a se asigura că se obțin rezultate și că se realizează obiectivele de politică dorite (a se vedea documentul de lucru al serviciilor Comisiei, partea 1, secțiunea 3.1).</w:t>
      </w:r>
    </w:p>
    <w:p w:rsidR="004310B4" w:rsidRDefault="004310B4">
      <w:pPr>
        <w:keepNext/>
        <w:numPr>
          <w:ilvl w:val="2"/>
          <w:numId w:val="28"/>
        </w:numPr>
        <w:tabs>
          <w:tab w:val="clear" w:pos="7667"/>
          <w:tab w:val="num" w:pos="1430"/>
        </w:tabs>
        <w:ind w:left="1430"/>
        <w:outlineLvl w:val="2"/>
        <w:rPr>
          <w:i/>
          <w:noProof/>
          <w:lang w:val="ro-RO"/>
        </w:rPr>
      </w:pPr>
      <w:bookmarkStart w:id="35" w:name="_Toc458419158"/>
      <w:r>
        <w:rPr>
          <w:i/>
          <w:noProof/>
          <w:lang w:val="ro-RO"/>
        </w:rPr>
        <w:t>Performanță în domeniile de politică care nu implică cheltuieli</w:t>
      </w:r>
      <w:bookmarkEnd w:id="35"/>
    </w:p>
    <w:p w:rsidR="004310B4" w:rsidRDefault="004310B4">
      <w:pPr>
        <w:tabs>
          <w:tab w:val="left" w:pos="2302"/>
        </w:tabs>
        <w:ind w:left="567"/>
        <w:rPr>
          <w:noProof/>
          <w:lang w:val="ro-RO"/>
        </w:rPr>
      </w:pPr>
      <w:r>
        <w:rPr>
          <w:noProof/>
          <w:lang w:val="ro-RO"/>
        </w:rPr>
        <w:t>Pentru domeniile de politică care nu implică cheltuieli, un audit privind DG TRADE a concluzionat că direcția generală a asigurat o gestionare eficientă și eficace a instrumentelor de protecție comercială pentru a apăra Uniunea Europeană de denaturări ale schimburilor comerciale (a se vedea documentul de lucru al serviciilor Comisiei, partea 1, secțiunea 7.3).</w:t>
      </w:r>
    </w:p>
    <w:p w:rsidR="004310B4" w:rsidRDefault="004310B4">
      <w:pPr>
        <w:tabs>
          <w:tab w:val="left" w:pos="2302"/>
        </w:tabs>
        <w:ind w:left="567"/>
        <w:rPr>
          <w:noProof/>
          <w:lang w:val="ro-RO"/>
        </w:rPr>
      </w:pPr>
      <w:r>
        <w:rPr>
          <w:noProof/>
          <w:lang w:val="ro-RO"/>
        </w:rPr>
        <w:t>Un alt audit s-a concentrat pe sprijinul acordat de către EUROSTAT în elaborarea de indicatori utilizați pentru monitorizarea progreselor înregistrate în direcția atingerii obiectivelor strategice ale UE. IAS a observat că procesele operaționale ale EUROSTAT pentru elaborarea de „statistici europene” și indicatori-cheie sunt, în general, satisfăcătoare, dar că, în ceea ce privește utilizarea „altor statistici”, aceste date nu oferă același grad de independență, soliditate și fiabilitate ca „statisticile europene”. În special, IAS nu a identificat nicio dovadă că „alte statistici”, utilizate de direcțiile generale pentru a demonstra progresele înregistrate în realizarea obiectivelor Strategiei Europa 2020, fac obiectul unei verificări de asigurare a calității echivalente cu procesul pus în aplicare de EUROSTAT în cazul „statisticilor europene” (a se vedea documentul de lucru al serviciilor Comisiei, partea 1, secțiunea 8.1).</w:t>
      </w:r>
    </w:p>
    <w:p w:rsidR="004310B4" w:rsidRDefault="004310B4">
      <w:pPr>
        <w:pStyle w:val="Heading2"/>
        <w:rPr>
          <w:noProof/>
          <w:lang w:val="ro-RO"/>
        </w:rPr>
      </w:pPr>
      <w:bookmarkStart w:id="36" w:name="_Toc448503098"/>
      <w:bookmarkStart w:id="37" w:name="_Toc449541316"/>
      <w:bookmarkStart w:id="38" w:name="_Toc458419159"/>
      <w:bookmarkStart w:id="39" w:name="_Toc384658387"/>
      <w:r>
        <w:rPr>
          <w:noProof/>
          <w:lang w:val="ro-RO"/>
        </w:rPr>
        <w:t>Concluziile limitate ale IAS</w:t>
      </w:r>
      <w:bookmarkEnd w:id="36"/>
      <w:r>
        <w:rPr>
          <w:noProof/>
          <w:lang w:val="ro-RO"/>
        </w:rPr>
        <w:t xml:space="preserve"> cu privire la situația controlului intern din cadrul fiecărei direcții generale</w:t>
      </w:r>
      <w:bookmarkEnd w:id="37"/>
      <w:bookmarkEnd w:id="38"/>
    </w:p>
    <w:p w:rsidR="004310B4" w:rsidRDefault="004310B4">
      <w:pPr>
        <w:ind w:left="567"/>
        <w:rPr>
          <w:noProof/>
          <w:szCs w:val="24"/>
          <w:lang w:val="ro-RO"/>
        </w:rPr>
      </w:pPr>
      <w:r>
        <w:rPr>
          <w:noProof/>
          <w:lang w:val="ro-RO"/>
        </w:rPr>
        <w:t>După centralizarea funcției de audit intern, IAS a emis pentru prima dată în februarie 2016 o concluzie asupra situației controlului intern</w:t>
      </w:r>
      <w:r>
        <w:rPr>
          <w:rStyle w:val="FootnoteReference"/>
          <w:noProof/>
          <w:lang w:val="ro-RO"/>
        </w:rPr>
        <w:footnoteReference w:id="16"/>
      </w:r>
      <w:r>
        <w:rPr>
          <w:noProof/>
          <w:lang w:val="ro-RO"/>
        </w:rPr>
        <w:t xml:space="preserve"> către fiecare direcție generală și serviciu. Scopul acestor concluzii a fost să contribuie la rapoartele anuale de activitate pe 2015 ale direcțiilor generale și serviciilor în cauză, înlocuind fostul aviz IAC privind situația controlului. Concluziile privind situația controlului intern se bazează pe activitatea de audit efectuată în ultimii trei ani și acoperă toate recomandările deschise emise de IAS și IAC (în măsura în care au fost preluate de IAS). În plus, concluziile atrag atenția, în special, asupra tuturor recomandărilor deschise calificate drept „esențiale” sau asupra efectului combinat al unei serii de recomandări „foarte importante”, întrucât acestea pot impune emiterea unei rezerve în raportul anual de activitate al direcției generale/serviciului în cauză. Concluzia IAS asupra situației controlului intern se limitează la sistemele de gestiune și control care au făcut obiectul unui audit și nu se referă la cele care nu au fost auditate de IAS și IAC în ultimii trei ani.</w:t>
      </w:r>
    </w:p>
    <w:p w:rsidR="004310B4" w:rsidRDefault="004310B4">
      <w:pPr>
        <w:pStyle w:val="Heading2"/>
        <w:rPr>
          <w:noProof/>
          <w:lang w:val="ro-RO"/>
        </w:rPr>
      </w:pPr>
      <w:bookmarkStart w:id="40" w:name="_Toc448503099"/>
      <w:bookmarkStart w:id="41" w:name="_Toc449541317"/>
      <w:bookmarkStart w:id="42" w:name="_Toc458419160"/>
      <w:r>
        <w:rPr>
          <w:noProof/>
          <w:lang w:val="ro-RO"/>
        </w:rPr>
        <w:t xml:space="preserve">Opinia generală privind gestiunea financiară a </w:t>
      </w:r>
      <w:bookmarkEnd w:id="40"/>
      <w:r>
        <w:rPr>
          <w:noProof/>
          <w:lang w:val="ro-RO"/>
        </w:rPr>
        <w:t>Comisiei</w:t>
      </w:r>
      <w:bookmarkEnd w:id="39"/>
      <w:bookmarkEnd w:id="41"/>
      <w:bookmarkEnd w:id="42"/>
    </w:p>
    <w:p w:rsidR="004310B4" w:rsidRDefault="004310B4">
      <w:pPr>
        <w:ind w:left="567"/>
        <w:rPr>
          <w:noProof/>
          <w:lang w:val="ro-RO"/>
        </w:rPr>
      </w:pPr>
      <w:r>
        <w:rPr>
          <w:noProof/>
          <w:lang w:val="ro-RO"/>
        </w:rPr>
        <w:t>Astfel cum se prevede în Carta misiunii sale, IAS emite, de asemenea, o opinie generală anuală</w:t>
      </w:r>
      <w:r>
        <w:rPr>
          <w:rStyle w:val="FootnoteReference"/>
          <w:noProof/>
          <w:lang w:val="ro-RO"/>
        </w:rPr>
        <w:footnoteReference w:id="17"/>
      </w:r>
      <w:r>
        <w:rPr>
          <w:noProof/>
          <w:lang w:val="ro-RO"/>
        </w:rPr>
        <w:t xml:space="preserve"> cu privire la situația gestiunii financiare în cadrul Comisiei. Aceasta se bazează pe activitatea de audit în domeniul gestiunii financiare în cadrul Comisiei, desfășurată atât de IAS, cât și de fostele structuri de audit intern (IAC), în perioada anterioară de trei ani (2013-2015). De asemenea, aceasta ia în considerare informațiile provenite din alte surse, cum ar fi rapoartele din partea Curții de Conturi Europene (CCE). Opinia generală este publicată în paralel cu prezentul raport și se referă la același exercițiu financiar.</w:t>
      </w:r>
    </w:p>
    <w:p w:rsidR="004310B4" w:rsidRDefault="004310B4">
      <w:pPr>
        <w:ind w:left="567"/>
        <w:rPr>
          <w:noProof/>
          <w:lang w:val="ro-RO"/>
        </w:rPr>
      </w:pPr>
      <w:r>
        <w:rPr>
          <w:noProof/>
          <w:lang w:val="ro-RO"/>
        </w:rPr>
        <w:t>La fel ca în edițiile anterioare, opinia generală pe 2015 este calificată în ceea ce privește rezervele formulate în declarațiile de asigurare ale ordonatorilor de credite prin delegare. Pentru a formula această opinie, IAS a examinat impactul combinat al sumelor estimate a fi expuse riscului, astfel cum au fost indicate în rapoartele anuale de activitate, în funcție de capacitatea de corecție evidențiată de corecțiile financiare și de recuperările din trecut. Având în vedere amploarea corecțiilor financiare și a recuperărilor din trecut și presupunând că se vor efectua corecții privind plățile din 2015 la un nivel comparabil, bugetul UE beneficiază de o protecție adecvată în ansamblul său (nu neapărat în domeniile individuale de politică) și în timp (uneori, câțiva ani mai târziu).</w:t>
      </w:r>
    </w:p>
    <w:p w:rsidR="004310B4" w:rsidRDefault="004310B4">
      <w:pPr>
        <w:ind w:left="567"/>
        <w:rPr>
          <w:noProof/>
          <w:lang w:val="ro-RO"/>
        </w:rPr>
      </w:pPr>
      <w:r>
        <w:rPr>
          <w:noProof/>
          <w:lang w:val="ro-RO"/>
        </w:rPr>
        <w:t>Fără a exprima o rezervă la opinia formulată, auditorul intern a adăugat trei „paragrafe de observații”, care se referă la:</w:t>
      </w:r>
    </w:p>
    <w:p w:rsidR="004310B4" w:rsidRDefault="004310B4">
      <w:pPr>
        <w:numPr>
          <w:ilvl w:val="0"/>
          <w:numId w:val="35"/>
        </w:numPr>
        <w:spacing w:after="120"/>
        <w:ind w:left="1196" w:hanging="357"/>
        <w:rPr>
          <w:noProof/>
          <w:lang w:val="ro-RO"/>
        </w:rPr>
      </w:pPr>
      <w:r>
        <w:rPr>
          <w:noProof/>
          <w:lang w:val="ro-RO"/>
        </w:rPr>
        <w:t>strategiile de control în domeniul cercetării pentru programele din perioada 2014-2020;</w:t>
      </w:r>
    </w:p>
    <w:p w:rsidR="004310B4" w:rsidRDefault="004310B4">
      <w:pPr>
        <w:numPr>
          <w:ilvl w:val="0"/>
          <w:numId w:val="35"/>
        </w:numPr>
        <w:spacing w:after="120"/>
        <w:ind w:left="1196" w:hanging="357"/>
        <w:rPr>
          <w:noProof/>
          <w:lang w:val="ro-RO"/>
        </w:rPr>
      </w:pPr>
      <w:r>
        <w:rPr>
          <w:noProof/>
          <w:lang w:val="ro-RO"/>
        </w:rPr>
        <w:t xml:space="preserve">strategiile de supraveghere în ceea ce privește terții care pun în aplicare politici și programe; și </w:t>
      </w:r>
    </w:p>
    <w:p w:rsidR="004310B4" w:rsidRDefault="004310B4">
      <w:pPr>
        <w:numPr>
          <w:ilvl w:val="0"/>
          <w:numId w:val="35"/>
        </w:numPr>
        <w:spacing w:after="120"/>
        <w:ind w:left="1196" w:hanging="357"/>
        <w:rPr>
          <w:noProof/>
          <w:lang w:val="ro-RO"/>
        </w:rPr>
      </w:pPr>
      <w:r>
        <w:rPr>
          <w:noProof/>
          <w:lang w:val="ro-RO"/>
        </w:rPr>
        <w:t>Programul de dezafectare a instalațiilor nucleare și de gestionare a deșeurilor din cadrul Centrului Comun de Cercetare.</w:t>
      </w:r>
    </w:p>
    <w:p w:rsidR="004310B4" w:rsidRDefault="004310B4">
      <w:pPr>
        <w:pStyle w:val="Heading1"/>
        <w:rPr>
          <w:noProof/>
          <w:lang w:val="ro-RO"/>
        </w:rPr>
      </w:pPr>
      <w:bookmarkStart w:id="43" w:name="_Toc381869128"/>
      <w:bookmarkStart w:id="44" w:name="_Toc381869194"/>
      <w:bookmarkStart w:id="45" w:name="_Toc381869260"/>
      <w:bookmarkStart w:id="46" w:name="_Toc381869132"/>
      <w:bookmarkStart w:id="47" w:name="_Toc381869198"/>
      <w:bookmarkStart w:id="48" w:name="_Toc381869264"/>
      <w:bookmarkStart w:id="49" w:name="_Toc381869134"/>
      <w:bookmarkStart w:id="50" w:name="_Toc381869200"/>
      <w:bookmarkStart w:id="51" w:name="_Toc381869266"/>
      <w:bookmarkStart w:id="52" w:name="_Toc458419161"/>
      <w:bookmarkEnd w:id="28"/>
      <w:bookmarkEnd w:id="29"/>
      <w:bookmarkEnd w:id="30"/>
      <w:bookmarkEnd w:id="31"/>
      <w:bookmarkEnd w:id="32"/>
      <w:bookmarkEnd w:id="43"/>
      <w:bookmarkEnd w:id="44"/>
      <w:bookmarkEnd w:id="45"/>
      <w:bookmarkEnd w:id="46"/>
      <w:bookmarkEnd w:id="47"/>
      <w:bookmarkEnd w:id="48"/>
      <w:bookmarkEnd w:id="49"/>
      <w:bookmarkEnd w:id="50"/>
      <w:bookmarkEnd w:id="51"/>
      <w:r>
        <w:rPr>
          <w:noProof/>
          <w:lang w:val="ro-RO"/>
        </w:rPr>
        <w:t>Consultarea cu Grupul pentru nereguli financiare al Comisiei</w:t>
      </w:r>
      <w:bookmarkEnd w:id="52"/>
    </w:p>
    <w:p w:rsidR="004310B4" w:rsidRDefault="004310B4">
      <w:pPr>
        <w:pStyle w:val="Text1"/>
        <w:rPr>
          <w:noProof/>
          <w:lang w:val="ro-RO"/>
        </w:rPr>
      </w:pPr>
      <w:r>
        <w:rPr>
          <w:noProof/>
          <w:lang w:val="ro-RO"/>
        </w:rPr>
        <w:t>În 2015, Grupul pentru nereguli financiare, instituit în conformitate cu articolul 73 alineatul (6) din Regulamentul financiar aplicabil bugetului general al Comunităților Europene, nu a raportat probleme sistemice.</w:t>
      </w:r>
    </w:p>
    <w:p w:rsidR="004310B4" w:rsidRDefault="004310B4">
      <w:pPr>
        <w:pStyle w:val="Heading1"/>
        <w:rPr>
          <w:noProof/>
          <w:lang w:val="ro-RO"/>
        </w:rPr>
      </w:pPr>
      <w:bookmarkStart w:id="53" w:name="_Toc458419162"/>
      <w:r>
        <w:rPr>
          <w:noProof/>
          <w:lang w:val="ro-RO"/>
        </w:rPr>
        <w:t>Concluzii</w:t>
      </w:r>
      <w:bookmarkEnd w:id="53"/>
      <w:r>
        <w:rPr>
          <w:noProof/>
          <w:lang w:val="ro-RO"/>
        </w:rPr>
        <w:t xml:space="preserve"> </w:t>
      </w:r>
    </w:p>
    <w:p w:rsidR="004310B4" w:rsidRDefault="004310B4">
      <w:pPr>
        <w:pStyle w:val="Text1"/>
        <w:ind w:left="480"/>
        <w:rPr>
          <w:noProof/>
          <w:lang w:val="ro-RO"/>
        </w:rPr>
      </w:pPr>
      <w:r>
        <w:rPr>
          <w:noProof/>
          <w:lang w:val="ro-RO"/>
        </w:rPr>
        <w:t>IAS consideră că punerea în aplicare a planurilor de acțiune elaborate ca răspuns la auditurile sale în anul curent și în trecut contribuie la îmbunătățirea constantă a cadrului de control intern al Comisiei.</w:t>
      </w:r>
    </w:p>
    <w:p w:rsidR="004310B4" w:rsidRDefault="004310B4">
      <w:pPr>
        <w:pStyle w:val="Text1"/>
        <w:ind w:left="480"/>
        <w:rPr>
          <w:noProof/>
          <w:lang w:val="ro-RO"/>
        </w:rPr>
      </w:pPr>
      <w:r>
        <w:rPr>
          <w:noProof/>
          <w:lang w:val="ro-RO"/>
        </w:rPr>
        <w:t>IAS va efectua audituri de urmărire subsecventă privind executarea planurilor de acțiune, care vor fi examinate de către Comitetul de monitorizare a auditurilor, care, la rândul său, va informa Colegiul comisarilor, după caz.</w:t>
      </w:r>
    </w:p>
    <w:p w:rsidR="004310B4" w:rsidRDefault="004310B4">
      <w:pPr>
        <w:pStyle w:val="Text1"/>
        <w:ind w:left="480"/>
        <w:rPr>
          <w:noProof/>
          <w:lang w:val="ro-RO"/>
        </w:rPr>
      </w:pPr>
      <w:r>
        <w:rPr>
          <w:noProof/>
          <w:lang w:val="ro-RO"/>
        </w:rPr>
        <w:t>IAS va continua să se concentreze asupra auditurilor financiare, de conformitate și de performanță.</w:t>
      </w:r>
    </w:p>
    <w:p w:rsidR="004310B4" w:rsidRDefault="004310B4">
      <w:pPr>
        <w:pStyle w:val="Heading1"/>
        <w:rPr>
          <w:noProof/>
          <w:lang w:val="ro-RO"/>
        </w:rPr>
      </w:pPr>
      <w:r>
        <w:rPr>
          <w:noProof/>
          <w:lang w:val="ro-RO"/>
        </w:rPr>
        <w:br w:type="page"/>
      </w:r>
      <w:bookmarkStart w:id="54" w:name="_Toc458419163"/>
      <w:r>
        <w:rPr>
          <w:noProof/>
          <w:lang w:val="ro-RO"/>
        </w:rPr>
        <w:t>Listă de acronime</w:t>
      </w:r>
      <w:bookmarkEnd w:id="5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316"/>
      </w:tblGrid>
      <w:tr w:rsidR="004310B4">
        <w:tc>
          <w:tcPr>
            <w:tcW w:w="2518" w:type="dxa"/>
          </w:tcPr>
          <w:p w:rsidR="004310B4" w:rsidRDefault="004310B4">
            <w:pPr>
              <w:jc w:val="center"/>
              <w:rPr>
                <w:b/>
                <w:noProof/>
                <w:lang w:val="ro-RO"/>
              </w:rPr>
            </w:pPr>
            <w:r>
              <w:rPr>
                <w:b/>
                <w:noProof/>
                <w:lang w:val="ro-RO"/>
              </w:rPr>
              <w:t>Acronim</w:t>
            </w:r>
          </w:p>
        </w:tc>
        <w:tc>
          <w:tcPr>
            <w:tcW w:w="6316" w:type="dxa"/>
          </w:tcPr>
          <w:p w:rsidR="004310B4" w:rsidRDefault="004310B4">
            <w:pPr>
              <w:jc w:val="center"/>
              <w:rPr>
                <w:b/>
                <w:noProof/>
                <w:lang w:val="ro-RO"/>
              </w:rPr>
            </w:pPr>
            <w:r>
              <w:rPr>
                <w:b/>
                <w:noProof/>
                <w:lang w:val="ro-RO"/>
              </w:rPr>
              <w:t>Descriere</w:t>
            </w:r>
          </w:p>
        </w:tc>
      </w:tr>
      <w:tr w:rsidR="004310B4">
        <w:tc>
          <w:tcPr>
            <w:tcW w:w="2518" w:type="dxa"/>
          </w:tcPr>
          <w:p w:rsidR="004310B4" w:rsidRDefault="004310B4">
            <w:pPr>
              <w:jc w:val="center"/>
              <w:rPr>
                <w:noProof/>
                <w:lang w:val="ro-RO"/>
              </w:rPr>
            </w:pPr>
            <w:r>
              <w:rPr>
                <w:noProof/>
                <w:lang w:val="ro-RO"/>
              </w:rPr>
              <w:t>RAA</w:t>
            </w:r>
          </w:p>
        </w:tc>
        <w:tc>
          <w:tcPr>
            <w:tcW w:w="6316" w:type="dxa"/>
          </w:tcPr>
          <w:p w:rsidR="004310B4" w:rsidRDefault="004310B4">
            <w:pPr>
              <w:jc w:val="center"/>
              <w:rPr>
                <w:noProof/>
                <w:lang w:val="ro-RO"/>
              </w:rPr>
            </w:pPr>
            <w:r>
              <w:rPr>
                <w:noProof/>
                <w:lang w:val="ro-RO"/>
              </w:rPr>
              <w:t>Raportul anual de activitate</w:t>
            </w:r>
          </w:p>
        </w:tc>
      </w:tr>
      <w:tr w:rsidR="004310B4">
        <w:tc>
          <w:tcPr>
            <w:tcW w:w="2518" w:type="dxa"/>
          </w:tcPr>
          <w:p w:rsidR="004310B4" w:rsidRDefault="004310B4">
            <w:pPr>
              <w:jc w:val="center"/>
              <w:rPr>
                <w:noProof/>
                <w:color w:val="000000"/>
                <w:lang w:val="ro-RO"/>
              </w:rPr>
            </w:pPr>
            <w:r>
              <w:rPr>
                <w:noProof/>
                <w:color w:val="000000"/>
                <w:lang w:val="ro-RO"/>
              </w:rPr>
              <w:t>AOD</w:t>
            </w:r>
          </w:p>
        </w:tc>
        <w:tc>
          <w:tcPr>
            <w:tcW w:w="6316" w:type="dxa"/>
          </w:tcPr>
          <w:p w:rsidR="004310B4" w:rsidRDefault="004310B4">
            <w:pPr>
              <w:jc w:val="center"/>
              <w:rPr>
                <w:noProof/>
                <w:lang w:val="ro-RO"/>
              </w:rPr>
            </w:pPr>
            <w:r>
              <w:rPr>
                <w:noProof/>
                <w:lang w:val="ro-RO"/>
              </w:rPr>
              <w:t>Ordonator de credite delegat</w:t>
            </w:r>
          </w:p>
        </w:tc>
      </w:tr>
      <w:tr w:rsidR="004310B4">
        <w:tc>
          <w:tcPr>
            <w:tcW w:w="2518" w:type="dxa"/>
          </w:tcPr>
          <w:p w:rsidR="004310B4" w:rsidRDefault="004310B4">
            <w:pPr>
              <w:jc w:val="center"/>
              <w:rPr>
                <w:noProof/>
                <w:lang w:val="ro-RO"/>
              </w:rPr>
            </w:pPr>
            <w:r>
              <w:rPr>
                <w:noProof/>
                <w:lang w:val="ro-RO"/>
              </w:rPr>
              <w:t>CMA</w:t>
            </w:r>
          </w:p>
        </w:tc>
        <w:tc>
          <w:tcPr>
            <w:tcW w:w="6316" w:type="dxa"/>
          </w:tcPr>
          <w:p w:rsidR="004310B4" w:rsidRDefault="004310B4">
            <w:pPr>
              <w:jc w:val="center"/>
              <w:rPr>
                <w:noProof/>
                <w:lang w:val="ro-RO"/>
              </w:rPr>
            </w:pPr>
            <w:r>
              <w:rPr>
                <w:noProof/>
                <w:lang w:val="ro-RO"/>
              </w:rPr>
              <w:t>Comitetul de monitorizare a auditurilor</w:t>
            </w:r>
          </w:p>
        </w:tc>
      </w:tr>
      <w:tr w:rsidR="004310B4">
        <w:tc>
          <w:tcPr>
            <w:tcW w:w="2518" w:type="dxa"/>
          </w:tcPr>
          <w:p w:rsidR="004310B4" w:rsidRDefault="004310B4">
            <w:pPr>
              <w:jc w:val="center"/>
              <w:rPr>
                <w:noProof/>
                <w:lang w:val="ro-RO"/>
              </w:rPr>
            </w:pPr>
            <w:r>
              <w:rPr>
                <w:noProof/>
                <w:lang w:val="ro-RO"/>
              </w:rPr>
              <w:t>PAC</w:t>
            </w:r>
          </w:p>
        </w:tc>
        <w:tc>
          <w:tcPr>
            <w:tcW w:w="6316" w:type="dxa"/>
          </w:tcPr>
          <w:p w:rsidR="004310B4" w:rsidRDefault="004310B4">
            <w:pPr>
              <w:jc w:val="center"/>
              <w:rPr>
                <w:noProof/>
                <w:lang w:val="ro-RO"/>
              </w:rPr>
            </w:pPr>
            <w:r>
              <w:rPr>
                <w:noProof/>
                <w:lang w:val="ro-RO"/>
              </w:rPr>
              <w:t>Politica agricolă comună</w:t>
            </w:r>
          </w:p>
        </w:tc>
      </w:tr>
      <w:tr w:rsidR="004310B4">
        <w:tc>
          <w:tcPr>
            <w:tcW w:w="2518" w:type="dxa"/>
          </w:tcPr>
          <w:p w:rsidR="004310B4" w:rsidRDefault="004310B4">
            <w:pPr>
              <w:jc w:val="center"/>
              <w:rPr>
                <w:noProof/>
                <w:lang w:val="ro-RO"/>
              </w:rPr>
            </w:pPr>
            <w:r>
              <w:rPr>
                <w:noProof/>
                <w:lang w:val="ro-RO"/>
              </w:rPr>
              <w:t>FC</w:t>
            </w:r>
          </w:p>
        </w:tc>
        <w:tc>
          <w:tcPr>
            <w:tcW w:w="6316" w:type="dxa"/>
          </w:tcPr>
          <w:p w:rsidR="004310B4" w:rsidRDefault="004310B4">
            <w:pPr>
              <w:jc w:val="center"/>
              <w:rPr>
                <w:noProof/>
                <w:lang w:val="ro-RO"/>
              </w:rPr>
            </w:pPr>
            <w:r>
              <w:rPr>
                <w:noProof/>
                <w:lang w:val="ro-RO"/>
              </w:rPr>
              <w:t>Fondul de coeziune</w:t>
            </w:r>
          </w:p>
        </w:tc>
      </w:tr>
      <w:tr w:rsidR="004310B4">
        <w:tc>
          <w:tcPr>
            <w:tcW w:w="2518" w:type="dxa"/>
          </w:tcPr>
          <w:p w:rsidR="004310B4" w:rsidRDefault="004310B4">
            <w:pPr>
              <w:jc w:val="center"/>
              <w:rPr>
                <w:noProof/>
                <w:color w:val="000000"/>
                <w:lang w:val="ro-RO"/>
              </w:rPr>
            </w:pPr>
            <w:r>
              <w:rPr>
                <w:noProof/>
                <w:color w:val="000000"/>
                <w:lang w:val="ro-RO"/>
              </w:rPr>
              <w:t>CONT</w:t>
            </w:r>
          </w:p>
        </w:tc>
        <w:tc>
          <w:tcPr>
            <w:tcW w:w="6316" w:type="dxa"/>
          </w:tcPr>
          <w:p w:rsidR="004310B4" w:rsidRDefault="004310B4">
            <w:pPr>
              <w:jc w:val="center"/>
              <w:rPr>
                <w:noProof/>
                <w:lang w:val="ro-RO"/>
              </w:rPr>
            </w:pPr>
            <w:r>
              <w:rPr>
                <w:noProof/>
                <w:lang w:val="ro-RO"/>
              </w:rPr>
              <w:t>Controlul bugetar</w:t>
            </w:r>
          </w:p>
        </w:tc>
      </w:tr>
      <w:tr w:rsidR="004310B4">
        <w:tc>
          <w:tcPr>
            <w:tcW w:w="2518" w:type="dxa"/>
          </w:tcPr>
          <w:p w:rsidR="004310B4" w:rsidRDefault="004310B4">
            <w:pPr>
              <w:jc w:val="center"/>
              <w:rPr>
                <w:rFonts w:cs="TimesNewRomanPSMT"/>
                <w:noProof/>
                <w:lang w:val="ro-RO"/>
              </w:rPr>
            </w:pPr>
            <w:r>
              <w:rPr>
                <w:noProof/>
                <w:lang w:val="ro-RO"/>
              </w:rPr>
              <w:t>CSC</w:t>
            </w:r>
          </w:p>
        </w:tc>
        <w:tc>
          <w:tcPr>
            <w:tcW w:w="6316" w:type="dxa"/>
          </w:tcPr>
          <w:p w:rsidR="004310B4" w:rsidRDefault="004310B4">
            <w:pPr>
              <w:jc w:val="center"/>
              <w:rPr>
                <w:noProof/>
                <w:lang w:val="ro-RO"/>
              </w:rPr>
            </w:pPr>
            <w:r>
              <w:rPr>
                <w:noProof/>
                <w:lang w:val="ro-RO"/>
              </w:rPr>
              <w:t>Centrul comun de asistență</w:t>
            </w:r>
          </w:p>
        </w:tc>
      </w:tr>
      <w:tr w:rsidR="004310B4">
        <w:tc>
          <w:tcPr>
            <w:tcW w:w="2518" w:type="dxa"/>
          </w:tcPr>
          <w:p w:rsidR="004310B4" w:rsidRDefault="004310B4">
            <w:pPr>
              <w:jc w:val="center"/>
              <w:rPr>
                <w:noProof/>
                <w:lang w:val="ro-RO"/>
              </w:rPr>
            </w:pPr>
            <w:r>
              <w:rPr>
                <w:noProof/>
                <w:lang w:val="ro-RO"/>
              </w:rPr>
              <w:t>DG</w:t>
            </w:r>
          </w:p>
        </w:tc>
        <w:tc>
          <w:tcPr>
            <w:tcW w:w="6316" w:type="dxa"/>
          </w:tcPr>
          <w:p w:rsidR="004310B4" w:rsidRDefault="004310B4">
            <w:pPr>
              <w:jc w:val="center"/>
              <w:rPr>
                <w:noProof/>
                <w:lang w:val="ro-RO"/>
              </w:rPr>
            </w:pPr>
            <w:r>
              <w:rPr>
                <w:noProof/>
                <w:lang w:val="ro-RO"/>
              </w:rPr>
              <w:t>Direcții generale</w:t>
            </w:r>
          </w:p>
        </w:tc>
      </w:tr>
      <w:tr w:rsidR="004310B4">
        <w:tc>
          <w:tcPr>
            <w:tcW w:w="2518" w:type="dxa"/>
          </w:tcPr>
          <w:p w:rsidR="004310B4" w:rsidRDefault="004310B4">
            <w:pPr>
              <w:jc w:val="center"/>
              <w:rPr>
                <w:noProof/>
                <w:lang w:val="ro-RO"/>
              </w:rPr>
            </w:pPr>
            <w:r>
              <w:rPr>
                <w:noProof/>
                <w:lang w:val="ro-RO"/>
              </w:rPr>
              <w:t>CCE</w:t>
            </w:r>
          </w:p>
        </w:tc>
        <w:tc>
          <w:tcPr>
            <w:tcW w:w="6316" w:type="dxa"/>
          </w:tcPr>
          <w:p w:rsidR="004310B4" w:rsidRDefault="004310B4">
            <w:pPr>
              <w:jc w:val="center"/>
              <w:rPr>
                <w:noProof/>
                <w:lang w:val="ro-RO"/>
              </w:rPr>
            </w:pPr>
            <w:r>
              <w:rPr>
                <w:noProof/>
                <w:lang w:val="ro-RO"/>
              </w:rPr>
              <w:t>Curtea de Conturi Europeană</w:t>
            </w:r>
          </w:p>
        </w:tc>
      </w:tr>
      <w:tr w:rsidR="004310B4">
        <w:tc>
          <w:tcPr>
            <w:tcW w:w="2518" w:type="dxa"/>
          </w:tcPr>
          <w:p w:rsidR="004310B4" w:rsidRDefault="004310B4">
            <w:pPr>
              <w:jc w:val="center"/>
              <w:rPr>
                <w:noProof/>
                <w:lang w:val="ro-RO"/>
              </w:rPr>
            </w:pPr>
            <w:r>
              <w:rPr>
                <w:noProof/>
                <w:lang w:val="ro-RO"/>
              </w:rPr>
              <w:t>ESIF</w:t>
            </w:r>
          </w:p>
        </w:tc>
        <w:tc>
          <w:tcPr>
            <w:tcW w:w="6316" w:type="dxa"/>
          </w:tcPr>
          <w:p w:rsidR="004310B4" w:rsidRDefault="004310B4">
            <w:pPr>
              <w:jc w:val="center"/>
              <w:rPr>
                <w:noProof/>
                <w:lang w:val="ro-RO"/>
              </w:rPr>
            </w:pPr>
            <w:r>
              <w:rPr>
                <w:noProof/>
                <w:lang w:val="ro-RO"/>
              </w:rPr>
              <w:t>Fondurile structurale și de investiții europene</w:t>
            </w:r>
          </w:p>
        </w:tc>
      </w:tr>
      <w:tr w:rsidR="004310B4">
        <w:tc>
          <w:tcPr>
            <w:tcW w:w="2518" w:type="dxa"/>
          </w:tcPr>
          <w:p w:rsidR="004310B4" w:rsidRDefault="004310B4">
            <w:pPr>
              <w:jc w:val="center"/>
              <w:rPr>
                <w:noProof/>
                <w:lang w:val="ro-RO"/>
              </w:rPr>
            </w:pPr>
            <w:r>
              <w:rPr>
                <w:noProof/>
                <w:lang w:val="ro-RO"/>
              </w:rPr>
              <w:t>PC7</w:t>
            </w:r>
          </w:p>
        </w:tc>
        <w:tc>
          <w:tcPr>
            <w:tcW w:w="6316" w:type="dxa"/>
          </w:tcPr>
          <w:p w:rsidR="004310B4" w:rsidRDefault="004310B4">
            <w:pPr>
              <w:jc w:val="center"/>
              <w:rPr>
                <w:noProof/>
                <w:lang w:val="ro-RO"/>
              </w:rPr>
            </w:pPr>
            <w:r>
              <w:rPr>
                <w:noProof/>
                <w:lang w:val="ro-RO"/>
              </w:rPr>
              <w:t>Al șaptelea program-cadru pentru cercetare și dezvoltare tehnologică</w:t>
            </w:r>
          </w:p>
        </w:tc>
      </w:tr>
      <w:tr w:rsidR="004310B4">
        <w:tc>
          <w:tcPr>
            <w:tcW w:w="2518" w:type="dxa"/>
          </w:tcPr>
          <w:p w:rsidR="004310B4" w:rsidRDefault="004310B4">
            <w:pPr>
              <w:jc w:val="center"/>
              <w:rPr>
                <w:noProof/>
                <w:color w:val="000000"/>
                <w:lang w:val="ro-RO"/>
              </w:rPr>
            </w:pPr>
            <w:r>
              <w:rPr>
                <w:noProof/>
                <w:color w:val="000000"/>
                <w:lang w:val="ro-RO"/>
              </w:rPr>
              <w:t>RF</w:t>
            </w:r>
          </w:p>
        </w:tc>
        <w:tc>
          <w:tcPr>
            <w:tcW w:w="6316" w:type="dxa"/>
          </w:tcPr>
          <w:p w:rsidR="004310B4" w:rsidRDefault="004310B4">
            <w:pPr>
              <w:jc w:val="center"/>
              <w:rPr>
                <w:noProof/>
                <w:lang w:val="ro-RO"/>
              </w:rPr>
            </w:pPr>
            <w:r>
              <w:rPr>
                <w:noProof/>
                <w:lang w:val="ro-RO"/>
              </w:rPr>
              <w:t>Regulamentul financiar</w:t>
            </w:r>
          </w:p>
        </w:tc>
      </w:tr>
      <w:tr w:rsidR="004310B4">
        <w:tc>
          <w:tcPr>
            <w:tcW w:w="2518" w:type="dxa"/>
          </w:tcPr>
          <w:p w:rsidR="004310B4" w:rsidRDefault="004310B4">
            <w:pPr>
              <w:jc w:val="center"/>
              <w:rPr>
                <w:noProof/>
                <w:lang w:val="ro-RO"/>
              </w:rPr>
            </w:pPr>
            <w:r>
              <w:rPr>
                <w:noProof/>
                <w:lang w:val="ro-RO"/>
              </w:rPr>
              <w:t>HRM</w:t>
            </w:r>
          </w:p>
        </w:tc>
        <w:tc>
          <w:tcPr>
            <w:tcW w:w="6316" w:type="dxa"/>
          </w:tcPr>
          <w:p w:rsidR="004310B4" w:rsidRDefault="004310B4">
            <w:pPr>
              <w:jc w:val="center"/>
              <w:rPr>
                <w:noProof/>
                <w:lang w:val="ro-RO"/>
              </w:rPr>
            </w:pPr>
            <w:r>
              <w:rPr>
                <w:noProof/>
                <w:lang w:val="ro-RO"/>
              </w:rPr>
              <w:t>Managementul resurselor umane</w:t>
            </w:r>
          </w:p>
        </w:tc>
      </w:tr>
      <w:tr w:rsidR="004310B4">
        <w:tc>
          <w:tcPr>
            <w:tcW w:w="2518" w:type="dxa"/>
          </w:tcPr>
          <w:p w:rsidR="004310B4" w:rsidRDefault="004310B4">
            <w:pPr>
              <w:jc w:val="center"/>
              <w:rPr>
                <w:noProof/>
                <w:lang w:val="ro-RO"/>
              </w:rPr>
            </w:pPr>
            <w:r>
              <w:rPr>
                <w:noProof/>
                <w:lang w:val="ro-RO"/>
              </w:rPr>
              <w:t>IAS</w:t>
            </w:r>
          </w:p>
        </w:tc>
        <w:tc>
          <w:tcPr>
            <w:tcW w:w="6316" w:type="dxa"/>
          </w:tcPr>
          <w:p w:rsidR="004310B4" w:rsidRDefault="004310B4">
            <w:pPr>
              <w:jc w:val="center"/>
              <w:rPr>
                <w:noProof/>
                <w:lang w:val="ro-RO"/>
              </w:rPr>
            </w:pPr>
            <w:r>
              <w:rPr>
                <w:noProof/>
                <w:lang w:val="ro-RO"/>
              </w:rPr>
              <w:t>Serviciul de Audit Intern</w:t>
            </w:r>
          </w:p>
        </w:tc>
      </w:tr>
      <w:tr w:rsidR="004310B4">
        <w:tc>
          <w:tcPr>
            <w:tcW w:w="2518" w:type="dxa"/>
          </w:tcPr>
          <w:p w:rsidR="004310B4" w:rsidRDefault="004310B4">
            <w:pPr>
              <w:jc w:val="center"/>
              <w:rPr>
                <w:noProof/>
                <w:lang w:val="ro-RO"/>
              </w:rPr>
            </w:pPr>
            <w:r>
              <w:rPr>
                <w:noProof/>
                <w:lang w:val="ro-RO"/>
              </w:rPr>
              <w:t>ITSC</w:t>
            </w:r>
          </w:p>
        </w:tc>
        <w:tc>
          <w:tcPr>
            <w:tcW w:w="6316" w:type="dxa"/>
          </w:tcPr>
          <w:p w:rsidR="004310B4" w:rsidRDefault="004310B4">
            <w:pPr>
              <w:jc w:val="center"/>
              <w:rPr>
                <w:noProof/>
                <w:lang w:val="ro-RO"/>
              </w:rPr>
            </w:pPr>
            <w:r>
              <w:rPr>
                <w:noProof/>
                <w:lang w:val="ro-RO"/>
              </w:rPr>
              <w:t>Comitetul director IT</w:t>
            </w:r>
          </w:p>
        </w:tc>
      </w:tr>
      <w:tr w:rsidR="004310B4">
        <w:tc>
          <w:tcPr>
            <w:tcW w:w="2518" w:type="dxa"/>
          </w:tcPr>
          <w:p w:rsidR="004310B4" w:rsidRDefault="004310B4">
            <w:pPr>
              <w:jc w:val="center"/>
              <w:rPr>
                <w:rFonts w:cs="TimesNewRomanPSMT"/>
                <w:noProof/>
                <w:lang w:val="ro-RO"/>
              </w:rPr>
            </w:pPr>
            <w:r>
              <w:rPr>
                <w:noProof/>
                <w:lang w:val="ro-RO"/>
              </w:rPr>
              <w:t>JTI</w:t>
            </w:r>
          </w:p>
        </w:tc>
        <w:tc>
          <w:tcPr>
            <w:tcW w:w="6316" w:type="dxa"/>
          </w:tcPr>
          <w:p w:rsidR="004310B4" w:rsidRDefault="004310B4">
            <w:pPr>
              <w:jc w:val="center"/>
              <w:rPr>
                <w:rFonts w:cs="TimesNewRomanPSMT"/>
                <w:noProof/>
                <w:lang w:val="ro-RO"/>
              </w:rPr>
            </w:pPr>
            <w:r>
              <w:rPr>
                <w:noProof/>
                <w:lang w:val="ro-RO"/>
              </w:rPr>
              <w:t>Inițiative comune în domeniul tehnologiei</w:t>
            </w:r>
          </w:p>
        </w:tc>
      </w:tr>
      <w:tr w:rsidR="004310B4">
        <w:tc>
          <w:tcPr>
            <w:tcW w:w="2518" w:type="dxa"/>
          </w:tcPr>
          <w:p w:rsidR="004310B4" w:rsidRDefault="004310B4">
            <w:pPr>
              <w:jc w:val="center"/>
              <w:rPr>
                <w:noProof/>
                <w:lang w:val="ro-RO"/>
              </w:rPr>
            </w:pPr>
            <w:r>
              <w:rPr>
                <w:noProof/>
                <w:lang w:val="ro-RO"/>
              </w:rPr>
              <w:t>IC</w:t>
            </w:r>
          </w:p>
        </w:tc>
        <w:tc>
          <w:tcPr>
            <w:tcW w:w="6316" w:type="dxa"/>
          </w:tcPr>
          <w:p w:rsidR="004310B4" w:rsidRDefault="004310B4">
            <w:pPr>
              <w:jc w:val="center"/>
              <w:rPr>
                <w:noProof/>
                <w:lang w:val="ro-RO"/>
              </w:rPr>
            </w:pPr>
            <w:r>
              <w:rPr>
                <w:noProof/>
                <w:lang w:val="ro-RO"/>
              </w:rPr>
              <w:t>Întreprinderi comune</w:t>
            </w:r>
          </w:p>
        </w:tc>
      </w:tr>
      <w:tr w:rsidR="004310B4">
        <w:tc>
          <w:tcPr>
            <w:tcW w:w="2518" w:type="dxa"/>
          </w:tcPr>
          <w:p w:rsidR="004310B4" w:rsidRDefault="004310B4">
            <w:pPr>
              <w:jc w:val="center"/>
              <w:rPr>
                <w:noProof/>
                <w:lang w:val="ro-RO"/>
              </w:rPr>
            </w:pPr>
            <w:r>
              <w:rPr>
                <w:noProof/>
                <w:lang w:val="ro-RO"/>
              </w:rPr>
              <w:t>KPI</w:t>
            </w:r>
          </w:p>
        </w:tc>
        <w:tc>
          <w:tcPr>
            <w:tcW w:w="6316" w:type="dxa"/>
          </w:tcPr>
          <w:p w:rsidR="004310B4" w:rsidRDefault="004310B4">
            <w:pPr>
              <w:jc w:val="center"/>
              <w:rPr>
                <w:noProof/>
                <w:lang w:val="ro-RO"/>
              </w:rPr>
            </w:pPr>
            <w:r>
              <w:rPr>
                <w:noProof/>
                <w:lang w:val="ro-RO"/>
              </w:rPr>
              <w:t>Indicator-cheie de performanță</w:t>
            </w:r>
          </w:p>
        </w:tc>
      </w:tr>
      <w:tr w:rsidR="004310B4">
        <w:tc>
          <w:tcPr>
            <w:tcW w:w="2518" w:type="dxa"/>
          </w:tcPr>
          <w:p w:rsidR="004310B4" w:rsidRDefault="004310B4">
            <w:pPr>
              <w:jc w:val="center"/>
              <w:rPr>
                <w:noProof/>
                <w:lang w:val="ro-RO"/>
              </w:rPr>
            </w:pPr>
            <w:r>
              <w:rPr>
                <w:noProof/>
                <w:lang w:val="ro-RO"/>
              </w:rPr>
              <w:t>SM</w:t>
            </w:r>
          </w:p>
        </w:tc>
        <w:tc>
          <w:tcPr>
            <w:tcW w:w="6316" w:type="dxa"/>
          </w:tcPr>
          <w:p w:rsidR="004310B4" w:rsidRDefault="004310B4">
            <w:pPr>
              <w:jc w:val="center"/>
              <w:rPr>
                <w:noProof/>
                <w:lang w:val="ro-RO"/>
              </w:rPr>
            </w:pPr>
            <w:r>
              <w:rPr>
                <w:noProof/>
                <w:lang w:val="ro-RO"/>
              </w:rPr>
              <w:t>State membre</w:t>
            </w:r>
          </w:p>
        </w:tc>
      </w:tr>
      <w:tr w:rsidR="004310B4">
        <w:tc>
          <w:tcPr>
            <w:tcW w:w="2518" w:type="dxa"/>
          </w:tcPr>
          <w:p w:rsidR="004310B4" w:rsidRDefault="004310B4">
            <w:pPr>
              <w:jc w:val="center"/>
              <w:rPr>
                <w:rFonts w:cs="TimesNewRomanPSMT"/>
                <w:noProof/>
                <w:lang w:val="ro-RO"/>
              </w:rPr>
            </w:pPr>
            <w:r>
              <w:rPr>
                <w:noProof/>
                <w:color w:val="000000"/>
                <w:lang w:val="ro-RO"/>
              </w:rPr>
              <w:t>RER</w:t>
            </w:r>
          </w:p>
        </w:tc>
        <w:tc>
          <w:tcPr>
            <w:tcW w:w="6316" w:type="dxa"/>
          </w:tcPr>
          <w:p w:rsidR="004310B4" w:rsidRDefault="004310B4">
            <w:pPr>
              <w:jc w:val="center"/>
              <w:rPr>
                <w:noProof/>
                <w:lang w:val="ro-RO"/>
              </w:rPr>
            </w:pPr>
            <w:r>
              <w:rPr>
                <w:noProof/>
                <w:lang w:val="ro-RO"/>
              </w:rPr>
              <w:t>Rata de eroare reziduală</w:t>
            </w:r>
          </w:p>
        </w:tc>
      </w:tr>
      <w:tr w:rsidR="004310B4">
        <w:tc>
          <w:tcPr>
            <w:tcW w:w="2518" w:type="dxa"/>
          </w:tcPr>
          <w:p w:rsidR="004310B4" w:rsidRDefault="004310B4">
            <w:pPr>
              <w:jc w:val="center"/>
              <w:rPr>
                <w:noProof/>
                <w:lang w:val="ro-RO"/>
              </w:rPr>
            </w:pPr>
            <w:r>
              <w:rPr>
                <w:noProof/>
                <w:lang w:val="ro-RO"/>
              </w:rPr>
              <w:t>SG</w:t>
            </w:r>
          </w:p>
        </w:tc>
        <w:tc>
          <w:tcPr>
            <w:tcW w:w="6316" w:type="dxa"/>
          </w:tcPr>
          <w:p w:rsidR="004310B4" w:rsidRDefault="004310B4">
            <w:pPr>
              <w:jc w:val="center"/>
              <w:rPr>
                <w:noProof/>
                <w:lang w:val="ro-RO"/>
              </w:rPr>
            </w:pPr>
            <w:r>
              <w:rPr>
                <w:noProof/>
                <w:lang w:val="ro-RO"/>
              </w:rPr>
              <w:t>Secretariatul General</w:t>
            </w:r>
          </w:p>
        </w:tc>
      </w:tr>
      <w:tr w:rsidR="004310B4">
        <w:tc>
          <w:tcPr>
            <w:tcW w:w="2518" w:type="dxa"/>
          </w:tcPr>
          <w:p w:rsidR="004310B4" w:rsidRDefault="004310B4">
            <w:pPr>
              <w:jc w:val="center"/>
              <w:rPr>
                <w:noProof/>
                <w:lang w:val="ro-RO"/>
              </w:rPr>
            </w:pPr>
            <w:r>
              <w:rPr>
                <w:noProof/>
                <w:lang w:val="ro-RO"/>
              </w:rPr>
              <w:t>SWD</w:t>
            </w:r>
          </w:p>
        </w:tc>
        <w:tc>
          <w:tcPr>
            <w:tcW w:w="6316" w:type="dxa"/>
          </w:tcPr>
          <w:p w:rsidR="004310B4" w:rsidRDefault="004310B4">
            <w:pPr>
              <w:jc w:val="center"/>
              <w:rPr>
                <w:noProof/>
                <w:lang w:val="ro-RO"/>
              </w:rPr>
            </w:pPr>
            <w:r>
              <w:rPr>
                <w:noProof/>
                <w:lang w:val="ro-RO"/>
              </w:rPr>
              <w:t>Document de lucru al serviciilor Comisiei</w:t>
            </w:r>
          </w:p>
        </w:tc>
      </w:tr>
      <w:tr w:rsidR="004310B4">
        <w:tc>
          <w:tcPr>
            <w:tcW w:w="2518" w:type="dxa"/>
          </w:tcPr>
          <w:p w:rsidR="004310B4" w:rsidRDefault="004310B4">
            <w:pPr>
              <w:jc w:val="center"/>
              <w:rPr>
                <w:noProof/>
                <w:lang w:val="ro-RO"/>
              </w:rPr>
            </w:pPr>
            <w:r>
              <w:rPr>
                <w:noProof/>
                <w:lang w:val="ro-RO"/>
              </w:rPr>
              <w:t>TFUE</w:t>
            </w:r>
          </w:p>
        </w:tc>
        <w:tc>
          <w:tcPr>
            <w:tcW w:w="6316" w:type="dxa"/>
          </w:tcPr>
          <w:p w:rsidR="004310B4" w:rsidRDefault="004310B4">
            <w:pPr>
              <w:jc w:val="center"/>
              <w:rPr>
                <w:rFonts w:cs="TimesNewRomanPSMT"/>
                <w:noProof/>
                <w:lang w:val="ro-RO"/>
              </w:rPr>
            </w:pPr>
            <w:r>
              <w:rPr>
                <w:noProof/>
                <w:lang w:val="ro-RO"/>
              </w:rPr>
              <w:t>Tratatul privind funcționarea Uniunii Europene</w:t>
            </w:r>
          </w:p>
        </w:tc>
      </w:tr>
    </w:tbl>
    <w:p w:rsidR="004310B4" w:rsidRDefault="004310B4">
      <w:pPr>
        <w:pStyle w:val="Text1"/>
        <w:ind w:left="0"/>
        <w:rPr>
          <w:noProof/>
          <w:lang w:val="ro-RO"/>
        </w:rPr>
      </w:pPr>
    </w:p>
    <w:sectPr w:rsidR="004310B4" w:rsidSect="004310B4">
      <w:headerReference w:type="even" r:id="rId21"/>
      <w:headerReference w:type="default" r:id="rId22"/>
      <w:footerReference w:type="even" r:id="rId23"/>
      <w:footerReference w:type="default" r:id="rId24"/>
      <w:headerReference w:type="first" r:id="rId25"/>
      <w:footerReference w:type="first" r:id="rId26"/>
      <w:pgSz w:w="11906" w:h="16838"/>
      <w:pgMar w:top="1020" w:right="1701" w:bottom="1020" w:left="1587" w:header="601" w:footer="1077" w:gutter="0"/>
      <w:pgNumType w:start="2"/>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10B4" w:rsidRDefault="004310B4">
      <w:r>
        <w:separator/>
      </w:r>
    </w:p>
  </w:endnote>
  <w:endnote w:type="continuationSeparator" w:id="0">
    <w:p w:rsidR="004310B4" w:rsidRDefault="004310B4">
      <w:r>
        <w:continuationSeparator/>
      </w:r>
    </w:p>
  </w:endnote>
  <w:endnote w:type="continuationNotice" w:id="1">
    <w:p w:rsidR="004310B4" w:rsidRDefault="004310B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TimesNewRomanPSMT">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10B4" w:rsidRDefault="004310B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10B4" w:rsidRDefault="004310B4">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fldSimple w:instr=" DOCVARIABLE &quot;LW_Confidence&quot; \* MERGEFORMAT ">
      <w:r>
        <w:t xml:space="preserve"> </w:t>
      </w:r>
    </w:fldSimple>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10B4" w:rsidRDefault="004310B4">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10B4" w:rsidRDefault="004310B4">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10B4" w:rsidRDefault="004310B4">
    <w:pPr>
      <w:pStyle w:val="Footer"/>
      <w:jc w:val="center"/>
    </w:pPr>
    <w:r>
      <w:fldChar w:fldCharType="begin"/>
    </w:r>
    <w:r>
      <w:instrText xml:space="preserve"> PAGE   \* MERGEFORMAT </w:instrText>
    </w:r>
    <w:r>
      <w:fldChar w:fldCharType="separate"/>
    </w:r>
    <w:r>
      <w:rPr>
        <w:noProof/>
      </w:rPr>
      <w:t>17</w:t>
    </w:r>
    <w:r>
      <w:fldChar w:fldCharType="end"/>
    </w:r>
  </w:p>
  <w:p w:rsidR="004310B4" w:rsidRDefault="004310B4">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10B4" w:rsidRDefault="004310B4">
    <w:pPr>
      <w:pStyle w:val="Footer"/>
      <w:jc w:val="center"/>
    </w:pPr>
    <w:r>
      <w:fldChar w:fldCharType="begin"/>
    </w:r>
    <w:r>
      <w:instrText xml:space="preserve"> PAGE   \* MERGEFORMAT </w:instrText>
    </w:r>
    <w:r>
      <w:fldChar w:fldCharType="separate"/>
    </w:r>
    <w:r>
      <w:rPr>
        <w:noProof/>
      </w:rPr>
      <w:t>2</w:t>
    </w:r>
    <w:r>
      <w:fldChar w:fldCharType="end"/>
    </w:r>
  </w:p>
  <w:p w:rsidR="004310B4" w:rsidRDefault="004310B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10B4" w:rsidRDefault="004310B4">
      <w:r>
        <w:separator/>
      </w:r>
    </w:p>
  </w:footnote>
  <w:footnote w:type="continuationSeparator" w:id="0">
    <w:p w:rsidR="004310B4" w:rsidRDefault="004310B4">
      <w:r>
        <w:continuationSeparator/>
      </w:r>
    </w:p>
  </w:footnote>
  <w:footnote w:type="continuationNotice" w:id="1">
    <w:p w:rsidR="004310B4" w:rsidRDefault="004310B4">
      <w:pPr>
        <w:spacing w:after="0"/>
      </w:pPr>
    </w:p>
  </w:footnote>
  <w:footnote w:id="2">
    <w:p w:rsidR="004310B4" w:rsidRDefault="004310B4">
      <w:pPr>
        <w:pStyle w:val="FootnoteText"/>
        <w:spacing w:after="120"/>
      </w:pPr>
      <w:r>
        <w:rPr>
          <w:rStyle w:val="FootnoteReference"/>
          <w:lang w:val="ro-RO"/>
        </w:rPr>
        <w:footnoteRef/>
      </w:r>
      <w:r>
        <w:rPr>
          <w:lang w:val="ro-RO"/>
        </w:rPr>
        <w:t xml:space="preserve"> </w:t>
      </w:r>
      <w:r>
        <w:rPr>
          <w:lang w:val="ro-RO"/>
        </w:rPr>
        <w:tab/>
        <w:t>Raportul nu include auditurile efectuate de IAS în cadrul agențiilor europene descentralizate, al Serviciului European de Acțiune Externă sau al altor organisme care fac obiectul unor rapoarte anuale separate.</w:t>
      </w:r>
    </w:p>
  </w:footnote>
  <w:footnote w:id="3">
    <w:p w:rsidR="004310B4" w:rsidRDefault="004310B4">
      <w:pPr>
        <w:pStyle w:val="FootnoteText"/>
        <w:spacing w:after="120"/>
      </w:pPr>
      <w:r>
        <w:rPr>
          <w:rStyle w:val="FootnoteReference"/>
          <w:lang w:val="ro-RO"/>
        </w:rPr>
        <w:footnoteRef/>
      </w:r>
      <w:r>
        <w:rPr>
          <w:lang w:val="ro-RO"/>
        </w:rPr>
        <w:tab/>
        <w:t>Cerință care decurge din Standardul de performanță 2060 din cadrul Standardelor internaționale pentru practica profesională a auditului intern (standardele) promulgate de Institutul Auditorilor Interni (IIA).</w:t>
      </w:r>
    </w:p>
  </w:footnote>
  <w:footnote w:id="4">
    <w:p w:rsidR="004310B4" w:rsidRDefault="004310B4">
      <w:pPr>
        <w:pStyle w:val="FootnoteText"/>
      </w:pPr>
      <w:r>
        <w:rPr>
          <w:rStyle w:val="FootnoteReference"/>
          <w:lang w:val="ro-RO"/>
        </w:rPr>
        <w:footnoteRef/>
      </w:r>
      <w:r>
        <w:rPr>
          <w:lang w:val="ro-RO"/>
        </w:rPr>
        <w:t xml:space="preserve"> </w:t>
      </w:r>
      <w:r>
        <w:rPr>
          <w:lang w:val="ro-RO"/>
        </w:rPr>
        <w:tab/>
        <w:t>Articolul 100 din Regulamentul financiar.</w:t>
      </w:r>
    </w:p>
  </w:footnote>
  <w:footnote w:id="5">
    <w:p w:rsidR="004310B4" w:rsidRDefault="004310B4">
      <w:pPr>
        <w:pStyle w:val="FootnoteText"/>
      </w:pPr>
      <w:r>
        <w:rPr>
          <w:rStyle w:val="FootnoteReference"/>
          <w:lang w:val="ro-RO"/>
        </w:rPr>
        <w:footnoteRef/>
      </w:r>
      <w:r>
        <w:rPr>
          <w:lang w:val="ro-RO"/>
        </w:rPr>
        <w:t xml:space="preserve"> </w:t>
      </w:r>
      <w:r>
        <w:rPr>
          <w:lang w:val="ro-RO"/>
        </w:rPr>
        <w:tab/>
        <w:t>C(2015)2541 (20 aprilie 2015), Comunicarea Comisiei, Carta privind misiunea Serviciului de Audit Intern al Comisiei Europene.</w:t>
      </w:r>
    </w:p>
  </w:footnote>
  <w:footnote w:id="6">
    <w:p w:rsidR="004310B4" w:rsidRDefault="004310B4">
      <w:pPr>
        <w:pStyle w:val="FootnoteText"/>
      </w:pPr>
      <w:r>
        <w:rPr>
          <w:rStyle w:val="FootnoteReference"/>
          <w:lang w:val="ro-RO"/>
        </w:rPr>
        <w:footnoteRef/>
      </w:r>
      <w:r>
        <w:rPr>
          <w:lang w:val="ro-RO"/>
        </w:rPr>
        <w:t xml:space="preserve"> </w:t>
      </w:r>
      <w:r>
        <w:rPr>
          <w:lang w:val="ro-RO"/>
        </w:rPr>
        <w:tab/>
        <w:t>Documentul de lucru al serviciilor Comisiei oferă o prezentare generală a tuturor angajamentelor în materie de audit și de audit de urmărire subsecventă care au fost îndeplinite.</w:t>
      </w:r>
    </w:p>
  </w:footnote>
  <w:footnote w:id="7">
    <w:p w:rsidR="004310B4" w:rsidRDefault="004310B4">
      <w:pPr>
        <w:pStyle w:val="FootnoteText"/>
        <w:spacing w:after="120"/>
      </w:pPr>
      <w:r>
        <w:rPr>
          <w:rStyle w:val="FootnoteReference"/>
          <w:lang w:val="ro-RO"/>
        </w:rPr>
        <w:footnoteRef/>
      </w:r>
      <w:r>
        <w:rPr>
          <w:lang w:val="ro-RO"/>
        </w:rPr>
        <w:t xml:space="preserve"> </w:t>
      </w:r>
      <w:r>
        <w:rPr>
          <w:lang w:val="ro-RO"/>
        </w:rPr>
        <w:tab/>
        <w:t>Unele audituri, în special auditurile care implică mai multe direcții generale, pot conduce la mai multe rapoarte de audit.</w:t>
      </w:r>
    </w:p>
  </w:footnote>
  <w:footnote w:id="8">
    <w:p w:rsidR="004310B4" w:rsidRDefault="004310B4">
      <w:pPr>
        <w:pStyle w:val="FootnoteText"/>
        <w:spacing w:after="0"/>
      </w:pPr>
      <w:r>
        <w:rPr>
          <w:rStyle w:val="FootnoteReference"/>
          <w:lang w:val="ro-RO"/>
        </w:rPr>
        <w:footnoteRef/>
      </w:r>
      <w:r>
        <w:rPr>
          <w:lang w:val="ro-RO"/>
        </w:rPr>
        <w:t xml:space="preserve"> </w:t>
      </w:r>
      <w:r>
        <w:rPr>
          <w:lang w:val="ro-RO"/>
        </w:rPr>
        <w:tab/>
        <w:t>Se consideră că „Analiza lacunelor din noua legislație/proiectare pentru perioada de programare 2014­2020 a fondurilor structurale și de investiții europene - Partea 2” transmisă către DG REGIO și DG EMPL ține de două misiuni.</w:t>
      </w:r>
    </w:p>
  </w:footnote>
  <w:footnote w:id="9">
    <w:p w:rsidR="004310B4" w:rsidRDefault="004310B4">
      <w:pPr>
        <w:pStyle w:val="FootnoteText"/>
        <w:spacing w:after="120"/>
      </w:pPr>
      <w:r>
        <w:rPr>
          <w:rStyle w:val="FootnoteReference"/>
          <w:lang w:val="ro-RO"/>
        </w:rPr>
        <w:footnoteRef/>
      </w:r>
      <w:r>
        <w:rPr>
          <w:lang w:val="ro-RO"/>
        </w:rPr>
        <w:t xml:space="preserve"> </w:t>
      </w:r>
      <w:r>
        <w:rPr>
          <w:lang w:val="ro-RO"/>
        </w:rPr>
        <w:tab/>
        <w:t>Se consideră că „Auditul cu privire la strategia de control - Punerea în aplicare în cadrul DG AGRI” ține de două misiuni efectuate de două echipe de audit diferite, în urma cărora s-a întocmit un singur raport de audit.</w:t>
      </w:r>
    </w:p>
  </w:footnote>
  <w:footnote w:id="10">
    <w:p w:rsidR="004310B4" w:rsidRDefault="004310B4">
      <w:pPr>
        <w:pStyle w:val="FootnoteText"/>
      </w:pPr>
      <w:r>
        <w:rPr>
          <w:rStyle w:val="FootnoteReference"/>
          <w:lang w:val="ro-RO"/>
        </w:rPr>
        <w:footnoteRef/>
      </w:r>
      <w:r>
        <w:rPr>
          <w:lang w:val="ro-RO"/>
        </w:rPr>
        <w:t xml:space="preserve"> </w:t>
      </w:r>
      <w:r>
        <w:rPr>
          <w:lang w:val="ro-RO"/>
        </w:rPr>
        <w:tab/>
        <w:t>După centralizarea funcției de audit intern la începutul anului 2015, IAS a preluat 908 recomandări emise de structurile de audit intern anterioare care trebuie să fie monitorizate în continuare. Cu ocazia inițierii misiunilor de urmărire subsecventă în 2015, IAS a grupat recomandările formulate în urma unei serii de audituri realizate anterior de o structură de audit intern. Rezultatele au fost raportate în cadrul unui singur raport sau al unei singure note de încheiere. Având în vedere faptul că nu sunt produse rapoarte sau note de încheiere separate pentru fiecare audit monitorizat, în tabel nu sunt prezentate statistici privind numărul de rapoarte.</w:t>
      </w:r>
    </w:p>
  </w:footnote>
  <w:footnote w:id="11">
    <w:p w:rsidR="004310B4" w:rsidRDefault="004310B4">
      <w:pPr>
        <w:pStyle w:val="FootnoteText"/>
      </w:pPr>
      <w:r>
        <w:rPr>
          <w:rStyle w:val="FootnoteReference"/>
          <w:lang w:val="ro-RO"/>
        </w:rPr>
        <w:footnoteRef/>
      </w:r>
      <w:r>
        <w:rPr>
          <w:lang w:val="ro-RO"/>
        </w:rPr>
        <w:t xml:space="preserve"> </w:t>
      </w:r>
      <w:r>
        <w:rPr>
          <w:lang w:val="ro-RO"/>
        </w:rPr>
        <w:tab/>
        <w:t>Sistemul Comun de Asigurări de Sănătate (SCAS).</w:t>
      </w:r>
    </w:p>
  </w:footnote>
  <w:footnote w:id="12">
    <w:p w:rsidR="004310B4" w:rsidRDefault="004310B4">
      <w:pPr>
        <w:ind w:left="357" w:hanging="357"/>
        <w:rPr>
          <w:sz w:val="20"/>
          <w:lang w:val="ro-RO"/>
        </w:rPr>
      </w:pPr>
      <w:r>
        <w:rPr>
          <w:rStyle w:val="FootnoteReference"/>
          <w:lang w:val="ro-RO"/>
        </w:rPr>
        <w:footnoteRef/>
      </w:r>
      <w:r>
        <w:rPr>
          <w:lang w:val="ro-RO"/>
        </w:rPr>
        <w:t xml:space="preserve"> </w:t>
      </w:r>
      <w:r>
        <w:rPr>
          <w:lang w:val="ro-RO"/>
        </w:rPr>
        <w:tab/>
      </w:r>
      <w:r>
        <w:rPr>
          <w:sz w:val="20"/>
          <w:lang w:val="ro-RO"/>
        </w:rPr>
        <w:t>Acest tabel prezintă cea mai recentă clasificare a recomandărilor. Aceasta poate fi diferită de clasificarea din raportul inițial în cazul în care acțiunile ulterioare întreprinse de entitatea auditată sunt considerate a fi suficiente pentru atenuarea parțială a riscurilor identificate și conduc, în consecință, la o declasare a recomandării.</w:t>
      </w:r>
    </w:p>
    <w:p w:rsidR="004310B4" w:rsidRDefault="004310B4">
      <w:pPr>
        <w:ind w:left="357" w:hanging="357"/>
      </w:pPr>
    </w:p>
  </w:footnote>
  <w:footnote w:id="13">
    <w:p w:rsidR="004310B4" w:rsidRDefault="004310B4">
      <w:pPr>
        <w:pStyle w:val="FootnoteText"/>
      </w:pPr>
      <w:r>
        <w:rPr>
          <w:rStyle w:val="FootnoteReference"/>
          <w:lang w:val="ro-RO"/>
        </w:rPr>
        <w:footnoteRef/>
      </w:r>
      <w:r>
        <w:rPr>
          <w:lang w:val="ro-RO"/>
        </w:rPr>
        <w:t xml:space="preserve"> </w:t>
      </w:r>
      <w:r>
        <w:rPr>
          <w:lang w:val="ro-RO"/>
        </w:rPr>
        <w:tab/>
        <w:t>Recomandările puse în aplicare după data-limită de 31 ianuarie 2016 nu sunt luate în considerare.</w:t>
      </w:r>
    </w:p>
  </w:footnote>
  <w:footnote w:id="14">
    <w:p w:rsidR="004310B4" w:rsidRDefault="004310B4">
      <w:pPr>
        <w:pStyle w:val="FootnoteText"/>
      </w:pPr>
      <w:r>
        <w:rPr>
          <w:rStyle w:val="FootnoteReference"/>
          <w:lang w:val="ro-RO"/>
        </w:rPr>
        <w:footnoteRef/>
      </w:r>
      <w:r>
        <w:rPr>
          <w:lang w:val="ro-RO"/>
        </w:rPr>
        <w:t xml:space="preserve"> </w:t>
      </w:r>
      <w:r>
        <w:rPr>
          <w:lang w:val="ro-RO"/>
        </w:rPr>
        <w:tab/>
        <w:t>În total, IAS a efectuat 35 de audituri de performanță și cuprinzătoare. Pentru mai multe detalii, a se vedea documentul de lucru al serviciilor Comisiei.</w:t>
      </w:r>
    </w:p>
  </w:footnote>
  <w:footnote w:id="15">
    <w:p w:rsidR="004310B4" w:rsidRDefault="004310B4">
      <w:pPr>
        <w:pStyle w:val="FootnoteText"/>
      </w:pPr>
      <w:r>
        <w:rPr>
          <w:rStyle w:val="FootnoteReference"/>
          <w:lang w:val="ro-RO"/>
        </w:rPr>
        <w:footnoteRef/>
      </w:r>
      <w:r>
        <w:rPr>
          <w:lang w:val="ro-RO"/>
        </w:rPr>
        <w:t xml:space="preserve"> </w:t>
      </w:r>
      <w:r>
        <w:rPr>
          <w:lang w:val="ro-RO"/>
        </w:rPr>
        <w:tab/>
        <w:t xml:space="preserve">A se vedea Rezoluția Parlamentului European din 28 aprilie 2016 conținând observațiile care fac parte integrantă din deciziile privind descărcarea de gestiune pentru execuția bugetului general al Uniunii Europene aferent exercițiului financiar 2014, secțiunea III – Comisia și agențiile executive [2015/2154 (DEC)] (ref. P8_TA-PROV(2016)0147), punctul 18: </w:t>
      </w:r>
      <w:r>
        <w:rPr>
          <w:i/>
          <w:lang w:val="ro-RO"/>
        </w:rPr>
        <w:t>„creșterea nivelului auditului performanței nu poate fi realizată într-o singură etapă, deoarece auditurile performanței se pot efectua numai odată ce actele juridice de bază și bugetul sunt elaborate, cu intenția de a alinia obiectivele de politică cu indicatorii calitativi sau de a produce rezultate măsurabile”</w:t>
      </w:r>
      <w:r>
        <w:rPr>
          <w:lang w:val="ro-RO"/>
        </w:rPr>
        <w:t>.</w:t>
      </w:r>
    </w:p>
  </w:footnote>
  <w:footnote w:id="16">
    <w:p w:rsidR="004310B4" w:rsidRDefault="004310B4">
      <w:pPr>
        <w:pStyle w:val="FootnoteText"/>
      </w:pPr>
      <w:r>
        <w:rPr>
          <w:rStyle w:val="FootnoteReference"/>
          <w:lang w:val="ro-RO"/>
        </w:rPr>
        <w:footnoteRef/>
      </w:r>
      <w:r>
        <w:rPr>
          <w:lang w:val="ro-RO"/>
        </w:rPr>
        <w:t xml:space="preserve"> </w:t>
      </w:r>
      <w:r>
        <w:rPr>
          <w:lang w:val="ro-RO"/>
        </w:rPr>
        <w:tab/>
        <w:t>Informații suplimentare privind concluziile limitate ale IAS asupra situației controlului intern sunt incluse în secțiunea 2.3 din Raportul Comisiei către Parlamentul European, Consiliu și Curtea de Conturi Europeană intitulat „Raportul anual pentru 2015 privind gestionarea și performanța bugetului UE” [COM(2016)446].</w:t>
      </w:r>
    </w:p>
  </w:footnote>
  <w:footnote w:id="17">
    <w:p w:rsidR="004310B4" w:rsidRDefault="004310B4">
      <w:pPr>
        <w:pStyle w:val="FootnoteText"/>
        <w:rPr>
          <w:lang w:val="ro-RO"/>
        </w:rPr>
      </w:pPr>
      <w:r>
        <w:rPr>
          <w:rStyle w:val="FootnoteReference"/>
          <w:lang w:val="ro-RO"/>
        </w:rPr>
        <w:footnoteRef/>
      </w:r>
      <w:r>
        <w:rPr>
          <w:lang w:val="ro-RO"/>
        </w:rPr>
        <w:t xml:space="preserve"> </w:t>
      </w:r>
      <w:r>
        <w:rPr>
          <w:lang w:val="ro-RO"/>
        </w:rPr>
        <w:tab/>
        <w:t>Informații suplimentare privind Opinia generală pe 2015 sunt incluse în anexa 3 la Raportul Comisiei către Parlamentul European, Consiliu și Curtea de Conturi Europeană intitulat „Raportul anual pentru 2015 privind gestionarea și performanța bugetului UE” [COM(2016)446].</w:t>
      </w:r>
    </w:p>
    <w:p w:rsidR="004310B4" w:rsidRDefault="004310B4">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10B4" w:rsidRDefault="004310B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10B4" w:rsidRDefault="004310B4">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10B4" w:rsidRDefault="004310B4">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10B4" w:rsidRDefault="004310B4">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10B4" w:rsidRDefault="004310B4">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10B4" w:rsidRDefault="004310B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58E78E"/>
    <w:lvl w:ilvl="0">
      <w:start w:val="1"/>
      <w:numFmt w:val="decimal"/>
      <w:pStyle w:val="ListNumber5"/>
      <w:lvlText w:val="%1."/>
      <w:lvlJc w:val="left"/>
      <w:pPr>
        <w:tabs>
          <w:tab w:val="num" w:pos="1492"/>
        </w:tabs>
        <w:ind w:left="1492" w:hanging="360"/>
      </w:pPr>
      <w:rPr>
        <w:rFonts w:cs="Times New Roman"/>
      </w:rPr>
    </w:lvl>
  </w:abstractNum>
  <w:abstractNum w:abstractNumId="1">
    <w:nsid w:val="FFFFFF7D"/>
    <w:multiLevelType w:val="singleLevel"/>
    <w:tmpl w:val="AB6A7F1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FD4B75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8D22BC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342633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8108B3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830BDF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F8E50C2"/>
    <w:lvl w:ilvl="0">
      <w:start w:val="1"/>
      <w:numFmt w:val="decimal"/>
      <w:pStyle w:val="ListNumber"/>
      <w:lvlText w:val="%1."/>
      <w:lvlJc w:val="left"/>
      <w:pPr>
        <w:tabs>
          <w:tab w:val="num" w:pos="360"/>
        </w:tabs>
        <w:ind w:left="360" w:hanging="360"/>
      </w:pPr>
    </w:lvl>
  </w:abstractNum>
  <w:abstractNum w:abstractNumId="9">
    <w:nsid w:val="FFFFFF89"/>
    <w:multiLevelType w:val="singleLevel"/>
    <w:tmpl w:val="EB4C6EF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B1530A4"/>
    <w:multiLevelType w:val="multilevel"/>
    <w:tmpl w:val="8CE23BCC"/>
    <w:lvl w:ilvl="0">
      <w:start w:val="1"/>
      <w:numFmt w:val="decimal"/>
      <w:lvlText w:val="(%1)"/>
      <w:lvlJc w:val="left"/>
      <w:pPr>
        <w:tabs>
          <w:tab w:val="num" w:pos="1911"/>
        </w:tabs>
        <w:ind w:left="1911" w:hanging="709"/>
      </w:pPr>
      <w:rPr>
        <w:rFonts w:cs="Times New Roman"/>
      </w:rPr>
    </w:lvl>
    <w:lvl w:ilvl="1">
      <w:start w:val="1"/>
      <w:numFmt w:val="lowerLetter"/>
      <w:lvlText w:val="(%2)"/>
      <w:lvlJc w:val="left"/>
      <w:pPr>
        <w:tabs>
          <w:tab w:val="num" w:pos="2619"/>
        </w:tabs>
        <w:ind w:left="2619" w:hanging="708"/>
      </w:pPr>
      <w:rPr>
        <w:rFonts w:cs="Times New Roman"/>
      </w:rPr>
    </w:lvl>
    <w:lvl w:ilvl="2">
      <w:start w:val="1"/>
      <w:numFmt w:val="bullet"/>
      <w:lvlText w:val="–"/>
      <w:lvlJc w:val="left"/>
      <w:pPr>
        <w:tabs>
          <w:tab w:val="num" w:pos="3328"/>
        </w:tabs>
        <w:ind w:left="3328" w:hanging="709"/>
      </w:pPr>
      <w:rPr>
        <w:rFonts w:ascii="Times New Roman" w:hAnsi="Times New Roman"/>
      </w:rPr>
    </w:lvl>
    <w:lvl w:ilvl="3">
      <w:start w:val="1"/>
      <w:numFmt w:val="bullet"/>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F734306"/>
    <w:multiLevelType w:val="multilevel"/>
    <w:tmpl w:val="CC8E0140"/>
    <w:lvl w:ilvl="0">
      <w:start w:val="1"/>
      <w:numFmt w:val="decimal"/>
      <w:lvlText w:val="%1."/>
      <w:lvlJc w:val="left"/>
      <w:pPr>
        <w:tabs>
          <w:tab w:val="num" w:pos="480"/>
        </w:tabs>
        <w:ind w:left="480" w:hanging="480"/>
      </w:pPr>
      <w:rPr>
        <w:rFonts w:cs="Times New Roman" w:hint="default"/>
      </w:rPr>
    </w:lvl>
    <w:lvl w:ilvl="1">
      <w:start w:val="1"/>
      <w:numFmt w:val="decimal"/>
      <w:lvlText w:val="%1.%2."/>
      <w:lvlJc w:val="left"/>
      <w:pPr>
        <w:tabs>
          <w:tab w:val="num" w:pos="1288"/>
        </w:tabs>
        <w:ind w:left="1288" w:hanging="720"/>
      </w:pPr>
      <w:rPr>
        <w:rFonts w:cs="Times New Roman" w:hint="default"/>
      </w:rPr>
    </w:lvl>
    <w:lvl w:ilvl="2">
      <w:start w:val="1"/>
      <w:numFmt w:val="decimal"/>
      <w:lvlText w:val="%1.%2.%3."/>
      <w:lvlJc w:val="left"/>
      <w:pPr>
        <w:tabs>
          <w:tab w:val="num" w:pos="7667"/>
        </w:tabs>
        <w:ind w:left="7667" w:hanging="720"/>
      </w:pPr>
      <w:rPr>
        <w:rFonts w:cs="Times New Roman" w:hint="default"/>
        <w:i w:val="0"/>
        <w:sz w:val="24"/>
        <w:szCs w:val="24"/>
      </w:rPr>
    </w:lvl>
    <w:lvl w:ilvl="3">
      <w:start w:val="1"/>
      <w:numFmt w:val="decimal"/>
      <w:lvlText w:val="%1.%2.%3.%4."/>
      <w:lvlJc w:val="left"/>
      <w:pPr>
        <w:tabs>
          <w:tab w:val="num" w:pos="1920"/>
        </w:tabs>
        <w:ind w:left="1920" w:hanging="72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nsid w:val="22DD3599"/>
    <w:multiLevelType w:val="multilevel"/>
    <w:tmpl w:val="4EAA5BA6"/>
    <w:lvl w:ilvl="0">
      <w:start w:val="1"/>
      <w:numFmt w:val="decimal"/>
      <w:pStyle w:val="ListNumber"/>
      <w:lvlText w:val="(%1)"/>
      <w:lvlJc w:val="left"/>
      <w:pPr>
        <w:tabs>
          <w:tab w:val="num" w:pos="709"/>
        </w:tabs>
        <w:ind w:left="709" w:hanging="709"/>
      </w:pPr>
      <w:rPr>
        <w:rFonts w:cs="Times New Roman"/>
      </w:rPr>
    </w:lvl>
    <w:lvl w:ilvl="1">
      <w:start w:val="1"/>
      <w:numFmt w:val="lowerLetter"/>
      <w:pStyle w:val="ListNumberLevel2"/>
      <w:lvlText w:val="(%2)"/>
      <w:lvlJc w:val="left"/>
      <w:pPr>
        <w:tabs>
          <w:tab w:val="num" w:pos="1417"/>
        </w:tabs>
        <w:ind w:left="1417" w:hanging="708"/>
      </w:pPr>
      <w:rPr>
        <w:rFonts w:cs="Times New Roman"/>
      </w:r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4">
    <w:nsid w:val="2CAB4527"/>
    <w:multiLevelType w:val="multilevel"/>
    <w:tmpl w:val="26C24C12"/>
    <w:lvl w:ilvl="0">
      <w:start w:val="1"/>
      <w:numFmt w:val="decimal"/>
      <w:pStyle w:val="ListNumber3"/>
      <w:lvlText w:val="(%1)"/>
      <w:lvlJc w:val="left"/>
      <w:pPr>
        <w:tabs>
          <w:tab w:val="num" w:pos="1911"/>
        </w:tabs>
        <w:ind w:left="1911" w:hanging="709"/>
      </w:pPr>
      <w:rPr>
        <w:rFonts w:cs="Times New Roman"/>
      </w:rPr>
    </w:lvl>
    <w:lvl w:ilvl="1">
      <w:start w:val="1"/>
      <w:numFmt w:val="lowerLetter"/>
      <w:pStyle w:val="ListNumber3Level2"/>
      <w:lvlText w:val="(%2)"/>
      <w:lvlJc w:val="left"/>
      <w:pPr>
        <w:tabs>
          <w:tab w:val="num" w:pos="2619"/>
        </w:tabs>
        <w:ind w:left="2619" w:hanging="708"/>
      </w:pPr>
      <w:rPr>
        <w:rFonts w:cs="Times New Roman"/>
      </w:r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6">
    <w:nsid w:val="358B6119"/>
    <w:multiLevelType w:val="multilevel"/>
    <w:tmpl w:val="A8BA546C"/>
    <w:lvl w:ilvl="0">
      <w:start w:val="1"/>
      <w:numFmt w:val="decimal"/>
      <w:pStyle w:val="ListNumber1"/>
      <w:lvlText w:val="(%1)"/>
      <w:lvlJc w:val="left"/>
      <w:pPr>
        <w:tabs>
          <w:tab w:val="num" w:pos="1191"/>
        </w:tabs>
        <w:ind w:left="1191" w:hanging="709"/>
      </w:pPr>
      <w:rPr>
        <w:rFonts w:cs="Times New Roman"/>
      </w:rPr>
    </w:lvl>
    <w:lvl w:ilvl="1">
      <w:start w:val="1"/>
      <w:numFmt w:val="lowerLetter"/>
      <w:pStyle w:val="ListNumber1Level2"/>
      <w:lvlText w:val="(%2)"/>
      <w:lvlJc w:val="left"/>
      <w:pPr>
        <w:tabs>
          <w:tab w:val="num" w:pos="1899"/>
        </w:tabs>
        <w:ind w:left="1899" w:hanging="708"/>
      </w:pPr>
      <w:rPr>
        <w:rFonts w:cs="Times New Roman"/>
      </w:r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18">
    <w:nsid w:val="3CF00E18"/>
    <w:multiLevelType w:val="singleLevel"/>
    <w:tmpl w:val="4E1A982C"/>
    <w:lvl w:ilvl="0">
      <w:start w:val="1"/>
      <w:numFmt w:val="bullet"/>
      <w:lvlText w:val=""/>
      <w:lvlJc w:val="left"/>
      <w:pPr>
        <w:tabs>
          <w:tab w:val="num" w:pos="283"/>
        </w:tabs>
        <w:ind w:left="283" w:hanging="283"/>
      </w:pPr>
      <w:rPr>
        <w:rFonts w:ascii="Symbol" w:hAnsi="Symbol"/>
      </w:rPr>
    </w:lvl>
  </w:abstractNum>
  <w:abstractNum w:abstractNumId="19">
    <w:nsid w:val="40745765"/>
    <w:multiLevelType w:val="hybridMultilevel"/>
    <w:tmpl w:val="22ACA09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0">
    <w:nsid w:val="42C53C81"/>
    <w:multiLevelType w:val="hybridMultilevel"/>
    <w:tmpl w:val="BD109B3A"/>
    <w:lvl w:ilvl="0" w:tplc="57780628">
      <w:start w:val="1"/>
      <w:numFmt w:val="bullet"/>
      <w:lvlText w:val="–"/>
      <w:lvlJc w:val="left"/>
      <w:pPr>
        <w:ind w:left="1202" w:hanging="360"/>
      </w:pPr>
      <w:rPr>
        <w:rFonts w:ascii="Times New Roman" w:hAnsi="Times New Roman" w:hint="default"/>
      </w:rPr>
    </w:lvl>
    <w:lvl w:ilvl="1" w:tplc="08090003" w:tentative="1">
      <w:start w:val="1"/>
      <w:numFmt w:val="bullet"/>
      <w:lvlText w:val="o"/>
      <w:lvlJc w:val="left"/>
      <w:pPr>
        <w:ind w:left="1922" w:hanging="360"/>
      </w:pPr>
      <w:rPr>
        <w:rFonts w:ascii="Courier New" w:hAnsi="Courier New" w:hint="default"/>
      </w:rPr>
    </w:lvl>
    <w:lvl w:ilvl="2" w:tplc="08090005" w:tentative="1">
      <w:start w:val="1"/>
      <w:numFmt w:val="bullet"/>
      <w:lvlText w:val=""/>
      <w:lvlJc w:val="left"/>
      <w:pPr>
        <w:ind w:left="2642" w:hanging="360"/>
      </w:pPr>
      <w:rPr>
        <w:rFonts w:ascii="Wingdings" w:hAnsi="Wingdings" w:hint="default"/>
      </w:rPr>
    </w:lvl>
    <w:lvl w:ilvl="3" w:tplc="08090001" w:tentative="1">
      <w:start w:val="1"/>
      <w:numFmt w:val="bullet"/>
      <w:lvlText w:val=""/>
      <w:lvlJc w:val="left"/>
      <w:pPr>
        <w:ind w:left="3362" w:hanging="360"/>
      </w:pPr>
      <w:rPr>
        <w:rFonts w:ascii="Symbol" w:hAnsi="Symbol" w:hint="default"/>
      </w:rPr>
    </w:lvl>
    <w:lvl w:ilvl="4" w:tplc="08090003" w:tentative="1">
      <w:start w:val="1"/>
      <w:numFmt w:val="bullet"/>
      <w:lvlText w:val="o"/>
      <w:lvlJc w:val="left"/>
      <w:pPr>
        <w:ind w:left="4082" w:hanging="360"/>
      </w:pPr>
      <w:rPr>
        <w:rFonts w:ascii="Courier New" w:hAnsi="Courier New" w:hint="default"/>
      </w:rPr>
    </w:lvl>
    <w:lvl w:ilvl="5" w:tplc="08090005" w:tentative="1">
      <w:start w:val="1"/>
      <w:numFmt w:val="bullet"/>
      <w:lvlText w:val=""/>
      <w:lvlJc w:val="left"/>
      <w:pPr>
        <w:ind w:left="4802" w:hanging="360"/>
      </w:pPr>
      <w:rPr>
        <w:rFonts w:ascii="Wingdings" w:hAnsi="Wingdings" w:hint="default"/>
      </w:rPr>
    </w:lvl>
    <w:lvl w:ilvl="6" w:tplc="08090001" w:tentative="1">
      <w:start w:val="1"/>
      <w:numFmt w:val="bullet"/>
      <w:lvlText w:val=""/>
      <w:lvlJc w:val="left"/>
      <w:pPr>
        <w:ind w:left="5522" w:hanging="360"/>
      </w:pPr>
      <w:rPr>
        <w:rFonts w:ascii="Symbol" w:hAnsi="Symbol" w:hint="default"/>
      </w:rPr>
    </w:lvl>
    <w:lvl w:ilvl="7" w:tplc="08090003" w:tentative="1">
      <w:start w:val="1"/>
      <w:numFmt w:val="bullet"/>
      <w:lvlText w:val="o"/>
      <w:lvlJc w:val="left"/>
      <w:pPr>
        <w:ind w:left="6242" w:hanging="360"/>
      </w:pPr>
      <w:rPr>
        <w:rFonts w:ascii="Courier New" w:hAnsi="Courier New" w:hint="default"/>
      </w:rPr>
    </w:lvl>
    <w:lvl w:ilvl="8" w:tplc="08090005" w:tentative="1">
      <w:start w:val="1"/>
      <w:numFmt w:val="bullet"/>
      <w:lvlText w:val=""/>
      <w:lvlJc w:val="left"/>
      <w:pPr>
        <w:ind w:left="6962" w:hanging="360"/>
      </w:pPr>
      <w:rPr>
        <w:rFonts w:ascii="Wingdings" w:hAnsi="Wingdings" w:hint="default"/>
      </w:rPr>
    </w:lvl>
  </w:abstractNum>
  <w:abstractNum w:abstractNumId="21">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22">
    <w:nsid w:val="48286F8F"/>
    <w:multiLevelType w:val="hybridMultilevel"/>
    <w:tmpl w:val="0F28B1E6"/>
    <w:lvl w:ilvl="0" w:tplc="A8741F3E">
      <w:numFmt w:val="bullet"/>
      <w:lvlText w:val="-"/>
      <w:lvlJc w:val="left"/>
      <w:pPr>
        <w:ind w:left="720" w:hanging="360"/>
      </w:pPr>
      <w:rPr>
        <w:rFonts w:ascii="Times New Roman" w:eastAsia="Times New Roman" w:hAnsi="Times New Roman"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3">
    <w:nsid w:val="52A66529"/>
    <w:multiLevelType w:val="hybridMultilevel"/>
    <w:tmpl w:val="BB5AE2B6"/>
    <w:lvl w:ilvl="0" w:tplc="D1C88FB4">
      <w:start w:val="1"/>
      <w:numFmt w:val="bullet"/>
      <w:lvlText w:val="-"/>
      <w:lvlJc w:val="left"/>
      <w:pPr>
        <w:ind w:left="916" w:hanging="360"/>
      </w:pPr>
      <w:rPr>
        <w:rFonts w:ascii="Calibri" w:hAnsi="Calibri" w:hint="default"/>
      </w:rPr>
    </w:lvl>
    <w:lvl w:ilvl="1" w:tplc="08090003" w:tentative="1">
      <w:start w:val="1"/>
      <w:numFmt w:val="bullet"/>
      <w:lvlText w:val="o"/>
      <w:lvlJc w:val="left"/>
      <w:pPr>
        <w:ind w:left="1636" w:hanging="360"/>
      </w:pPr>
      <w:rPr>
        <w:rFonts w:ascii="Courier New" w:hAnsi="Courier New" w:hint="default"/>
      </w:rPr>
    </w:lvl>
    <w:lvl w:ilvl="2" w:tplc="08090005" w:tentative="1">
      <w:start w:val="1"/>
      <w:numFmt w:val="bullet"/>
      <w:lvlText w:val=""/>
      <w:lvlJc w:val="left"/>
      <w:pPr>
        <w:ind w:left="2356" w:hanging="360"/>
      </w:pPr>
      <w:rPr>
        <w:rFonts w:ascii="Wingdings" w:hAnsi="Wingdings" w:hint="default"/>
      </w:rPr>
    </w:lvl>
    <w:lvl w:ilvl="3" w:tplc="08090001" w:tentative="1">
      <w:start w:val="1"/>
      <w:numFmt w:val="bullet"/>
      <w:lvlText w:val=""/>
      <w:lvlJc w:val="left"/>
      <w:pPr>
        <w:ind w:left="3076" w:hanging="360"/>
      </w:pPr>
      <w:rPr>
        <w:rFonts w:ascii="Symbol" w:hAnsi="Symbol" w:hint="default"/>
      </w:rPr>
    </w:lvl>
    <w:lvl w:ilvl="4" w:tplc="08090003" w:tentative="1">
      <w:start w:val="1"/>
      <w:numFmt w:val="bullet"/>
      <w:lvlText w:val="o"/>
      <w:lvlJc w:val="left"/>
      <w:pPr>
        <w:ind w:left="3796" w:hanging="360"/>
      </w:pPr>
      <w:rPr>
        <w:rFonts w:ascii="Courier New" w:hAnsi="Courier New" w:hint="default"/>
      </w:rPr>
    </w:lvl>
    <w:lvl w:ilvl="5" w:tplc="08090005" w:tentative="1">
      <w:start w:val="1"/>
      <w:numFmt w:val="bullet"/>
      <w:lvlText w:val=""/>
      <w:lvlJc w:val="left"/>
      <w:pPr>
        <w:ind w:left="4516" w:hanging="360"/>
      </w:pPr>
      <w:rPr>
        <w:rFonts w:ascii="Wingdings" w:hAnsi="Wingdings" w:hint="default"/>
      </w:rPr>
    </w:lvl>
    <w:lvl w:ilvl="6" w:tplc="08090001" w:tentative="1">
      <w:start w:val="1"/>
      <w:numFmt w:val="bullet"/>
      <w:lvlText w:val=""/>
      <w:lvlJc w:val="left"/>
      <w:pPr>
        <w:ind w:left="5236" w:hanging="360"/>
      </w:pPr>
      <w:rPr>
        <w:rFonts w:ascii="Symbol" w:hAnsi="Symbol" w:hint="default"/>
      </w:rPr>
    </w:lvl>
    <w:lvl w:ilvl="7" w:tplc="08090003" w:tentative="1">
      <w:start w:val="1"/>
      <w:numFmt w:val="bullet"/>
      <w:lvlText w:val="o"/>
      <w:lvlJc w:val="left"/>
      <w:pPr>
        <w:ind w:left="5956" w:hanging="360"/>
      </w:pPr>
      <w:rPr>
        <w:rFonts w:ascii="Courier New" w:hAnsi="Courier New" w:hint="default"/>
      </w:rPr>
    </w:lvl>
    <w:lvl w:ilvl="8" w:tplc="08090005" w:tentative="1">
      <w:start w:val="1"/>
      <w:numFmt w:val="bullet"/>
      <w:lvlText w:val=""/>
      <w:lvlJc w:val="left"/>
      <w:pPr>
        <w:ind w:left="6676" w:hanging="360"/>
      </w:pPr>
      <w:rPr>
        <w:rFonts w:ascii="Wingdings" w:hAnsi="Wingdings" w:hint="default"/>
      </w:rPr>
    </w:lvl>
  </w:abstractNum>
  <w:abstractNum w:abstractNumId="24">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25">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26">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7">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28">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29">
    <w:nsid w:val="716500F4"/>
    <w:multiLevelType w:val="hybridMultilevel"/>
    <w:tmpl w:val="7A52123E"/>
    <w:lvl w:ilvl="0" w:tplc="08090001">
      <w:start w:val="1"/>
      <w:numFmt w:val="bullet"/>
      <w:lvlText w:val=""/>
      <w:lvlJc w:val="left"/>
      <w:pPr>
        <w:ind w:left="1276" w:hanging="360"/>
      </w:pPr>
      <w:rPr>
        <w:rFonts w:ascii="Symbol" w:hAnsi="Symbol" w:hint="default"/>
      </w:rPr>
    </w:lvl>
    <w:lvl w:ilvl="1" w:tplc="08090003" w:tentative="1">
      <w:start w:val="1"/>
      <w:numFmt w:val="bullet"/>
      <w:lvlText w:val="o"/>
      <w:lvlJc w:val="left"/>
      <w:pPr>
        <w:ind w:left="1996" w:hanging="360"/>
      </w:pPr>
      <w:rPr>
        <w:rFonts w:ascii="Courier New" w:hAnsi="Courier New" w:hint="default"/>
      </w:rPr>
    </w:lvl>
    <w:lvl w:ilvl="2" w:tplc="08090005" w:tentative="1">
      <w:start w:val="1"/>
      <w:numFmt w:val="bullet"/>
      <w:lvlText w:val=""/>
      <w:lvlJc w:val="left"/>
      <w:pPr>
        <w:ind w:left="2716" w:hanging="360"/>
      </w:pPr>
      <w:rPr>
        <w:rFonts w:ascii="Wingdings" w:hAnsi="Wingdings" w:hint="default"/>
      </w:rPr>
    </w:lvl>
    <w:lvl w:ilvl="3" w:tplc="08090001" w:tentative="1">
      <w:start w:val="1"/>
      <w:numFmt w:val="bullet"/>
      <w:lvlText w:val=""/>
      <w:lvlJc w:val="left"/>
      <w:pPr>
        <w:ind w:left="3436" w:hanging="360"/>
      </w:pPr>
      <w:rPr>
        <w:rFonts w:ascii="Symbol" w:hAnsi="Symbol" w:hint="default"/>
      </w:rPr>
    </w:lvl>
    <w:lvl w:ilvl="4" w:tplc="08090003" w:tentative="1">
      <w:start w:val="1"/>
      <w:numFmt w:val="bullet"/>
      <w:lvlText w:val="o"/>
      <w:lvlJc w:val="left"/>
      <w:pPr>
        <w:ind w:left="4156" w:hanging="360"/>
      </w:pPr>
      <w:rPr>
        <w:rFonts w:ascii="Courier New" w:hAnsi="Courier New" w:hint="default"/>
      </w:rPr>
    </w:lvl>
    <w:lvl w:ilvl="5" w:tplc="08090005" w:tentative="1">
      <w:start w:val="1"/>
      <w:numFmt w:val="bullet"/>
      <w:lvlText w:val=""/>
      <w:lvlJc w:val="left"/>
      <w:pPr>
        <w:ind w:left="4876" w:hanging="360"/>
      </w:pPr>
      <w:rPr>
        <w:rFonts w:ascii="Wingdings" w:hAnsi="Wingdings" w:hint="default"/>
      </w:rPr>
    </w:lvl>
    <w:lvl w:ilvl="6" w:tplc="08090001" w:tentative="1">
      <w:start w:val="1"/>
      <w:numFmt w:val="bullet"/>
      <w:lvlText w:val=""/>
      <w:lvlJc w:val="left"/>
      <w:pPr>
        <w:ind w:left="5596" w:hanging="360"/>
      </w:pPr>
      <w:rPr>
        <w:rFonts w:ascii="Symbol" w:hAnsi="Symbol" w:hint="default"/>
      </w:rPr>
    </w:lvl>
    <w:lvl w:ilvl="7" w:tplc="08090003" w:tentative="1">
      <w:start w:val="1"/>
      <w:numFmt w:val="bullet"/>
      <w:lvlText w:val="o"/>
      <w:lvlJc w:val="left"/>
      <w:pPr>
        <w:ind w:left="6316" w:hanging="360"/>
      </w:pPr>
      <w:rPr>
        <w:rFonts w:ascii="Courier New" w:hAnsi="Courier New" w:hint="default"/>
      </w:rPr>
    </w:lvl>
    <w:lvl w:ilvl="8" w:tplc="08090005" w:tentative="1">
      <w:start w:val="1"/>
      <w:numFmt w:val="bullet"/>
      <w:lvlText w:val=""/>
      <w:lvlJc w:val="left"/>
      <w:pPr>
        <w:ind w:left="7036" w:hanging="360"/>
      </w:pPr>
      <w:rPr>
        <w:rFonts w:ascii="Wingdings" w:hAnsi="Wingdings" w:hint="default"/>
      </w:rPr>
    </w:lvl>
  </w:abstractNum>
  <w:abstractNum w:abstractNumId="30">
    <w:nsid w:val="722304D7"/>
    <w:multiLevelType w:val="multilevel"/>
    <w:tmpl w:val="9DE2758E"/>
    <w:lvl w:ilvl="0">
      <w:start w:val="1"/>
      <w:numFmt w:val="decimal"/>
      <w:pStyle w:val="ListNumber4"/>
      <w:lvlText w:val="(%1)"/>
      <w:lvlJc w:val="left"/>
      <w:pPr>
        <w:tabs>
          <w:tab w:val="num" w:pos="1911"/>
        </w:tabs>
        <w:ind w:left="1911" w:hanging="709"/>
      </w:pPr>
      <w:rPr>
        <w:rFonts w:cs="Times New Roman"/>
      </w:rPr>
    </w:lvl>
    <w:lvl w:ilvl="1">
      <w:start w:val="1"/>
      <w:numFmt w:val="lowerLetter"/>
      <w:pStyle w:val="ListNumber4Level2"/>
      <w:lvlText w:val="(%2)"/>
      <w:lvlJc w:val="left"/>
      <w:pPr>
        <w:tabs>
          <w:tab w:val="num" w:pos="2619"/>
        </w:tabs>
        <w:ind w:left="2619" w:hanging="708"/>
      </w:pPr>
      <w:rPr>
        <w:rFonts w:cs="Times New Roman"/>
      </w:r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4"/>
  </w:num>
  <w:num w:numId="12">
    <w:abstractNumId w:val="0"/>
  </w:num>
  <w:num w:numId="13">
    <w:abstractNumId w:val="18"/>
  </w:num>
  <w:num w:numId="14">
    <w:abstractNumId w:val="13"/>
  </w:num>
  <w:num w:numId="15">
    <w:abstractNumId w:val="17"/>
  </w:num>
  <w:num w:numId="16">
    <w:abstractNumId w:val="27"/>
  </w:num>
  <w:num w:numId="17">
    <w:abstractNumId w:val="28"/>
  </w:num>
  <w:num w:numId="18">
    <w:abstractNumId w:val="15"/>
  </w:num>
  <w:num w:numId="19">
    <w:abstractNumId w:val="26"/>
  </w:num>
  <w:num w:numId="20">
    <w:abstractNumId w:val="25"/>
  </w:num>
  <w:num w:numId="21">
    <w:abstractNumId w:val="21"/>
  </w:num>
  <w:num w:numId="22">
    <w:abstractNumId w:val="24"/>
  </w:num>
  <w:num w:numId="23">
    <w:abstractNumId w:val="12"/>
  </w:num>
  <w:num w:numId="24">
    <w:abstractNumId w:val="16"/>
  </w:num>
  <w:num w:numId="25">
    <w:abstractNumId w:val="10"/>
  </w:num>
  <w:num w:numId="26">
    <w:abstractNumId w:val="14"/>
  </w:num>
  <w:num w:numId="27">
    <w:abstractNumId w:val="30"/>
  </w:num>
  <w:num w:numId="28">
    <w:abstractNumId w:val="11"/>
  </w:num>
  <w:num w:numId="29">
    <w:abstractNumId w:val="23"/>
  </w:num>
  <w:num w:numId="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9"/>
  </w:num>
  <w:num w:numId="32">
    <w:abstractNumId w:val="18"/>
    <w:lvlOverride w:ilvl="0"/>
  </w:num>
  <w:num w:numId="33">
    <w:abstractNumId w:val="11"/>
  </w:num>
  <w:num w:numId="34">
    <w:abstractNumId w:val="22"/>
  </w:num>
  <w:num w:numId="35">
    <w:abstractNumId w:val="20"/>
  </w:num>
  <w:num w:numId="36">
    <w:abstractNumId w:val="19"/>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numFmt w:val="chicago"/>
    <w:footnote w:id="-1"/>
    <w:footnote w:id="0"/>
    <w:footnote w:id="1"/>
  </w:footnotePr>
  <w:endnotePr>
    <w:endnote w:id="-1"/>
    <w:endnote w:id="0"/>
    <w:endnote w:id="1"/>
  </w:endnotePr>
  <w:compat>
    <w:usePrinterMetric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VERPAGE_EXISTS" w:val="True"/>
    <w:docVar w:name="DocStatus" w:val="Green"/>
    <w:docVar w:name="LW_CONFIDENCE" w:val=" "/>
    <w:docVar w:name="LW_CONST_RESTREINT_UE" w:val="RESTREINT UE"/>
    <w:docVar w:name="LW_CORRIGENDUM" w:val="&lt;UNUSED&gt;"/>
    <w:docVar w:name="LW_COVERPAGE_GUID" w:val="E6D3BA89DB07490B9B51A6F5AF5635CD"/>
    <w:docVar w:name="LW_CROSSREFERENCE" w:val="{SWD(2016) 322 final}"/>
    <w:docVar w:name="LW_DocType" w:val="REP"/>
    <w:docVar w:name="LW_EMISSION" w:val="30.9.2016"/>
    <w:docVar w:name="LW_EMISSION_ISODATE" w:val="2016-09-30"/>
    <w:docVar w:name="LW_EMISSION_LOCATION" w:val="BRX"/>
    <w:docVar w:name="LW_EMISSION_PREFIX" w:val="Bruxelles, "/>
    <w:docVar w:name="LW_EMISSION_SUFFIX" w:val=" "/>
    <w:docVar w:name="LW_ID_DOCTYPE_NONLW" w:val="CP-006"/>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6) 628"/>
    <w:docVar w:name="LW_REF.INTERNE" w:val="&lt;UNUSED&gt;"/>
    <w:docVar w:name="LW_SOUS.TITRE.OBJ.CP" w:val="&lt;UNUSED&gt;"/>
    <w:docVar w:name="LW_SUPERTITRE" w:val="&lt;UNUSED&gt;"/>
    <w:docVar w:name="LW_TITRE.OBJ.CP" w:val="Raport anual privind auditurile interne desf\u259?\u537?urate în anul 2015_[articolul 99 alineatul (5) din Regulamentul financiar]"/>
    <w:docVar w:name="LW_TYPE.DOC.CP" w:val="RAPORT AL COMISIEI C\u258?TRE PARLAMENTUL EUROPEAN \u536?I CONSILIU"/>
  </w:docVars>
  <w:rsids>
    <w:rsidRoot w:val="004310B4"/>
    <w:rsid w:val="004310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footnote text" w:uiPriority="99" w:qFormat="1"/>
    <w:lsdException w:name="header" w:uiPriority="99"/>
    <w:lsdException w:name="footer" w:uiPriority="99"/>
    <w:lsdException w:name="caption" w:semiHidden="0" w:unhideWhenUsed="0" w:qFormat="1"/>
    <w:lsdException w:name="footnote reference" w:uiPriority="99" w:qFormat="1"/>
    <w:lsdException w:name="line number" w:uiPriority="99"/>
    <w:lsdException w:name="Title" w:semiHidden="0" w:unhideWhenUsed="0" w:qFormat="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E-mail Signature" w:uiPriority="99"/>
    <w:lsdException w:name="HTML Top of Form" w:uiPriority="99"/>
    <w:lsdException w:name="HTML Bottom of Form"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after="240"/>
      <w:jc w:val="both"/>
    </w:pPr>
    <w:rPr>
      <w:sz w:val="24"/>
      <w:lang w:val="en-GB"/>
    </w:rPr>
  </w:style>
  <w:style w:type="paragraph" w:styleId="Heading1">
    <w:name w:val="heading 1"/>
    <w:basedOn w:val="Normal"/>
    <w:next w:val="Text1"/>
    <w:link w:val="Heading1Char"/>
    <w:uiPriority w:val="9"/>
    <w:qFormat/>
    <w:pPr>
      <w:keepNext/>
      <w:numPr>
        <w:numId w:val="28"/>
      </w:numPr>
      <w:spacing w:before="240"/>
      <w:outlineLvl w:val="0"/>
    </w:pPr>
    <w:rPr>
      <w:b/>
      <w:smallCaps/>
    </w:rPr>
  </w:style>
  <w:style w:type="paragraph" w:styleId="Heading2">
    <w:name w:val="heading 2"/>
    <w:basedOn w:val="Normal"/>
    <w:next w:val="Text2"/>
    <w:link w:val="Heading2Char"/>
    <w:uiPriority w:val="9"/>
    <w:qFormat/>
    <w:pPr>
      <w:keepNext/>
      <w:numPr>
        <w:ilvl w:val="1"/>
        <w:numId w:val="28"/>
      </w:numPr>
      <w:outlineLvl w:val="1"/>
    </w:pPr>
    <w:rPr>
      <w:b/>
    </w:rPr>
  </w:style>
  <w:style w:type="paragraph" w:styleId="Heading3">
    <w:name w:val="heading 3"/>
    <w:basedOn w:val="Normal"/>
    <w:next w:val="Text3"/>
    <w:link w:val="Heading3Char"/>
    <w:uiPriority w:val="9"/>
    <w:qFormat/>
    <w:pPr>
      <w:keepNext/>
      <w:numPr>
        <w:ilvl w:val="2"/>
        <w:numId w:val="28"/>
      </w:numPr>
      <w:outlineLvl w:val="2"/>
    </w:pPr>
    <w:rPr>
      <w:i/>
    </w:rPr>
  </w:style>
  <w:style w:type="paragraph" w:styleId="Heading4">
    <w:name w:val="heading 4"/>
    <w:basedOn w:val="Normal"/>
    <w:next w:val="Text4"/>
    <w:link w:val="Heading4Char"/>
    <w:uiPriority w:val="9"/>
    <w:qFormat/>
    <w:pPr>
      <w:keepNext/>
      <w:numPr>
        <w:ilvl w:val="3"/>
        <w:numId w:val="28"/>
      </w:numPr>
      <w:outlineLvl w:val="3"/>
    </w:pPr>
  </w:style>
  <w:style w:type="paragraph" w:styleId="Heading5">
    <w:name w:val="heading 5"/>
    <w:basedOn w:val="Normal"/>
    <w:next w:val="Normal"/>
    <w:link w:val="Heading5Char"/>
    <w:uiPriority w:val="9"/>
    <w:qFormat/>
    <w:pPr>
      <w:tabs>
        <w:tab w:val="num" w:pos="0"/>
      </w:tabs>
      <w:spacing w:before="240" w:after="60"/>
      <w:outlineLvl w:val="4"/>
    </w:pPr>
    <w:rPr>
      <w:rFonts w:ascii="Arial" w:hAnsi="Arial"/>
      <w:sz w:val="22"/>
    </w:rPr>
  </w:style>
  <w:style w:type="paragraph" w:styleId="Heading6">
    <w:name w:val="heading 6"/>
    <w:basedOn w:val="Normal"/>
    <w:next w:val="Normal"/>
    <w:link w:val="Heading6Char"/>
    <w:uiPriority w:val="9"/>
    <w:qFormat/>
    <w:pPr>
      <w:tabs>
        <w:tab w:val="num" w:pos="0"/>
      </w:tabs>
      <w:spacing w:before="240" w:after="60"/>
      <w:outlineLvl w:val="5"/>
    </w:pPr>
    <w:rPr>
      <w:rFonts w:ascii="Arial" w:hAnsi="Arial"/>
      <w:i/>
      <w:sz w:val="22"/>
    </w:rPr>
  </w:style>
  <w:style w:type="paragraph" w:styleId="Heading7">
    <w:name w:val="heading 7"/>
    <w:basedOn w:val="Normal"/>
    <w:next w:val="Normal"/>
    <w:link w:val="Heading7Char"/>
    <w:uiPriority w:val="9"/>
    <w:qFormat/>
    <w:pPr>
      <w:tabs>
        <w:tab w:val="num" w:pos="0"/>
      </w:tabs>
      <w:spacing w:before="240" w:after="60"/>
      <w:outlineLvl w:val="6"/>
    </w:pPr>
    <w:rPr>
      <w:rFonts w:ascii="Arial" w:hAnsi="Arial"/>
      <w:sz w:val="20"/>
    </w:rPr>
  </w:style>
  <w:style w:type="paragraph" w:styleId="Heading8">
    <w:name w:val="heading 8"/>
    <w:basedOn w:val="Normal"/>
    <w:next w:val="Normal"/>
    <w:link w:val="Heading8Char"/>
    <w:uiPriority w:val="9"/>
    <w:qFormat/>
    <w:pPr>
      <w:tabs>
        <w:tab w:val="num" w:pos="0"/>
      </w:tabs>
      <w:spacing w:before="240" w:after="60"/>
      <w:outlineLvl w:val="7"/>
    </w:pPr>
    <w:rPr>
      <w:rFonts w:ascii="Arial" w:hAnsi="Arial"/>
      <w:i/>
      <w:sz w:val="20"/>
    </w:rPr>
  </w:style>
  <w:style w:type="paragraph" w:styleId="Heading9">
    <w:name w:val="heading 9"/>
    <w:basedOn w:val="Normal"/>
    <w:next w:val="Normal"/>
    <w:link w:val="Heading9Char"/>
    <w:uiPriority w:val="9"/>
    <w:qFormat/>
    <w:pPr>
      <w:tabs>
        <w:tab w:val="num" w:pos="0"/>
      </w:tabs>
      <w:spacing w:before="240" w:after="60"/>
      <w:outlineLvl w:val="8"/>
    </w:pPr>
    <w:rPr>
      <w:rFonts w:ascii="Arial" w:hAnsi="Arial"/>
      <w:i/>
      <w:sz w:val="18"/>
    </w:rPr>
  </w:style>
  <w:style w:type="character" w:default="1" w:styleId="DefaultParagraphFont">
    <w:name w:val="Default Paragraph Font"/>
    <w:uiPriority w:val="1"/>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b/>
      <w:smallCaps/>
      <w:sz w:val="24"/>
      <w:lang w:val="en-GB"/>
    </w:rPr>
  </w:style>
  <w:style w:type="character" w:customStyle="1" w:styleId="Heading2Char">
    <w:name w:val="Heading 2 Char"/>
    <w:basedOn w:val="DefaultParagraphFont"/>
    <w:link w:val="Heading2"/>
    <w:uiPriority w:val="9"/>
    <w:locked/>
    <w:rPr>
      <w:b/>
      <w:sz w:val="24"/>
      <w:lang w:val="en-GB"/>
    </w:rPr>
  </w:style>
  <w:style w:type="character" w:customStyle="1" w:styleId="Heading3Char">
    <w:name w:val="Heading 3 Char"/>
    <w:basedOn w:val="DefaultParagraphFont"/>
    <w:link w:val="Heading3"/>
    <w:uiPriority w:val="9"/>
    <w:rsid w:val="004310B4"/>
    <w:rPr>
      <w:i/>
      <w:sz w:val="24"/>
      <w:lang w:val="en-GB"/>
    </w:rPr>
  </w:style>
  <w:style w:type="character" w:customStyle="1" w:styleId="Heading4Char">
    <w:name w:val="Heading 4 Char"/>
    <w:basedOn w:val="DefaultParagraphFont"/>
    <w:link w:val="Heading4"/>
    <w:uiPriority w:val="9"/>
    <w:locked/>
    <w:rPr>
      <w:sz w:val="24"/>
      <w:lang w:val="en-GB"/>
    </w:rPr>
  </w:style>
  <w:style w:type="character" w:customStyle="1" w:styleId="Heading5Char">
    <w:name w:val="Heading 5 Char"/>
    <w:basedOn w:val="DefaultParagraphFont"/>
    <w:link w:val="Heading5"/>
    <w:uiPriority w:val="9"/>
    <w:semiHidden/>
    <w:rsid w:val="004310B4"/>
    <w:rPr>
      <w:rFonts w:asciiTheme="minorHAnsi" w:eastAsiaTheme="minorEastAsia" w:hAnsiTheme="minorHAnsi" w:cstheme="minorBidi"/>
      <w:b/>
      <w:bCs/>
      <w:i/>
      <w:iCs/>
      <w:sz w:val="26"/>
      <w:szCs w:val="26"/>
      <w:lang w:val="en-GB"/>
    </w:rPr>
  </w:style>
  <w:style w:type="character" w:customStyle="1" w:styleId="Heading6Char">
    <w:name w:val="Heading 6 Char"/>
    <w:basedOn w:val="DefaultParagraphFont"/>
    <w:link w:val="Heading6"/>
    <w:uiPriority w:val="9"/>
    <w:semiHidden/>
    <w:rsid w:val="004310B4"/>
    <w:rPr>
      <w:rFonts w:asciiTheme="minorHAnsi" w:eastAsiaTheme="minorEastAsia" w:hAnsiTheme="minorHAnsi" w:cstheme="minorBidi"/>
      <w:b/>
      <w:bCs/>
      <w:sz w:val="22"/>
      <w:szCs w:val="22"/>
      <w:lang w:val="en-GB"/>
    </w:rPr>
  </w:style>
  <w:style w:type="character" w:customStyle="1" w:styleId="Heading7Char">
    <w:name w:val="Heading 7 Char"/>
    <w:basedOn w:val="DefaultParagraphFont"/>
    <w:link w:val="Heading7"/>
    <w:uiPriority w:val="9"/>
    <w:semiHidden/>
    <w:rsid w:val="004310B4"/>
    <w:rPr>
      <w:rFonts w:asciiTheme="minorHAnsi" w:eastAsiaTheme="minorEastAsia" w:hAnsiTheme="minorHAnsi" w:cstheme="minorBidi"/>
      <w:sz w:val="24"/>
      <w:szCs w:val="24"/>
      <w:lang w:val="en-GB"/>
    </w:rPr>
  </w:style>
  <w:style w:type="character" w:customStyle="1" w:styleId="Heading8Char">
    <w:name w:val="Heading 8 Char"/>
    <w:basedOn w:val="DefaultParagraphFont"/>
    <w:link w:val="Heading8"/>
    <w:uiPriority w:val="9"/>
    <w:semiHidden/>
    <w:rsid w:val="004310B4"/>
    <w:rPr>
      <w:rFonts w:asciiTheme="minorHAnsi" w:eastAsiaTheme="minorEastAsia" w:hAnsiTheme="minorHAnsi" w:cstheme="minorBidi"/>
      <w:i/>
      <w:iCs/>
      <w:sz w:val="24"/>
      <w:szCs w:val="24"/>
      <w:lang w:val="en-GB"/>
    </w:rPr>
  </w:style>
  <w:style w:type="character" w:customStyle="1" w:styleId="Heading9Char">
    <w:name w:val="Heading 9 Char"/>
    <w:basedOn w:val="DefaultParagraphFont"/>
    <w:link w:val="Heading9"/>
    <w:uiPriority w:val="9"/>
    <w:semiHidden/>
    <w:rsid w:val="004310B4"/>
    <w:rPr>
      <w:rFonts w:asciiTheme="majorHAnsi" w:eastAsiaTheme="majorEastAsia" w:hAnsiTheme="majorHAnsi" w:cstheme="majorBidi"/>
      <w:sz w:val="22"/>
      <w:szCs w:val="22"/>
      <w:lang w:val="en-GB"/>
    </w:rPr>
  </w:style>
  <w:style w:type="paragraph" w:customStyle="1" w:styleId="Text1">
    <w:name w:val="Text 1"/>
    <w:basedOn w:val="Normal"/>
    <w:link w:val="Text1Char"/>
    <w:pPr>
      <w:ind w:left="482"/>
    </w:pPr>
  </w:style>
  <w:style w:type="paragraph" w:customStyle="1" w:styleId="Text2">
    <w:name w:val="Text 2"/>
    <w:basedOn w:val="Normal"/>
    <w:link w:val="Text2Char"/>
    <w:pPr>
      <w:tabs>
        <w:tab w:val="left" w:pos="2302"/>
      </w:tabs>
      <w:ind w:left="1202"/>
    </w:pPr>
  </w:style>
  <w:style w:type="character" w:customStyle="1" w:styleId="Text2Char">
    <w:name w:val="Text 2 Char"/>
    <w:link w:val="Text2"/>
    <w:locked/>
    <w:rPr>
      <w:sz w:val="24"/>
      <w:lang w:val="en-GB" w:eastAsia="en-US"/>
    </w:rPr>
  </w:style>
  <w:style w:type="paragraph" w:customStyle="1" w:styleId="Text3">
    <w:name w:val="Text 3"/>
    <w:basedOn w:val="Normal"/>
    <w:link w:val="Text3Char"/>
    <w:pPr>
      <w:tabs>
        <w:tab w:val="left" w:pos="2302"/>
      </w:tabs>
      <w:ind w:left="1202"/>
    </w:pPr>
  </w:style>
  <w:style w:type="character" w:customStyle="1" w:styleId="Text3Char">
    <w:name w:val="Text 3 Char"/>
    <w:link w:val="Text3"/>
    <w:locked/>
    <w:rPr>
      <w:sz w:val="24"/>
      <w:lang w:val="en-GB" w:eastAsia="en-US"/>
    </w:r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uiPriority w:val="99"/>
    <w:pPr>
      <w:spacing w:after="120"/>
      <w:ind w:left="1440" w:right="1440"/>
    </w:p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semiHidden/>
    <w:rsid w:val="004310B4"/>
    <w:rPr>
      <w:sz w:val="24"/>
      <w:lang w:val="en-GB"/>
    </w:rPr>
  </w:style>
  <w:style w:type="paragraph" w:styleId="BodyText2">
    <w:name w:val="Body Text 2"/>
    <w:basedOn w:val="Normal"/>
    <w:link w:val="BodyText2Char"/>
    <w:uiPriority w:val="99"/>
    <w:pPr>
      <w:spacing w:after="120" w:line="480" w:lineRule="auto"/>
    </w:pPr>
  </w:style>
  <w:style w:type="character" w:customStyle="1" w:styleId="BodyText2Char">
    <w:name w:val="Body Text 2 Char"/>
    <w:basedOn w:val="DefaultParagraphFont"/>
    <w:link w:val="BodyText2"/>
    <w:uiPriority w:val="99"/>
    <w:semiHidden/>
    <w:rsid w:val="004310B4"/>
    <w:rPr>
      <w:sz w:val="24"/>
      <w:lang w:val="en-GB"/>
    </w:rPr>
  </w:style>
  <w:style w:type="paragraph" w:styleId="BodyText3">
    <w:name w:val="Body Text 3"/>
    <w:basedOn w:val="Normal"/>
    <w:link w:val="BodyText3Char"/>
    <w:uiPriority w:val="99"/>
    <w:pPr>
      <w:spacing w:after="120"/>
    </w:pPr>
    <w:rPr>
      <w:sz w:val="16"/>
    </w:rPr>
  </w:style>
  <w:style w:type="character" w:customStyle="1" w:styleId="BodyText3Char">
    <w:name w:val="Body Text 3 Char"/>
    <w:basedOn w:val="DefaultParagraphFont"/>
    <w:link w:val="BodyText3"/>
    <w:uiPriority w:val="99"/>
    <w:semiHidden/>
    <w:rsid w:val="004310B4"/>
    <w:rPr>
      <w:sz w:val="16"/>
      <w:szCs w:val="16"/>
      <w:lang w:val="en-GB"/>
    </w:rPr>
  </w:style>
  <w:style w:type="paragraph" w:styleId="BodyTextFirstIndent">
    <w:name w:val="Body Text First Indent"/>
    <w:basedOn w:val="BodyText"/>
    <w:link w:val="BodyTextFirstIndentChar"/>
    <w:uiPriority w:val="99"/>
    <w:pPr>
      <w:ind w:firstLine="210"/>
    </w:pPr>
  </w:style>
  <w:style w:type="character" w:customStyle="1" w:styleId="BodyTextFirstIndentChar">
    <w:name w:val="Body Text First Indent Char"/>
    <w:basedOn w:val="BodyTextChar"/>
    <w:link w:val="BodyTextFirstIndent"/>
    <w:uiPriority w:val="99"/>
    <w:semiHidden/>
    <w:rsid w:val="004310B4"/>
    <w:rPr>
      <w:sz w:val="24"/>
      <w:lang w:val="en-GB"/>
    </w:rPr>
  </w:style>
  <w:style w:type="paragraph" w:styleId="BodyTextIndent">
    <w:name w:val="Body Text Indent"/>
    <w:basedOn w:val="Normal"/>
    <w:link w:val="BodyTextIndentChar"/>
    <w:uiPriority w:val="99"/>
    <w:pPr>
      <w:spacing w:after="120"/>
      <w:ind w:left="283"/>
    </w:pPr>
  </w:style>
  <w:style w:type="character" w:customStyle="1" w:styleId="BodyTextIndentChar">
    <w:name w:val="Body Text Indent Char"/>
    <w:basedOn w:val="DefaultParagraphFont"/>
    <w:link w:val="BodyTextIndent"/>
    <w:uiPriority w:val="99"/>
    <w:semiHidden/>
    <w:rsid w:val="004310B4"/>
    <w:rPr>
      <w:sz w:val="24"/>
      <w:lang w:val="en-GB"/>
    </w:rPr>
  </w:style>
  <w:style w:type="paragraph" w:styleId="BodyTextFirstIndent2">
    <w:name w:val="Body Text First Indent 2"/>
    <w:basedOn w:val="BodyTextIndent"/>
    <w:link w:val="BodyTextFirstIndent2Char"/>
    <w:uiPriority w:val="99"/>
    <w:pPr>
      <w:ind w:firstLine="210"/>
    </w:pPr>
  </w:style>
  <w:style w:type="character" w:customStyle="1" w:styleId="BodyTextFirstIndent2Char">
    <w:name w:val="Body Text First Indent 2 Char"/>
    <w:basedOn w:val="BodyTextIndentChar"/>
    <w:link w:val="BodyTextFirstIndent2"/>
    <w:uiPriority w:val="99"/>
    <w:semiHidden/>
    <w:rsid w:val="004310B4"/>
    <w:rPr>
      <w:sz w:val="24"/>
      <w:lang w:val="en-GB"/>
    </w:rPr>
  </w:style>
  <w:style w:type="paragraph" w:styleId="BodyTextIndent2">
    <w:name w:val="Body Text Indent 2"/>
    <w:basedOn w:val="Normal"/>
    <w:link w:val="BodyTextIndent2Char"/>
    <w:uiPriority w:val="99"/>
    <w:pPr>
      <w:spacing w:after="120" w:line="480" w:lineRule="auto"/>
      <w:ind w:left="283"/>
    </w:pPr>
  </w:style>
  <w:style w:type="character" w:customStyle="1" w:styleId="BodyTextIndent2Char">
    <w:name w:val="Body Text Indent 2 Char"/>
    <w:basedOn w:val="DefaultParagraphFont"/>
    <w:link w:val="BodyTextIndent2"/>
    <w:uiPriority w:val="99"/>
    <w:semiHidden/>
    <w:rsid w:val="004310B4"/>
    <w:rPr>
      <w:sz w:val="24"/>
      <w:lang w:val="en-GB"/>
    </w:rPr>
  </w:style>
  <w:style w:type="paragraph" w:styleId="BodyTextIndent3">
    <w:name w:val="Body Text Indent 3"/>
    <w:basedOn w:val="Normal"/>
    <w:link w:val="BodyTextIndent3Char"/>
    <w:uiPriority w:val="99"/>
    <w:pPr>
      <w:spacing w:after="120"/>
      <w:ind w:left="283"/>
    </w:pPr>
    <w:rPr>
      <w:sz w:val="16"/>
    </w:rPr>
  </w:style>
  <w:style w:type="character" w:customStyle="1" w:styleId="BodyTextIndent3Char">
    <w:name w:val="Body Text Indent 3 Char"/>
    <w:basedOn w:val="DefaultParagraphFont"/>
    <w:link w:val="BodyTextIndent3"/>
    <w:uiPriority w:val="99"/>
    <w:semiHidden/>
    <w:rsid w:val="004310B4"/>
    <w:rPr>
      <w:sz w:val="16"/>
      <w:szCs w:val="16"/>
      <w:lang w:val="en-GB"/>
    </w:rPr>
  </w:style>
  <w:style w:type="paragraph" w:styleId="Caption">
    <w:name w:val="caption"/>
    <w:basedOn w:val="Normal"/>
    <w:next w:val="Normal"/>
    <w:uiPriority w:val="35"/>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link w:val="ClosingChar"/>
    <w:uiPriority w:val="99"/>
    <w:pPr>
      <w:ind w:left="4252"/>
    </w:pPr>
  </w:style>
  <w:style w:type="character" w:customStyle="1" w:styleId="ClosingChar">
    <w:name w:val="Closing Char"/>
    <w:basedOn w:val="DefaultParagraphFont"/>
    <w:link w:val="Closing"/>
    <w:uiPriority w:val="99"/>
    <w:semiHidden/>
    <w:rsid w:val="004310B4"/>
    <w:rPr>
      <w:sz w:val="24"/>
      <w:lang w:val="en-GB"/>
    </w:rPr>
  </w:style>
  <w:style w:type="paragraph" w:styleId="CommentText">
    <w:name w:val="annotation text"/>
    <w:basedOn w:val="Normal"/>
    <w:link w:val="CommentTextChar"/>
    <w:uiPriority w:val="99"/>
    <w:semiHidden/>
    <w:rPr>
      <w:sz w:val="20"/>
    </w:rPr>
  </w:style>
  <w:style w:type="character" w:customStyle="1" w:styleId="CommentTextChar">
    <w:name w:val="Comment Text Char"/>
    <w:basedOn w:val="DefaultParagraphFont"/>
    <w:link w:val="CommentText"/>
    <w:uiPriority w:val="99"/>
    <w:semiHidden/>
    <w:rsid w:val="004310B4"/>
    <w:rPr>
      <w:lang w:val="en-GB"/>
    </w:rPr>
  </w:style>
  <w:style w:type="paragraph" w:styleId="Date">
    <w:name w:val="Date"/>
    <w:basedOn w:val="Normal"/>
    <w:next w:val="References"/>
    <w:link w:val="DateChar"/>
    <w:uiPriority w:val="99"/>
    <w:pPr>
      <w:spacing w:after="0"/>
      <w:ind w:left="5103" w:right="-567"/>
      <w:jc w:val="left"/>
    </w:pPr>
  </w:style>
  <w:style w:type="character" w:customStyle="1" w:styleId="DateChar">
    <w:name w:val="Date Char"/>
    <w:basedOn w:val="DefaultParagraphFont"/>
    <w:link w:val="Date"/>
    <w:uiPriority w:val="99"/>
    <w:semiHidden/>
    <w:rsid w:val="004310B4"/>
    <w:rPr>
      <w:sz w:val="24"/>
      <w:lang w:val="en-GB"/>
    </w:rPr>
  </w:style>
  <w:style w:type="paragraph" w:customStyle="1" w:styleId="References">
    <w:name w:val="References"/>
    <w:basedOn w:val="Normal"/>
    <w:next w:val="AddressTR"/>
    <w:pPr>
      <w:ind w:left="5103"/>
      <w:jc w:val="left"/>
    </w:pPr>
    <w:rPr>
      <w:sz w:val="20"/>
    </w:rPr>
  </w:style>
  <w:style w:type="paragraph" w:styleId="DocumentMap">
    <w:name w:val="Document Map"/>
    <w:basedOn w:val="Normal"/>
    <w:link w:val="DocumentMapChar"/>
    <w:uiPriority w:val="99"/>
    <w:semiHidden/>
    <w:pPr>
      <w:shd w:val="clear" w:color="auto" w:fill="000080"/>
    </w:pPr>
    <w:rPr>
      <w:rFonts w:ascii="Tahoma" w:hAnsi="Tahoma"/>
    </w:rPr>
  </w:style>
  <w:style w:type="character" w:customStyle="1" w:styleId="DocumentMapChar">
    <w:name w:val="Document Map Char"/>
    <w:basedOn w:val="DefaultParagraphFont"/>
    <w:link w:val="DocumentMap"/>
    <w:uiPriority w:val="99"/>
    <w:semiHidden/>
    <w:rsid w:val="004310B4"/>
    <w:rPr>
      <w:sz w:val="0"/>
      <w:szCs w:val="0"/>
      <w:lang w:val="en-GB"/>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link w:val="EndnoteTextChar"/>
    <w:uiPriority w:val="99"/>
    <w:semiHidden/>
    <w:rPr>
      <w:sz w:val="20"/>
    </w:rPr>
  </w:style>
  <w:style w:type="character" w:customStyle="1" w:styleId="EndnoteTextChar">
    <w:name w:val="Endnote Text Char"/>
    <w:basedOn w:val="DefaultParagraphFont"/>
    <w:link w:val="EndnoteText"/>
    <w:uiPriority w:val="99"/>
    <w:semiHidden/>
    <w:locked/>
    <w:rPr>
      <w:lang w:val="en-GB" w:eastAsia="en-US"/>
    </w:rPr>
  </w:style>
  <w:style w:type="paragraph" w:styleId="EnvelopeAddress">
    <w:name w:val="envelope address"/>
    <w:basedOn w:val="Normal"/>
    <w:uiPriority w:val="99"/>
    <w:pPr>
      <w:framePr w:w="7920" w:h="1980" w:hRule="exact" w:hSpace="180" w:wrap="auto" w:hAnchor="page" w:xAlign="center" w:yAlign="bottom"/>
      <w:spacing w:after="0"/>
    </w:pPr>
  </w:style>
  <w:style w:type="paragraph" w:styleId="EnvelopeReturn">
    <w:name w:val="envelope return"/>
    <w:basedOn w:val="Normal"/>
    <w:uiPriority w:val="99"/>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character" w:customStyle="1" w:styleId="FooterChar">
    <w:name w:val="Footer Char"/>
    <w:basedOn w:val="DefaultParagraphFont"/>
    <w:link w:val="Footer"/>
    <w:uiPriority w:val="99"/>
    <w:locked/>
    <w:rPr>
      <w:rFonts w:ascii="Arial" w:hAnsi="Arial"/>
      <w:sz w:val="16"/>
      <w:lang w:val="x-none" w:eastAsia="en-US"/>
    </w:rPr>
  </w:style>
  <w:style w:type="paragraph" w:styleId="FootnoteText">
    <w:name w:val="footnote text"/>
    <w:aliases w:val="Footnote,Footnote Text Char1 Char,Footnote Text Char Char Char,Footnote Text Char1 Char Char Char,Footnote Text Char Char Char Char Char,Footnote Text Char1 Char1 Char,Footnote Text Char Char Char1 Char,Char,ft,Car,Fußnote,fn,Plonk"/>
    <w:basedOn w:val="Normal"/>
    <w:link w:val="FootnoteTextChar1"/>
    <w:uiPriority w:val="99"/>
    <w:qFormat/>
    <w:pPr>
      <w:ind w:left="357" w:hanging="357"/>
    </w:pPr>
    <w:rPr>
      <w:sz w:val="20"/>
    </w:rPr>
  </w:style>
  <w:style w:type="character" w:customStyle="1" w:styleId="FootnoteTextChar">
    <w:name w:val="Footnote Text Char"/>
    <w:aliases w:val="Footnote Char,Footnote Text Char1 Char Char,Footnote Text Char Char Char Char,Footnote Text Char1 Char Char Char Char,Footnote Text Char Char Char Char Char Char,Footnote Text Char1 Char1 Char Char,Char Char,ft Char,Car Char,fn Char"/>
    <w:basedOn w:val="DefaultParagraphFont"/>
    <w:uiPriority w:val="99"/>
    <w:semiHidden/>
    <w:rsid w:val="004310B4"/>
    <w:rPr>
      <w:lang w:val="en-GB"/>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locked/>
    <w:rPr>
      <w:sz w:val="24"/>
      <w:lang w:val="x-none" w:eastAsia="en-US"/>
    </w:rPr>
  </w:style>
  <w:style w:type="paragraph" w:styleId="Index1">
    <w:name w:val="index 1"/>
    <w:basedOn w:val="Normal"/>
    <w:next w:val="Normal"/>
    <w:autoRedefine/>
    <w:uiPriority w:val="99"/>
    <w:semiHidden/>
    <w:pPr>
      <w:ind w:left="240" w:hanging="240"/>
    </w:pPr>
  </w:style>
  <w:style w:type="paragraph" w:styleId="Index2">
    <w:name w:val="index 2"/>
    <w:basedOn w:val="Normal"/>
    <w:next w:val="Normal"/>
    <w:autoRedefine/>
    <w:uiPriority w:val="99"/>
    <w:semiHidden/>
    <w:pPr>
      <w:ind w:left="480" w:hanging="240"/>
    </w:pPr>
  </w:style>
  <w:style w:type="paragraph" w:styleId="Index3">
    <w:name w:val="index 3"/>
    <w:basedOn w:val="Normal"/>
    <w:next w:val="Normal"/>
    <w:autoRedefine/>
    <w:uiPriority w:val="99"/>
    <w:semiHidden/>
    <w:pPr>
      <w:ind w:left="720" w:hanging="240"/>
    </w:pPr>
  </w:style>
  <w:style w:type="paragraph" w:styleId="Index4">
    <w:name w:val="index 4"/>
    <w:basedOn w:val="Normal"/>
    <w:next w:val="Normal"/>
    <w:autoRedefine/>
    <w:uiPriority w:val="99"/>
    <w:semiHidden/>
    <w:pPr>
      <w:ind w:left="960" w:hanging="240"/>
    </w:pPr>
  </w:style>
  <w:style w:type="paragraph" w:styleId="Index5">
    <w:name w:val="index 5"/>
    <w:basedOn w:val="Normal"/>
    <w:next w:val="Normal"/>
    <w:autoRedefine/>
    <w:uiPriority w:val="99"/>
    <w:semiHidden/>
    <w:pPr>
      <w:ind w:left="1200" w:hanging="240"/>
    </w:pPr>
  </w:style>
  <w:style w:type="paragraph" w:styleId="Index6">
    <w:name w:val="index 6"/>
    <w:basedOn w:val="Normal"/>
    <w:next w:val="Normal"/>
    <w:autoRedefine/>
    <w:uiPriority w:val="99"/>
    <w:semiHidden/>
    <w:pPr>
      <w:ind w:left="1440" w:hanging="240"/>
    </w:pPr>
  </w:style>
  <w:style w:type="paragraph" w:styleId="Index7">
    <w:name w:val="index 7"/>
    <w:basedOn w:val="Normal"/>
    <w:next w:val="Normal"/>
    <w:autoRedefine/>
    <w:uiPriority w:val="99"/>
    <w:semiHidden/>
    <w:pPr>
      <w:ind w:left="1680" w:hanging="240"/>
    </w:pPr>
  </w:style>
  <w:style w:type="paragraph" w:styleId="Index8">
    <w:name w:val="index 8"/>
    <w:basedOn w:val="Normal"/>
    <w:next w:val="Normal"/>
    <w:autoRedefine/>
    <w:uiPriority w:val="99"/>
    <w:semiHidden/>
    <w:pPr>
      <w:ind w:left="1920" w:hanging="240"/>
    </w:pPr>
  </w:style>
  <w:style w:type="paragraph" w:styleId="Index9">
    <w:name w:val="index 9"/>
    <w:basedOn w:val="Normal"/>
    <w:next w:val="Normal"/>
    <w:autoRedefine/>
    <w:uiPriority w:val="99"/>
    <w:semiHidden/>
    <w:pPr>
      <w:ind w:left="2160" w:hanging="240"/>
    </w:pPr>
  </w:style>
  <w:style w:type="paragraph" w:styleId="IndexHeading">
    <w:name w:val="index heading"/>
    <w:basedOn w:val="Normal"/>
    <w:next w:val="Index1"/>
    <w:uiPriority w:val="99"/>
    <w:semiHidden/>
    <w:rPr>
      <w:rFonts w:ascii="Arial" w:hAnsi="Arial"/>
      <w:b/>
    </w:rPr>
  </w:style>
  <w:style w:type="paragraph" w:styleId="List">
    <w:name w:val="List"/>
    <w:basedOn w:val="Normal"/>
    <w:uiPriority w:val="99"/>
    <w:pPr>
      <w:ind w:left="283" w:hanging="283"/>
    </w:pPr>
  </w:style>
  <w:style w:type="paragraph" w:styleId="List2">
    <w:name w:val="List 2"/>
    <w:basedOn w:val="Normal"/>
    <w:uiPriority w:val="99"/>
    <w:pPr>
      <w:ind w:left="566" w:hanging="283"/>
    </w:pPr>
  </w:style>
  <w:style w:type="paragraph" w:styleId="List3">
    <w:name w:val="List 3"/>
    <w:basedOn w:val="Normal"/>
    <w:uiPriority w:val="99"/>
    <w:pPr>
      <w:ind w:left="849" w:hanging="283"/>
    </w:pPr>
  </w:style>
  <w:style w:type="paragraph" w:styleId="List4">
    <w:name w:val="List 4"/>
    <w:basedOn w:val="Normal"/>
    <w:uiPriority w:val="99"/>
    <w:pPr>
      <w:ind w:left="1132" w:hanging="283"/>
    </w:pPr>
  </w:style>
  <w:style w:type="paragraph" w:styleId="List5">
    <w:name w:val="List 5"/>
    <w:basedOn w:val="Normal"/>
    <w:uiPriority w:val="99"/>
    <w:pPr>
      <w:ind w:left="1415" w:hanging="283"/>
    </w:pPr>
  </w:style>
  <w:style w:type="paragraph" w:styleId="ListBullet">
    <w:name w:val="List Bullet"/>
    <w:basedOn w:val="Normal"/>
    <w:uiPriority w:val="99"/>
    <w:pPr>
      <w:numPr>
        <w:numId w:val="13"/>
      </w:numPr>
    </w:pPr>
  </w:style>
  <w:style w:type="paragraph" w:styleId="ListBullet2">
    <w:name w:val="List Bullet 2"/>
    <w:basedOn w:val="Text2"/>
    <w:uiPriority w:val="99"/>
    <w:pPr>
      <w:numPr>
        <w:numId w:val="15"/>
      </w:numPr>
      <w:tabs>
        <w:tab w:val="clear" w:pos="2302"/>
      </w:tabs>
    </w:pPr>
  </w:style>
  <w:style w:type="paragraph" w:styleId="ListBullet3">
    <w:name w:val="List Bullet 3"/>
    <w:basedOn w:val="Text3"/>
    <w:uiPriority w:val="99"/>
    <w:pPr>
      <w:numPr>
        <w:numId w:val="16"/>
      </w:numPr>
      <w:tabs>
        <w:tab w:val="clear" w:pos="2302"/>
      </w:tabs>
    </w:pPr>
  </w:style>
  <w:style w:type="paragraph" w:styleId="ListBullet4">
    <w:name w:val="List Bullet 4"/>
    <w:basedOn w:val="Text4"/>
    <w:uiPriority w:val="99"/>
    <w:pPr>
      <w:numPr>
        <w:numId w:val="17"/>
      </w:numPr>
      <w:tabs>
        <w:tab w:val="clear" w:pos="2302"/>
      </w:tabs>
    </w:pPr>
  </w:style>
  <w:style w:type="paragraph" w:styleId="ListBullet5">
    <w:name w:val="List Bullet 5"/>
    <w:basedOn w:val="Normal"/>
    <w:autoRedefine/>
    <w:uiPriority w:val="99"/>
    <w:pPr>
      <w:numPr>
        <w:numId w:val="11"/>
      </w:numPr>
    </w:pPr>
  </w:style>
  <w:style w:type="paragraph" w:styleId="ListContinue">
    <w:name w:val="List Continue"/>
    <w:basedOn w:val="Normal"/>
    <w:uiPriority w:val="99"/>
    <w:pPr>
      <w:spacing w:after="120"/>
      <w:ind w:left="283"/>
    </w:pPr>
  </w:style>
  <w:style w:type="paragraph" w:styleId="ListContinue2">
    <w:name w:val="List Continue 2"/>
    <w:basedOn w:val="Normal"/>
    <w:uiPriority w:val="99"/>
    <w:pPr>
      <w:spacing w:after="120"/>
      <w:ind w:left="566"/>
    </w:pPr>
  </w:style>
  <w:style w:type="paragraph" w:styleId="ListContinue3">
    <w:name w:val="List Continue 3"/>
    <w:basedOn w:val="Normal"/>
    <w:uiPriority w:val="99"/>
    <w:pPr>
      <w:spacing w:after="120"/>
      <w:ind w:left="849"/>
    </w:pPr>
  </w:style>
  <w:style w:type="paragraph" w:styleId="ListContinue4">
    <w:name w:val="List Continue 4"/>
    <w:basedOn w:val="Normal"/>
    <w:uiPriority w:val="99"/>
    <w:pPr>
      <w:spacing w:after="120"/>
      <w:ind w:left="1132"/>
    </w:pPr>
  </w:style>
  <w:style w:type="paragraph" w:styleId="ListContinue5">
    <w:name w:val="List Continue 5"/>
    <w:basedOn w:val="Normal"/>
    <w:uiPriority w:val="99"/>
    <w:pPr>
      <w:spacing w:after="120"/>
      <w:ind w:left="1415"/>
    </w:pPr>
  </w:style>
  <w:style w:type="paragraph" w:styleId="ListNumber">
    <w:name w:val="List Number"/>
    <w:basedOn w:val="Normal"/>
    <w:uiPriority w:val="99"/>
    <w:pPr>
      <w:numPr>
        <w:numId w:val="23"/>
      </w:numPr>
    </w:pPr>
  </w:style>
  <w:style w:type="paragraph" w:styleId="ListNumber2">
    <w:name w:val="List Number 2"/>
    <w:basedOn w:val="Text2"/>
    <w:uiPriority w:val="99"/>
    <w:pPr>
      <w:numPr>
        <w:numId w:val="25"/>
      </w:numPr>
      <w:tabs>
        <w:tab w:val="clear" w:pos="2302"/>
      </w:tabs>
    </w:pPr>
  </w:style>
  <w:style w:type="paragraph" w:styleId="ListNumber3">
    <w:name w:val="List Number 3"/>
    <w:basedOn w:val="Text3"/>
    <w:uiPriority w:val="99"/>
    <w:pPr>
      <w:numPr>
        <w:numId w:val="26"/>
      </w:numPr>
      <w:tabs>
        <w:tab w:val="clear" w:pos="2302"/>
      </w:tabs>
    </w:pPr>
  </w:style>
  <w:style w:type="paragraph" w:styleId="ListNumber4">
    <w:name w:val="List Number 4"/>
    <w:basedOn w:val="Text4"/>
    <w:uiPriority w:val="99"/>
    <w:pPr>
      <w:numPr>
        <w:numId w:val="27"/>
      </w:numPr>
      <w:tabs>
        <w:tab w:val="clear" w:pos="2302"/>
      </w:tabs>
    </w:pPr>
  </w:style>
  <w:style w:type="paragraph" w:styleId="ListNumber5">
    <w:name w:val="List Number 5"/>
    <w:basedOn w:val="Normal"/>
    <w:uiPriority w:val="99"/>
    <w:pPr>
      <w:numPr>
        <w:numId w:val="12"/>
      </w:numPr>
    </w:pPr>
  </w:style>
  <w:style w:type="paragraph" w:styleId="MacroText">
    <w:name w:val="macro"/>
    <w:link w:val="MacroTextChar"/>
    <w:uiPriority w:val="99"/>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en-GB"/>
    </w:rPr>
  </w:style>
  <w:style w:type="character" w:customStyle="1" w:styleId="MacroTextChar">
    <w:name w:val="Macro Text Char"/>
    <w:basedOn w:val="DefaultParagraphFont"/>
    <w:link w:val="MacroText"/>
    <w:uiPriority w:val="99"/>
    <w:semiHidden/>
    <w:rsid w:val="004310B4"/>
    <w:rPr>
      <w:rFonts w:ascii="Courier New" w:hAnsi="Courier New" w:cs="Courier New"/>
      <w:lang w:val="en-GB"/>
    </w:rPr>
  </w:style>
  <w:style w:type="paragraph" w:styleId="MessageHeader">
    <w:name w:val="Message Header"/>
    <w:basedOn w:val="Normal"/>
    <w:link w:val="MessageHeaderChar"/>
    <w:uiPriority w:val="9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character" w:customStyle="1" w:styleId="MessageHeaderChar">
    <w:name w:val="Message Header Char"/>
    <w:basedOn w:val="DefaultParagraphFont"/>
    <w:link w:val="MessageHeader"/>
    <w:uiPriority w:val="99"/>
    <w:locked/>
    <w:rPr>
      <w:rFonts w:ascii="Arial" w:hAnsi="Arial"/>
      <w:sz w:val="24"/>
      <w:shd w:val="pct20" w:color="auto" w:fill="auto"/>
      <w:lang w:val="x-none" w:eastAsia="en-US"/>
    </w:rPr>
  </w:style>
  <w:style w:type="paragraph" w:styleId="NormalIndent">
    <w:name w:val="Normal Indent"/>
    <w:basedOn w:val="Normal"/>
    <w:uiPriority w:val="99"/>
    <w:pPr>
      <w:ind w:left="720"/>
    </w:pPr>
  </w:style>
  <w:style w:type="paragraph" w:styleId="NoteHeading">
    <w:name w:val="Note Heading"/>
    <w:basedOn w:val="Normal"/>
    <w:next w:val="Normal"/>
    <w:link w:val="NoteHeadingChar"/>
    <w:uiPriority w:val="99"/>
  </w:style>
  <w:style w:type="character" w:customStyle="1" w:styleId="NoteHeadingChar">
    <w:name w:val="Note Heading Char"/>
    <w:basedOn w:val="DefaultParagraphFont"/>
    <w:link w:val="NoteHeading"/>
    <w:uiPriority w:val="99"/>
    <w:semiHidden/>
    <w:rsid w:val="004310B4"/>
    <w:rPr>
      <w:sz w:val="24"/>
      <w:lang w:val="en-GB"/>
    </w:rPr>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link w:val="PlainTextChar"/>
    <w:uiPriority w:val="99"/>
    <w:rPr>
      <w:rFonts w:ascii="Courier New" w:hAnsi="Courier New"/>
      <w:sz w:val="20"/>
    </w:rPr>
  </w:style>
  <w:style w:type="character" w:customStyle="1" w:styleId="PlainTextChar">
    <w:name w:val="Plain Text Char"/>
    <w:basedOn w:val="DefaultParagraphFont"/>
    <w:link w:val="PlainText"/>
    <w:uiPriority w:val="99"/>
    <w:semiHidden/>
    <w:rsid w:val="004310B4"/>
    <w:rPr>
      <w:rFonts w:ascii="Courier New" w:hAnsi="Courier New" w:cs="Courier New"/>
      <w:lang w:val="en-GB"/>
    </w:rPr>
  </w:style>
  <w:style w:type="paragraph" w:styleId="Salutation">
    <w:name w:val="Salutation"/>
    <w:basedOn w:val="Normal"/>
    <w:next w:val="Normal"/>
    <w:link w:val="SalutationChar"/>
    <w:uiPriority w:val="99"/>
  </w:style>
  <w:style w:type="character" w:customStyle="1" w:styleId="SalutationChar">
    <w:name w:val="Salutation Char"/>
    <w:basedOn w:val="DefaultParagraphFont"/>
    <w:link w:val="Salutation"/>
    <w:uiPriority w:val="99"/>
    <w:semiHidden/>
    <w:rsid w:val="004310B4"/>
    <w:rPr>
      <w:sz w:val="24"/>
      <w:lang w:val="en-GB"/>
    </w:rPr>
  </w:style>
  <w:style w:type="paragraph" w:styleId="Signature">
    <w:name w:val="Signature"/>
    <w:basedOn w:val="Normal"/>
    <w:next w:val="Enclosures"/>
    <w:link w:val="SignatureChar"/>
    <w:uiPriority w:val="99"/>
    <w:pPr>
      <w:tabs>
        <w:tab w:val="left" w:pos="5103"/>
      </w:tabs>
      <w:spacing w:before="1200" w:after="0"/>
      <w:ind w:left="5103"/>
      <w:jc w:val="center"/>
    </w:pPr>
  </w:style>
  <w:style w:type="character" w:customStyle="1" w:styleId="SignatureChar">
    <w:name w:val="Signature Char"/>
    <w:basedOn w:val="DefaultParagraphFont"/>
    <w:link w:val="Signature"/>
    <w:uiPriority w:val="99"/>
    <w:semiHidden/>
    <w:rsid w:val="004310B4"/>
    <w:rPr>
      <w:sz w:val="24"/>
      <w:lang w:val="en-GB"/>
    </w:rPr>
  </w:style>
  <w:style w:type="paragraph" w:styleId="Subtitle">
    <w:name w:val="Subtitle"/>
    <w:basedOn w:val="Normal"/>
    <w:link w:val="SubtitleChar"/>
    <w:uiPriority w:val="11"/>
    <w:qFormat/>
    <w:pPr>
      <w:spacing w:after="60"/>
      <w:jc w:val="center"/>
      <w:outlineLvl w:val="1"/>
    </w:pPr>
    <w:rPr>
      <w:rFonts w:ascii="Arial" w:hAnsi="Arial"/>
    </w:rPr>
  </w:style>
  <w:style w:type="character" w:customStyle="1" w:styleId="SubtitleChar">
    <w:name w:val="Subtitle Char"/>
    <w:basedOn w:val="DefaultParagraphFont"/>
    <w:link w:val="Subtitle"/>
    <w:uiPriority w:val="11"/>
    <w:rsid w:val="004310B4"/>
    <w:rPr>
      <w:rFonts w:asciiTheme="majorHAnsi" w:eastAsiaTheme="majorEastAsia" w:hAnsiTheme="majorHAnsi" w:cstheme="majorBidi"/>
      <w:sz w:val="24"/>
      <w:szCs w:val="24"/>
      <w:lang w:val="en-GB"/>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link w:val="SubTitle2Char"/>
    <w:pPr>
      <w:jc w:val="center"/>
    </w:pPr>
    <w:rPr>
      <w:b/>
      <w:sz w:val="32"/>
    </w:rPr>
  </w:style>
  <w:style w:type="paragraph" w:styleId="TableofAuthorities">
    <w:name w:val="table of authorities"/>
    <w:basedOn w:val="Normal"/>
    <w:next w:val="Normal"/>
    <w:uiPriority w:val="99"/>
    <w:semiHidden/>
    <w:pPr>
      <w:ind w:left="240" w:hanging="240"/>
    </w:pPr>
  </w:style>
  <w:style w:type="paragraph" w:styleId="TableofFigures">
    <w:name w:val="table of figures"/>
    <w:basedOn w:val="Normal"/>
    <w:next w:val="Normal"/>
    <w:uiPriority w:val="99"/>
    <w:semiHidden/>
    <w:pPr>
      <w:ind w:left="480" w:hanging="480"/>
    </w:pPr>
  </w:style>
  <w:style w:type="paragraph" w:styleId="Title">
    <w:name w:val="Title"/>
    <w:basedOn w:val="Normal"/>
    <w:next w:val="SubTitle1"/>
    <w:link w:val="TitleChar"/>
    <w:uiPriority w:val="10"/>
    <w:qFormat/>
    <w:pPr>
      <w:spacing w:after="480"/>
      <w:jc w:val="center"/>
    </w:pPr>
    <w:rPr>
      <w:b/>
      <w:kern w:val="28"/>
      <w:sz w:val="48"/>
    </w:rPr>
  </w:style>
  <w:style w:type="character" w:customStyle="1" w:styleId="TitleChar">
    <w:name w:val="Title Char"/>
    <w:basedOn w:val="DefaultParagraphFont"/>
    <w:link w:val="Title"/>
    <w:uiPriority w:val="10"/>
    <w:locked/>
    <w:rPr>
      <w:b/>
      <w:kern w:val="28"/>
      <w:sz w:val="48"/>
      <w:lang w:val="x-none" w:eastAsia="en-US"/>
    </w:rPr>
  </w:style>
  <w:style w:type="paragraph" w:styleId="TOAHeading">
    <w:name w:val="toa heading"/>
    <w:basedOn w:val="Normal"/>
    <w:next w:val="Normal"/>
    <w:uiPriority w:val="99"/>
    <w:semiHidden/>
    <w:pPr>
      <w:spacing w:before="120"/>
    </w:pPr>
    <w:rPr>
      <w:rFonts w:ascii="Arial" w:hAnsi="Arial"/>
      <w:b/>
    </w:rPr>
  </w:style>
  <w:style w:type="paragraph" w:styleId="TOC1">
    <w:name w:val="toc 1"/>
    <w:basedOn w:val="Normal"/>
    <w:next w:val="Normal"/>
    <w:uiPriority w:val="39"/>
    <w:pPr>
      <w:spacing w:before="120" w:after="0"/>
      <w:jc w:val="left"/>
    </w:pPr>
    <w:rPr>
      <w:rFonts w:ascii="Calibri" w:hAnsi="Calibri" w:cs="Calibri"/>
      <w:b/>
      <w:bCs/>
      <w:i/>
      <w:iCs/>
      <w:szCs w:val="24"/>
    </w:rPr>
  </w:style>
  <w:style w:type="paragraph" w:styleId="TOC2">
    <w:name w:val="toc 2"/>
    <w:basedOn w:val="Normal"/>
    <w:next w:val="Normal"/>
    <w:uiPriority w:val="39"/>
    <w:pPr>
      <w:spacing w:before="120" w:after="0"/>
      <w:ind w:left="240"/>
      <w:jc w:val="left"/>
    </w:pPr>
    <w:rPr>
      <w:rFonts w:ascii="Calibri" w:hAnsi="Calibri" w:cs="Calibri"/>
      <w:b/>
      <w:bCs/>
      <w:sz w:val="22"/>
      <w:szCs w:val="22"/>
    </w:rPr>
  </w:style>
  <w:style w:type="paragraph" w:styleId="TOC3">
    <w:name w:val="toc 3"/>
    <w:basedOn w:val="Normal"/>
    <w:next w:val="Normal"/>
    <w:uiPriority w:val="39"/>
    <w:pPr>
      <w:spacing w:after="0"/>
      <w:ind w:left="480"/>
      <w:jc w:val="left"/>
    </w:pPr>
    <w:rPr>
      <w:rFonts w:ascii="Calibri" w:hAnsi="Calibri" w:cs="Calibri"/>
      <w:sz w:val="20"/>
    </w:rPr>
  </w:style>
  <w:style w:type="paragraph" w:styleId="TOC4">
    <w:name w:val="toc 4"/>
    <w:basedOn w:val="Normal"/>
    <w:next w:val="Normal"/>
    <w:uiPriority w:val="39"/>
    <w:semiHidden/>
    <w:pPr>
      <w:spacing w:after="0"/>
      <w:ind w:left="720"/>
      <w:jc w:val="left"/>
    </w:pPr>
    <w:rPr>
      <w:rFonts w:ascii="Calibri" w:hAnsi="Calibri" w:cs="Calibri"/>
      <w:sz w:val="20"/>
    </w:rPr>
  </w:style>
  <w:style w:type="paragraph" w:styleId="TOC5">
    <w:name w:val="toc 5"/>
    <w:basedOn w:val="Normal"/>
    <w:next w:val="Normal"/>
    <w:uiPriority w:val="39"/>
    <w:semiHidden/>
    <w:pPr>
      <w:spacing w:after="0"/>
      <w:ind w:left="960"/>
      <w:jc w:val="left"/>
    </w:pPr>
    <w:rPr>
      <w:rFonts w:ascii="Calibri" w:hAnsi="Calibri" w:cs="Calibri"/>
      <w:sz w:val="20"/>
    </w:rPr>
  </w:style>
  <w:style w:type="paragraph" w:styleId="TOC6">
    <w:name w:val="toc 6"/>
    <w:basedOn w:val="Normal"/>
    <w:next w:val="Normal"/>
    <w:autoRedefine/>
    <w:uiPriority w:val="39"/>
    <w:semiHidden/>
    <w:pPr>
      <w:spacing w:after="0"/>
      <w:ind w:left="1200"/>
      <w:jc w:val="left"/>
    </w:pPr>
    <w:rPr>
      <w:rFonts w:ascii="Calibri" w:hAnsi="Calibri" w:cs="Calibri"/>
      <w:sz w:val="20"/>
    </w:rPr>
  </w:style>
  <w:style w:type="paragraph" w:styleId="TOC7">
    <w:name w:val="toc 7"/>
    <w:basedOn w:val="Normal"/>
    <w:next w:val="Normal"/>
    <w:autoRedefine/>
    <w:uiPriority w:val="39"/>
    <w:semiHidden/>
    <w:pPr>
      <w:spacing w:after="0"/>
      <w:ind w:left="1440"/>
      <w:jc w:val="left"/>
    </w:pPr>
    <w:rPr>
      <w:rFonts w:ascii="Calibri" w:hAnsi="Calibri" w:cs="Calibri"/>
      <w:sz w:val="20"/>
    </w:rPr>
  </w:style>
  <w:style w:type="paragraph" w:styleId="TOC8">
    <w:name w:val="toc 8"/>
    <w:basedOn w:val="Normal"/>
    <w:next w:val="Normal"/>
    <w:autoRedefine/>
    <w:uiPriority w:val="39"/>
    <w:semiHidden/>
    <w:pPr>
      <w:spacing w:after="0"/>
      <w:ind w:left="1680"/>
      <w:jc w:val="left"/>
    </w:pPr>
    <w:rPr>
      <w:rFonts w:ascii="Calibri" w:hAnsi="Calibri" w:cs="Calibri"/>
      <w:sz w:val="20"/>
    </w:rPr>
  </w:style>
  <w:style w:type="paragraph" w:styleId="TOC9">
    <w:name w:val="toc 9"/>
    <w:basedOn w:val="Normal"/>
    <w:next w:val="Normal"/>
    <w:autoRedefine/>
    <w:uiPriority w:val="39"/>
    <w:semiHidden/>
    <w:pPr>
      <w:spacing w:after="0"/>
      <w:ind w:left="1920"/>
      <w:jc w:val="left"/>
    </w:pPr>
    <w:rPr>
      <w:rFonts w:ascii="Calibri" w:hAnsi="Calibri" w:cs="Calibri"/>
      <w:sz w:val="20"/>
    </w:r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14"/>
      </w:numPr>
    </w:pPr>
  </w:style>
  <w:style w:type="paragraph" w:customStyle="1" w:styleId="ListDash">
    <w:name w:val="List Dash"/>
    <w:basedOn w:val="Normal"/>
    <w:pPr>
      <w:numPr>
        <w:numId w:val="18"/>
      </w:numPr>
    </w:pPr>
  </w:style>
  <w:style w:type="paragraph" w:customStyle="1" w:styleId="ListDash1">
    <w:name w:val="List Dash 1"/>
    <w:basedOn w:val="Text1"/>
    <w:pPr>
      <w:numPr>
        <w:numId w:val="19"/>
      </w:numPr>
    </w:pPr>
  </w:style>
  <w:style w:type="paragraph" w:customStyle="1" w:styleId="ListDash2">
    <w:name w:val="List Dash 2"/>
    <w:basedOn w:val="Text2"/>
    <w:pPr>
      <w:numPr>
        <w:numId w:val="20"/>
      </w:numPr>
      <w:tabs>
        <w:tab w:val="clear" w:pos="2302"/>
      </w:tabs>
    </w:pPr>
  </w:style>
  <w:style w:type="paragraph" w:customStyle="1" w:styleId="ListDash3">
    <w:name w:val="List Dash 3"/>
    <w:basedOn w:val="Text3"/>
    <w:pPr>
      <w:numPr>
        <w:numId w:val="21"/>
      </w:numPr>
      <w:tabs>
        <w:tab w:val="clear" w:pos="2302"/>
      </w:tabs>
    </w:pPr>
  </w:style>
  <w:style w:type="paragraph" w:customStyle="1" w:styleId="ListDash4">
    <w:name w:val="List Dash 4"/>
    <w:basedOn w:val="Text4"/>
    <w:pPr>
      <w:numPr>
        <w:numId w:val="22"/>
      </w:numPr>
      <w:tabs>
        <w:tab w:val="clear" w:pos="2302"/>
      </w:tabs>
    </w:pPr>
  </w:style>
  <w:style w:type="paragraph" w:customStyle="1" w:styleId="ListNumberLevel2">
    <w:name w:val="List Number (Level 2)"/>
    <w:basedOn w:val="Normal"/>
    <w:pPr>
      <w:numPr>
        <w:ilvl w:val="1"/>
        <w:numId w:val="23"/>
      </w:numPr>
    </w:pPr>
  </w:style>
  <w:style w:type="paragraph" w:customStyle="1" w:styleId="ListNumberLevel3">
    <w:name w:val="List Number (Level 3)"/>
    <w:basedOn w:val="Normal"/>
    <w:pPr>
      <w:numPr>
        <w:ilvl w:val="2"/>
        <w:numId w:val="23"/>
      </w:numPr>
    </w:pPr>
  </w:style>
  <w:style w:type="paragraph" w:customStyle="1" w:styleId="ListNumberLevel4">
    <w:name w:val="List Number (Level 4)"/>
    <w:basedOn w:val="Normal"/>
    <w:pPr>
      <w:numPr>
        <w:ilvl w:val="3"/>
        <w:numId w:val="23"/>
      </w:numPr>
    </w:pPr>
  </w:style>
  <w:style w:type="paragraph" w:customStyle="1" w:styleId="ListNumber1">
    <w:name w:val="List Number 1"/>
    <w:basedOn w:val="Text1"/>
    <w:pPr>
      <w:numPr>
        <w:numId w:val="24"/>
      </w:numPr>
    </w:pPr>
  </w:style>
  <w:style w:type="paragraph" w:customStyle="1" w:styleId="ListNumber1Level2">
    <w:name w:val="List Number 1 (Level 2)"/>
    <w:basedOn w:val="Text1"/>
    <w:pPr>
      <w:numPr>
        <w:ilvl w:val="1"/>
        <w:numId w:val="24"/>
      </w:numPr>
    </w:pPr>
  </w:style>
  <w:style w:type="paragraph" w:customStyle="1" w:styleId="ListNumber1Level3">
    <w:name w:val="List Number 1 (Level 3)"/>
    <w:basedOn w:val="Text1"/>
    <w:pPr>
      <w:numPr>
        <w:ilvl w:val="2"/>
        <w:numId w:val="24"/>
      </w:numPr>
    </w:pPr>
  </w:style>
  <w:style w:type="paragraph" w:customStyle="1" w:styleId="ListNumber1Level4">
    <w:name w:val="List Number 1 (Level 4)"/>
    <w:basedOn w:val="Text1"/>
    <w:pPr>
      <w:numPr>
        <w:ilvl w:val="3"/>
        <w:numId w:val="24"/>
      </w:numPr>
    </w:pPr>
  </w:style>
  <w:style w:type="paragraph" w:customStyle="1" w:styleId="ListNumber2Level2">
    <w:name w:val="List Number 2 (Level 2)"/>
    <w:basedOn w:val="Text2"/>
    <w:pPr>
      <w:numPr>
        <w:ilvl w:val="1"/>
        <w:numId w:val="25"/>
      </w:numPr>
      <w:tabs>
        <w:tab w:val="clear" w:pos="2302"/>
      </w:tabs>
    </w:pPr>
  </w:style>
  <w:style w:type="paragraph" w:customStyle="1" w:styleId="ListNumber2Level3">
    <w:name w:val="List Number 2 (Level 3)"/>
    <w:basedOn w:val="Text2"/>
    <w:pPr>
      <w:numPr>
        <w:ilvl w:val="2"/>
        <w:numId w:val="25"/>
      </w:numPr>
      <w:tabs>
        <w:tab w:val="clear" w:pos="2302"/>
      </w:tabs>
    </w:pPr>
  </w:style>
  <w:style w:type="paragraph" w:customStyle="1" w:styleId="ListNumber2Level4">
    <w:name w:val="List Number 2 (Level 4)"/>
    <w:basedOn w:val="Text2"/>
    <w:pPr>
      <w:numPr>
        <w:ilvl w:val="3"/>
        <w:numId w:val="25"/>
      </w:numPr>
      <w:tabs>
        <w:tab w:val="clear" w:pos="2302"/>
      </w:tabs>
    </w:pPr>
  </w:style>
  <w:style w:type="paragraph" w:customStyle="1" w:styleId="ListNumber3Level2">
    <w:name w:val="List Number 3 (Level 2)"/>
    <w:basedOn w:val="Text3"/>
    <w:pPr>
      <w:numPr>
        <w:ilvl w:val="1"/>
        <w:numId w:val="26"/>
      </w:numPr>
      <w:tabs>
        <w:tab w:val="clear" w:pos="2302"/>
      </w:tabs>
    </w:pPr>
  </w:style>
  <w:style w:type="paragraph" w:customStyle="1" w:styleId="ListNumber3Level3">
    <w:name w:val="List Number 3 (Level 3)"/>
    <w:basedOn w:val="Text3"/>
    <w:pPr>
      <w:numPr>
        <w:ilvl w:val="2"/>
        <w:numId w:val="26"/>
      </w:numPr>
      <w:tabs>
        <w:tab w:val="clear" w:pos="2302"/>
      </w:tabs>
    </w:pPr>
  </w:style>
  <w:style w:type="paragraph" w:customStyle="1" w:styleId="ListNumber3Level4">
    <w:name w:val="List Number 3 (Level 4)"/>
    <w:basedOn w:val="Text3"/>
    <w:pPr>
      <w:numPr>
        <w:ilvl w:val="3"/>
        <w:numId w:val="26"/>
      </w:numPr>
      <w:tabs>
        <w:tab w:val="clear" w:pos="2302"/>
      </w:tabs>
    </w:pPr>
  </w:style>
  <w:style w:type="paragraph" w:customStyle="1" w:styleId="ListNumber4Level2">
    <w:name w:val="List Number 4 (Level 2)"/>
    <w:basedOn w:val="Text4"/>
    <w:pPr>
      <w:numPr>
        <w:ilvl w:val="1"/>
        <w:numId w:val="27"/>
      </w:numPr>
      <w:tabs>
        <w:tab w:val="clear" w:pos="2302"/>
      </w:tabs>
    </w:pPr>
  </w:style>
  <w:style w:type="paragraph" w:customStyle="1" w:styleId="ListNumber4Level3">
    <w:name w:val="List Number 4 (Level 3)"/>
    <w:basedOn w:val="Text4"/>
    <w:pPr>
      <w:numPr>
        <w:ilvl w:val="2"/>
        <w:numId w:val="27"/>
      </w:numPr>
      <w:tabs>
        <w:tab w:val="clear" w:pos="2302"/>
      </w:tabs>
    </w:pPr>
  </w:style>
  <w:style w:type="paragraph" w:customStyle="1" w:styleId="ListNumber4Level4">
    <w:name w:val="List Number 4 (Level 4)"/>
    <w:basedOn w:val="Text4"/>
    <w:pPr>
      <w:numPr>
        <w:ilvl w:val="3"/>
        <w:numId w:val="27"/>
      </w:numPr>
      <w:tabs>
        <w:tab w:val="clear" w:pos="2302"/>
      </w:tabs>
    </w:pPr>
  </w:style>
  <w:style w:type="paragraph" w:styleId="TOCHeading">
    <w:name w:val="TOC Heading"/>
    <w:basedOn w:val="Normal"/>
    <w:next w:val="Normal"/>
    <w:uiPriority w:val="39"/>
    <w:qFormat/>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uiPriority w:val="99"/>
    <w:pPr>
      <w:widowControl w:val="0"/>
      <w:autoSpaceDE w:val="0"/>
      <w:autoSpaceDN w:val="0"/>
      <w:spacing w:after="0"/>
      <w:ind w:right="85"/>
      <w:jc w:val="left"/>
    </w:pPr>
    <w:rPr>
      <w:rFonts w:ascii="Arial" w:hAnsi="Arial" w:cs="Arial"/>
      <w:sz w:val="16"/>
      <w:szCs w:val="16"/>
      <w:lang w:eastAsia="en-GB"/>
    </w:rPr>
  </w:style>
  <w:style w:type="paragraph" w:customStyle="1" w:styleId="Langue">
    <w:name w:val="Langue"/>
    <w:basedOn w:val="Normal"/>
    <w:next w:val="Normal"/>
    <w:pPr>
      <w:spacing w:after="600"/>
      <w:jc w:val="center"/>
    </w:pPr>
    <w:rPr>
      <w:b/>
      <w:caps/>
      <w:lang w:eastAsia="zh-CN"/>
    </w:rPr>
  </w:style>
  <w:style w:type="paragraph" w:customStyle="1" w:styleId="Prliminairetitre">
    <w:name w:val="Préliminaire titre"/>
    <w:basedOn w:val="Normal"/>
    <w:next w:val="Normal"/>
    <w:pPr>
      <w:spacing w:before="360" w:after="360"/>
      <w:jc w:val="center"/>
    </w:pPr>
    <w:rPr>
      <w:b/>
      <w:lang w:eastAsia="zh-CN"/>
    </w:rPr>
  </w:style>
  <w:style w:type="paragraph" w:customStyle="1" w:styleId="Prliminairetype">
    <w:name w:val="Préliminaire type"/>
    <w:basedOn w:val="Normal"/>
    <w:next w:val="Normal"/>
    <w:pPr>
      <w:spacing w:before="360" w:after="0"/>
      <w:jc w:val="center"/>
    </w:pPr>
    <w:rPr>
      <w:b/>
      <w:lang w:eastAsia="zh-CN"/>
    </w:rPr>
  </w:style>
  <w:style w:type="character" w:styleId="PageNumber">
    <w:name w:val="page number"/>
    <w:basedOn w:val="DefaultParagraphFont"/>
    <w:uiPriority w:val="99"/>
    <w:rPr>
      <w:rFonts w:cs="Times New Roman"/>
    </w:rPr>
  </w:style>
  <w:style w:type="paragraph" w:styleId="CommentSubject">
    <w:name w:val="annotation subject"/>
    <w:basedOn w:val="CommentText"/>
    <w:next w:val="CommentText"/>
    <w:link w:val="CommentSubjectChar"/>
    <w:uiPriority w:val="99"/>
    <w:semiHidden/>
    <w:pPr>
      <w:spacing w:after="0"/>
      <w:jc w:val="left"/>
    </w:pPr>
    <w:rPr>
      <w:b/>
      <w:bCs/>
      <w:lang w:eastAsia="en-GB"/>
    </w:rPr>
  </w:style>
  <w:style w:type="character" w:customStyle="1" w:styleId="CommentSubjectChar">
    <w:name w:val="Comment Subject Char"/>
    <w:basedOn w:val="CommentTextChar"/>
    <w:link w:val="CommentSubject"/>
    <w:uiPriority w:val="99"/>
    <w:semiHidden/>
    <w:rsid w:val="004310B4"/>
    <w:rPr>
      <w:b/>
      <w:bCs/>
      <w:lang w:val="en-GB"/>
    </w:rPr>
  </w:style>
  <w:style w:type="paragraph" w:styleId="BalloonText">
    <w:name w:val="Balloon Text"/>
    <w:basedOn w:val="Normal"/>
    <w:link w:val="BalloonTextChar"/>
    <w:uiPriority w:val="99"/>
    <w:semiHidden/>
    <w:pPr>
      <w:spacing w:after="0"/>
      <w:jc w:val="left"/>
    </w:pPr>
    <w:rPr>
      <w:rFonts w:ascii="Tahoma" w:hAnsi="Tahoma" w:cs="Tahoma"/>
      <w:sz w:val="16"/>
      <w:szCs w:val="16"/>
      <w:lang w:eastAsia="en-GB"/>
    </w:rPr>
  </w:style>
  <w:style w:type="character" w:customStyle="1" w:styleId="BalloonTextChar">
    <w:name w:val="Balloon Text Char"/>
    <w:basedOn w:val="DefaultParagraphFont"/>
    <w:link w:val="BalloonText"/>
    <w:uiPriority w:val="99"/>
    <w:semiHidden/>
    <w:rsid w:val="004310B4"/>
    <w:rPr>
      <w:sz w:val="0"/>
      <w:szCs w:val="0"/>
      <w:lang w:val="en-GB"/>
    </w:rPr>
  </w:style>
  <w:style w:type="paragraph" w:customStyle="1" w:styleId="Poprawka">
    <w:name w:val="Poprawka"/>
    <w:hidden/>
    <w:semiHidden/>
    <w:rPr>
      <w:sz w:val="24"/>
      <w:szCs w:val="24"/>
      <w:lang w:val="en-GB" w:eastAsia="en-GB"/>
    </w:rPr>
  </w:style>
  <w:style w:type="character" w:styleId="FootnoteReference">
    <w:name w:val="footnote reference"/>
    <w:aliases w:val="Footnote symbol Char Char Char,Footnote reference number Char Char Char,Times 10 Point Char Char Char,Exposant 3 Point Char Char Char,Ref Char Char Char,de nota al pie Char Char Char,note TESI Char Char Char,SUPERS Char Char Char,fr"/>
    <w:basedOn w:val="DefaultParagraphFont"/>
    <w:link w:val="FootnotesymbolCharChar"/>
    <w:uiPriority w:val="99"/>
    <w:qFormat/>
    <w:locked/>
    <w:rPr>
      <w:vertAlign w:val="superscript"/>
    </w:rPr>
  </w:style>
  <w:style w:type="character" w:styleId="Hyperlink">
    <w:name w:val="Hyperlink"/>
    <w:basedOn w:val="DefaultParagraphFont"/>
    <w:uiPriority w:val="99"/>
    <w:rPr>
      <w:color w:val="0000FF"/>
      <w:u w:val="single"/>
    </w:rPr>
  </w:style>
  <w:style w:type="character" w:customStyle="1" w:styleId="Text1Char">
    <w:name w:val="Text 1 Char"/>
    <w:link w:val="Text1"/>
    <w:locked/>
    <w:rPr>
      <w:sz w:val="24"/>
      <w:lang w:val="en-GB" w:eastAsia="en-US"/>
    </w:rPr>
  </w:style>
  <w:style w:type="character" w:styleId="EndnoteReference">
    <w:name w:val="endnote reference"/>
    <w:basedOn w:val="DefaultParagraphFont"/>
    <w:uiPriority w:val="99"/>
    <w:semiHidden/>
    <w:rPr>
      <w:vertAlign w:val="superscript"/>
    </w:rPr>
  </w:style>
  <w:style w:type="character" w:styleId="CommentReference">
    <w:name w:val="annotation reference"/>
    <w:basedOn w:val="DefaultParagraphFont"/>
    <w:uiPriority w:val="99"/>
    <w:semiHidden/>
    <w:rPr>
      <w:sz w:val="16"/>
    </w:rPr>
  </w:style>
  <w:style w:type="paragraph" w:styleId="NormalWeb">
    <w:name w:val="Normal (Web)"/>
    <w:basedOn w:val="Normal"/>
    <w:link w:val="NormalWebChar"/>
    <w:uiPriority w:val="99"/>
    <w:pPr>
      <w:spacing w:before="100" w:beforeAutospacing="1" w:after="100" w:afterAutospacing="1"/>
      <w:jc w:val="left"/>
    </w:pPr>
    <w:rPr>
      <w:szCs w:val="24"/>
      <w:lang w:eastAsia="en-GB"/>
    </w:rPr>
  </w:style>
  <w:style w:type="character" w:customStyle="1" w:styleId="hps">
    <w:name w:val="hps"/>
    <w:basedOn w:val="DefaultParagraphFont"/>
    <w:rPr>
      <w:rFonts w:cs="Times New Roman"/>
    </w:rPr>
  </w:style>
  <w:style w:type="character" w:customStyle="1" w:styleId="FootnoteTextChar1">
    <w:name w:val="Footnote Text Char1"/>
    <w:aliases w:val="Footnote Char1,Footnote Text Char1 Char Char1,Footnote Text Char Char Char Char1,Footnote Text Char1 Char Char Char Char1,Footnote Text Char Char Char Char Char Char1,Footnote Text Char1 Char1 Char Char1,Char Char1,ft Char1,Car Char1"/>
    <w:link w:val="FootnoteText"/>
    <w:uiPriority w:val="99"/>
    <w:locked/>
    <w:rPr>
      <w:lang w:val="en-GB" w:eastAsia="en-US"/>
    </w:rPr>
  </w:style>
  <w:style w:type="table" w:styleId="TableGrid">
    <w:name w:val="Table Grid"/>
    <w:basedOn w:val="TableNormal"/>
    <w:uiPriority w:val="59"/>
    <w:pPr>
      <w:spacing w:after="24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otnotesymbolCharChar">
    <w:name w:val="Footnote symbol Char Char"/>
    <w:aliases w:val="Footnote reference number Char Char,Times 10 Point Char Char,Exposant 3 Point Char Char,Ref Char Char,de nota al pie Char Char,note TESI Char Char,SUPERS Char Char,EN Footnote Reference Char Char"/>
    <w:basedOn w:val="Normal"/>
    <w:link w:val="FootnoteReference"/>
    <w:uiPriority w:val="99"/>
    <w:pPr>
      <w:spacing w:after="160" w:line="240" w:lineRule="exact"/>
      <w:jc w:val="left"/>
    </w:pPr>
    <w:rPr>
      <w:sz w:val="20"/>
      <w:vertAlign w:val="superscript"/>
      <w:lang w:eastAsia="en-GB"/>
    </w:rPr>
  </w:style>
  <w:style w:type="character" w:customStyle="1" w:styleId="NormalWebChar">
    <w:name w:val="Normal (Web) Char"/>
    <w:link w:val="NormalWeb"/>
    <w:locked/>
    <w:rPr>
      <w:sz w:val="24"/>
    </w:rPr>
  </w:style>
  <w:style w:type="character" w:styleId="FollowedHyperlink">
    <w:name w:val="FollowedHyperlink"/>
    <w:basedOn w:val="DefaultParagraphFont"/>
    <w:uiPriority w:val="99"/>
    <w:semiHidden/>
    <w:unhideWhenUsed/>
    <w:rPr>
      <w:color w:val="800080"/>
      <w:u w:val="single"/>
    </w:rPr>
  </w:style>
  <w:style w:type="paragraph" w:customStyle="1" w:styleId="Char2">
    <w:name w:val="Char2"/>
    <w:basedOn w:val="Normal"/>
    <w:uiPriority w:val="99"/>
    <w:pPr>
      <w:spacing w:after="160" w:line="240" w:lineRule="exact"/>
      <w:jc w:val="left"/>
    </w:pPr>
    <w:rPr>
      <w:rFonts w:ascii="Calibri" w:hAnsi="Calibri"/>
      <w:sz w:val="20"/>
      <w:vertAlign w:val="superscript"/>
      <w:lang w:val="nl" w:eastAsia="en-GB"/>
    </w:rPr>
  </w:style>
  <w:style w:type="paragraph" w:styleId="Revision">
    <w:name w:val="Revision"/>
    <w:hidden/>
    <w:uiPriority w:val="99"/>
    <w:semiHidden/>
    <w:rPr>
      <w:sz w:val="24"/>
      <w:lang w:val="en-GB"/>
    </w:rPr>
  </w:style>
  <w:style w:type="paragraph" w:customStyle="1" w:styleId="CM4">
    <w:name w:val="CM4"/>
    <w:basedOn w:val="Normal"/>
    <w:next w:val="Normal"/>
    <w:uiPriority w:val="99"/>
    <w:pPr>
      <w:autoSpaceDE w:val="0"/>
      <w:autoSpaceDN w:val="0"/>
      <w:adjustRightInd w:val="0"/>
      <w:spacing w:after="0"/>
      <w:jc w:val="left"/>
    </w:pPr>
    <w:rPr>
      <w:rFonts w:ascii="EUAlbertina" w:hAnsi="EUAlbertina"/>
      <w:szCs w:val="24"/>
      <w:lang w:eastAsia="en-GB"/>
    </w:rPr>
  </w:style>
  <w:style w:type="paragraph" w:customStyle="1" w:styleId="Default">
    <w:name w:val="Default"/>
    <w:pPr>
      <w:autoSpaceDE w:val="0"/>
      <w:autoSpaceDN w:val="0"/>
      <w:adjustRightInd w:val="0"/>
    </w:pPr>
    <w:rPr>
      <w:rFonts w:ascii="EUAlbertina" w:hAnsi="EUAlbertina" w:cs="EUAlbertina"/>
      <w:color w:val="000000"/>
      <w:sz w:val="24"/>
      <w:szCs w:val="24"/>
      <w:lang w:val="en-GB" w:eastAsia="en-GB"/>
    </w:rPr>
  </w:style>
  <w:style w:type="character" w:customStyle="1" w:styleId="st1">
    <w:name w:val="st1"/>
  </w:style>
  <w:style w:type="paragraph" w:customStyle="1" w:styleId="CM1">
    <w:name w:val="CM1"/>
    <w:basedOn w:val="Default"/>
    <w:next w:val="Default"/>
    <w:uiPriority w:val="99"/>
    <w:rPr>
      <w:rFonts w:cs="Times New Roman"/>
      <w:color w:val="auto"/>
    </w:rPr>
  </w:style>
  <w:style w:type="paragraph" w:customStyle="1" w:styleId="CM3">
    <w:name w:val="CM3"/>
    <w:basedOn w:val="Default"/>
    <w:next w:val="Default"/>
    <w:uiPriority w:val="99"/>
    <w:rPr>
      <w:rFonts w:cs="Times New Roman"/>
      <w:color w:val="auto"/>
    </w:rPr>
  </w:style>
  <w:style w:type="character" w:customStyle="1" w:styleId="update1">
    <w:name w:val="update1"/>
    <w:rPr>
      <w:color w:val="006666"/>
    </w:rPr>
  </w:style>
  <w:style w:type="character" w:styleId="Emphasis">
    <w:name w:val="Emphasis"/>
    <w:basedOn w:val="DefaultParagraphFont"/>
    <w:uiPriority w:val="20"/>
    <w:qFormat/>
    <w:rPr>
      <w:b/>
    </w:rPr>
  </w:style>
  <w:style w:type="character" w:customStyle="1" w:styleId="st">
    <w:name w:val="st"/>
  </w:style>
  <w:style w:type="character" w:customStyle="1" w:styleId="Corpsdutexte3">
    <w:name w:val="Corps du texte (3)_"/>
    <w:link w:val="Corpsdutexte30"/>
    <w:uiPriority w:val="99"/>
    <w:locked/>
    <w:rPr>
      <w:sz w:val="22"/>
      <w:shd w:val="clear" w:color="auto" w:fill="FFFFFF"/>
    </w:rPr>
  </w:style>
  <w:style w:type="paragraph" w:customStyle="1" w:styleId="Corpsdutexte30">
    <w:name w:val="Corps du texte (3)"/>
    <w:basedOn w:val="Normal"/>
    <w:link w:val="Corpsdutexte3"/>
    <w:uiPriority w:val="99"/>
    <w:pPr>
      <w:widowControl w:val="0"/>
      <w:shd w:val="clear" w:color="auto" w:fill="FFFFFF"/>
      <w:spacing w:before="1560" w:after="300" w:line="240" w:lineRule="atLeast"/>
      <w:ind w:hanging="280"/>
    </w:pPr>
    <w:rPr>
      <w:sz w:val="22"/>
      <w:szCs w:val="22"/>
      <w:lang w:eastAsia="en-GB"/>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after="0"/>
    </w:pPr>
    <w:rPr>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lang w:val="en-US"/>
    </w:rPr>
  </w:style>
  <w:style w:type="character" w:customStyle="1" w:styleId="SubTitle2Char">
    <w:name w:val="SubTitle 2 Char"/>
    <w:link w:val="SubTitle2"/>
    <w:locked/>
    <w:rPr>
      <w:b/>
      <w:sz w:val="32"/>
      <w:lang w:val="en-GB" w:eastAsia="en-US"/>
    </w:rPr>
  </w:style>
  <w:style w:type="character" w:customStyle="1" w:styleId="FooterCoverPageChar">
    <w:name w:val="Footer Cover Page Char"/>
    <w:link w:val="FooterCoverPage"/>
    <w:locked/>
    <w:rPr>
      <w:sz w:val="24"/>
    </w:rPr>
  </w:style>
  <w:style w:type="paragraph" w:customStyle="1" w:styleId="HeaderCoverPage">
    <w:name w:val="Header Cover Page"/>
    <w:basedOn w:val="Normal"/>
    <w:link w:val="HeaderCoverPageChar"/>
    <w:pPr>
      <w:tabs>
        <w:tab w:val="center" w:pos="4535"/>
        <w:tab w:val="right" w:pos="9071"/>
      </w:tabs>
      <w:spacing w:after="120"/>
    </w:pPr>
    <w:rPr>
      <w:lang w:val="en-US"/>
    </w:rPr>
  </w:style>
  <w:style w:type="character" w:customStyle="1" w:styleId="HeaderCoverPageChar">
    <w:name w:val="Header Cover Page Char"/>
    <w:link w:val="HeaderCoverPage"/>
    <w:locked/>
    <w:rPr>
      <w:sz w:val="24"/>
    </w:rPr>
  </w:style>
  <w:style w:type="paragraph" w:styleId="ListParagraph">
    <w:name w:val="List Paragraph"/>
    <w:basedOn w:val="Normal"/>
    <w:uiPriority w:val="34"/>
    <w:qFormat/>
    <w:pPr>
      <w:ind w:left="720"/>
      <w:contextualSpacing/>
    </w:pPr>
    <w:rPr>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241231">
      <w:marLeft w:val="0"/>
      <w:marRight w:val="0"/>
      <w:marTop w:val="0"/>
      <w:marBottom w:val="0"/>
      <w:divBdr>
        <w:top w:val="none" w:sz="0" w:space="0" w:color="auto"/>
        <w:left w:val="none" w:sz="0" w:space="0" w:color="auto"/>
        <w:bottom w:val="none" w:sz="0" w:space="0" w:color="auto"/>
        <w:right w:val="none" w:sz="0" w:space="0" w:color="auto"/>
      </w:divBdr>
    </w:div>
    <w:div w:id="106241232">
      <w:marLeft w:val="0"/>
      <w:marRight w:val="0"/>
      <w:marTop w:val="0"/>
      <w:marBottom w:val="0"/>
      <w:divBdr>
        <w:top w:val="none" w:sz="0" w:space="0" w:color="auto"/>
        <w:left w:val="none" w:sz="0" w:space="0" w:color="auto"/>
        <w:bottom w:val="none" w:sz="0" w:space="0" w:color="auto"/>
        <w:right w:val="none" w:sz="0" w:space="0" w:color="auto"/>
      </w:divBdr>
    </w:div>
    <w:div w:id="106241234">
      <w:marLeft w:val="0"/>
      <w:marRight w:val="0"/>
      <w:marTop w:val="0"/>
      <w:marBottom w:val="0"/>
      <w:divBdr>
        <w:top w:val="none" w:sz="0" w:space="0" w:color="auto"/>
        <w:left w:val="none" w:sz="0" w:space="0" w:color="auto"/>
        <w:bottom w:val="none" w:sz="0" w:space="0" w:color="auto"/>
        <w:right w:val="none" w:sz="0" w:space="0" w:color="auto"/>
      </w:divBdr>
    </w:div>
    <w:div w:id="106241235">
      <w:marLeft w:val="0"/>
      <w:marRight w:val="0"/>
      <w:marTop w:val="0"/>
      <w:marBottom w:val="0"/>
      <w:divBdr>
        <w:top w:val="none" w:sz="0" w:space="0" w:color="auto"/>
        <w:left w:val="none" w:sz="0" w:space="0" w:color="auto"/>
        <w:bottom w:val="none" w:sz="0" w:space="0" w:color="auto"/>
        <w:right w:val="none" w:sz="0" w:space="0" w:color="auto"/>
      </w:divBdr>
    </w:div>
    <w:div w:id="106241236">
      <w:marLeft w:val="0"/>
      <w:marRight w:val="0"/>
      <w:marTop w:val="0"/>
      <w:marBottom w:val="0"/>
      <w:divBdr>
        <w:top w:val="none" w:sz="0" w:space="0" w:color="auto"/>
        <w:left w:val="none" w:sz="0" w:space="0" w:color="auto"/>
        <w:bottom w:val="none" w:sz="0" w:space="0" w:color="auto"/>
        <w:right w:val="none" w:sz="0" w:space="0" w:color="auto"/>
      </w:divBdr>
    </w:div>
    <w:div w:id="106241237">
      <w:marLeft w:val="0"/>
      <w:marRight w:val="0"/>
      <w:marTop w:val="0"/>
      <w:marBottom w:val="0"/>
      <w:divBdr>
        <w:top w:val="none" w:sz="0" w:space="0" w:color="auto"/>
        <w:left w:val="none" w:sz="0" w:space="0" w:color="auto"/>
        <w:bottom w:val="none" w:sz="0" w:space="0" w:color="auto"/>
        <w:right w:val="none" w:sz="0" w:space="0" w:color="auto"/>
      </w:divBdr>
    </w:div>
    <w:div w:id="106241238">
      <w:marLeft w:val="0"/>
      <w:marRight w:val="0"/>
      <w:marTop w:val="0"/>
      <w:marBottom w:val="0"/>
      <w:divBdr>
        <w:top w:val="none" w:sz="0" w:space="0" w:color="auto"/>
        <w:left w:val="none" w:sz="0" w:space="0" w:color="auto"/>
        <w:bottom w:val="none" w:sz="0" w:space="0" w:color="auto"/>
        <w:right w:val="none" w:sz="0" w:space="0" w:color="auto"/>
      </w:divBdr>
    </w:div>
    <w:div w:id="106241239">
      <w:marLeft w:val="0"/>
      <w:marRight w:val="0"/>
      <w:marTop w:val="0"/>
      <w:marBottom w:val="0"/>
      <w:divBdr>
        <w:top w:val="none" w:sz="0" w:space="0" w:color="auto"/>
        <w:left w:val="none" w:sz="0" w:space="0" w:color="auto"/>
        <w:bottom w:val="none" w:sz="0" w:space="0" w:color="auto"/>
        <w:right w:val="none" w:sz="0" w:space="0" w:color="auto"/>
      </w:divBdr>
    </w:div>
    <w:div w:id="106241240">
      <w:marLeft w:val="0"/>
      <w:marRight w:val="0"/>
      <w:marTop w:val="0"/>
      <w:marBottom w:val="0"/>
      <w:divBdr>
        <w:top w:val="none" w:sz="0" w:space="0" w:color="auto"/>
        <w:left w:val="none" w:sz="0" w:space="0" w:color="auto"/>
        <w:bottom w:val="none" w:sz="0" w:space="0" w:color="auto"/>
        <w:right w:val="none" w:sz="0" w:space="0" w:color="auto"/>
      </w:divBdr>
    </w:div>
    <w:div w:id="106241241">
      <w:marLeft w:val="0"/>
      <w:marRight w:val="0"/>
      <w:marTop w:val="0"/>
      <w:marBottom w:val="0"/>
      <w:divBdr>
        <w:top w:val="none" w:sz="0" w:space="0" w:color="auto"/>
        <w:left w:val="none" w:sz="0" w:space="0" w:color="auto"/>
        <w:bottom w:val="none" w:sz="0" w:space="0" w:color="auto"/>
        <w:right w:val="none" w:sz="0" w:space="0" w:color="auto"/>
      </w:divBdr>
    </w:div>
    <w:div w:id="106241242">
      <w:marLeft w:val="0"/>
      <w:marRight w:val="0"/>
      <w:marTop w:val="0"/>
      <w:marBottom w:val="0"/>
      <w:divBdr>
        <w:top w:val="none" w:sz="0" w:space="0" w:color="auto"/>
        <w:left w:val="none" w:sz="0" w:space="0" w:color="auto"/>
        <w:bottom w:val="none" w:sz="0" w:space="0" w:color="auto"/>
        <w:right w:val="none" w:sz="0" w:space="0" w:color="auto"/>
      </w:divBdr>
    </w:div>
    <w:div w:id="106241243">
      <w:marLeft w:val="0"/>
      <w:marRight w:val="0"/>
      <w:marTop w:val="0"/>
      <w:marBottom w:val="0"/>
      <w:divBdr>
        <w:top w:val="none" w:sz="0" w:space="0" w:color="auto"/>
        <w:left w:val="none" w:sz="0" w:space="0" w:color="auto"/>
        <w:bottom w:val="none" w:sz="0" w:space="0" w:color="auto"/>
        <w:right w:val="none" w:sz="0" w:space="0" w:color="auto"/>
      </w:divBdr>
    </w:div>
    <w:div w:id="106241244">
      <w:marLeft w:val="0"/>
      <w:marRight w:val="0"/>
      <w:marTop w:val="0"/>
      <w:marBottom w:val="0"/>
      <w:divBdr>
        <w:top w:val="none" w:sz="0" w:space="0" w:color="auto"/>
        <w:left w:val="none" w:sz="0" w:space="0" w:color="auto"/>
        <w:bottom w:val="none" w:sz="0" w:space="0" w:color="auto"/>
        <w:right w:val="none" w:sz="0" w:space="0" w:color="auto"/>
      </w:divBdr>
    </w:div>
    <w:div w:id="106241245">
      <w:marLeft w:val="0"/>
      <w:marRight w:val="0"/>
      <w:marTop w:val="0"/>
      <w:marBottom w:val="0"/>
      <w:divBdr>
        <w:top w:val="none" w:sz="0" w:space="0" w:color="auto"/>
        <w:left w:val="none" w:sz="0" w:space="0" w:color="auto"/>
        <w:bottom w:val="none" w:sz="0" w:space="0" w:color="auto"/>
        <w:right w:val="none" w:sz="0" w:space="0" w:color="auto"/>
      </w:divBdr>
    </w:div>
    <w:div w:id="106241246">
      <w:marLeft w:val="0"/>
      <w:marRight w:val="0"/>
      <w:marTop w:val="0"/>
      <w:marBottom w:val="0"/>
      <w:divBdr>
        <w:top w:val="none" w:sz="0" w:space="0" w:color="auto"/>
        <w:left w:val="none" w:sz="0" w:space="0" w:color="auto"/>
        <w:bottom w:val="none" w:sz="0" w:space="0" w:color="auto"/>
        <w:right w:val="none" w:sz="0" w:space="0" w:color="auto"/>
      </w:divBdr>
    </w:div>
    <w:div w:id="106241247">
      <w:marLeft w:val="0"/>
      <w:marRight w:val="0"/>
      <w:marTop w:val="0"/>
      <w:marBottom w:val="0"/>
      <w:divBdr>
        <w:top w:val="none" w:sz="0" w:space="0" w:color="auto"/>
        <w:left w:val="none" w:sz="0" w:space="0" w:color="auto"/>
        <w:bottom w:val="none" w:sz="0" w:space="0" w:color="auto"/>
        <w:right w:val="none" w:sz="0" w:space="0" w:color="auto"/>
      </w:divBdr>
      <w:divsChild>
        <w:div w:id="106241233">
          <w:marLeft w:val="0"/>
          <w:marRight w:val="0"/>
          <w:marTop w:val="0"/>
          <w:marBottom w:val="0"/>
          <w:divBdr>
            <w:top w:val="none" w:sz="0" w:space="0" w:color="auto"/>
            <w:left w:val="none" w:sz="0" w:space="0" w:color="auto"/>
            <w:bottom w:val="none" w:sz="0" w:space="0" w:color="auto"/>
            <w:right w:val="none" w:sz="0" w:space="0" w:color="auto"/>
          </w:divBdr>
        </w:div>
      </w:divsChild>
    </w:div>
    <w:div w:id="106241248">
      <w:marLeft w:val="0"/>
      <w:marRight w:val="0"/>
      <w:marTop w:val="0"/>
      <w:marBottom w:val="0"/>
      <w:divBdr>
        <w:top w:val="none" w:sz="0" w:space="0" w:color="auto"/>
        <w:left w:val="none" w:sz="0" w:space="0" w:color="auto"/>
        <w:bottom w:val="none" w:sz="0" w:space="0" w:color="auto"/>
        <w:right w:val="none" w:sz="0" w:space="0" w:color="auto"/>
      </w:divBdr>
    </w:div>
    <w:div w:id="106241249">
      <w:marLeft w:val="0"/>
      <w:marRight w:val="0"/>
      <w:marTop w:val="0"/>
      <w:marBottom w:val="0"/>
      <w:divBdr>
        <w:top w:val="none" w:sz="0" w:space="0" w:color="auto"/>
        <w:left w:val="none" w:sz="0" w:space="0" w:color="auto"/>
        <w:bottom w:val="none" w:sz="0" w:space="0" w:color="auto"/>
        <w:right w:val="none" w:sz="0" w:space="0" w:color="auto"/>
      </w:divBdr>
    </w:div>
    <w:div w:id="10624125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tyles" Target="styles.xml"/><Relationship Id="rId22" Type="http://schemas.openxmlformats.org/officeDocument/2006/relationships/header" Target="header5.xml"/><Relationship Id="rId27" Type="http://schemas.openxmlformats.org/officeDocument/2006/relationships/fontTable" Target="fontTable.xml"/><Relationship Id="rId14"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22D007-7746-48F4-A6A2-C144E6AAEC3B}">
  <ds:schemaRefs>
    <ds:schemaRef ds:uri="http://schemas.openxmlformats.org/officeDocument/2006/bibliography"/>
  </ds:schemaRefs>
</ds:datastoreItem>
</file>

<file path=customXml/itemProps2.xml><?xml version="1.0" encoding="utf-8"?>
<ds:datastoreItem xmlns:ds="http://schemas.openxmlformats.org/officeDocument/2006/customXml" ds:itemID="{ED87A566-457B-449B-A1FE-A8ADFD4F535A}">
  <ds:schemaRefs>
    <ds:schemaRef ds:uri="http://schemas.openxmlformats.org/officeDocument/2006/bibliography"/>
  </ds:schemaRefs>
</ds:datastoreItem>
</file>

<file path=customXml/itemProps3.xml><?xml version="1.0" encoding="utf-8"?>
<ds:datastoreItem xmlns:ds="http://schemas.openxmlformats.org/officeDocument/2006/customXml" ds:itemID="{D5BF12B6-57CD-48EB-B313-746120956AB9}">
  <ds:schemaRefs>
    <ds:schemaRef ds:uri="http://schemas.openxmlformats.org/officeDocument/2006/bibliography"/>
  </ds:schemaRefs>
</ds:datastoreItem>
</file>

<file path=customXml/itemProps4.xml><?xml version="1.0" encoding="utf-8"?>
<ds:datastoreItem xmlns:ds="http://schemas.openxmlformats.org/officeDocument/2006/customXml" ds:itemID="{2B276EBC-2640-440F-9B88-38DE75DA6688}">
  <ds:schemaRefs>
    <ds:schemaRef ds:uri="http://schemas.openxmlformats.org/officeDocument/2006/bibliography"/>
  </ds:schemaRefs>
</ds:datastoreItem>
</file>

<file path=customXml/itemProps5.xml><?xml version="1.0" encoding="utf-8"?>
<ds:datastoreItem xmlns:ds="http://schemas.openxmlformats.org/officeDocument/2006/customXml" ds:itemID="{CF6FC5CA-C008-4674-BCE1-FDB4CCF8F6E0}">
  <ds:schemaRefs>
    <ds:schemaRef ds:uri="http://schemas.openxmlformats.org/officeDocument/2006/bibliography"/>
  </ds:schemaRefs>
</ds:datastoreItem>
</file>

<file path=customXml/itemProps6.xml><?xml version="1.0" encoding="utf-8"?>
<ds:datastoreItem xmlns:ds="http://schemas.openxmlformats.org/officeDocument/2006/customXml" ds:itemID="{8E4B35EB-FCDC-4226-8BD5-E091C10FE6A4}">
  <ds:schemaRefs>
    <ds:schemaRef ds:uri="http://schemas.openxmlformats.org/officeDocument/2006/bibliography"/>
  </ds:schemaRefs>
</ds:datastoreItem>
</file>

<file path=customXml/itemProps7.xml><?xml version="1.0" encoding="utf-8"?>
<ds:datastoreItem xmlns:ds="http://schemas.openxmlformats.org/officeDocument/2006/customXml" ds:itemID="{009222B5-9B0E-4725-AAFE-7673E6C426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198</TotalTime>
  <Pages>17</Pages>
  <Words>5629</Words>
  <Characters>31074</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dc:title>
  <dc:subject/>
  <dc:creator/>
  <cp:keywords>99.3</cp:keywords>
  <dc:description/>
  <cp:lastModifiedBy/>
  <cp:revision>42</cp:revision>
  <cp:lastPrinted>2016-08-16T11:04:00Z</cp:lastPrinted>
  <dcterms:created xsi:type="dcterms:W3CDTF">2016-08-17T12:17:00Z</dcterms:created>
  <dcterms:modified xsi:type="dcterms:W3CDTF">2016-09-23T11:35:00Z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[20070312]</vt:lpwstr>
  </property>
  <property fmtid="{D5CDD505-2E9C-101B-9397-08002B2CF9AE}" pid="6" name="Formatting">
    <vt:lpwstr>4.1</vt:lpwstr>
  </property>
  <property fmtid="{D5CDD505-2E9C-101B-9397-08002B2CF9AE}" pid="7" name="Last edited using">
    <vt:lpwstr>EL </vt:lpwstr>
  </property>
  <property fmtid="{D5CDD505-2E9C-101B-9397-08002B2CF9AE}" pid="8" name="EL_Author">
    <vt:lpwstr>Brian GRAY</vt:lpwstr>
  </property>
  <property fmtid="{D5CDD505-2E9C-101B-9397-08002B2CF9AE}" pid="9" name="Type">
    <vt:lpwstr>Eurolook Report</vt:lpwstr>
  </property>
  <property fmtid="{D5CDD505-2E9C-101B-9397-08002B2CF9AE}" pid="10" name="Language">
    <vt:lpwstr>EN</vt:lpwstr>
  </property>
  <property fmtid="{D5CDD505-2E9C-101B-9397-08002B2CF9AE}" pid="11" name="EL_Language">
    <vt:lpwstr>EN</vt:lpwstr>
  </property>
  <property fmtid="{D5CDD505-2E9C-101B-9397-08002B2CF9AE}" pid="12" name="ELDocType">
    <vt:lpwstr>rep.dot</vt:lpwstr>
  </property>
  <property fmtid="{D5CDD505-2E9C-101B-9397-08002B2CF9AE}" pid="13" name="Part">
    <vt:lpwstr>1</vt:lpwstr>
  </property>
  <property fmtid="{D5CDD505-2E9C-101B-9397-08002B2CF9AE}" pid="14" name="Total parts">
    <vt:lpwstr>1</vt:lpwstr>
  </property>
  <property fmtid="{D5CDD505-2E9C-101B-9397-08002B2CF9AE}" pid="15" name="Classification">
    <vt:lpwstr> </vt:lpwstr>
  </property>
  <property fmtid="{D5CDD505-2E9C-101B-9397-08002B2CF9AE}" pid="16" name="DocStatus">
    <vt:lpwstr>Green</vt:lpwstr>
  </property>
  <property name="OP_sanitized" fmtid="{D5CDD505-2E9C-101B-9397-08002B2CF9AE}" pid="17">
    <vt:lpwstr>True</vt:lpwstr>
  </property>
</Properties>
</file>