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9531D443CA9487D956E63515D1EC2AA" style="width:450.2pt;height:366.35pt">
            <v:imagedata r:id="rId8" o:title=""/>
          </v:shape>
        </w:pict>
      </w:r>
    </w:p>
    <w:p>
      <w:pPr>
        <w:rPr>
          <w:noProof/>
        </w:rPr>
        <w:sectPr>
          <w:footerReference w:type="default" r:id="rId9"/>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rPr>
          <w:noProof/>
          <w:color w:val="000000"/>
        </w:rPr>
      </w:pPr>
      <w:r>
        <w:rPr>
          <w:noProof/>
        </w:rPr>
        <w:t>Decizia nr. 529/2013/UE a Parlamentului European și a Consiliului din 21 mai 2013 privind normele de contabilizare și planurile de acțiune referitoare la emisiile și absorbțiile de gaze cu efect de seră care rezultă din activități legate de exploatarea terenurilor, schimbarea destinației terenurilor și silvicultură a intrat în vigoare la data de 7 iulie 2013, după publicarea în Jurnalul Oficial L 165 din data de 18 iunie 2013. Această decizie stabilește nivelurile de referință propuse de statele membre pentru gestionarea pădurilor, valorile minime pentru definirea pădurii și anul sau perioada de referință în ceea ce privește emisiile în anexele II, V și, respectiv, VI.</w:t>
      </w:r>
    </w:p>
    <w:p>
      <w:pPr>
        <w:rPr>
          <w:noProof/>
        </w:rPr>
      </w:pPr>
      <w:r>
        <w:rPr>
          <w:noProof/>
          <w:color w:val="000000"/>
        </w:rPr>
        <w:t xml:space="preserve">În urma aderării Republicii Croația la Uniunea Europeană la data de 1 iulie 2013, anexele II, V și VI la Decizia nr. 529/2013/UE ar trebui să includă, de asemenea, nivelul de referință, valorile pentru definirea pădurii și, respectiv, anul de referință al emisiilor care sunt specifice Croației. Această informație a fost transmisă de Croația Comisiei Europene. </w:t>
      </w:r>
    </w:p>
    <w:p>
      <w:pPr>
        <w:pStyle w:val="Point0number"/>
        <w:numPr>
          <w:ilvl w:val="0"/>
          <w:numId w:val="10"/>
        </w:numPr>
        <w:rPr>
          <w:noProof/>
        </w:rPr>
      </w:pPr>
      <w:r>
        <w:rPr>
          <w:noProof/>
        </w:rPr>
        <w:t xml:space="preserve">Valoarea propusă pentru nivelul de referință este în conformitate cu valoarea înscrisă în apendicele la Decizia 2/CMP.7 privind exploatarea terenurilor, schimbarea destinației terenurilor și silvicultură și valorile pentru definirea pădurii și anul de referință sunt în conformitate cu valorile specificate în Raportul inițial prezentat de Republica Croația în temeiul Protocolului de la Kyoto. </w:t>
      </w:r>
    </w:p>
    <w:p>
      <w:pPr>
        <w:rPr>
          <w:noProof/>
          <w:color w:val="008000"/>
        </w:rPr>
      </w:pPr>
      <w:r>
        <w:rPr>
          <w:noProof/>
        </w:rPr>
        <w:t xml:space="preserve">Temeiul juridic al modificării este articolul 50 din Actul de aderare a Croației. Modificarea trebuie să fie adoptată de Consiliu, la propunerea Comisiei. </w:t>
      </w:r>
    </w:p>
    <w:p>
      <w:pPr>
        <w:pStyle w:val="ManualHeading1"/>
        <w:rPr>
          <w:noProof/>
        </w:rPr>
      </w:pPr>
      <w:r>
        <w:rPr>
          <w:noProof/>
        </w:rPr>
        <w:t>1.</w:t>
      </w:r>
      <w:r>
        <w:rPr>
          <w:noProof/>
        </w:rPr>
        <w:tab/>
        <w:t>CONTEXTUL PROPUNERII</w:t>
      </w:r>
    </w:p>
    <w:p>
      <w:pPr>
        <w:rPr>
          <w:noProof/>
          <w:color w:val="000000"/>
        </w:rPr>
      </w:pPr>
      <w:r>
        <w:rPr>
          <w:noProof/>
        </w:rPr>
        <w:t>Decizia nr. 529/2013/UE a Parlamentului European și a Consiliului din 21 mai 2013 privind normele de contabilizare și planurile de acțiune referitoare la emisiile și absorbțiile de gaze cu efect de seră care rezultă din activități legate de exploatarea terenurilor, schimbarea destinației terenurilor și silvicultură a intrat în vigoare la data de 7 iulie 2013, după publicarea în Jurnalul Oficial L 165 din data de 18 iunie 2013. Această decizie stabilește nivelurile de referință propuse de statele membre pentru gestionarea pădurilor, valorile minime pentru definirea pădurii și anul sau perioada de referință în ceea ce privește emisiile în anexele II, V și, respectiv, VI.</w:t>
      </w:r>
    </w:p>
    <w:p>
      <w:pPr>
        <w:rPr>
          <w:noProof/>
        </w:rPr>
      </w:pPr>
      <w:r>
        <w:rPr>
          <w:noProof/>
        </w:rPr>
        <w:t xml:space="preserve">În urma aderării Republicii Croația la Uniunea Europeană la data de 1 iulie 2013, anexele II, V și VI la Decizia nr. 529/2013/UE ar trebui să includă, de asemenea, nivelul de referință, valorile pentru definirea pădurii și, respectiv, anul de referință al emisiilor care sunt specifice Croației. Această informație a fost transmisă de Croația Comisiei Europene. </w:t>
      </w:r>
    </w:p>
    <w:p>
      <w:pPr>
        <w:pStyle w:val="ManualHeading1"/>
        <w:rPr>
          <w:noProof/>
        </w:rPr>
      </w:pPr>
      <w:r>
        <w:rPr>
          <w:noProof/>
        </w:rPr>
        <w:t>2.</w:t>
      </w:r>
      <w:r>
        <w:rPr>
          <w:noProof/>
        </w:rPr>
        <w:tab/>
        <w:t>TEMEI JURIDIC, SUBSIDIARITATE ȘI PROPORȚIONALITATE</w:t>
      </w:r>
    </w:p>
    <w:p>
      <w:pPr>
        <w:rPr>
          <w:noProof/>
          <w:color w:val="008000"/>
        </w:rPr>
      </w:pPr>
      <w:r>
        <w:rPr>
          <w:noProof/>
        </w:rPr>
        <w:t xml:space="preserve">Temeiul juridic al modificării este articolul 50 din Actul de aderare a Croației. Modificarea trebuie să fie adoptată de Consiliu, la propunerea Comisiei. </w:t>
      </w:r>
    </w:p>
    <w:p>
      <w:pPr>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t>2015/0315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 xml:space="preserve">de modificare a Deciziei nr. 529/2013/UE în vederea includerii nivelurilor de referință pentru gestionarea pădurilor, a valorilor minime pentru definirea pădurii și a anului de referință al emisiilor pentru Republica Croația </w:t>
      </w:r>
    </w:p>
    <w:p>
      <w:pPr>
        <w:pStyle w:val="Institutionquiagit"/>
        <w:rPr>
          <w:noProof/>
        </w:rPr>
      </w:pPr>
      <w:r>
        <w:rPr>
          <w:noProof/>
        </w:rPr>
        <w:t>CONSILIUL UNIUNII EUROPENE,</w:t>
      </w:r>
    </w:p>
    <w:p>
      <w:pPr>
        <w:rPr>
          <w:noProof/>
          <w:color w:val="000000" w:themeColor="text1"/>
        </w:rPr>
      </w:pPr>
      <w:r>
        <w:rPr>
          <w:noProof/>
        </w:rPr>
        <w:t>având în vedere Actul de aderare a Republicii Croația, în special articolul 50,</w:t>
      </w:r>
    </w:p>
    <w:p>
      <w:pPr>
        <w:rPr>
          <w:noProof/>
          <w:color w:val="000000" w:themeColor="text1"/>
        </w:rPr>
      </w:pPr>
      <w:r>
        <w:rPr>
          <w:noProof/>
          <w:color w:val="000000" w:themeColor="text1"/>
        </w:rPr>
        <w:t>întrucât:</w:t>
      </w:r>
    </w:p>
    <w:p>
      <w:pPr>
        <w:pStyle w:val="ManualConsidrant"/>
        <w:rPr>
          <w:noProof/>
          <w:color w:val="000000" w:themeColor="text1"/>
        </w:rPr>
      </w:pPr>
      <w:r>
        <w:t>(1)</w:t>
      </w:r>
      <w:r>
        <w:tab/>
      </w:r>
      <w:r>
        <w:rPr>
          <w:noProof/>
        </w:rPr>
        <w:t>Decizia nr. 529/2013/UE stabilește nivelurile de referință propuse de statele membre pentru gestionarea pădurilor, valorile minime pentru definirea pădurii și anul sau perioada de referință în ceea ce privește emisiile în anexele II, V și, respectiv, VI.</w:t>
      </w:r>
    </w:p>
    <w:p>
      <w:pPr>
        <w:pStyle w:val="ManualConsidrant"/>
        <w:rPr>
          <w:noProof/>
          <w:color w:val="000000" w:themeColor="text1"/>
        </w:rPr>
      </w:pPr>
      <w:r>
        <w:t>(2)</w:t>
      </w:r>
      <w:r>
        <w:tab/>
      </w:r>
      <w:r>
        <w:rPr>
          <w:noProof/>
        </w:rPr>
        <w:t>În urma aderării Republicii Croația la Uniunea Europeană la data de 1 iulie 2013, anexele II, V și VI la Decizia nr. 529/2013/UE ar trebui să includă, de asemenea, nivelul de referință, valorile pentru definirea pădurii și, respectiv, anul de referință al emisiilor care sunt specifice Croației.</w:t>
      </w:r>
    </w:p>
    <w:p>
      <w:pPr>
        <w:pStyle w:val="ManualConsidrant"/>
        <w:rPr>
          <w:noProof/>
          <w:color w:val="000000" w:themeColor="text1"/>
        </w:rPr>
      </w:pPr>
      <w:r>
        <w:t>(3)</w:t>
      </w:r>
      <w:r>
        <w:tab/>
      </w:r>
      <w:r>
        <w:rPr>
          <w:noProof/>
        </w:rPr>
        <w:t>Decizia nr. 529/2013/UE ar trebui modificată în consecință,</w:t>
      </w:r>
      <w:r>
        <w:rPr>
          <w:noProof/>
          <w:color w:val="000000" w:themeColor="text1"/>
        </w:rPr>
        <w:t xml:space="preserve"> </w:t>
      </w:r>
      <w:r>
        <w:rPr>
          <w:noProof/>
          <w:color w:val="000000" w:themeColor="text1"/>
        </w:rPr>
        <w:br/>
      </w:r>
    </w:p>
    <w:p>
      <w:pPr>
        <w:pStyle w:val="Formuledadoption"/>
        <w:rPr>
          <w:noProof/>
        </w:rPr>
      </w:pPr>
      <w:r>
        <w:rPr>
          <w:noProof/>
        </w:rPr>
        <w:t xml:space="preserve">ADOPTĂ PREZENTA DECIZIE: </w:t>
      </w:r>
    </w:p>
    <w:p>
      <w:pPr>
        <w:pStyle w:val="Titrearticle"/>
        <w:rPr>
          <w:noProof/>
        </w:rPr>
      </w:pPr>
      <w:r>
        <w:rPr>
          <w:noProof/>
        </w:rPr>
        <w:t>Articolul 1</w:t>
      </w:r>
    </w:p>
    <w:p>
      <w:pPr>
        <w:rPr>
          <w:rFonts w:eastAsia="Times New Roman"/>
          <w:noProof/>
          <w:szCs w:val="24"/>
        </w:rPr>
      </w:pPr>
      <w:r>
        <w:rPr>
          <w:noProof/>
        </w:rPr>
        <w:t>În anexa II la Decizia nr. 529/2013/UE se introduce următorul text după mențiunea referitoare la Bulgaria:</w:t>
      </w:r>
    </w:p>
    <w:p>
      <w:r>
        <w:rPr>
          <w:noProof/>
        </w:rPr>
        <w:t>„Croația</w:t>
      </w:r>
      <w:r>
        <w:rPr>
          <w:noProof/>
        </w:rPr>
        <w:tab/>
        <w:t>- 6 289 ”.</w:t>
      </w:r>
    </w:p>
    <w:p/>
    <w:p>
      <w:pPr>
        <w:rPr>
          <w:rFonts w:eastAsia="Times New Roman"/>
          <w:noProof/>
          <w:szCs w:val="24"/>
        </w:rPr>
      </w:pPr>
      <w:r>
        <w:rPr>
          <w:noProof/>
        </w:rPr>
        <w:t>În anexa V la Decizia nr. 529/2013/UE se introduce următorul text pentru suprafață (ha), proiecția coroanelor copacilor (%) și, respectiv, înălțimea copacilor (m), după mențiunea referitoare la Bulgaria:</w:t>
      </w:r>
    </w:p>
    <w:p>
      <w:pPr>
        <w:rPr>
          <w:rFonts w:eastAsia="Times New Roman"/>
          <w:noProof/>
          <w:szCs w:val="24"/>
        </w:rPr>
      </w:pPr>
      <w:r>
        <w:rPr>
          <w:noProof/>
        </w:rPr>
        <w:t>„Croația</w:t>
      </w:r>
      <w:r>
        <w:rPr>
          <w:noProof/>
        </w:rPr>
        <w:tab/>
        <w:t>0,1   10  2”.</w:t>
      </w:r>
    </w:p>
    <w:p>
      <w:pPr>
        <w:rPr>
          <w:noProof/>
        </w:rPr>
      </w:pPr>
    </w:p>
    <w:p>
      <w:pPr>
        <w:rPr>
          <w:rFonts w:eastAsia="Times New Roman"/>
          <w:noProof/>
          <w:szCs w:val="24"/>
        </w:rPr>
      </w:pPr>
      <w:r>
        <w:rPr>
          <w:noProof/>
        </w:rPr>
        <w:t>În anexa VI la Decizia nr. 529/2013/UE se introduce următorul text după mențiunea referitoare la Bulgaria:</w:t>
      </w:r>
    </w:p>
    <w:p>
      <w:pPr>
        <w:rPr>
          <w:rFonts w:eastAsia="Times New Roman"/>
          <w:noProof/>
          <w:szCs w:val="24"/>
        </w:rPr>
      </w:pPr>
      <w:r>
        <w:rPr>
          <w:noProof/>
        </w:rPr>
        <w:t>„Croația</w:t>
      </w:r>
      <w:r>
        <w:rPr>
          <w:noProof/>
        </w:rPr>
        <w:tab/>
        <w:t>1990”.</w:t>
      </w:r>
    </w:p>
    <w:p>
      <w:pPr>
        <w:rPr>
          <w:noProof/>
          <w:color w:val="008000"/>
        </w:rPr>
      </w:pPr>
    </w:p>
    <w:p>
      <w:pPr>
        <w:keepNext/>
        <w:rPr>
          <w:noProof/>
        </w:rPr>
      </w:pPr>
      <w:r>
        <w:rPr>
          <w:noProof/>
        </w:rPr>
        <w:t>Prezenta decizie se adresează statelor membre.</w:t>
      </w:r>
    </w:p>
    <w:p>
      <w:pPr>
        <w:pStyle w:val="Fait"/>
        <w:rPr>
          <w:noProof/>
        </w:rPr>
      </w:pPr>
      <w:r>
        <w:rPr>
          <w:noProof/>
        </w:rPr>
        <w:t>Adoptată la Bruxelles,</w:t>
      </w:r>
    </w:p>
    <w:p>
      <w:pPr>
        <w:pStyle w:val="Institutionquisigne"/>
        <w:rPr>
          <w:noProof/>
        </w:rPr>
      </w:pPr>
      <w:r>
        <w:rPr>
          <w:noProof/>
        </w:rPr>
        <w:tab/>
        <w:t>Pentru Comisie,</w:t>
      </w:r>
    </w:p>
    <w:p>
      <w:pPr>
        <w:pStyle w:val="Personnequisigne"/>
        <w:keepNext/>
        <w:ind w:left="4252"/>
        <w:rPr>
          <w:noProof/>
        </w:rPr>
      </w:pPr>
      <w:r>
        <w:rPr>
          <w:noProof/>
        </w:rPr>
        <w:tab/>
      </w:r>
      <w:r>
        <w:rPr>
          <w:noProof/>
        </w:rPr>
        <w:br/>
        <w:t>Membru al Comisiei</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0B2252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A6E18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ECB510"/>
    <w:lvl w:ilvl="0">
      <w:start w:val="1"/>
      <w:numFmt w:val="decimal"/>
      <w:pStyle w:val="ListNumber2"/>
      <w:lvlText w:val="%1."/>
      <w:lvlJc w:val="left"/>
      <w:pPr>
        <w:tabs>
          <w:tab w:val="num" w:pos="643"/>
        </w:tabs>
        <w:ind w:left="643" w:hanging="360"/>
      </w:pPr>
    </w:lvl>
  </w:abstractNum>
  <w:abstractNum w:abstractNumId="3">
    <w:nsid w:val="FFFFFF81"/>
    <w:multiLevelType w:val="singleLevel"/>
    <w:tmpl w:val="C5AE349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910CF5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55CE2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1EE6690"/>
    <w:lvl w:ilvl="0">
      <w:start w:val="1"/>
      <w:numFmt w:val="decimal"/>
      <w:pStyle w:val="ListNumber"/>
      <w:lvlText w:val="%1."/>
      <w:lvlJc w:val="left"/>
      <w:pPr>
        <w:tabs>
          <w:tab w:val="num" w:pos="360"/>
        </w:tabs>
        <w:ind w:left="360" w:hanging="360"/>
      </w:pPr>
    </w:lvl>
  </w:abstractNum>
  <w:abstractNum w:abstractNumId="7">
    <w:nsid w:val="FFFFFF89"/>
    <w:multiLevelType w:val="singleLevel"/>
    <w:tmpl w:val="20744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05 10:07:1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89531D443CA9487D956E63515D1EC2AA"/>
    <w:docVar w:name="LW_CROSSREFERENCE" w:val="&lt;UNUSED&gt;"/>
    <w:docVar w:name="LW_DocType" w:val="COM"/>
    <w:docVar w:name="LW_EMISSION" w:val="12.1.2016"/>
    <w:docVar w:name="LW_EMISSION_ISODATE" w:val="2016-01-12"/>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315"/>
    <w:docVar w:name="LW_REF.II.NEW.CP_YEAR" w:val="2015"/>
    <w:docVar w:name="LW_REF.INST.NEW" w:val="COM"/>
    <w:docVar w:name="LW_REF.INST.NEW_ADOPTED" w:val="final"/>
    <w:docVar w:name="LW_REF.INST.NEW_TEXT" w:val="(2015) 687"/>
    <w:docVar w:name="LW_REF.INTERNE" w:val="&lt;UNUSED&gt;"/>
    <w:docVar w:name="LW_SOUS.TITRE.OBJ.CP" w:val="&lt;UNUSED&gt;"/>
    <w:docVar w:name="LW_STATUT.CP" w:val="Propunere de"/>
    <w:docVar w:name="LW_SUPERTITRE" w:val="&lt;UNUSED&gt;"/>
    <w:docVar w:name="LW_TITRE.OBJ.CP" w:val="de modificare a Deciziei nr. 529/2013/UE în vederea includerii nivelurilor de referin\u539?\u259? pentru gestionarea p\u259?durilor, a valorilor minime pentru definirea p\u259?durii \u537?i a anului de referin\u539?\u259? al emisiilor pentru Republica Croa\u539?ia "/>
    <w:docVar w:name="LW_TYPE.DOC.CP" w:val="DECIZI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4</Pages>
  <Words>675</Words>
  <Characters>3863</Characters>
  <Application>Microsoft Office Word</Application>
  <DocSecurity>0</DocSecurity>
  <Lines>78</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2015-11-30T09:26:00Z</cp:lastPrinted>
  <dcterms:created xsi:type="dcterms:W3CDTF">2015-12-22T14:17:00Z</dcterms:created>
  <dcterms:modified xsi:type="dcterms:W3CDTF">2016-01-05T09:07:00Z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Green (DQC version 03)</vt:lpwstr>
  </property>
  <property name="OP_sanitized" fmtid="{D5CDD505-2E9C-101B-9397-08002B2CF9AE}" pid="11">
    <vt:lpwstr>True</vt:lpwstr>
  </property>
</Properties>
</file>