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C2902" w14:textId="7B0AFA42" w:rsidR="0029533F" w:rsidRPr="008666FE" w:rsidRDefault="00461357" w:rsidP="00461357">
      <w:pPr>
        <w:pStyle w:val="Pagedecouverture"/>
        <w:rPr>
          <w:noProof/>
        </w:rPr>
      </w:pPr>
      <w:r>
        <w:rPr>
          <w:noProof/>
        </w:rPr>
        <w:pict w14:anchorId="128ABB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0AB167F8-7445-488F-A51B-41586CCED14C" style="width:455.25pt;height:355.5pt">
            <v:imagedata r:id="rId8" o:title=""/>
          </v:shape>
        </w:pict>
      </w:r>
    </w:p>
    <w:p w14:paraId="468DFBE8" w14:textId="77777777" w:rsidR="00A054E7" w:rsidRPr="008666FE" w:rsidRDefault="00A054E7">
      <w:pPr>
        <w:rPr>
          <w:noProof/>
        </w:rPr>
        <w:sectPr w:rsidR="00A054E7" w:rsidRPr="008666FE" w:rsidSect="0046135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5005C660" w14:textId="00DB56D5" w:rsidR="00A054E7" w:rsidRPr="008666FE" w:rsidRDefault="008666FE" w:rsidP="008666FE">
      <w:pPr>
        <w:pStyle w:val="Typedudocument"/>
        <w:rPr>
          <w:noProof/>
        </w:rPr>
      </w:pPr>
      <w:bookmarkStart w:id="0" w:name="_GoBack"/>
      <w:bookmarkEnd w:id="0"/>
      <w:r w:rsidRPr="008666FE">
        <w:rPr>
          <w:noProof/>
        </w:rPr>
        <w:lastRenderedPageBreak/>
        <w:t>REGULAMENTO DE EXECUÇÃO (UE) …/... DA COMISSÃO</w:t>
      </w:r>
    </w:p>
    <w:p w14:paraId="08983B94" w14:textId="2FB0D18F" w:rsidR="00A054E7" w:rsidRPr="008666FE" w:rsidRDefault="00654CC4" w:rsidP="008666FE">
      <w:pPr>
        <w:pStyle w:val="Datedadoption"/>
        <w:rPr>
          <w:noProof/>
        </w:rPr>
      </w:pPr>
      <w:r>
        <w:t>de 17.10.2023</w:t>
      </w:r>
    </w:p>
    <w:p w14:paraId="5332430E" w14:textId="304D8A51" w:rsidR="00A054E7" w:rsidRPr="008666FE" w:rsidRDefault="008666FE" w:rsidP="008666FE">
      <w:pPr>
        <w:pStyle w:val="Titreobjet"/>
        <w:rPr>
          <w:noProof/>
        </w:rPr>
      </w:pPr>
      <w:r w:rsidRPr="008666FE">
        <w:rPr>
          <w:noProof/>
        </w:rPr>
        <w:t>que altera e retifica o Regulamento de Execução (UE) 2022/1475 no respeitante à descrição da estrutura dos códigos orçamentais e ao tipo e formato das informações a prestar para efeitos de acompanhamento e de avaliação dos planos estratégicos da PAC</w:t>
      </w:r>
    </w:p>
    <w:p w14:paraId="4A4342F5" w14:textId="77777777" w:rsidR="00A054E7" w:rsidRPr="008666FE" w:rsidRDefault="0022699E" w:rsidP="00F96495">
      <w:pPr>
        <w:pStyle w:val="Institutionquiagit"/>
        <w:rPr>
          <w:noProof/>
        </w:rPr>
      </w:pPr>
      <w:r w:rsidRPr="008666FE">
        <w:rPr>
          <w:noProof/>
        </w:rPr>
        <w:t>A COMISSÃO EUROPEIA,</w:t>
      </w:r>
    </w:p>
    <w:p w14:paraId="116C86CD" w14:textId="77777777" w:rsidR="00A054E7" w:rsidRPr="008666FE" w:rsidRDefault="00A054E7" w:rsidP="004E1EF9">
      <w:pPr>
        <w:rPr>
          <w:noProof/>
        </w:rPr>
      </w:pPr>
      <w:r w:rsidRPr="008666FE">
        <w:rPr>
          <w:noProof/>
        </w:rPr>
        <w:t>Tendo em conta o Tratado sobre o Funcionamento da União Europeia,</w:t>
      </w:r>
    </w:p>
    <w:p w14:paraId="0B7C1921" w14:textId="77777777" w:rsidR="00A054E7" w:rsidRPr="008666FE" w:rsidRDefault="00A054E7" w:rsidP="004E1EF9">
      <w:pPr>
        <w:rPr>
          <w:noProof/>
        </w:rPr>
      </w:pPr>
      <w:r w:rsidRPr="008666FE">
        <w:rPr>
          <w:noProof/>
        </w:rPr>
        <w:t>Tendo em conta o Regulamento (UE) 2021/2115 do Parlamento Europeu e do Conselho, de 2 de dezembro de 2021, que estabelece regras para apoiar os planos estratégicos a elaborar pelos Estados-Membros no âmbito da política agrícola comum (planos estratégicos da PAC) e financiados pelo Fundo Europeu Agrícola de Garantia (FEAGA) e pelo Fundo Europeu Agrícola de Desenvolvimento Rural (FEADER), e que revoga os Regulamentos (UE) n.º 1305/2013 e (UE) n.º 1307/2013</w:t>
      </w:r>
      <w:r w:rsidRPr="008666FE">
        <w:rPr>
          <w:rStyle w:val="FootnoteReference"/>
          <w:noProof/>
        </w:rPr>
        <w:footnoteReference w:id="1"/>
      </w:r>
      <w:r w:rsidRPr="008666FE">
        <w:rPr>
          <w:noProof/>
        </w:rPr>
        <w:t>, nomeadamente o artigo 133.º e o artigo 134.º, n.º 4,</w:t>
      </w:r>
    </w:p>
    <w:p w14:paraId="32DCB25F" w14:textId="77777777" w:rsidR="00A054E7" w:rsidRPr="008666FE" w:rsidRDefault="00A054E7" w:rsidP="004E1EF9">
      <w:pPr>
        <w:rPr>
          <w:noProof/>
        </w:rPr>
      </w:pPr>
      <w:r w:rsidRPr="008666FE">
        <w:rPr>
          <w:noProof/>
        </w:rPr>
        <w:t>Considerando o seguinte:</w:t>
      </w:r>
    </w:p>
    <w:p w14:paraId="57B3C6DE" w14:textId="5CCD8A2F" w:rsidR="00A054E7" w:rsidRPr="008666FE" w:rsidRDefault="00767398" w:rsidP="00767398">
      <w:pPr>
        <w:pStyle w:val="ManualConsidrant"/>
        <w:rPr>
          <w:noProof/>
        </w:rPr>
      </w:pPr>
      <w:r w:rsidRPr="00767398">
        <w:t>(1)</w:t>
      </w:r>
      <w:r w:rsidRPr="00767398">
        <w:tab/>
      </w:r>
      <w:r w:rsidR="006B2062" w:rsidRPr="008666FE">
        <w:rPr>
          <w:noProof/>
        </w:rPr>
        <w:t>O número de dígitos atribuído ao código orçamental no anexo IV, ponto 2, alínea a), subalínea iv), do Regulamento de Execução (UE) 2022/1475 da Comissão</w:t>
      </w:r>
      <w:r w:rsidR="006B2062" w:rsidRPr="008666FE">
        <w:rPr>
          <w:rStyle w:val="FootnoteReference"/>
          <w:noProof/>
        </w:rPr>
        <w:footnoteReference w:id="2"/>
      </w:r>
      <w:r w:rsidR="006B2062" w:rsidRPr="008666FE">
        <w:rPr>
          <w:noProof/>
        </w:rPr>
        <w:t xml:space="preserve"> revelou-se insuficiente para satisfazer as necessidades dos Estados-Membros no que respeita ao número de montantes unitários para intervenções da PAC. Por conseguinte, para garantir a clareza e a coerência, na descrição do código orçamental a comunicar deve-se suprimir a referência ao número de dígitos, bem como alterar o ponto 2, alínea a), subalínea iv), do referido anexo em conformidade.</w:t>
      </w:r>
    </w:p>
    <w:p w14:paraId="26E1231E" w14:textId="54625E6E" w:rsidR="00A054E7" w:rsidRPr="008666FE" w:rsidRDefault="00767398" w:rsidP="00767398">
      <w:pPr>
        <w:pStyle w:val="ManualConsidrant"/>
        <w:rPr>
          <w:noProof/>
        </w:rPr>
      </w:pPr>
      <w:r w:rsidRPr="00767398">
        <w:t>(2)</w:t>
      </w:r>
      <w:r w:rsidRPr="00767398">
        <w:tab/>
      </w:r>
      <w:r w:rsidR="00A26ED1" w:rsidRPr="008666FE">
        <w:rPr>
          <w:noProof/>
        </w:rPr>
        <w:t>O anexo V, ponto 7, do Regulamento de Execução (UE) 2022/1475 prevê a apresentação de um relatório anual com informações sobre o mercado em relação aos outros setores a que se refere o artigo 42.º, alínea f), do Regulamento (UE) 2021/2115. Para poder avaliar a taxa de organização nos setores das frutas e produtos hortícolas, do lúpulo e do azeite e azeitonas de mesa, o que permitirá avaliar melhor a abrangência da política agrícola comum, será necessário recolher dados sobre a superfície total afeta à produção de frutas e produtos hortícolas, lúpulo e azeite e azeitonas de mesa pelos produtores organizados em organizações de produtores, organizações transnacionais de produtores, associações de organizações de produtores e associações transnacionais de organizações de produtores. Para assegurar a recolha destes dados, é necessário alterar o «Formulário A.7.», que consta do ponto 7 do referido anexo.</w:t>
      </w:r>
    </w:p>
    <w:p w14:paraId="260D0207" w14:textId="08558880" w:rsidR="00AE6C40" w:rsidRPr="008666FE" w:rsidRDefault="00767398" w:rsidP="00767398">
      <w:pPr>
        <w:pStyle w:val="ManualConsidrant"/>
        <w:rPr>
          <w:noProof/>
        </w:rPr>
      </w:pPr>
      <w:r w:rsidRPr="00767398">
        <w:t>(3)</w:t>
      </w:r>
      <w:r w:rsidRPr="00767398">
        <w:tab/>
      </w:r>
      <w:r w:rsidR="003466F3" w:rsidRPr="008666FE">
        <w:rPr>
          <w:noProof/>
        </w:rPr>
        <w:t>Para garantir a recolha dos dados sobre o orçamento dos grupos operacionais transfronteiriços/transnacionais e o orçamento total dos grupos operacionais que não os apoiados pelo FEADER, os Estados-Membros devem apresentar mais informação sobre o financiamento adicional não nacional ou contribuições privadas. O anexo VI, ponto 1, alínea n), subalínea iv), e alínea p), do Regulamento de Execução (UE) 2022/1475 deve, por conseguinte, ser alterado.</w:t>
      </w:r>
    </w:p>
    <w:p w14:paraId="5C138EFF" w14:textId="4793B362" w:rsidR="00E06C43" w:rsidRPr="008666FE" w:rsidRDefault="00767398" w:rsidP="00767398">
      <w:pPr>
        <w:pStyle w:val="ManualConsidrant"/>
        <w:rPr>
          <w:noProof/>
        </w:rPr>
      </w:pPr>
      <w:r w:rsidRPr="00767398">
        <w:t>(4)</w:t>
      </w:r>
      <w:r w:rsidRPr="00767398">
        <w:tab/>
      </w:r>
      <w:r w:rsidR="00E06C43" w:rsidRPr="008666FE">
        <w:rPr>
          <w:noProof/>
        </w:rPr>
        <w:t>Nos termos do artigo 2.º, alínea d), do Regulamento de Execução (UE) 2022/1475, os Estados-Membros devem, se for caso disso, como parte da análise dos planos estratégicos da PAC, realizar uma avaliação das intervenções ou tópicos específicos desses planos estratégicos. O anexo II, ponto 4, alínea b), deste regulamento de execução inclui uma referência errada ao artigo 2.º, alínea e), do mesmo regulamento, devendo fazer referência à alínea d) daquele artigo. Por razões de clareza e de coerência, importa alterar em conformidade o ponto 4, alínea b), desse anexo.</w:t>
      </w:r>
    </w:p>
    <w:p w14:paraId="7561BF46" w14:textId="348403D4" w:rsidR="00A054E7" w:rsidRPr="008666FE" w:rsidRDefault="00767398" w:rsidP="00767398">
      <w:pPr>
        <w:pStyle w:val="ManualConsidrant"/>
        <w:rPr>
          <w:noProof/>
        </w:rPr>
      </w:pPr>
      <w:r w:rsidRPr="00767398">
        <w:t>(5)</w:t>
      </w:r>
      <w:r w:rsidRPr="00767398">
        <w:tab/>
      </w:r>
      <w:r w:rsidR="00A054E7" w:rsidRPr="008666FE">
        <w:rPr>
          <w:noProof/>
        </w:rPr>
        <w:t>Será também necessário corrigir alguns erros constantes das disposições relativas aos descritores das variáveis estabelecidas nos anexos II, IV e VI do Regulamento de Execução (UE) 2022/1475.</w:t>
      </w:r>
    </w:p>
    <w:p w14:paraId="41F3DD2F" w14:textId="1D1B1F14" w:rsidR="00A054E7" w:rsidRPr="008666FE" w:rsidRDefault="00767398" w:rsidP="00767398">
      <w:pPr>
        <w:pStyle w:val="ManualConsidrant"/>
        <w:rPr>
          <w:noProof/>
        </w:rPr>
      </w:pPr>
      <w:r w:rsidRPr="00767398">
        <w:t>(6)</w:t>
      </w:r>
      <w:r w:rsidRPr="00767398">
        <w:tab/>
      </w:r>
      <w:r w:rsidR="00A054E7" w:rsidRPr="008666FE">
        <w:rPr>
          <w:noProof/>
        </w:rPr>
        <w:t>O Regulamento de Execução (UE) 2022/1475 deve, pois, ser alterado e retificado em conformidade.</w:t>
      </w:r>
    </w:p>
    <w:p w14:paraId="43793E8C" w14:textId="62D193AC" w:rsidR="00A054E7" w:rsidRPr="008666FE" w:rsidRDefault="00767398" w:rsidP="00767398">
      <w:pPr>
        <w:pStyle w:val="ManualConsidrant"/>
        <w:rPr>
          <w:noProof/>
        </w:rPr>
      </w:pPr>
      <w:r w:rsidRPr="00767398">
        <w:t>(7)</w:t>
      </w:r>
      <w:r w:rsidRPr="00767398">
        <w:tab/>
      </w:r>
      <w:r w:rsidR="00A054E7" w:rsidRPr="008666FE">
        <w:rPr>
          <w:noProof/>
        </w:rPr>
        <w:t>As medidas previstas no presente regulamento estão em conformidade com o parecer do Comité da Política Agrícola Comum,</w:t>
      </w:r>
    </w:p>
    <w:p w14:paraId="1D615EF9" w14:textId="77777777" w:rsidR="00987668" w:rsidRPr="008666FE" w:rsidRDefault="00A054E7" w:rsidP="00C335C0">
      <w:pPr>
        <w:pStyle w:val="Formuledadoption"/>
        <w:rPr>
          <w:noProof/>
        </w:rPr>
      </w:pPr>
      <w:r w:rsidRPr="008666FE">
        <w:rPr>
          <w:noProof/>
        </w:rPr>
        <w:t>ADOTOU O PRESENTE REGULAMENTO:</w:t>
      </w:r>
    </w:p>
    <w:p w14:paraId="3B852F54" w14:textId="77777777" w:rsidR="00A054E7" w:rsidRPr="008666FE" w:rsidRDefault="00A054E7" w:rsidP="004E1EF9">
      <w:pPr>
        <w:pStyle w:val="Titrearticle"/>
        <w:rPr>
          <w:noProof/>
        </w:rPr>
      </w:pPr>
      <w:r w:rsidRPr="008666FE">
        <w:rPr>
          <w:noProof/>
        </w:rPr>
        <w:t>Artigo 1.º</w:t>
      </w:r>
    </w:p>
    <w:p w14:paraId="7F757E2E" w14:textId="77777777" w:rsidR="00A054E7" w:rsidRPr="008666FE" w:rsidRDefault="00A054E7" w:rsidP="009769A4">
      <w:pPr>
        <w:pStyle w:val="Titrearticle"/>
        <w:spacing w:before="0"/>
        <w:rPr>
          <w:b/>
          <w:bCs/>
          <w:noProof/>
        </w:rPr>
      </w:pPr>
      <w:r w:rsidRPr="008666FE">
        <w:rPr>
          <w:b/>
          <w:noProof/>
        </w:rPr>
        <w:t>Disposições de alteração</w:t>
      </w:r>
    </w:p>
    <w:p w14:paraId="5976B4A7" w14:textId="77777777" w:rsidR="00A054E7" w:rsidRPr="008666FE" w:rsidRDefault="00A054E7" w:rsidP="00A054E7">
      <w:pPr>
        <w:rPr>
          <w:noProof/>
        </w:rPr>
      </w:pPr>
      <w:r w:rsidRPr="008666FE">
        <w:rPr>
          <w:noProof/>
        </w:rPr>
        <w:t>O Regulamento de Execução (UE) 2022/1475 é alterado do seguinte modo:</w:t>
      </w:r>
    </w:p>
    <w:p w14:paraId="39FD53F1" w14:textId="6AB2A785" w:rsidR="00A054E7" w:rsidRPr="008666FE" w:rsidRDefault="00767398" w:rsidP="00767398">
      <w:pPr>
        <w:pStyle w:val="Point0"/>
        <w:rPr>
          <w:noProof/>
        </w:rPr>
      </w:pPr>
      <w:r w:rsidRPr="00767398">
        <w:t>(1)</w:t>
      </w:r>
      <w:r w:rsidRPr="00767398">
        <w:tab/>
      </w:r>
      <w:r w:rsidR="00A054E7" w:rsidRPr="008666FE">
        <w:rPr>
          <w:noProof/>
        </w:rPr>
        <w:t xml:space="preserve">No anexo IV, ponto 2, alínea a), a subalínea iv) passa a ter a seguinte redação: </w:t>
      </w:r>
    </w:p>
    <w:p w14:paraId="468A2642" w14:textId="77777777" w:rsidR="00A054E7" w:rsidRPr="008666FE" w:rsidRDefault="00A054E7" w:rsidP="007F7775">
      <w:pPr>
        <w:pStyle w:val="Point1"/>
        <w:rPr>
          <w:noProof/>
        </w:rPr>
      </w:pPr>
      <w:r w:rsidRPr="008666FE">
        <w:rPr>
          <w:noProof/>
        </w:rPr>
        <w:t>«iv) M040: código orçamental</w:t>
      </w:r>
    </w:p>
    <w:p w14:paraId="3CEA866C" w14:textId="77777777" w:rsidR="00A054E7" w:rsidRPr="008666FE" w:rsidRDefault="00A054E7" w:rsidP="007F7775">
      <w:pPr>
        <w:pStyle w:val="Point1"/>
        <w:ind w:left="851" w:firstLine="0"/>
        <w:rPr>
          <w:noProof/>
        </w:rPr>
      </w:pPr>
      <w:r w:rsidRPr="008666FE">
        <w:rPr>
          <w:noProof/>
        </w:rPr>
        <w:t>Este campo apresenta o código orçamental, que inclui a nomenclatura orçamental, o tipo de intervenção, o setor e subsetor, o indicador de realizações, a intervenção, o montante unitário, a redução do pagamento ou da taxa de contribuição, e o ano civil;»;</w:t>
      </w:r>
    </w:p>
    <w:p w14:paraId="0C33ABEA" w14:textId="2221186C" w:rsidR="00A054E7" w:rsidRPr="008666FE" w:rsidRDefault="00767398" w:rsidP="00767398">
      <w:pPr>
        <w:pStyle w:val="Point0"/>
        <w:rPr>
          <w:noProof/>
        </w:rPr>
      </w:pPr>
      <w:r w:rsidRPr="00767398">
        <w:t>(2)</w:t>
      </w:r>
      <w:r w:rsidRPr="00767398">
        <w:tab/>
      </w:r>
      <w:r w:rsidR="00A054E7" w:rsidRPr="008666FE">
        <w:rPr>
          <w:noProof/>
        </w:rPr>
        <w:t>No anexo V, o ponto 7 passa a ter a seguinte redação:</w:t>
      </w:r>
    </w:p>
    <w:p w14:paraId="3556D8D8" w14:textId="77777777" w:rsidR="00154E24" w:rsidRPr="008666FE" w:rsidRDefault="00A054E7" w:rsidP="001E5985">
      <w:pPr>
        <w:pStyle w:val="Point1"/>
        <w:ind w:left="851" w:firstLine="0"/>
        <w:rPr>
          <w:noProof/>
        </w:rPr>
      </w:pPr>
      <w:r w:rsidRPr="008666FE">
        <w:rPr>
          <w:noProof/>
        </w:rPr>
        <w:t>«7. Formulário A.7.</w:t>
      </w:r>
    </w:p>
    <w:p w14:paraId="5FC9B015" w14:textId="700435B1" w:rsidR="00A054E7" w:rsidRPr="008666FE" w:rsidRDefault="00A054E7" w:rsidP="001E5985">
      <w:pPr>
        <w:pStyle w:val="Point1"/>
        <w:ind w:left="851" w:firstLine="0"/>
        <w:rPr>
          <w:noProof/>
        </w:rPr>
      </w:pPr>
      <w:r w:rsidRPr="008666FE">
        <w:rPr>
          <w:noProof/>
        </w:rPr>
        <w:t>Este formulário diz respeito ao setor das frutas e dos produtos hortícolas, ao setor do lúpulo, ao setor do azeite e das azeitonas de mesa e aos outros setores referidos no artigo 42.º, alíneas a) e d) a f), do Regulamento (UE) 2021/2115, relativamente aos quais os Estados-Membros devem comunicar anualmente as seguintes informações de mercado referentes ao ano civil anterior:</w:t>
      </w:r>
    </w:p>
    <w:p w14:paraId="5774F8C2" w14:textId="32592D06" w:rsidR="00A054E7" w:rsidRPr="008666FE" w:rsidRDefault="00767398" w:rsidP="00767398">
      <w:pPr>
        <w:pStyle w:val="Point1"/>
        <w:rPr>
          <w:noProof/>
        </w:rPr>
      </w:pPr>
      <w:r w:rsidRPr="00767398">
        <w:t>(a)</w:t>
      </w:r>
      <w:r w:rsidRPr="00767398">
        <w:tab/>
      </w:r>
      <w:r w:rsidR="0085207F" w:rsidRPr="008666FE">
        <w:rPr>
          <w:noProof/>
        </w:rPr>
        <w:t>Superfície total (em hectares) afeta à produção de frutas e produtos hortícolas, por OP, AOP, OTP e ATOP (excluindo os cogumelos);</w:t>
      </w:r>
    </w:p>
    <w:p w14:paraId="3D78103B" w14:textId="68B63D43" w:rsidR="0085207F" w:rsidRPr="008666FE" w:rsidRDefault="00767398" w:rsidP="00767398">
      <w:pPr>
        <w:pStyle w:val="Point1"/>
        <w:rPr>
          <w:noProof/>
        </w:rPr>
      </w:pPr>
      <w:r w:rsidRPr="00767398">
        <w:t>(b)</w:t>
      </w:r>
      <w:r w:rsidRPr="00767398">
        <w:tab/>
      </w:r>
      <w:r w:rsidR="0085207F" w:rsidRPr="008666FE">
        <w:rPr>
          <w:noProof/>
        </w:rPr>
        <w:t>Superfície total (em hectares) afeta à produção de lúpulo, por OP, AOP, OTP e ATOP;</w:t>
      </w:r>
    </w:p>
    <w:p w14:paraId="42137489" w14:textId="4D58F4DA" w:rsidR="0085207F" w:rsidRPr="008666FE" w:rsidRDefault="00767398" w:rsidP="00767398">
      <w:pPr>
        <w:pStyle w:val="Point1"/>
        <w:rPr>
          <w:noProof/>
        </w:rPr>
      </w:pPr>
      <w:r w:rsidRPr="00767398">
        <w:t>(c)</w:t>
      </w:r>
      <w:r w:rsidRPr="00767398">
        <w:tab/>
      </w:r>
      <w:r w:rsidR="0085207F" w:rsidRPr="008666FE">
        <w:rPr>
          <w:noProof/>
        </w:rPr>
        <w:t>Superfície total (em hectares) afeta à produção de azeite e azeitonas de mesa, por OP, AOP, OTP e ATOP;</w:t>
      </w:r>
    </w:p>
    <w:p w14:paraId="7F6A8215" w14:textId="78B831BC" w:rsidR="0085207F" w:rsidRPr="008666FE" w:rsidRDefault="00767398" w:rsidP="00767398">
      <w:pPr>
        <w:pStyle w:val="Point1"/>
        <w:rPr>
          <w:noProof/>
        </w:rPr>
      </w:pPr>
      <w:r w:rsidRPr="00767398">
        <w:t>(d)</w:t>
      </w:r>
      <w:r w:rsidRPr="00767398">
        <w:tab/>
      </w:r>
      <w:r w:rsidR="0085207F" w:rsidRPr="008666FE">
        <w:rPr>
          <w:noProof/>
        </w:rPr>
        <w:t>No que respeita aos outros setores:</w:t>
      </w:r>
    </w:p>
    <w:p w14:paraId="340D696C" w14:textId="77777777" w:rsidR="00A054E7" w:rsidRPr="008666FE" w:rsidRDefault="0085207F">
      <w:pPr>
        <w:pStyle w:val="Tiret1"/>
        <w:numPr>
          <w:ilvl w:val="0"/>
          <w:numId w:val="6"/>
        </w:numPr>
        <w:ind w:left="1843" w:hanging="425"/>
        <w:rPr>
          <w:noProof/>
        </w:rPr>
      </w:pPr>
      <w:r w:rsidRPr="008666FE">
        <w:rPr>
          <w:noProof/>
        </w:rPr>
        <w:t>Setores das culturas referidas no artigo 1.º, n.º 2, alíneas a) a e), h), k) e m), do Regulamento (UE) n.º 1308/2013 e setores que abrangem os produtos enumerados no anexo VI do Regulamento (UE) 2021/2115, superfície total (em hectares) abrangida e/ou volume (em toneladas) produzido por OP, AOP , OTP e ATOP;</w:t>
      </w:r>
    </w:p>
    <w:p w14:paraId="01922F93" w14:textId="77777777" w:rsidR="00AE6C40" w:rsidRPr="008666FE" w:rsidRDefault="0085207F">
      <w:pPr>
        <w:pStyle w:val="Tiret1"/>
        <w:numPr>
          <w:ilvl w:val="0"/>
          <w:numId w:val="6"/>
        </w:numPr>
        <w:ind w:left="1843" w:hanging="425"/>
        <w:rPr>
          <w:noProof/>
        </w:rPr>
      </w:pPr>
      <w:r w:rsidRPr="008666FE">
        <w:rPr>
          <w:noProof/>
        </w:rPr>
        <w:t>Setores da pecuária referidos no artigo 1.º, n.º 2, alíneas o) a t) e w), do Regulamento (UE) n.º 1308/2013 e setores que abrangem os produtos enumerados no anexo VI do Regulamento (UE) 2021/2115, número total de animais e/ou volume (em toneladas) produzidos por OP, AOP, OTP e ATOP.»;</w:t>
      </w:r>
    </w:p>
    <w:p w14:paraId="6037DDFC" w14:textId="57B5E8FE" w:rsidR="00AE6C40" w:rsidRPr="008666FE" w:rsidRDefault="00767398" w:rsidP="00767398">
      <w:pPr>
        <w:pStyle w:val="Point0"/>
        <w:rPr>
          <w:noProof/>
        </w:rPr>
      </w:pPr>
      <w:r w:rsidRPr="00767398">
        <w:t>(3)</w:t>
      </w:r>
      <w:r w:rsidRPr="00767398">
        <w:tab/>
      </w:r>
      <w:r w:rsidR="00AE6C40" w:rsidRPr="008666FE">
        <w:rPr>
          <w:noProof/>
        </w:rPr>
        <w:t>No anexo VI, o ponto 1 é alterado do seguinte modo:</w:t>
      </w:r>
    </w:p>
    <w:p w14:paraId="5A4C069B" w14:textId="3F310C69" w:rsidR="00AE6C40" w:rsidRPr="008666FE" w:rsidRDefault="00767398" w:rsidP="00767398">
      <w:pPr>
        <w:pStyle w:val="Point1"/>
        <w:rPr>
          <w:noProof/>
        </w:rPr>
      </w:pPr>
      <w:r w:rsidRPr="00767398">
        <w:t>(a)</w:t>
      </w:r>
      <w:r w:rsidRPr="00767398">
        <w:tab/>
      </w:r>
      <w:r w:rsidR="008139BA" w:rsidRPr="008666FE">
        <w:rPr>
          <w:noProof/>
        </w:rPr>
        <w:t>Na alínea n), a subalínea iv) passa a ter a seguinte redação:</w:t>
      </w:r>
    </w:p>
    <w:p w14:paraId="31A6497E" w14:textId="77777777" w:rsidR="00AE6C40" w:rsidRPr="008666FE" w:rsidRDefault="00AE6C40" w:rsidP="00075A36">
      <w:pPr>
        <w:pStyle w:val="Point1"/>
        <w:ind w:firstLine="1"/>
        <w:rPr>
          <w:noProof/>
        </w:rPr>
      </w:pPr>
      <w:r w:rsidRPr="008666FE">
        <w:rPr>
          <w:noProof/>
        </w:rPr>
        <w:t>«iv) orçamento por Estado(s)-Membro(s)/região(ões) que faz(em) parte do projeto, em despesas públicas, somando todas as contribuições (FEADER, cofinanciamento nacional, financiamento nacional adicional e outro financiamento, se for caso disso);»;</w:t>
      </w:r>
    </w:p>
    <w:p w14:paraId="5E7D74AA" w14:textId="78A72485" w:rsidR="00075A36" w:rsidRPr="008666FE" w:rsidRDefault="00767398" w:rsidP="00767398">
      <w:pPr>
        <w:pStyle w:val="Point1"/>
        <w:rPr>
          <w:noProof/>
        </w:rPr>
      </w:pPr>
      <w:r w:rsidRPr="00767398">
        <w:t>(b)</w:t>
      </w:r>
      <w:r w:rsidRPr="00767398">
        <w:tab/>
      </w:r>
      <w:r w:rsidR="00AE6C40" w:rsidRPr="008666FE">
        <w:rPr>
          <w:noProof/>
        </w:rPr>
        <w:t>A alínea p) passa a ter a seguinte redação:</w:t>
      </w:r>
    </w:p>
    <w:p w14:paraId="5F8313FE" w14:textId="6928AD8B" w:rsidR="00A054E7" w:rsidRPr="008666FE" w:rsidRDefault="00AE6C40" w:rsidP="00075A36">
      <w:pPr>
        <w:pStyle w:val="Point1"/>
        <w:ind w:firstLine="1"/>
        <w:rPr>
          <w:noProof/>
        </w:rPr>
      </w:pPr>
      <w:r w:rsidRPr="008666FE">
        <w:rPr>
          <w:noProof/>
        </w:rPr>
        <w:t>«p) Orçamento total: contribuições totais do projeto (FEADER, cofinanciamento nacional, financiamento nacional adicional e outro financiamento, se for caso disso)».</w:t>
      </w:r>
    </w:p>
    <w:p w14:paraId="42A2EA37" w14:textId="77777777" w:rsidR="00A054E7" w:rsidRPr="008666FE" w:rsidRDefault="00A054E7" w:rsidP="004E1EF9">
      <w:pPr>
        <w:pStyle w:val="Titrearticle"/>
        <w:rPr>
          <w:noProof/>
        </w:rPr>
      </w:pPr>
      <w:r w:rsidRPr="008666FE">
        <w:rPr>
          <w:noProof/>
        </w:rPr>
        <w:t>Artigo 2.º</w:t>
      </w:r>
    </w:p>
    <w:p w14:paraId="7F000BE1" w14:textId="77777777" w:rsidR="00A054E7" w:rsidRPr="008666FE" w:rsidRDefault="0029719A" w:rsidP="009769A4">
      <w:pPr>
        <w:pStyle w:val="Titrearticle"/>
        <w:spacing w:before="0"/>
        <w:rPr>
          <w:b/>
          <w:bCs/>
          <w:noProof/>
        </w:rPr>
      </w:pPr>
      <w:r w:rsidRPr="008666FE">
        <w:rPr>
          <w:b/>
          <w:noProof/>
        </w:rPr>
        <w:t>Disposições de retificação</w:t>
      </w:r>
    </w:p>
    <w:p w14:paraId="3FD4B704" w14:textId="77777777" w:rsidR="00E06C43" w:rsidRPr="008666FE" w:rsidRDefault="0029719A" w:rsidP="0029719A">
      <w:pPr>
        <w:rPr>
          <w:noProof/>
        </w:rPr>
      </w:pPr>
      <w:r w:rsidRPr="008666FE">
        <w:rPr>
          <w:noProof/>
        </w:rPr>
        <w:t>O Regulamento de Execução (UE) 2022/1475 é retificado do seguinte modo:</w:t>
      </w:r>
    </w:p>
    <w:p w14:paraId="5E7DED17" w14:textId="77777777" w:rsidR="00E06C43" w:rsidRPr="008666FE" w:rsidRDefault="00E06C43" w:rsidP="00E06C43">
      <w:pPr>
        <w:rPr>
          <w:noProof/>
        </w:rPr>
      </w:pPr>
      <w:r w:rsidRPr="008666FE">
        <w:rPr>
          <w:noProof/>
        </w:rPr>
        <w:t>(1)</w:t>
      </w:r>
      <w:r w:rsidRPr="008666FE">
        <w:rPr>
          <w:noProof/>
        </w:rPr>
        <w:tab/>
        <w:t xml:space="preserve">No anexo II, ponto 4, a alínea b) passa a ter a seguinte redação: </w:t>
      </w:r>
    </w:p>
    <w:p w14:paraId="1FFD86FD" w14:textId="77777777" w:rsidR="00E06C43" w:rsidRPr="008666FE" w:rsidRDefault="00E06C43" w:rsidP="001E5985">
      <w:pPr>
        <w:ind w:left="720"/>
        <w:rPr>
          <w:noProof/>
        </w:rPr>
      </w:pPr>
      <w:r w:rsidRPr="008666FE">
        <w:rPr>
          <w:noProof/>
        </w:rPr>
        <w:t>«b) Se for caso disso, as avaliações destinadas a analisar tópicos específicos, previstas no artigo 2.º, alínea d);»;</w:t>
      </w:r>
    </w:p>
    <w:p w14:paraId="5C306682" w14:textId="426D5D75" w:rsidR="0029719A" w:rsidRPr="008666FE" w:rsidRDefault="00767398" w:rsidP="00767398">
      <w:pPr>
        <w:pStyle w:val="Point0"/>
        <w:rPr>
          <w:noProof/>
        </w:rPr>
      </w:pPr>
      <w:r w:rsidRPr="00767398">
        <w:t>(2)</w:t>
      </w:r>
      <w:r w:rsidRPr="00767398">
        <w:tab/>
      </w:r>
      <w:r w:rsidR="0029719A" w:rsidRPr="008666FE">
        <w:rPr>
          <w:noProof/>
        </w:rPr>
        <w:t>O anexo IV é retificado como segue:</w:t>
      </w:r>
    </w:p>
    <w:p w14:paraId="47D977D2" w14:textId="61CE4D03" w:rsidR="0029719A" w:rsidRPr="008666FE" w:rsidRDefault="00767398" w:rsidP="00767398">
      <w:pPr>
        <w:pStyle w:val="Point1"/>
        <w:rPr>
          <w:noProof/>
        </w:rPr>
      </w:pPr>
      <w:r w:rsidRPr="00767398">
        <w:t>(a)</w:t>
      </w:r>
      <w:r w:rsidRPr="00767398">
        <w:tab/>
      </w:r>
      <w:r w:rsidR="0029719A" w:rsidRPr="008666FE">
        <w:rPr>
          <w:noProof/>
        </w:rPr>
        <w:t>No ponto 2, alínea b), subalínea i), a rubrica «M050: montante total pago (fundos da UE)» passa a ter a seguinte redação:</w:t>
      </w:r>
    </w:p>
    <w:p w14:paraId="7CD69105" w14:textId="77777777" w:rsidR="0029719A" w:rsidRPr="008666FE" w:rsidRDefault="0029719A" w:rsidP="007F7775">
      <w:pPr>
        <w:pStyle w:val="Point1"/>
        <w:ind w:firstLine="1"/>
        <w:rPr>
          <w:noProof/>
        </w:rPr>
      </w:pPr>
      <w:r w:rsidRPr="008666FE">
        <w:rPr>
          <w:noProof/>
        </w:rPr>
        <w:t>«M050: montante total dos fundos da UE»;</w:t>
      </w:r>
    </w:p>
    <w:p w14:paraId="4E8675EF" w14:textId="4F894FFC" w:rsidR="0029719A" w:rsidRPr="008666FE" w:rsidRDefault="00767398" w:rsidP="00767398">
      <w:pPr>
        <w:pStyle w:val="Point1"/>
        <w:rPr>
          <w:noProof/>
        </w:rPr>
      </w:pPr>
      <w:r w:rsidRPr="00767398">
        <w:t>(b)</w:t>
      </w:r>
      <w:r w:rsidRPr="00767398">
        <w:tab/>
      </w:r>
      <w:r w:rsidR="0029719A" w:rsidRPr="008666FE">
        <w:rPr>
          <w:noProof/>
        </w:rPr>
        <w:t>(não diz respeito à versão portuguesa);</w:t>
      </w:r>
    </w:p>
    <w:p w14:paraId="17673B40" w14:textId="77777777" w:rsidR="0029719A" w:rsidRPr="008666FE" w:rsidRDefault="0029719A" w:rsidP="007F7775">
      <w:pPr>
        <w:pStyle w:val="Point1"/>
        <w:ind w:firstLine="1"/>
        <w:rPr>
          <w:noProof/>
        </w:rPr>
      </w:pPr>
      <w:r w:rsidRPr="008666FE">
        <w:rPr>
          <w:noProof/>
        </w:rPr>
        <w:t xml:space="preserve"> </w:t>
      </w:r>
    </w:p>
    <w:p w14:paraId="6E58CF87" w14:textId="4D1C3E28" w:rsidR="0029719A" w:rsidRPr="008666FE" w:rsidRDefault="00767398" w:rsidP="00767398">
      <w:pPr>
        <w:pStyle w:val="Point0"/>
        <w:rPr>
          <w:noProof/>
        </w:rPr>
      </w:pPr>
      <w:r w:rsidRPr="00767398">
        <w:t>(3)</w:t>
      </w:r>
      <w:r w:rsidRPr="00767398">
        <w:tab/>
      </w:r>
      <w:r w:rsidR="0029719A" w:rsidRPr="008666FE">
        <w:rPr>
          <w:noProof/>
        </w:rPr>
        <w:t>No anexo VI, ponto 1, a alínea i) passa a ter a seguinte redação:</w:t>
      </w:r>
    </w:p>
    <w:p w14:paraId="601E609B" w14:textId="77777777" w:rsidR="0029719A" w:rsidRPr="008666FE" w:rsidRDefault="0029719A" w:rsidP="00AE6C40">
      <w:pPr>
        <w:pStyle w:val="Point1"/>
        <w:ind w:firstLine="1"/>
        <w:rPr>
          <w:noProof/>
        </w:rPr>
      </w:pPr>
      <w:r w:rsidRPr="008666FE">
        <w:rPr>
          <w:noProof/>
        </w:rPr>
        <w:t>«i) Situação do projeto: em curso, concluído, cancelado;».</w:t>
      </w:r>
    </w:p>
    <w:p w14:paraId="086D102D" w14:textId="77777777" w:rsidR="0029719A" w:rsidRPr="008666FE" w:rsidRDefault="0029719A" w:rsidP="0029719A">
      <w:pPr>
        <w:pStyle w:val="Titrearticle"/>
        <w:rPr>
          <w:noProof/>
        </w:rPr>
      </w:pPr>
      <w:r w:rsidRPr="008666FE">
        <w:rPr>
          <w:noProof/>
        </w:rPr>
        <w:t>Artigo 3.º</w:t>
      </w:r>
    </w:p>
    <w:p w14:paraId="5B12371B" w14:textId="77777777" w:rsidR="0029719A" w:rsidRPr="008666FE" w:rsidRDefault="0029719A" w:rsidP="009769A4">
      <w:pPr>
        <w:pStyle w:val="Titrearticle"/>
        <w:spacing w:before="0"/>
        <w:rPr>
          <w:b/>
          <w:bCs/>
          <w:noProof/>
        </w:rPr>
      </w:pPr>
      <w:r w:rsidRPr="008666FE">
        <w:rPr>
          <w:b/>
          <w:noProof/>
        </w:rPr>
        <w:t>Entrada em vigor</w:t>
      </w:r>
    </w:p>
    <w:p w14:paraId="64D8FFD1" w14:textId="77777777" w:rsidR="00A054E7" w:rsidRPr="008666FE" w:rsidRDefault="00A054E7" w:rsidP="004E1EF9">
      <w:pPr>
        <w:rPr>
          <w:noProof/>
        </w:rPr>
      </w:pPr>
      <w:r w:rsidRPr="008666FE">
        <w:rPr>
          <w:noProof/>
        </w:rPr>
        <w:t xml:space="preserve">O presente regulamento entra em vigor no sétimo dia seguinte ao da sua publicação no </w:t>
      </w:r>
      <w:r w:rsidRPr="008666FE">
        <w:rPr>
          <w:i/>
          <w:noProof/>
        </w:rPr>
        <w:t>Jornal Oficial da União Europeia</w:t>
      </w:r>
      <w:r w:rsidRPr="008666FE">
        <w:rPr>
          <w:noProof/>
        </w:rPr>
        <w:t>.</w:t>
      </w:r>
    </w:p>
    <w:p w14:paraId="73DADC2D" w14:textId="77777777" w:rsidR="00A054E7" w:rsidRPr="008666FE" w:rsidRDefault="00A054E7" w:rsidP="004E1EF9">
      <w:pPr>
        <w:pStyle w:val="Applicationdirecte"/>
        <w:rPr>
          <w:noProof/>
        </w:rPr>
      </w:pPr>
      <w:r w:rsidRPr="008666FE">
        <w:rPr>
          <w:noProof/>
        </w:rPr>
        <w:t>O presente regulamento é obrigatório em todos os seus elementos e diretamente aplicável em todos os Estados-Membros.</w:t>
      </w:r>
    </w:p>
    <w:p w14:paraId="2E3D8FBA" w14:textId="04AEB390" w:rsidR="00A054E7" w:rsidRPr="008666FE" w:rsidRDefault="00D17E85" w:rsidP="001C6FF6">
      <w:pPr>
        <w:pStyle w:val="Fait"/>
        <w:rPr>
          <w:noProof/>
        </w:rPr>
      </w:pPr>
      <w:r w:rsidRPr="00D17E85">
        <w:t>Feito em Bruxelas, em 17.10.2023</w:t>
      </w:r>
    </w:p>
    <w:p w14:paraId="0ABFA346" w14:textId="77777777" w:rsidR="00A054E7" w:rsidRPr="008666FE" w:rsidRDefault="00A054E7" w:rsidP="001C6FF6">
      <w:pPr>
        <w:pStyle w:val="Institutionquisigne"/>
        <w:rPr>
          <w:noProof/>
        </w:rPr>
      </w:pPr>
      <w:r w:rsidRPr="008666FE">
        <w:rPr>
          <w:noProof/>
        </w:rPr>
        <w:tab/>
        <w:t>Pela Comissão</w:t>
      </w:r>
    </w:p>
    <w:p w14:paraId="74E75997" w14:textId="110CC278" w:rsidR="00A054E7" w:rsidRPr="008666FE" w:rsidRDefault="000A6AA8" w:rsidP="00A054E7">
      <w:pPr>
        <w:pStyle w:val="Personnequisigne"/>
        <w:rPr>
          <w:noProof/>
        </w:rPr>
      </w:pPr>
      <w:r>
        <w:tab/>
        <w:t>A Presidente</w:t>
      </w:r>
      <w:r>
        <w:br/>
      </w:r>
      <w:r>
        <w:tab/>
        <w:t>Ursula VON DER LEYEN</w:t>
      </w:r>
    </w:p>
    <w:sectPr w:rsidR="00A054E7" w:rsidRPr="008666FE" w:rsidSect="00461357">
      <w:footerReference w:type="default" r:id="rId15"/>
      <w:footerReference w:type="first" r:id="rId16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7BF6B" w14:textId="77777777" w:rsidR="007A368C" w:rsidRDefault="007A368C" w:rsidP="00A054E7">
      <w:pPr>
        <w:spacing w:before="0" w:after="0"/>
      </w:pPr>
      <w:r>
        <w:separator/>
      </w:r>
    </w:p>
  </w:endnote>
  <w:endnote w:type="continuationSeparator" w:id="0">
    <w:p w14:paraId="52CE98C0" w14:textId="77777777" w:rsidR="007A368C" w:rsidRDefault="007A368C" w:rsidP="00A054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B52C1" w14:textId="6A5E137F" w:rsidR="008666FE" w:rsidRPr="00461357" w:rsidRDefault="008666FE" w:rsidP="00461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908B2" w14:textId="1B262D3C" w:rsidR="008666FE" w:rsidRPr="00461357" w:rsidRDefault="00461357" w:rsidP="00461357">
    <w:pPr>
      <w:pStyle w:val="Footer"/>
      <w:rPr>
        <w:rFonts w:ascii="Arial" w:hAnsi="Arial" w:cs="Arial"/>
        <w:b/>
        <w:sz w:val="48"/>
      </w:rPr>
    </w:pPr>
    <w:r w:rsidRPr="00461357">
      <w:rPr>
        <w:rFonts w:ascii="Arial" w:hAnsi="Arial" w:cs="Arial"/>
        <w:b/>
        <w:sz w:val="48"/>
      </w:rPr>
      <w:t>PT</w:t>
    </w:r>
    <w:r w:rsidRPr="00461357">
      <w:rPr>
        <w:rFonts w:ascii="Arial" w:hAnsi="Arial" w:cs="Arial"/>
        <w:b/>
        <w:sz w:val="48"/>
      </w:rPr>
      <w:tab/>
    </w:r>
    <w:r w:rsidRPr="00461357">
      <w:rPr>
        <w:rFonts w:ascii="Arial" w:hAnsi="Arial" w:cs="Arial"/>
        <w:b/>
        <w:sz w:val="48"/>
      </w:rPr>
      <w:tab/>
    </w:r>
    <w:r w:rsidRPr="00461357">
      <w:tab/>
    </w:r>
    <w:r w:rsidRPr="00461357">
      <w:rPr>
        <w:rFonts w:ascii="Arial" w:hAnsi="Arial" w:cs="Arial"/>
        <w:b/>
        <w:sz w:val="48"/>
      </w:rPr>
      <w:t>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0ADD4" w14:textId="77777777" w:rsidR="00461357" w:rsidRPr="00461357" w:rsidRDefault="00461357" w:rsidP="004613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73C" w14:textId="3162755E" w:rsidR="00461357" w:rsidRPr="00461357" w:rsidRDefault="00461357" w:rsidP="00461357">
    <w:pPr>
      <w:pStyle w:val="Footer"/>
      <w:rPr>
        <w:rFonts w:ascii="Arial" w:hAnsi="Arial" w:cs="Arial"/>
        <w:b/>
        <w:sz w:val="48"/>
      </w:rPr>
    </w:pPr>
    <w:r w:rsidRPr="00461357">
      <w:rPr>
        <w:rFonts w:ascii="Arial" w:hAnsi="Arial" w:cs="Arial"/>
        <w:b/>
        <w:sz w:val="48"/>
      </w:rPr>
      <w:t>PT</w:t>
    </w:r>
    <w:r w:rsidRPr="00461357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1C6FF6">
      <w:rPr>
        <w:noProof/>
      </w:rPr>
      <w:t>4</w:t>
    </w:r>
    <w:r>
      <w:fldChar w:fldCharType="end"/>
    </w:r>
    <w:r>
      <w:tab/>
    </w:r>
    <w:r w:rsidRPr="00461357">
      <w:tab/>
    </w:r>
    <w:r w:rsidRPr="00461357">
      <w:rPr>
        <w:rFonts w:ascii="Arial" w:hAnsi="Arial" w:cs="Arial"/>
        <w:b/>
        <w:sz w:val="48"/>
      </w:rPr>
      <w:t>PT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A4E2D" w14:textId="77777777" w:rsidR="00461357" w:rsidRPr="00461357" w:rsidRDefault="00461357" w:rsidP="00461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74BB9" w14:textId="77777777" w:rsidR="007A368C" w:rsidRDefault="007A368C" w:rsidP="00A054E7">
      <w:pPr>
        <w:spacing w:before="0" w:after="0"/>
      </w:pPr>
      <w:r>
        <w:separator/>
      </w:r>
    </w:p>
  </w:footnote>
  <w:footnote w:type="continuationSeparator" w:id="0">
    <w:p w14:paraId="2288338F" w14:textId="77777777" w:rsidR="007A368C" w:rsidRDefault="007A368C" w:rsidP="00A054E7">
      <w:pPr>
        <w:spacing w:before="0" w:after="0"/>
      </w:pPr>
      <w:r>
        <w:continuationSeparator/>
      </w:r>
    </w:p>
  </w:footnote>
  <w:footnote w:id="1">
    <w:p w14:paraId="2816F4DF" w14:textId="77777777" w:rsidR="00A054E7" w:rsidRPr="008666FE" w:rsidRDefault="00A054E7" w:rsidP="00A054E7">
      <w:pPr>
        <w:pStyle w:val="FootnoteText"/>
      </w:pPr>
      <w:r>
        <w:rPr>
          <w:rStyle w:val="FootnoteReference"/>
        </w:rPr>
        <w:footnoteRef/>
      </w:r>
      <w:r w:rsidRPr="008666FE">
        <w:tab/>
        <w:t xml:space="preserve">JO L 435 de 6.12.2021, p. 1. </w:t>
      </w:r>
    </w:p>
  </w:footnote>
  <w:footnote w:id="2">
    <w:p w14:paraId="13BCE3AF" w14:textId="6A18CEB9" w:rsidR="00154E24" w:rsidRPr="008666FE" w:rsidRDefault="00154E24" w:rsidP="00154E24">
      <w:pPr>
        <w:pStyle w:val="FootnoteText"/>
      </w:pPr>
      <w:r>
        <w:rPr>
          <w:rStyle w:val="FootnoteReference"/>
        </w:rPr>
        <w:footnoteRef/>
      </w:r>
      <w:r w:rsidRPr="008666FE">
        <w:tab/>
        <w:t xml:space="preserve">Regulamento de Execução (UE) 2022/1475 da Comissão, de 6 de setembro de 2022, que estabelece as regras de execução do Regulamento (UE) 2021/2115 do Parlamento Europeu e do Conselho no respeitante à avaliação dos planos estratégicos da PAC e à prestação de informações para efeitos de acompanhamento e de avaliação (JO L 232 de 7.9.2022, p. 8).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D86C1" w14:textId="77777777" w:rsidR="00461357" w:rsidRPr="00461357" w:rsidRDefault="00461357" w:rsidP="004613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C39C0" w14:textId="77777777" w:rsidR="00461357" w:rsidRPr="00461357" w:rsidRDefault="00461357" w:rsidP="004613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A413E" w14:textId="77777777" w:rsidR="00461357" w:rsidRPr="00461357" w:rsidRDefault="00461357" w:rsidP="00461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BE8A6E3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037E428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E32E10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B7A92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1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2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8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17"/>
  </w:num>
  <w:num w:numId="12">
    <w:abstractNumId w:val="7"/>
  </w:num>
  <w:num w:numId="13">
    <w:abstractNumId w:val="9"/>
  </w:num>
  <w:num w:numId="14">
    <w:abstractNumId w:val="10"/>
  </w:num>
  <w:num w:numId="15">
    <w:abstractNumId w:val="5"/>
  </w:num>
  <w:num w:numId="16">
    <w:abstractNumId w:val="16"/>
  </w:num>
  <w:num w:numId="17">
    <w:abstractNumId w:val="4"/>
  </w:num>
  <w:num w:numId="18">
    <w:abstractNumId w:val="11"/>
  </w:num>
  <w:num w:numId="19">
    <w:abstractNumId w:val="13"/>
  </w:num>
  <w:num w:numId="20">
    <w:abstractNumId w:val="14"/>
  </w:num>
  <w:num w:numId="21">
    <w:abstractNumId w:val="6"/>
  </w:num>
  <w:num w:numId="22">
    <w:abstractNumId w:val="12"/>
  </w:num>
  <w:num w:numId="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3-10-06 11:54:5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0AB167F8-7445-488F-A51B-41586CCED14C"/>
    <w:docVar w:name="LW_COVERPAGE_TYPE" w:val="1"/>
    <w:docVar w:name="LW_CROSSREFERENCE" w:val="&lt;UNUSED&gt;"/>
    <w:docVar w:name="LW_DATE.ADOPT.CP" w:val="de 17.10.2023"/>
    <w:docVar w:name="LW_DATE.ADOPT.CP_DATEFORMAT" w:val="de %DATE%"/>
    <w:docVar w:name="LW_DATE.ADOPT.CP_ISODATE" w:val="2023-10-17"/>
    <w:docVar w:name="LW_DocType" w:val="COM"/>
    <w:docVar w:name="LW_EMISSION" w:val="17.10.2023"/>
    <w:docVar w:name="LW_EMISSION_ISODATE" w:val="2023-10-17"/>
    <w:docVar w:name="LW_EMISSION_LOCATION" w:val="BRX"/>
    <w:docVar w:name="LW_EMISSION_PREFIX" w:val="Bruxelas, "/>
    <w:docVar w:name="LW_EMISSION_SUFFIX" w:val=" "/>
    <w:docVar w:name="LW_ID_DOCMODEL" w:val="SJ-004"/>
    <w:docVar w:name="LW_ID_DOCSIGNATURE" w:val="SJ-004"/>
    <w:docVar w:name="LW_ID_DOCSTRUCTURE" w:val="COM/AA"/>
    <w:docVar w:name="LW_ID_DOCTYPE" w:val="SJ-004"/>
    <w:docVar w:name="LW_INTERETEEE.CP" w:val="&lt;UNUSED&gt;"/>
    <w:docVar w:name="LW_LANGUE" w:val="PT"/>
    <w:docVar w:name="LW_LANGUESFAISANTFOI.CP" w:val="&lt;UNUSED&gt;"/>
    <w:docVar w:name="LW_LEVEL_OF_SENSITIVITY" w:val="Standard treatment"/>
    <w:docVar w:name="LW_NOM.INST" w:val="COMISSÃO EUROPEIA"/>
    <w:docVar w:name="LW_NOM.INST_JOINTDOC" w:val="&lt;EMPTY&gt;"/>
    <w:docVar w:name="LW_PART_NBR" w:val="1"/>
    <w:docVar w:name="LW_PART_NBR_TOTAL" w:val="1"/>
    <w:docVar w:name="LW_REF.INST.NEW" w:val="C"/>
    <w:docVar w:name="LW_REF.INST.NEW_ADOPTED" w:val="final"/>
    <w:docVar w:name="LW_REF.INST.NEW_TEXT" w:val="(2023) 6846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que altera e retifica o Regulamento de Execução (UE) 2022/1475 no respeitante à descrição da estrutura dos códigos orçamentais e ao tipo e formato das informações a prestar para efeitos de acompanhamento e de avaliação dos planos estratégicos da PAC"/>
    <w:docVar w:name="LW_TYPE.DOC.CP" w:val="REGULAMENTO DE EXECUÇÃO (UE) …/... DA COMISSÃO"/>
    <w:docVar w:name="LwApiVersions" w:val="LW4CoDe 1.23.2.0; LW 8.0, Build 20211117"/>
  </w:docVars>
  <w:rsids>
    <w:rsidRoot w:val="00A054E7"/>
    <w:rsid w:val="000274F1"/>
    <w:rsid w:val="00044E2C"/>
    <w:rsid w:val="00057FE6"/>
    <w:rsid w:val="0007299D"/>
    <w:rsid w:val="00075A36"/>
    <w:rsid w:val="00093F62"/>
    <w:rsid w:val="00094205"/>
    <w:rsid w:val="0009625F"/>
    <w:rsid w:val="000A6AA8"/>
    <w:rsid w:val="000B2477"/>
    <w:rsid w:val="000B67BD"/>
    <w:rsid w:val="000C03BB"/>
    <w:rsid w:val="000C1412"/>
    <w:rsid w:val="000D0F02"/>
    <w:rsid w:val="000F40DE"/>
    <w:rsid w:val="001065F5"/>
    <w:rsid w:val="00111D41"/>
    <w:rsid w:val="001238EF"/>
    <w:rsid w:val="0013195D"/>
    <w:rsid w:val="00140450"/>
    <w:rsid w:val="00150324"/>
    <w:rsid w:val="00154E24"/>
    <w:rsid w:val="00195EFB"/>
    <w:rsid w:val="00197613"/>
    <w:rsid w:val="001B10D4"/>
    <w:rsid w:val="001C6FF6"/>
    <w:rsid w:val="001E5985"/>
    <w:rsid w:val="0021647B"/>
    <w:rsid w:val="00217E58"/>
    <w:rsid w:val="0022699E"/>
    <w:rsid w:val="00233DC7"/>
    <w:rsid w:val="00241126"/>
    <w:rsid w:val="0024620A"/>
    <w:rsid w:val="00247779"/>
    <w:rsid w:val="00266534"/>
    <w:rsid w:val="00285BEE"/>
    <w:rsid w:val="00286E52"/>
    <w:rsid w:val="0029533F"/>
    <w:rsid w:val="0029719A"/>
    <w:rsid w:val="002A0431"/>
    <w:rsid w:val="002A7521"/>
    <w:rsid w:val="002B30AF"/>
    <w:rsid w:val="002D1E95"/>
    <w:rsid w:val="0033344A"/>
    <w:rsid w:val="003466F3"/>
    <w:rsid w:val="0035563E"/>
    <w:rsid w:val="00356A73"/>
    <w:rsid w:val="003A5F1C"/>
    <w:rsid w:val="003C5DF7"/>
    <w:rsid w:val="0042025E"/>
    <w:rsid w:val="0042648E"/>
    <w:rsid w:val="00430B04"/>
    <w:rsid w:val="00461357"/>
    <w:rsid w:val="0048361D"/>
    <w:rsid w:val="004936D2"/>
    <w:rsid w:val="00494003"/>
    <w:rsid w:val="004977E1"/>
    <w:rsid w:val="004D5BCA"/>
    <w:rsid w:val="004F2514"/>
    <w:rsid w:val="0053095C"/>
    <w:rsid w:val="005564FF"/>
    <w:rsid w:val="00587C41"/>
    <w:rsid w:val="005A546B"/>
    <w:rsid w:val="005B1EB6"/>
    <w:rsid w:val="005B4AE0"/>
    <w:rsid w:val="005D3CD1"/>
    <w:rsid w:val="005F1256"/>
    <w:rsid w:val="00654CC4"/>
    <w:rsid w:val="00672A80"/>
    <w:rsid w:val="00687E25"/>
    <w:rsid w:val="006A40A0"/>
    <w:rsid w:val="006B2062"/>
    <w:rsid w:val="006B4C41"/>
    <w:rsid w:val="006D1BAF"/>
    <w:rsid w:val="006F04AD"/>
    <w:rsid w:val="00707219"/>
    <w:rsid w:val="007174E7"/>
    <w:rsid w:val="00733D2E"/>
    <w:rsid w:val="00767398"/>
    <w:rsid w:val="00770A39"/>
    <w:rsid w:val="00773331"/>
    <w:rsid w:val="00774461"/>
    <w:rsid w:val="00787AAA"/>
    <w:rsid w:val="007932EF"/>
    <w:rsid w:val="007A368C"/>
    <w:rsid w:val="007B59F5"/>
    <w:rsid w:val="007D1EB2"/>
    <w:rsid w:val="007D7C3A"/>
    <w:rsid w:val="007E05B0"/>
    <w:rsid w:val="007F52B5"/>
    <w:rsid w:val="007F7775"/>
    <w:rsid w:val="00806345"/>
    <w:rsid w:val="008139BA"/>
    <w:rsid w:val="00827155"/>
    <w:rsid w:val="0085207F"/>
    <w:rsid w:val="00856C0C"/>
    <w:rsid w:val="008666FE"/>
    <w:rsid w:val="00872DCD"/>
    <w:rsid w:val="00874D22"/>
    <w:rsid w:val="00883A51"/>
    <w:rsid w:val="008A2914"/>
    <w:rsid w:val="008E2056"/>
    <w:rsid w:val="008E4D8E"/>
    <w:rsid w:val="00912AFE"/>
    <w:rsid w:val="0092232D"/>
    <w:rsid w:val="00922788"/>
    <w:rsid w:val="00965B5F"/>
    <w:rsid w:val="009747A5"/>
    <w:rsid w:val="009769A4"/>
    <w:rsid w:val="00980B2A"/>
    <w:rsid w:val="00987668"/>
    <w:rsid w:val="00990703"/>
    <w:rsid w:val="009B0F49"/>
    <w:rsid w:val="009C10CB"/>
    <w:rsid w:val="009C2B43"/>
    <w:rsid w:val="009D459E"/>
    <w:rsid w:val="009F0C6C"/>
    <w:rsid w:val="009F7CA1"/>
    <w:rsid w:val="00A054E7"/>
    <w:rsid w:val="00A11813"/>
    <w:rsid w:val="00A15D80"/>
    <w:rsid w:val="00A26ED1"/>
    <w:rsid w:val="00A3555E"/>
    <w:rsid w:val="00A76B29"/>
    <w:rsid w:val="00A85EF2"/>
    <w:rsid w:val="00A95BBA"/>
    <w:rsid w:val="00AA013A"/>
    <w:rsid w:val="00AC196B"/>
    <w:rsid w:val="00AC6A16"/>
    <w:rsid w:val="00AD7BC1"/>
    <w:rsid w:val="00AE2641"/>
    <w:rsid w:val="00AE6C40"/>
    <w:rsid w:val="00B07461"/>
    <w:rsid w:val="00B12553"/>
    <w:rsid w:val="00B15676"/>
    <w:rsid w:val="00B518A9"/>
    <w:rsid w:val="00B5499C"/>
    <w:rsid w:val="00B75B78"/>
    <w:rsid w:val="00BA62E9"/>
    <w:rsid w:val="00BA68D3"/>
    <w:rsid w:val="00BD26A9"/>
    <w:rsid w:val="00BE1A1D"/>
    <w:rsid w:val="00BE44CD"/>
    <w:rsid w:val="00BF1CFA"/>
    <w:rsid w:val="00BF2642"/>
    <w:rsid w:val="00C01266"/>
    <w:rsid w:val="00C054F3"/>
    <w:rsid w:val="00C12301"/>
    <w:rsid w:val="00C31A49"/>
    <w:rsid w:val="00C335C0"/>
    <w:rsid w:val="00C57897"/>
    <w:rsid w:val="00C81E15"/>
    <w:rsid w:val="00CD0E83"/>
    <w:rsid w:val="00CF4A1A"/>
    <w:rsid w:val="00CF6784"/>
    <w:rsid w:val="00D16ADE"/>
    <w:rsid w:val="00D17E85"/>
    <w:rsid w:val="00D20381"/>
    <w:rsid w:val="00D37EBF"/>
    <w:rsid w:val="00D442A6"/>
    <w:rsid w:val="00D7059B"/>
    <w:rsid w:val="00D8356E"/>
    <w:rsid w:val="00DB6B81"/>
    <w:rsid w:val="00DD1A98"/>
    <w:rsid w:val="00DD28FA"/>
    <w:rsid w:val="00DD4C1F"/>
    <w:rsid w:val="00E06C43"/>
    <w:rsid w:val="00E10079"/>
    <w:rsid w:val="00E1784B"/>
    <w:rsid w:val="00E3695B"/>
    <w:rsid w:val="00E80908"/>
    <w:rsid w:val="00EA2130"/>
    <w:rsid w:val="00EE0402"/>
    <w:rsid w:val="00EF75CF"/>
    <w:rsid w:val="00EF7FE5"/>
    <w:rsid w:val="00F96495"/>
    <w:rsid w:val="00FA22FF"/>
    <w:rsid w:val="00FA46B4"/>
    <w:rsid w:val="00FC38F8"/>
    <w:rsid w:val="00FD790C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6ABE479"/>
  <w15:docId w15:val="{F192493B-61A9-495E-8703-8CFBAE52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t-P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6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6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6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6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6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6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6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A054E7"/>
    <w:pPr>
      <w:numPr>
        <w:numId w:val="1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A04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04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450"/>
    <w:rPr>
      <w:rFonts w:ascii="Times New Roman" w:hAnsi="Times New Roman" w:cs="Times New Roman"/>
      <w:b/>
      <w:bCs/>
      <w:sz w:val="20"/>
      <w:szCs w:val="20"/>
      <w:lang w:val="pt-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0450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semiHidden/>
    <w:unhideWhenUsed/>
    <w:rsid w:val="009B0F4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B0F4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B0F49"/>
    <w:pPr>
      <w:numPr>
        <w:numId w:val="4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B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BAF"/>
    <w:rPr>
      <w:rFonts w:ascii="Segoe UI" w:hAnsi="Segoe UI" w:cs="Segoe UI"/>
      <w:sz w:val="18"/>
      <w:szCs w:val="18"/>
      <w:lang w:val="pt-PT"/>
    </w:rPr>
  </w:style>
  <w:style w:type="paragraph" w:styleId="Revision">
    <w:name w:val="Revision"/>
    <w:hidden/>
    <w:uiPriority w:val="99"/>
    <w:semiHidden/>
    <w:rsid w:val="005A54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06C43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461357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61357"/>
    <w:rPr>
      <w:rFonts w:ascii="Times New Roman" w:hAnsi="Times New Roman" w:cs="Times New Roman"/>
      <w:sz w:val="24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461357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461357"/>
    <w:rPr>
      <w:rFonts w:ascii="Times New Roman" w:hAnsi="Times New Roman" w:cs="Times New Roman"/>
      <w:sz w:val="24"/>
      <w:lang w:val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pt-PT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pt-PT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paragraph" w:customStyle="1" w:styleId="HeaderLandscape">
    <w:name w:val="HeaderLandscape"/>
    <w:basedOn w:val="Normal"/>
    <w:rsid w:val="00461357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461357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46135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461357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46135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9"/>
      </w:numPr>
    </w:pPr>
  </w:style>
  <w:style w:type="paragraph" w:customStyle="1" w:styleId="Tiret1">
    <w:name w:val="Tiret 1"/>
    <w:basedOn w:val="Point1"/>
    <w:pPr>
      <w:numPr>
        <w:numId w:val="10"/>
      </w:numPr>
    </w:pPr>
  </w:style>
  <w:style w:type="paragraph" w:customStyle="1" w:styleId="Tiret2">
    <w:name w:val="Tiret 2"/>
    <w:basedOn w:val="Point2"/>
    <w:pPr>
      <w:numPr>
        <w:numId w:val="11"/>
      </w:numPr>
    </w:pPr>
  </w:style>
  <w:style w:type="paragraph" w:customStyle="1" w:styleId="Tiret3">
    <w:name w:val="Tiret 3"/>
    <w:basedOn w:val="Point3"/>
    <w:pPr>
      <w:numPr>
        <w:numId w:val="12"/>
      </w:numPr>
    </w:pPr>
  </w:style>
  <w:style w:type="paragraph" w:customStyle="1" w:styleId="Tiret4">
    <w:name w:val="Tiret 4"/>
    <w:basedOn w:val="Point4"/>
    <w:pPr>
      <w:numPr>
        <w:numId w:val="13"/>
      </w:numPr>
    </w:pPr>
  </w:style>
  <w:style w:type="paragraph" w:customStyle="1" w:styleId="Tiret5">
    <w:name w:val="Tiret 5"/>
    <w:basedOn w:val="Point5"/>
    <w:pPr>
      <w:numPr>
        <w:numId w:val="14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5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5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5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5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5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5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5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sid w:val="00E1007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7"/>
      </w:numPr>
    </w:pPr>
  </w:style>
  <w:style w:type="paragraph" w:customStyle="1" w:styleId="Point1number">
    <w:name w:val="Point 1 (number)"/>
    <w:basedOn w:val="Normal"/>
    <w:pPr>
      <w:numPr>
        <w:ilvl w:val="2"/>
        <w:numId w:val="17"/>
      </w:numPr>
    </w:pPr>
  </w:style>
  <w:style w:type="paragraph" w:customStyle="1" w:styleId="Point2number">
    <w:name w:val="Point 2 (number)"/>
    <w:basedOn w:val="Normal"/>
    <w:pPr>
      <w:numPr>
        <w:ilvl w:val="4"/>
        <w:numId w:val="17"/>
      </w:numPr>
    </w:pPr>
  </w:style>
  <w:style w:type="paragraph" w:customStyle="1" w:styleId="Point3number">
    <w:name w:val="Point 3 (number)"/>
    <w:basedOn w:val="Normal"/>
    <w:pPr>
      <w:numPr>
        <w:ilvl w:val="6"/>
        <w:numId w:val="17"/>
      </w:numPr>
    </w:pPr>
  </w:style>
  <w:style w:type="paragraph" w:customStyle="1" w:styleId="Point0letter">
    <w:name w:val="Point 0 (letter)"/>
    <w:basedOn w:val="Normal"/>
    <w:pPr>
      <w:numPr>
        <w:ilvl w:val="1"/>
        <w:numId w:val="17"/>
      </w:numPr>
    </w:pPr>
  </w:style>
  <w:style w:type="paragraph" w:customStyle="1" w:styleId="Point1letter">
    <w:name w:val="Point 1 (letter)"/>
    <w:basedOn w:val="Normal"/>
    <w:pPr>
      <w:numPr>
        <w:ilvl w:val="3"/>
        <w:numId w:val="17"/>
      </w:numPr>
    </w:pPr>
  </w:style>
  <w:style w:type="paragraph" w:customStyle="1" w:styleId="Point2letter">
    <w:name w:val="Point 2 (letter)"/>
    <w:basedOn w:val="Normal"/>
    <w:pPr>
      <w:numPr>
        <w:ilvl w:val="5"/>
        <w:numId w:val="17"/>
      </w:numPr>
    </w:pPr>
  </w:style>
  <w:style w:type="paragraph" w:customStyle="1" w:styleId="Point3letter">
    <w:name w:val="Point 3 (letter)"/>
    <w:basedOn w:val="Normal"/>
    <w:pPr>
      <w:numPr>
        <w:ilvl w:val="7"/>
        <w:numId w:val="17"/>
      </w:numPr>
    </w:pPr>
  </w:style>
  <w:style w:type="paragraph" w:customStyle="1" w:styleId="Point4letter">
    <w:name w:val="Point 4 (letter)"/>
    <w:basedOn w:val="Normal"/>
    <w:pPr>
      <w:numPr>
        <w:ilvl w:val="8"/>
        <w:numId w:val="17"/>
      </w:numPr>
    </w:pPr>
  </w:style>
  <w:style w:type="paragraph" w:customStyle="1" w:styleId="Bullet0">
    <w:name w:val="Bullet 0"/>
    <w:basedOn w:val="Normal"/>
    <w:pPr>
      <w:numPr>
        <w:numId w:val="18"/>
      </w:numPr>
    </w:pPr>
  </w:style>
  <w:style w:type="paragraph" w:customStyle="1" w:styleId="Bullet1">
    <w:name w:val="Bullet 1"/>
    <w:basedOn w:val="Normal"/>
    <w:pPr>
      <w:numPr>
        <w:numId w:val="19"/>
      </w:numPr>
    </w:pPr>
  </w:style>
  <w:style w:type="paragraph" w:customStyle="1" w:styleId="Bullet2">
    <w:name w:val="Bullet 2"/>
    <w:basedOn w:val="Normal"/>
    <w:pPr>
      <w:numPr>
        <w:numId w:val="20"/>
      </w:numPr>
    </w:pPr>
  </w:style>
  <w:style w:type="paragraph" w:customStyle="1" w:styleId="Bullet3">
    <w:name w:val="Bullet 3"/>
    <w:basedOn w:val="Normal"/>
    <w:pPr>
      <w:numPr>
        <w:numId w:val="21"/>
      </w:numPr>
    </w:pPr>
  </w:style>
  <w:style w:type="paragraph" w:customStyle="1" w:styleId="Bullet4">
    <w:name w:val="Bullet 4"/>
    <w:basedOn w:val="Normal"/>
    <w:pPr>
      <w:numPr>
        <w:numId w:val="22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3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D3EA-2437-4263-938E-30AF8744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76</TotalTime>
  <Pages>5</Pages>
  <Words>1177</Words>
  <Characters>6216</Characters>
  <Application>Microsoft Office Word</Application>
  <DocSecurity>0</DocSecurity>
  <Lines>124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46</cp:revision>
  <dcterms:created xsi:type="dcterms:W3CDTF">2023-09-11T08:09:00Z</dcterms:created>
  <dcterms:modified xsi:type="dcterms:W3CDTF">2023-10-06T09:54:00Z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8.0.25.0</vt:lpwstr>
  </property>
  <property fmtid="{D5CDD505-2E9C-101B-9397-08002B2CF9AE}" pid="4" name="Last edited using">
    <vt:lpwstr>LW 9.0, Build 20230317</vt:lpwstr>
  </property>
  <property fmtid="{D5CDD505-2E9C-101B-9397-08002B2CF9AE}" pid="5" name="MSIP_Label_6bd9ddd1-4d20-43f6-abfa-fc3c07406f94_Enabled">
    <vt:lpwstr>true</vt:lpwstr>
  </property>
  <property fmtid="{D5CDD505-2E9C-101B-9397-08002B2CF9AE}" pid="6" name="MSIP_Label_6bd9ddd1-4d20-43f6-abfa-fc3c07406f94_SetDate">
    <vt:lpwstr>2023-05-23T07:57:17Z</vt:lpwstr>
  </property>
  <property fmtid="{D5CDD505-2E9C-101B-9397-08002B2CF9AE}" pid="7" name="MSIP_Label_6bd9ddd1-4d20-43f6-abfa-fc3c07406f94_Method">
    <vt:lpwstr>Standard</vt:lpwstr>
  </property>
  <property fmtid="{D5CDD505-2E9C-101B-9397-08002B2CF9AE}" pid="8" name="MSIP_Label_6bd9ddd1-4d20-43f6-abfa-fc3c07406f94_Name">
    <vt:lpwstr>Commission Use</vt:lpwstr>
  </property>
  <property fmtid="{D5CDD505-2E9C-101B-9397-08002B2CF9AE}" pid="9" name="MSIP_Label_6bd9ddd1-4d20-43f6-abfa-fc3c07406f94_SiteId">
    <vt:lpwstr>b24c8b06-522c-46fe-9080-70926f8dddb1</vt:lpwstr>
  </property>
  <property fmtid="{D5CDD505-2E9C-101B-9397-08002B2CF9AE}" pid="10" name="MSIP_Label_6bd9ddd1-4d20-43f6-abfa-fc3c07406f94_ActionId">
    <vt:lpwstr>dd6d0a35-6f5f-4e02-8834-657a917d2fe5</vt:lpwstr>
  </property>
  <property fmtid="{D5CDD505-2E9C-101B-9397-08002B2CF9AE}" pid="11" name="MSIP_Label_6bd9ddd1-4d20-43f6-abfa-fc3c07406f94_ContentBits">
    <vt:lpwstr>0</vt:lpwstr>
  </property>
  <property fmtid="{D5CDD505-2E9C-101B-9397-08002B2CF9AE}" pid="12" name="Created using">
    <vt:lpwstr>LW 9.0, Build 20230317</vt:lpwstr>
  </property>
  <property fmtid="{D5CDD505-2E9C-101B-9397-08002B2CF9AE}" pid="13" name="Part">
    <vt:lpwstr>1</vt:lpwstr>
  </property>
  <property fmtid="{D5CDD505-2E9C-101B-9397-08002B2CF9AE}" pid="14" name="Total parts">
    <vt:lpwstr>1</vt:lpwstr>
  </property>
  <property fmtid="{D5CDD505-2E9C-101B-9397-08002B2CF9AE}" pid="15" name="Level of sensitivity">
    <vt:lpwstr>Standard treatment</vt:lpwstr>
  </property>
  <property fmtid="{D5CDD505-2E9C-101B-9397-08002B2CF9AE}" pid="16" name="LWTemplateID">
    <vt:lpwstr>SJ-004</vt:lpwstr>
  </property>
  <property fmtid="{D5CDD505-2E9C-101B-9397-08002B2CF9AE}" pid="17" name="DQCStatus">
    <vt:lpwstr>Green (DQC version 03)</vt:lpwstr>
  </property>
  <property name="OP_sanitized" fmtid="{D5CDD505-2E9C-101B-9397-08002B2CF9AE}" pid="18">
    <vt:lpwstr>True</vt:lpwstr>
  </property>
</Properties>
</file>