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FEB9F" w14:textId="04A2789F" w:rsidR="001C2816" w:rsidRPr="00B52633" w:rsidRDefault="00F9486E" w:rsidP="00E054F7">
      <w:pPr>
        <w:pStyle w:val="Pagedecouverture"/>
        <w:rPr>
          <w:noProof/>
        </w:rPr>
      </w:pPr>
      <w:r>
        <w:rPr>
          <w:noProof/>
        </w:rPr>
        <w:pict w14:anchorId="26A257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B77E6E7-5171-4899-A6C0-D78A026D1F75" style="width:455.1pt;height:355.55pt">
            <v:imagedata r:id="rId11" o:title=""/>
          </v:shape>
        </w:pict>
      </w:r>
    </w:p>
    <w:p w14:paraId="6B6EF4B2" w14:textId="77777777" w:rsidR="00F43014" w:rsidRPr="00B52633" w:rsidRDefault="00F43014" w:rsidP="005D5FE4">
      <w:pPr>
        <w:rPr>
          <w:noProof/>
        </w:rPr>
        <w:sectPr w:rsidR="00F43014" w:rsidRPr="00B52633" w:rsidSect="00E054F7">
          <w:footerReference w:type="default" r:id="rId12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1AAE4AE0" w14:textId="03B343F6" w:rsidR="00F43014" w:rsidRPr="00B52633" w:rsidRDefault="001553DA" w:rsidP="001553DA">
      <w:pPr>
        <w:pStyle w:val="Typedudocument"/>
        <w:rPr>
          <w:noProof/>
        </w:rPr>
      </w:pPr>
      <w:r w:rsidRPr="001553DA">
        <w:rPr>
          <w:noProof/>
        </w:rPr>
        <w:lastRenderedPageBreak/>
        <w:t>RECOMENDAÇÃO DA COMISSÃO</w:t>
      </w:r>
    </w:p>
    <w:p w14:paraId="2B7B30BE" w14:textId="389C91AD" w:rsidR="00F43014" w:rsidRPr="00B52633" w:rsidRDefault="00CA0180" w:rsidP="001553DA">
      <w:pPr>
        <w:pStyle w:val="Datedadoption"/>
        <w:rPr>
          <w:noProof/>
        </w:rPr>
      </w:pPr>
      <w:r>
        <w:t>de 18.5.2022</w:t>
      </w:r>
    </w:p>
    <w:p w14:paraId="3009B9CC" w14:textId="770B9EA3" w:rsidR="00F43014" w:rsidRPr="00B52633" w:rsidRDefault="001553DA" w:rsidP="001553DA">
      <w:pPr>
        <w:pStyle w:val="Titreobjet"/>
        <w:rPr>
          <w:noProof/>
        </w:rPr>
      </w:pPr>
      <w:r w:rsidRPr="001553DA">
        <w:rPr>
          <w:noProof/>
        </w:rPr>
        <w:t>relativa à aceleração dos procedimentos de concessão de licenças para projetos no domínio da energia renovável e à facilitação dos contratos de aquisição de energia</w:t>
      </w:r>
    </w:p>
    <w:p w14:paraId="0029999C" w14:textId="77777777" w:rsidR="00F43014" w:rsidRPr="00B52633" w:rsidRDefault="00F43014" w:rsidP="005D5FE4">
      <w:pPr>
        <w:pStyle w:val="Institutionquiagit"/>
        <w:rPr>
          <w:noProof/>
        </w:rPr>
      </w:pPr>
      <w:r w:rsidRPr="00B52633">
        <w:rPr>
          <w:noProof/>
        </w:rPr>
        <w:t>A COMISSÃO EUROPEIA,</w:t>
      </w:r>
    </w:p>
    <w:p w14:paraId="56F6A89F" w14:textId="77777777" w:rsidR="00F43014" w:rsidRPr="00B52633" w:rsidRDefault="00F43014" w:rsidP="005D5FE4">
      <w:pPr>
        <w:rPr>
          <w:noProof/>
        </w:rPr>
      </w:pPr>
      <w:r w:rsidRPr="00B52633">
        <w:rPr>
          <w:noProof/>
        </w:rPr>
        <w:t>Tendo em conta o Tratado sobre o Funcionamento da União Europeia, nomeadamente o artigo 292.º,</w:t>
      </w:r>
    </w:p>
    <w:p w14:paraId="4FAFC962" w14:textId="77777777" w:rsidR="00F43014" w:rsidRPr="00B52633" w:rsidRDefault="00F43014" w:rsidP="005D5FE4">
      <w:pPr>
        <w:rPr>
          <w:noProof/>
        </w:rPr>
      </w:pPr>
      <w:r w:rsidRPr="00B52633">
        <w:rPr>
          <w:noProof/>
        </w:rPr>
        <w:t>Considerando o seguinte:</w:t>
      </w:r>
    </w:p>
    <w:p w14:paraId="25CD92DD" w14:textId="37CE19AE" w:rsidR="00E7583D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(1)</w:t>
      </w:r>
      <w:r w:rsidRPr="0046574F">
        <w:rPr>
          <w:noProof/>
        </w:rPr>
        <w:tab/>
      </w:r>
      <w:r w:rsidR="00E7583D" w:rsidRPr="00B52633">
        <w:rPr>
          <w:noProof/>
        </w:rPr>
        <w:t xml:space="preserve">A energia renovável está no centro da transição para as energias limpas, que é necessária para alcançar os objetivos do Pacto Ecológico Europeu, tornar a energia acessível em termos de preços e diminuir a dependência da União em relação aos combustíveis fósseis e às importações de energia. </w:t>
      </w:r>
    </w:p>
    <w:p w14:paraId="5A87EF17" w14:textId="06F31DE2" w:rsidR="00E7583D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(2)</w:t>
      </w:r>
      <w:r w:rsidRPr="0046574F">
        <w:rPr>
          <w:noProof/>
        </w:rPr>
        <w:tab/>
      </w:r>
      <w:r w:rsidR="00E7583D" w:rsidRPr="00B52633">
        <w:rPr>
          <w:noProof/>
        </w:rPr>
        <w:t xml:space="preserve">A energia renovável tem benefícios múltiplos para os cidadãos da União: contribui para os esforços de luta contra as alterações climáticas, ajuda a proteger o nosso ambiente, gera crescimento e emprego, contribui para a liderança tecnológica e industrial da União e reforça a resiliência da economia da União. </w:t>
      </w:r>
    </w:p>
    <w:p w14:paraId="2BEC3826" w14:textId="69CA0A1E" w:rsidR="00E7583D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(3)</w:t>
      </w:r>
      <w:r w:rsidRPr="0046574F">
        <w:rPr>
          <w:noProof/>
        </w:rPr>
        <w:tab/>
      </w:r>
      <w:r w:rsidR="0017350A" w:rsidRPr="00B52633">
        <w:rPr>
          <w:noProof/>
        </w:rPr>
        <w:t>O setor da energia é responsável por mais de 75 % do total das emissões de gases com efeito de estufa na União. Por conseguinte, a aceleração da produção de energia graças ao desenvolvimento e à implantação de centrais de energia renovável é essencial para que a União atinja o seu objetivo para 2030 em matéria de energia renovável, bem como para contribuir para a realização do objetivo da União de uma redução de, pelo menos, 55 % das emissões de gases com efeito de estufa até 2030, em conformidade com o Regulamento (UE) 2021/1119 do Parlamento Europeu e do Conselho</w:t>
      </w:r>
      <w:r w:rsidR="0017350A" w:rsidRPr="00B52633">
        <w:rPr>
          <w:rStyle w:val="FootnoteReference"/>
          <w:noProof/>
        </w:rPr>
        <w:footnoteReference w:id="2"/>
      </w:r>
      <w:r w:rsidR="0017350A" w:rsidRPr="00B52633">
        <w:rPr>
          <w:noProof/>
        </w:rPr>
        <w:t>.</w:t>
      </w:r>
    </w:p>
    <w:p w14:paraId="2032C7C6" w14:textId="05D57A86" w:rsidR="00E7583D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(4)</w:t>
      </w:r>
      <w:r w:rsidRPr="0046574F">
        <w:rPr>
          <w:noProof/>
        </w:rPr>
        <w:tab/>
      </w:r>
      <w:r w:rsidR="0017350A" w:rsidRPr="00B52633">
        <w:rPr>
          <w:noProof/>
        </w:rPr>
        <w:t>O rápido aumento da parte de energia renovável é crucial para resolver o problema dos elevados preços da energia. Pelo facto de os custos fixos da energia renovável terem diminuído e de os seus custos variáveis serem quase nulos, os custos da eletricidade produzida a partir de fontes renováveis têm sido mais estáveis e menos elevados do que custos dos combustíveis fósseis.</w:t>
      </w:r>
      <w:r w:rsidR="00136273">
        <w:rPr>
          <w:noProof/>
        </w:rPr>
        <w:t xml:space="preserve"> </w:t>
      </w:r>
      <w:r w:rsidR="0017350A" w:rsidRPr="00B52633">
        <w:rPr>
          <w:noProof/>
        </w:rPr>
        <w:t>A implantação acelerada da energia renováve</w:t>
      </w:r>
      <w:r w:rsidR="00136273">
        <w:rPr>
          <w:noProof/>
        </w:rPr>
        <w:t>l</w:t>
      </w:r>
      <w:r w:rsidR="0017350A" w:rsidRPr="00B52633">
        <w:rPr>
          <w:noProof/>
        </w:rPr>
        <w:t xml:space="preserve"> tornará a União menos dependente dos combustíveis fósseis, que são sobretudo importados. </w:t>
      </w:r>
    </w:p>
    <w:p w14:paraId="5726B2B9" w14:textId="1B722A82" w:rsidR="00E7583D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(5)</w:t>
      </w:r>
      <w:r w:rsidRPr="0046574F">
        <w:rPr>
          <w:noProof/>
        </w:rPr>
        <w:tab/>
      </w:r>
      <w:r w:rsidR="00E7583D" w:rsidRPr="00B52633">
        <w:rPr>
          <w:noProof/>
        </w:rPr>
        <w:t>Tal como reconhecido na Comunicação «REPowerEU: ação conjunta europeia para uma energia mais segura e mais sustentável a preços mais acessíveis» («Comunicação REPowerEU»)</w:t>
      </w:r>
      <w:r w:rsidR="00E7583D" w:rsidRPr="00B52633">
        <w:rPr>
          <w:rStyle w:val="FootnoteReference"/>
          <w:noProof/>
        </w:rPr>
        <w:footnoteReference w:id="3"/>
      </w:r>
      <w:r w:rsidR="00E7583D" w:rsidRPr="00B52633">
        <w:rPr>
          <w:noProof/>
        </w:rPr>
        <w:t xml:space="preserve">, é indispensável aumentar rapidamente o recurso à energia renovável para reduzir a dependência da União em relação aos combustíveis fósseis e por termo progressivamente ao consumo de gás russo. Tal como o Semestre Europeu, o plano </w:t>
      </w:r>
      <w:r w:rsidR="00E7583D" w:rsidRPr="00B52633">
        <w:rPr>
          <w:noProof/>
        </w:rPr>
        <w:lastRenderedPageBreak/>
        <w:t>REPowerEU contém medidas destinadas a concretizar este objetivo, no contexto do qual são formuladas recomendações específicas a cada país sobre a concessão de licenças, adaptadas à situação de cada Estado-Membro.</w:t>
      </w:r>
    </w:p>
    <w:p w14:paraId="02A33B1A" w14:textId="5254D4BD" w:rsidR="0081604C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(6)</w:t>
      </w:r>
      <w:r w:rsidRPr="0046574F">
        <w:rPr>
          <w:noProof/>
        </w:rPr>
        <w:tab/>
      </w:r>
      <w:r w:rsidR="00B46F3F" w:rsidRPr="00B52633">
        <w:rPr>
          <w:noProof/>
        </w:rPr>
        <w:t>A Comunicação REPowerEU introduziu igualmente a iniciativa «Acelerador do Hidrogénio», que duplica os objetivos previstos para 2030 para o hidrogénio renovável, a fim de reduzir as dependências externas da União em relação às importações de combustíveis fósseis. Para produzir 10 milhões de toneladas de hidrogénio renovável, a União necessitará de capacidades adicionais de produção de energia renovável de 80 GW até 2030.</w:t>
      </w:r>
    </w:p>
    <w:p w14:paraId="4B1F0A65" w14:textId="1D61F731" w:rsidR="00E7583D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(7)</w:t>
      </w:r>
      <w:r w:rsidRPr="0046574F">
        <w:rPr>
          <w:noProof/>
        </w:rPr>
        <w:tab/>
      </w:r>
      <w:r w:rsidR="00E7583D" w:rsidRPr="00B52633">
        <w:rPr>
          <w:noProof/>
        </w:rPr>
        <w:t>Em princípio, os promotores de projetos de energia renovável são obrigados a obter uma autorização para poderem exercer a atividade pretendida. Os procedimentos de concessão de licenças permitem garantir a segurança e a proteção dos projetos. No entanto, a complexidade, a diversidade e a duração excessiva desses procedimentos constituem um grande obstáculo à rápida implantação necessária da energia renovável e à concretização de um sistema energético da União mais seguro, mais sustentável e a preços mais acessíveis.</w:t>
      </w:r>
    </w:p>
    <w:p w14:paraId="00DE9625" w14:textId="577E2518" w:rsidR="00E7583D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(8)</w:t>
      </w:r>
      <w:r w:rsidRPr="0046574F">
        <w:rPr>
          <w:noProof/>
        </w:rPr>
        <w:tab/>
      </w:r>
      <w:r w:rsidR="00E7583D" w:rsidRPr="00B52633">
        <w:rPr>
          <w:noProof/>
        </w:rPr>
        <w:t>Os atrasos no tratamento das autorizações de projetos comprometem a realização atempada dos objetivos em matéria de energia e de clima e aumentam os custos dos projetos necessários para este efeito. Estes atrasos podem igualmente conduzir à implantação de centrais de energia renovável menos eficazes devido ao dinamismo da inovação.</w:t>
      </w:r>
    </w:p>
    <w:p w14:paraId="7632BE90" w14:textId="534D4C8A" w:rsidR="000B77F2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(9)</w:t>
      </w:r>
      <w:r w:rsidRPr="0046574F">
        <w:rPr>
          <w:noProof/>
        </w:rPr>
        <w:tab/>
      </w:r>
      <w:r w:rsidR="391F130B" w:rsidRPr="00B52633">
        <w:rPr>
          <w:noProof/>
        </w:rPr>
        <w:t>Esses obstáculos já tinham sido identificados na Diretiva 2001/77/CE do Parlamento Europeu e do Conselho</w:t>
      </w:r>
      <w:r w:rsidR="391F130B" w:rsidRPr="00B52633">
        <w:rPr>
          <w:rStyle w:val="FootnoteReference"/>
          <w:noProof/>
        </w:rPr>
        <w:footnoteReference w:id="4"/>
      </w:r>
      <w:r w:rsidR="391F130B" w:rsidRPr="00B52633">
        <w:rPr>
          <w:noProof/>
        </w:rPr>
        <w:t>, que exigia que os Estados-Membros avaliassem os procedimentos de concessão de licenças a fim de reduzir os obstáculos regulamentares e não regulamentares à produção de eletricidade produzida a partir de fontes renováveis. A Diretiva 2009/28/CE do Parlamento Europeu e do Conselho</w:t>
      </w:r>
      <w:r w:rsidR="391F130B" w:rsidRPr="00B52633">
        <w:rPr>
          <w:rStyle w:val="FootnoteReference"/>
          <w:noProof/>
        </w:rPr>
        <w:footnoteReference w:id="5"/>
      </w:r>
      <w:r w:rsidR="391F130B" w:rsidRPr="00B52633">
        <w:rPr>
          <w:noProof/>
        </w:rPr>
        <w:t xml:space="preserve"> introduziu requisitos para simplificar os procedimentos administrativos para os promotores de energia renovável. A Diretiva (UE) 2018/2001 do Parlamento Europeu e do Conselho</w:t>
      </w:r>
      <w:r w:rsidR="391F130B" w:rsidRPr="00B52633">
        <w:rPr>
          <w:rStyle w:val="FootnoteReference"/>
          <w:noProof/>
        </w:rPr>
        <w:footnoteReference w:id="6"/>
      </w:r>
      <w:r w:rsidR="391F130B" w:rsidRPr="00B52633">
        <w:rPr>
          <w:noProof/>
        </w:rPr>
        <w:t xml:space="preserve"> reforça esses requisitos. A sua transposição rápida e integral por todos os Estados-Membros contribui significativamente para encurtar os procedimentos administrativos e constitui uma prioridade e uma urgência absolutas.</w:t>
      </w:r>
    </w:p>
    <w:p w14:paraId="13C59234" w14:textId="59560010" w:rsidR="00441308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(10)</w:t>
      </w:r>
      <w:r w:rsidRPr="0046574F">
        <w:rPr>
          <w:noProof/>
        </w:rPr>
        <w:tab/>
      </w:r>
      <w:r w:rsidR="00441308" w:rsidRPr="00B52633">
        <w:rPr>
          <w:noProof/>
        </w:rPr>
        <w:t>A Comissão apoia os Estados-Membros através do Instrumento de Assistência Técnica</w:t>
      </w:r>
      <w:r w:rsidR="00441308" w:rsidRPr="00B52633">
        <w:rPr>
          <w:rStyle w:val="FootnoteReference"/>
          <w:noProof/>
        </w:rPr>
        <w:footnoteReference w:id="7"/>
      </w:r>
      <w:r w:rsidR="00441308" w:rsidRPr="00B52633">
        <w:rPr>
          <w:noProof/>
        </w:rPr>
        <w:t>, disponibilizando conhecimentos técnicos específicos para a conceção e a execução de reformas, incluindo as que simplificam o quadro dos procedimentos de autorização e de concessão de licenças para projetos no domínio da energia renovável e que promovem o recurso a contratos empresariais de aquisição de energia renovável.</w:t>
      </w:r>
      <w:r w:rsidR="00136273">
        <w:rPr>
          <w:noProof/>
        </w:rPr>
        <w:t xml:space="preserve"> </w:t>
      </w:r>
      <w:r w:rsidR="00441308" w:rsidRPr="00B52633">
        <w:rPr>
          <w:noProof/>
        </w:rPr>
        <w:t>Este apoio técnico envolve, por exemplo, o reforço da capacidade administrativa, a harmonização dos quadros legislativos e a partilha das melhores práticas pertinentes.</w:t>
      </w:r>
    </w:p>
    <w:p w14:paraId="1D868586" w14:textId="6E233FDD" w:rsidR="00D51307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lastRenderedPageBreak/>
        <w:t>(11)</w:t>
      </w:r>
      <w:r w:rsidRPr="0046574F">
        <w:rPr>
          <w:noProof/>
        </w:rPr>
        <w:tab/>
      </w:r>
      <w:r w:rsidR="00D51307" w:rsidRPr="00B52633">
        <w:rPr>
          <w:noProof/>
        </w:rPr>
        <w:t>Os prazos estabelecidos na Diretiva (UE) 2018/2001 para o</w:t>
      </w:r>
      <w:r w:rsidR="00136273">
        <w:rPr>
          <w:noProof/>
        </w:rPr>
        <w:t xml:space="preserve"> </w:t>
      </w:r>
      <w:r w:rsidR="00D51307" w:rsidRPr="00B52633">
        <w:rPr>
          <w:noProof/>
        </w:rPr>
        <w:t>procedimento de concessão de licenças são aplicáveis sem prejuízo das obrigações decorrentes do direito da União aplicável em matéria de ambiente, dos recursos judiciais, das vias de recurso e de outros processos perante um tribunal ou órgão jurisdicional e dos mecanismos de resolução alternativa de litígios, incluindo procedimentos de reclamação, recursos e vias de recurso extrajudiciais, e podem ser prolongados por um período correspondente à duração desses procedimentos.</w:t>
      </w:r>
      <w:r w:rsidR="00136273">
        <w:rPr>
          <w:noProof/>
        </w:rPr>
        <w:t xml:space="preserve"> </w:t>
      </w:r>
    </w:p>
    <w:p w14:paraId="4CBD14BC" w14:textId="286963B8" w:rsidR="00970004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(12)</w:t>
      </w:r>
      <w:r w:rsidRPr="0046574F">
        <w:rPr>
          <w:noProof/>
        </w:rPr>
        <w:tab/>
      </w:r>
      <w:r w:rsidR="003F1246" w:rsidRPr="00B52633">
        <w:rPr>
          <w:noProof/>
        </w:rPr>
        <w:t xml:space="preserve">A falta de adesão do público aos projetos de energia renovável constitui outro obstáculo significativo à sua implementação em muitos Estados-Membros. Para dar resposta a esta situação, as necessidades e as perspetivas dos cidadãos e das partes interessadas da sociedade civil devem ser tidas em conta em todas as etapas do desenvolvimento dos projetos de energia renovável — desde a elaboração das políticas ao ordenamento do território e ao desenvolvimento dos projetos —, e devem ser incentivadas boas práticas para assegurar uma distribuição equitativa dos diferentes impactos das centrais entre as populações locais. </w:t>
      </w:r>
    </w:p>
    <w:p w14:paraId="0CD14CD6" w14:textId="7BB9F7EE" w:rsidR="00806D24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(13)</w:t>
      </w:r>
      <w:r w:rsidRPr="0046574F">
        <w:rPr>
          <w:noProof/>
        </w:rPr>
        <w:tab/>
      </w:r>
      <w:r w:rsidR="001656C4" w:rsidRPr="00B52633">
        <w:rPr>
          <w:noProof/>
        </w:rPr>
        <w:t>A maior parte dos obstáculos relacionados com a concessão de licenças para projetos no domínio da energia renovável e</w:t>
      </w:r>
      <w:r w:rsidR="00136273">
        <w:rPr>
          <w:noProof/>
        </w:rPr>
        <w:t xml:space="preserve"> </w:t>
      </w:r>
      <w:r w:rsidR="001656C4" w:rsidRPr="00B52633">
        <w:rPr>
          <w:noProof/>
        </w:rPr>
        <w:t xml:space="preserve">infraestruturas de rede conexas, bem como as boas práticas para os superar, foram identificados a nível dos Estados-Membros. </w:t>
      </w:r>
    </w:p>
    <w:p w14:paraId="547D6DBB" w14:textId="1A59A274" w:rsidR="001311AE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(14)</w:t>
      </w:r>
      <w:r w:rsidRPr="0046574F">
        <w:rPr>
          <w:noProof/>
        </w:rPr>
        <w:tab/>
      </w:r>
      <w:r w:rsidR="026F9E0E" w:rsidRPr="00B52633">
        <w:rPr>
          <w:noProof/>
        </w:rPr>
        <w:t>Os obstáculos administrativos ganharam importância devido às melhorias verificadas no que respeita a outros obstáculos, como os custos tecnológicos, que diminuíram drasticamente nos últimos dez anos, ou os problemas de financiamento, atenuados pelas reduções de custos e pelo aumento do número de contratos empresariais de aquisição de energia renovável.</w:t>
      </w:r>
    </w:p>
    <w:p w14:paraId="6AE77D6A" w14:textId="3AD1B6AB" w:rsidR="00473348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(15)</w:t>
      </w:r>
      <w:r w:rsidRPr="0046574F">
        <w:rPr>
          <w:noProof/>
        </w:rPr>
        <w:tab/>
      </w:r>
      <w:r w:rsidR="001311AE" w:rsidRPr="00B52633">
        <w:rPr>
          <w:noProof/>
        </w:rPr>
        <w:t>A presente recomendação aborda estas preocupações, apelando a que sejam encontradas soluções no âmbito do quadro jurídico existente. Não prejudica o direito da União, em especial no domínio da energia e do ambiente, nem as obrigações dele decorrentes. Também não prejudica as regras da União em matéria de concorrência, nomeadamente os artigos 101.º, 102.º e 106.º do Tratado sobre o Funcionamento da União Europeia, nem a prática decisória da Comissão em matéria de aplicação das regras de concorrência da União.</w:t>
      </w:r>
    </w:p>
    <w:p w14:paraId="4DC34D95" w14:textId="6029B355" w:rsidR="00244E75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(16)</w:t>
      </w:r>
      <w:r w:rsidRPr="0046574F">
        <w:rPr>
          <w:noProof/>
        </w:rPr>
        <w:tab/>
      </w:r>
      <w:r w:rsidR="00C418AA" w:rsidRPr="00B52633">
        <w:rPr>
          <w:noProof/>
        </w:rPr>
        <w:t>Paralelamente à presente recomendação, foi adotada uma proposta legislativa destinada a alterar</w:t>
      </w:r>
      <w:r w:rsidR="00136273">
        <w:rPr>
          <w:noProof/>
        </w:rPr>
        <w:t xml:space="preserve"> </w:t>
      </w:r>
      <w:r w:rsidR="00C418AA" w:rsidRPr="00B52633">
        <w:rPr>
          <w:rStyle w:val="normaltextrun"/>
          <w:noProof/>
          <w:shd w:val="clear" w:color="auto" w:fill="FFFFFF"/>
        </w:rPr>
        <w:t xml:space="preserve">e </w:t>
      </w:r>
      <w:r w:rsidR="00C418AA" w:rsidRPr="00B52633">
        <w:rPr>
          <w:rStyle w:val="findhit"/>
          <w:noProof/>
        </w:rPr>
        <w:t>reforçar</w:t>
      </w:r>
      <w:r w:rsidR="00136273">
        <w:rPr>
          <w:rStyle w:val="findhit"/>
          <w:noProof/>
        </w:rPr>
        <w:t xml:space="preserve"> </w:t>
      </w:r>
      <w:r w:rsidR="00C418AA" w:rsidRPr="00B52633">
        <w:rPr>
          <w:rStyle w:val="normaltextrun"/>
          <w:noProof/>
          <w:shd w:val="clear" w:color="auto" w:fill="FFFFFF"/>
        </w:rPr>
        <w:t>as disposições da Diretiva (UE) 2018/2001 relativas aos procedimentos administrativos. Uma vez que é urgente acelerar a implantação de projetos de energia renovável,</w:t>
      </w:r>
      <w:r w:rsidR="00136273">
        <w:rPr>
          <w:rStyle w:val="normaltextrun"/>
          <w:noProof/>
          <w:shd w:val="clear" w:color="auto" w:fill="FFFFFF"/>
        </w:rPr>
        <w:t xml:space="preserve"> </w:t>
      </w:r>
      <w:r w:rsidR="00C418AA" w:rsidRPr="00B52633">
        <w:rPr>
          <w:noProof/>
        </w:rPr>
        <w:t xml:space="preserve">os Estados-Membros devem, o mais rapidamente possível, começar a recensear as zonas terrestres e marítimas adequadas a tais projetos e a preparar planos para as zonas particularmente propícias na matéria (zonas propícias ao desenvolvimento da energia renovável), em conformidade com o artigo 15.º-B da proposta de alteração da Diretiva (UE) 2018/2001 no que respeita à concessão de licenças. </w:t>
      </w:r>
    </w:p>
    <w:p w14:paraId="5884338E" w14:textId="4485E833" w:rsidR="00B56EEE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(17)</w:t>
      </w:r>
      <w:r w:rsidRPr="0046574F">
        <w:rPr>
          <w:noProof/>
        </w:rPr>
        <w:tab/>
      </w:r>
      <w:r w:rsidR="0001575E" w:rsidRPr="00B52633">
        <w:rPr>
          <w:noProof/>
        </w:rPr>
        <w:t>O ordenamento do espaço marítimo é um instrumento fundamental para recensear as futuras áreas para a implantação de energia renovável e para facilitar as utilizações múltiplas do espaço marítimo, incluindo a conservação e a proteção do ambiente marinho. Nos termos da Diretiva Ordenamento do Espaço Marítimo</w:t>
      </w:r>
      <w:r w:rsidR="0001575E" w:rsidRPr="00B52633">
        <w:rPr>
          <w:rStyle w:val="FootnoteReference"/>
          <w:noProof/>
        </w:rPr>
        <w:footnoteReference w:id="8"/>
      </w:r>
      <w:r w:rsidR="0001575E" w:rsidRPr="00B52633">
        <w:rPr>
          <w:noProof/>
        </w:rPr>
        <w:t>, os Estados-Membros devem adotar os seus planos nacionais de ordenamento do espaço marítimo até 31 de março de 2021. A Comissão insta os Estados-Membros que ainda não aplicaram plenamente a Diretiva OEM a elaborarem e adotarem os seus planos nacionais</w:t>
      </w:r>
      <w:r w:rsidR="0001575E" w:rsidRPr="00B52633">
        <w:rPr>
          <w:rStyle w:val="FootnoteReference"/>
          <w:noProof/>
        </w:rPr>
        <w:footnoteReference w:id="9"/>
      </w:r>
      <w:r w:rsidR="0001575E" w:rsidRPr="00B52633">
        <w:rPr>
          <w:noProof/>
        </w:rPr>
        <w:t>.</w:t>
      </w:r>
    </w:p>
    <w:p w14:paraId="62BAB409" w14:textId="3A5AB2B0" w:rsidR="00255D06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(18)</w:t>
      </w:r>
      <w:r w:rsidRPr="0046574F">
        <w:rPr>
          <w:noProof/>
        </w:rPr>
        <w:tab/>
      </w:r>
      <w:r w:rsidR="00255D06" w:rsidRPr="00B52633">
        <w:rPr>
          <w:noProof/>
        </w:rPr>
        <w:t>Os obstáculos resultantes dos procedimentos de concessão de licenças poderão também afetar a futura implantação de tecnologias de descarbonização inovadoras, necessárias para a neutralidade climática. A criação de ambientes de testagem da regulamentação, para testar, num ambiente real, tecnologias, produtos, serviços ou abordagens inovadores, que não são plenamente conformes com o quadro jurídico e regulamentar em vigor, poderia apoiar a inovação e facilitar a adaptação ulterior do quadro regulamentar para os ter em conta.</w:t>
      </w:r>
    </w:p>
    <w:p w14:paraId="2F99BB3A" w14:textId="2EF2F982" w:rsidR="005C4797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(19)</w:t>
      </w:r>
      <w:r w:rsidRPr="0046574F">
        <w:rPr>
          <w:noProof/>
        </w:rPr>
        <w:tab/>
      </w:r>
      <w:r w:rsidR="005C4797" w:rsidRPr="00B52633">
        <w:rPr>
          <w:noProof/>
        </w:rPr>
        <w:t xml:space="preserve">O desenvolvimento de projetos de energia renovável financiados parcial ou totalmente por acordos de aquisição por empresas contribuirá para acelerar a adoção da energia renovável. Os acordos de aquisição por empresas proporcionam igualmente benefícios diretos aos consumidores finais, nomeadamente oferecendo um preço da energia competitivo e previsível e contribuindo para a agenda de responsabilidade social das empresas na União. </w:t>
      </w:r>
    </w:p>
    <w:p w14:paraId="37B06082" w14:textId="7571EF37" w:rsidR="005C4797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(20)</w:t>
      </w:r>
      <w:r w:rsidRPr="0046574F">
        <w:rPr>
          <w:noProof/>
        </w:rPr>
        <w:tab/>
      </w:r>
      <w:r w:rsidR="1C5C1099" w:rsidRPr="00B52633">
        <w:rPr>
          <w:noProof/>
        </w:rPr>
        <w:t xml:space="preserve">Apesar de um aumento anual dos contratos de aquisição por empresas nos últimos cinco anos, a percentagem de projetos de energia renovável financiados diretamente por empresas compradoras representa apenas 15 a 20 % do mercado anual. O recurso a </w:t>
      </w:r>
      <w:r w:rsidR="1C5C1099" w:rsidRPr="00296CB0">
        <w:rPr>
          <w:noProof/>
          <w:spacing w:val="6"/>
        </w:rPr>
        <w:t>acordos de aquisição por empresas limita-se também principalmente a certos Estados-</w:t>
      </w:r>
      <w:r w:rsidR="1C5C1099" w:rsidRPr="00B52633">
        <w:rPr>
          <w:noProof/>
        </w:rPr>
        <w:t>Membros, à eletricidade enquanto vetor energético e às grandes empresas multinacionais orientadas para os consumidores.</w:t>
      </w:r>
    </w:p>
    <w:p w14:paraId="04733D29" w14:textId="715F70A9" w:rsidR="008B416F" w:rsidRPr="00B52633" w:rsidRDefault="0046574F" w:rsidP="0046574F">
      <w:pPr>
        <w:pStyle w:val="ManualConsidrant"/>
        <w:rPr>
          <w:noProof/>
        </w:rPr>
      </w:pPr>
      <w:r w:rsidRPr="0046574F">
        <w:rPr>
          <w:noProof/>
        </w:rPr>
        <w:t>(21)</w:t>
      </w:r>
      <w:r w:rsidRPr="0046574F">
        <w:rPr>
          <w:noProof/>
        </w:rPr>
        <w:tab/>
      </w:r>
      <w:r w:rsidR="008B416F" w:rsidRPr="00B52633">
        <w:rPr>
          <w:noProof/>
        </w:rPr>
        <w:t>Paralelamente à presente recomendação, a Comissão está a disponibilizar, através do Laboratório Geográfico para a Energia e a Indústria (EIGL)</w:t>
      </w:r>
      <w:r w:rsidR="008B416F" w:rsidRPr="00B52633">
        <w:rPr>
          <w:rStyle w:val="FootnoteReference"/>
          <w:noProof/>
        </w:rPr>
        <w:footnoteReference w:id="10"/>
      </w:r>
      <w:r w:rsidR="008B416F" w:rsidRPr="00B52633">
        <w:rPr>
          <w:noProof/>
        </w:rPr>
        <w:t xml:space="preserve">, séries de dados consolidados digitalmente numa vasta gama de fatores energéticos e ambientais relevantes, a fim de ajudar os Estados-Membros a recensear as zonas propícias à implantação da energia renovável com vista ao rápido desenvolvimento de novos projetos no domínio da energia renovável. A Comissão tenciona melhorar esta ferramenta de cartografia integrando séries de dados adicionais e ligações com as ferramentas digitais de ordenamento do território dos Estados-Membros. </w:t>
      </w:r>
    </w:p>
    <w:p w14:paraId="53FE10E1" w14:textId="77777777" w:rsidR="00F43014" w:rsidRPr="00B52633" w:rsidRDefault="00F43014" w:rsidP="005D5FE4">
      <w:pPr>
        <w:pStyle w:val="Formuledadoption"/>
        <w:rPr>
          <w:noProof/>
        </w:rPr>
      </w:pPr>
      <w:r w:rsidRPr="00B52633">
        <w:rPr>
          <w:noProof/>
        </w:rPr>
        <w:t>ADOTOU A PRESENTE RECOMENDAÇÃO:</w:t>
      </w:r>
    </w:p>
    <w:p w14:paraId="54DA706A" w14:textId="77777777" w:rsidR="00053C86" w:rsidRPr="00B52633" w:rsidRDefault="00053C86" w:rsidP="00053C86">
      <w:pPr>
        <w:pStyle w:val="ManualHeading1"/>
        <w:rPr>
          <w:noProof/>
        </w:rPr>
      </w:pPr>
      <w:r w:rsidRPr="00B52633">
        <w:rPr>
          <w:noProof/>
        </w:rPr>
        <w:t>DEFINIÇÃO</w:t>
      </w:r>
    </w:p>
    <w:p w14:paraId="5B1762D4" w14:textId="7DFD16C5" w:rsidR="00053C86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(1)</w:t>
      </w:r>
      <w:r w:rsidRPr="0046574F">
        <w:rPr>
          <w:noProof/>
        </w:rPr>
        <w:tab/>
      </w:r>
      <w:r w:rsidR="00053C86" w:rsidRPr="00B52633">
        <w:rPr>
          <w:noProof/>
        </w:rPr>
        <w:t>Para efeitos da presente recomendação e das orientações que a acompanham, entende-se que os projetos de energia renovável abrangem as centrais de produção de energia renovável, tal como definidas na Diretiva Energias Renováveis (incluindo sob a forma de hidrogénio renovável), bem como os ativos necessários para a sua ligação à rede e para o armazenamento da energia produzida.</w:t>
      </w:r>
    </w:p>
    <w:p w14:paraId="2B37546E" w14:textId="77777777" w:rsidR="00F55DD3" w:rsidRPr="00B52633" w:rsidRDefault="00F55DD3" w:rsidP="00EB6BC3">
      <w:pPr>
        <w:pStyle w:val="ManualHeading1"/>
        <w:rPr>
          <w:noProof/>
        </w:rPr>
      </w:pPr>
      <w:r w:rsidRPr="00B52633">
        <w:rPr>
          <w:noProof/>
        </w:rPr>
        <w:t>PROCEDIMENTOS MAIS RÁPIDOS E MAIS CURTOS</w:t>
      </w:r>
    </w:p>
    <w:p w14:paraId="04AECBA4" w14:textId="11A83B71" w:rsidR="00E6378C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(2)</w:t>
      </w:r>
      <w:r w:rsidRPr="0046574F">
        <w:rPr>
          <w:noProof/>
        </w:rPr>
        <w:tab/>
      </w:r>
      <w:r w:rsidR="0029235F" w:rsidRPr="00B52633">
        <w:rPr>
          <w:noProof/>
        </w:rPr>
        <w:t>Os Estados-Membros devem assegurar que o planeamento, a construção e a exploração das centrais de produção de energia a partir de fontes renováveis, a sua ligação à rede de eletricidade, de gás e de calor e à rede conexa, bem como as instalações de armazenamento, sejam considerados de interesse público superior e no interesse da segurança pública e possam beneficiar do procedimento mais favorável disponível entre os seus procedimentos de planeamento e de concessão de licenças, tendo em conta a proposta legislativa que altera</w:t>
      </w:r>
      <w:r w:rsidR="0029235F" w:rsidRPr="00B52633">
        <w:rPr>
          <w:rStyle w:val="normaltextrun"/>
          <w:noProof/>
          <w:shd w:val="clear" w:color="auto" w:fill="FFFFFF"/>
        </w:rPr>
        <w:t xml:space="preserve"> e </w:t>
      </w:r>
      <w:r w:rsidR="0029235F" w:rsidRPr="00B52633">
        <w:rPr>
          <w:rStyle w:val="findhit"/>
          <w:noProof/>
        </w:rPr>
        <w:t>reforça</w:t>
      </w:r>
      <w:r w:rsidR="0029235F" w:rsidRPr="00B52633">
        <w:rPr>
          <w:rStyle w:val="normaltextrun"/>
          <w:noProof/>
          <w:shd w:val="clear" w:color="auto" w:fill="FFFFFF"/>
        </w:rPr>
        <w:t xml:space="preserve"> as disposições da Diretiva (UE) 2018/2001 relativas aos procedimentos administrativos</w:t>
      </w:r>
      <w:r w:rsidR="0029235F" w:rsidRPr="00B52633">
        <w:rPr>
          <w:noProof/>
        </w:rPr>
        <w:t xml:space="preserve"> e sem prejuízo do direito da União.</w:t>
      </w:r>
    </w:p>
    <w:p w14:paraId="40C71796" w14:textId="1EC1F387" w:rsidR="00586D92" w:rsidRPr="00B52633" w:rsidRDefault="0046574F" w:rsidP="0046574F">
      <w:pPr>
        <w:pStyle w:val="Point0"/>
        <w:rPr>
          <w:rFonts w:asciiTheme="minorHAnsi" w:hAnsiTheme="minorHAnsi"/>
          <w:noProof/>
        </w:rPr>
      </w:pPr>
      <w:r w:rsidRPr="0046574F">
        <w:rPr>
          <w:noProof/>
        </w:rPr>
        <w:t>(3)</w:t>
      </w:r>
      <w:r w:rsidRPr="0046574F">
        <w:rPr>
          <w:noProof/>
        </w:rPr>
        <w:tab/>
      </w:r>
      <w:r w:rsidR="41C7E38B" w:rsidRPr="00B52633">
        <w:rPr>
          <w:noProof/>
        </w:rPr>
        <w:t>Os Estados-Membros devem estabelecer prazos claramente definidos, acelerados e tão curtos quanto possível para todas as etapas necessárias para a concessão de licenças de construção e de exploração de projetos de energia renovável, especificando os casos em que esses prazos podem ser prorrogados e em que circunstâncias. Os Estados-Membros devem fixar prazos máximos vinculativos para todas etapas relevantes do procedimento de avaliação de impacto ambiental. A duração dos procedimentos de concessão de licenças para a instalação de equipamentos de energia solar em estruturas artificiais deve ser limitada a um máximo de três meses.</w:t>
      </w:r>
    </w:p>
    <w:p w14:paraId="30E0BA7F" w14:textId="061996FC" w:rsidR="00C376D2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(4)</w:t>
      </w:r>
      <w:r w:rsidRPr="0046574F">
        <w:rPr>
          <w:noProof/>
        </w:rPr>
        <w:tab/>
      </w:r>
      <w:r w:rsidR="41C7E38B" w:rsidRPr="00B52633">
        <w:rPr>
          <w:noProof/>
        </w:rPr>
        <w:t xml:space="preserve">Os Estados-Membros devem fixar prazos e estabelecer regras processuais específicas com vista a assegurar a eficiência dos procedimentos judiciais relacionados com o acesso à justiça para projetos de energia renovável. </w:t>
      </w:r>
    </w:p>
    <w:p w14:paraId="385F6E48" w14:textId="7187E999" w:rsidR="00C858FC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(5)</w:t>
      </w:r>
      <w:r w:rsidRPr="0046574F">
        <w:rPr>
          <w:noProof/>
        </w:rPr>
        <w:tab/>
      </w:r>
      <w:r w:rsidR="41C7E38B" w:rsidRPr="00B52633">
        <w:rPr>
          <w:noProof/>
        </w:rPr>
        <w:t xml:space="preserve">Os Estados-Membros devem criar um processo único e unificado para a introdução dos pedidos para a globalidade do processo administrativo de apresentação de pedidos e de concessão de licenças. Deve ser dada prioridade aos pedidos simultâneos em detrimento dos pedidos sequenciais, caso sejam necessárias autorizações diferentes, incluindo para projetos de rede conexos. </w:t>
      </w:r>
    </w:p>
    <w:p w14:paraId="40169952" w14:textId="3DCCB6A7" w:rsidR="00C376D2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(6)</w:t>
      </w:r>
      <w:r w:rsidRPr="0046574F">
        <w:rPr>
          <w:noProof/>
        </w:rPr>
        <w:tab/>
      </w:r>
      <w:r w:rsidR="001947FD" w:rsidRPr="00B52633">
        <w:rPr>
          <w:noProof/>
        </w:rPr>
        <w:t xml:space="preserve">A fim de facilitar a adoção de tecnologias inovadoras, os Estados-Membros devem permitir que os requerentes atualizem as especificações tecnológicas dos seus projetos entre o momento em que apresentam o pedido de licença e o momento da construção dos projetos. </w:t>
      </w:r>
    </w:p>
    <w:p w14:paraId="3E04BE79" w14:textId="0C33E45F" w:rsidR="00060BC5" w:rsidRPr="00B52633" w:rsidRDefault="0046574F" w:rsidP="0046574F">
      <w:pPr>
        <w:pStyle w:val="Point0"/>
        <w:rPr>
          <w:noProof/>
          <w:sz w:val="22"/>
        </w:rPr>
      </w:pPr>
      <w:r w:rsidRPr="0046574F">
        <w:rPr>
          <w:noProof/>
        </w:rPr>
        <w:t>(7)</w:t>
      </w:r>
      <w:r w:rsidRPr="0046574F">
        <w:rPr>
          <w:noProof/>
        </w:rPr>
        <w:tab/>
      </w:r>
      <w:r w:rsidR="008439AA" w:rsidRPr="00B52633">
        <w:rPr>
          <w:noProof/>
        </w:rPr>
        <w:t>Quando implementam estas recomendações, os Estados-Membros devem recorrer às práticas descritas no capítulo I, secção 2, das orientações que figuram no anexo da presente recomendação.</w:t>
      </w:r>
      <w:r w:rsidR="00136273">
        <w:rPr>
          <w:noProof/>
        </w:rPr>
        <w:t xml:space="preserve"> </w:t>
      </w:r>
      <w:r w:rsidR="008439AA" w:rsidRPr="00B52633">
        <w:rPr>
          <w:noProof/>
        </w:rPr>
        <w:t xml:space="preserve"> </w:t>
      </w:r>
    </w:p>
    <w:p w14:paraId="570C0012" w14:textId="77777777" w:rsidR="00F55DD3" w:rsidRPr="00B52633" w:rsidRDefault="00F55DD3">
      <w:pPr>
        <w:pStyle w:val="ManualHeading1"/>
        <w:rPr>
          <w:noProof/>
        </w:rPr>
      </w:pPr>
      <w:r w:rsidRPr="00B52633">
        <w:rPr>
          <w:noProof/>
        </w:rPr>
        <w:t xml:space="preserve">FACILITAÇÃO DA PARTICIPAÇÃO DOS CIDADÃOS E DA COMUNIDADE </w:t>
      </w:r>
    </w:p>
    <w:p w14:paraId="026BA3C3" w14:textId="09CCADCA" w:rsidR="00CD7DA4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(8)</w:t>
      </w:r>
      <w:r w:rsidRPr="0046574F">
        <w:rPr>
          <w:noProof/>
        </w:rPr>
        <w:tab/>
      </w:r>
      <w:r w:rsidR="41C7E38B" w:rsidRPr="00B52633">
        <w:rPr>
          <w:noProof/>
        </w:rPr>
        <w:t xml:space="preserve">Os Estados-Membros devem encorajar os cidadãos, incluindo as famílias de rendimento baixo e médio, e as comunidades de energia a participarem em projetos de energia renovável, bem como adotar medidas para incentivar a transferência dos benefícios da transição energética para as comunidades locais, reforçando assim a aceitação e o envolvimento do público. </w:t>
      </w:r>
    </w:p>
    <w:p w14:paraId="76760E8F" w14:textId="3B92CCEF" w:rsidR="007816AA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(9)</w:t>
      </w:r>
      <w:r w:rsidRPr="0046574F">
        <w:rPr>
          <w:noProof/>
        </w:rPr>
        <w:tab/>
      </w:r>
      <w:r w:rsidR="41C7E38B" w:rsidRPr="00B52633">
        <w:rPr>
          <w:noProof/>
        </w:rPr>
        <w:t>Os Estados-Membros devem aplicar procedimentos simplificados de concessão de licenças para as comunidades de energia renovável, incluindo para a ligação à rede de instalações que pertencem a comunidades, bem como reduzir ao mínimo os procedimentos e exigências em matéria de concessão de licenças de produção, incluindo para os autoconsumidores de energia renovável.</w:t>
      </w:r>
    </w:p>
    <w:p w14:paraId="2A196FED" w14:textId="119C7DCD" w:rsidR="00060BC5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(10)</w:t>
      </w:r>
      <w:r w:rsidRPr="0046574F">
        <w:rPr>
          <w:noProof/>
        </w:rPr>
        <w:tab/>
      </w:r>
      <w:r w:rsidR="008439AA" w:rsidRPr="00B52633">
        <w:rPr>
          <w:noProof/>
        </w:rPr>
        <w:t>Na aplicação destas recomendações, os Estados-Membros devem recorrer às práticas descritas no capítulo I, secção 5, alínea c), e secção 6, alínea a), das orientações que figuram no anexo da presente recomendação.</w:t>
      </w:r>
    </w:p>
    <w:p w14:paraId="2CE797C3" w14:textId="2E53DE44" w:rsidR="00F55DD3" w:rsidRPr="00B52633" w:rsidRDefault="00F55DD3" w:rsidP="006E0A64">
      <w:pPr>
        <w:pStyle w:val="ManualHeading1"/>
        <w:rPr>
          <w:noProof/>
        </w:rPr>
      </w:pPr>
      <w:r w:rsidRPr="00B52633">
        <w:rPr>
          <w:noProof/>
        </w:rPr>
        <w:t>MELHORIA DA COORDENAÇÃO INTERNA</w:t>
      </w:r>
      <w:r w:rsidR="00136273">
        <w:rPr>
          <w:noProof/>
        </w:rPr>
        <w:t xml:space="preserve"> </w:t>
      </w:r>
    </w:p>
    <w:p w14:paraId="4BB5E450" w14:textId="47AB4C57" w:rsidR="007816AA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(11)</w:t>
      </w:r>
      <w:r w:rsidRPr="0046574F">
        <w:rPr>
          <w:noProof/>
        </w:rPr>
        <w:tab/>
      </w:r>
      <w:r w:rsidR="117735E1" w:rsidRPr="00B52633">
        <w:rPr>
          <w:noProof/>
        </w:rPr>
        <w:t>Os Estados-Membros devem racionalizar e coordenar de forma eficaz as funções e responsabilidades das autoridades competentes a nível nacional, regional e municipal, bem como a legislação, a regulamentação e os procedimentos aplicáveis à autorização de projetos de energia renovável.</w:t>
      </w:r>
    </w:p>
    <w:p w14:paraId="1C04AE0D" w14:textId="123CF5B8" w:rsidR="007816AA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(12)</w:t>
      </w:r>
      <w:r w:rsidRPr="0046574F">
        <w:rPr>
          <w:noProof/>
        </w:rPr>
        <w:tab/>
      </w:r>
      <w:r w:rsidR="117735E1" w:rsidRPr="00B52633">
        <w:rPr>
          <w:noProof/>
        </w:rPr>
        <w:t xml:space="preserve">Os Estados-Membros devem criar um ponto de contacto único para a concessão de licenças para projetos de energia renovável exigidos pela Diretiva (UE) 2018/2001, de modo a limitar ao necessário o número de autoridades envolvidas e maximizar a eficiência, tendo em conta os recursos públicos e os benefícios da concentração de competências tecnológicas, ambientais e jurídicas. </w:t>
      </w:r>
    </w:p>
    <w:p w14:paraId="7A95EC28" w14:textId="65D0B1AC" w:rsidR="00060BC5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(13)</w:t>
      </w:r>
      <w:r w:rsidRPr="0046574F">
        <w:rPr>
          <w:noProof/>
        </w:rPr>
        <w:tab/>
      </w:r>
      <w:r w:rsidR="00B005B6" w:rsidRPr="00B52633">
        <w:rPr>
          <w:noProof/>
        </w:rPr>
        <w:t>Os Estados-Membros devem introduzir regras para que a ausência de resposta da parte da autoridade ou das autoridades competentes, dentro dos prazos estabelecidos, acarrete a aceitação de um determinado pedido na fase pertinente de um procedimento de concessão de licenças para projetos de energia renovável (o chamado «silêncio administrativo positivo»), a menos que a legislação da União ou a legislação nacional exija uma resposta.</w:t>
      </w:r>
    </w:p>
    <w:p w14:paraId="6491A6A7" w14:textId="74D68C49" w:rsidR="00060BC5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(14)</w:t>
      </w:r>
      <w:r w:rsidRPr="0046574F">
        <w:rPr>
          <w:noProof/>
        </w:rPr>
        <w:tab/>
      </w:r>
      <w:r w:rsidR="008439AA" w:rsidRPr="00B52633">
        <w:rPr>
          <w:noProof/>
        </w:rPr>
        <w:t>Quando implementam estas recomendações, os Estados-Membros devem recorrer às práticas descritas no capítulo I, secção 3, das orientações que figuram no anexo da presente recomendação.</w:t>
      </w:r>
    </w:p>
    <w:p w14:paraId="42B332B4" w14:textId="77777777" w:rsidR="001947FD" w:rsidRPr="00B52633" w:rsidRDefault="001947FD" w:rsidP="006E0A64">
      <w:pPr>
        <w:pStyle w:val="ManualHeading1"/>
        <w:rPr>
          <w:noProof/>
        </w:rPr>
      </w:pPr>
      <w:r w:rsidRPr="00B52633">
        <w:rPr>
          <w:noProof/>
        </w:rPr>
        <w:t xml:space="preserve">PROCEDIMENTOS CLAROS E DIGITALIZADOS </w:t>
      </w:r>
    </w:p>
    <w:p w14:paraId="6FACFBA7" w14:textId="0FDEE3D1" w:rsidR="007816AA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(15)</w:t>
      </w:r>
      <w:r w:rsidRPr="0046574F">
        <w:rPr>
          <w:noProof/>
        </w:rPr>
        <w:tab/>
      </w:r>
      <w:r w:rsidR="30CF1C4A" w:rsidRPr="00B52633">
        <w:rPr>
          <w:noProof/>
        </w:rPr>
        <w:t xml:space="preserve">Os Estados-Membros devem comunicar aos requerentes informações claras, completas e transparentes sobre todos os requisitos e etapas processuais, incluindo os procedimentos de reclamação, logo no início do procedimento de concessão de licenças para projetos de energia renovável. </w:t>
      </w:r>
    </w:p>
    <w:p w14:paraId="5A3F34D2" w14:textId="360F9BF5" w:rsidR="00B91B18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(16)</w:t>
      </w:r>
      <w:r w:rsidRPr="0046574F">
        <w:rPr>
          <w:noProof/>
        </w:rPr>
        <w:tab/>
      </w:r>
      <w:r w:rsidR="00B005B6" w:rsidRPr="00B52633">
        <w:rPr>
          <w:noProof/>
        </w:rPr>
        <w:t>Os Estados-Membros devem introduzir procedimentos de concessão de licenças totalmente digitalizados e comunicações eletrónicas para substituir a utilização de papel. As informações pertinentes, incluindo os modelos para pedidos, estudos e dados ambientais, bem como informações sobre as possibilidades de participação do público e encargos administrativos,</w:t>
      </w:r>
      <w:r w:rsidR="00136273">
        <w:rPr>
          <w:noProof/>
        </w:rPr>
        <w:t xml:space="preserve"> </w:t>
      </w:r>
      <w:r w:rsidR="00B005B6" w:rsidRPr="00B52633">
        <w:rPr>
          <w:noProof/>
        </w:rPr>
        <w:t>devem ser colocadas à disposição dos promotores de projetos de forma centralizada, no âmbito de um manual de procedimentos disponível em linha.</w:t>
      </w:r>
    </w:p>
    <w:p w14:paraId="45DA3F92" w14:textId="522023F0" w:rsidR="00060BC5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(17)</w:t>
      </w:r>
      <w:r w:rsidRPr="0046574F">
        <w:rPr>
          <w:noProof/>
        </w:rPr>
        <w:tab/>
      </w:r>
      <w:r w:rsidR="008439AA" w:rsidRPr="00B52633">
        <w:rPr>
          <w:noProof/>
        </w:rPr>
        <w:t>Quando implementam estas recomendações, os Estados-Membros devem recorrer às práticas descritas no capítulo I, secção 3, das orientações que figuram no anexo da presente recomendação.</w:t>
      </w:r>
    </w:p>
    <w:p w14:paraId="60C5915D" w14:textId="77777777" w:rsidR="001947FD" w:rsidRPr="00B52633" w:rsidRDefault="001947FD" w:rsidP="0081674F">
      <w:pPr>
        <w:pStyle w:val="ManualHeading1"/>
        <w:rPr>
          <w:noProof/>
        </w:rPr>
      </w:pPr>
      <w:r w:rsidRPr="00B52633">
        <w:rPr>
          <w:noProof/>
        </w:rPr>
        <w:t>RECURSOS HUMANOS E COMPETÊNCIAS SUFICIENTES</w:t>
      </w:r>
    </w:p>
    <w:p w14:paraId="16668803" w14:textId="19D66CFF" w:rsidR="007D36DB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(18)</w:t>
      </w:r>
      <w:r w:rsidRPr="0046574F">
        <w:rPr>
          <w:noProof/>
        </w:rPr>
        <w:tab/>
      </w:r>
      <w:r w:rsidR="00B005B6" w:rsidRPr="00B52633">
        <w:rPr>
          <w:noProof/>
        </w:rPr>
        <w:t xml:space="preserve">Os Estados-Membros devem velar por que os seus organismos encarregados da concessão de licenças e as suas autoridades encarregadas da avaliação de impacto ambiental disponham de efetivos suficientes e adequados e sejam dotados das competências e qualificações exigidas. </w:t>
      </w:r>
    </w:p>
    <w:p w14:paraId="767C8BCA" w14:textId="5254CA01" w:rsidR="006367C1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(19)</w:t>
      </w:r>
      <w:r w:rsidRPr="0046574F">
        <w:rPr>
          <w:noProof/>
        </w:rPr>
        <w:tab/>
      </w:r>
      <w:r w:rsidR="006367C1" w:rsidRPr="00B52633">
        <w:rPr>
          <w:noProof/>
        </w:rPr>
        <w:t>Os Estados-Membros devem utilizar as possibilidades de financiamento nacionais e da União disponíveis para a melhoria das competências e a reconversão profissionais, em especial a nível regional e local, bem como ponderar a criação de uma aliança para a cooperação setorial em matéria de competências, a fim de colmatar o défice de competências do pessoal que trabalha com os procedimentos de concessão de licenças e nas avaliações de impacto ambiental.</w:t>
      </w:r>
    </w:p>
    <w:p w14:paraId="230BC723" w14:textId="758A365F" w:rsidR="00060BC5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(20)</w:t>
      </w:r>
      <w:r w:rsidRPr="0046574F">
        <w:rPr>
          <w:noProof/>
        </w:rPr>
        <w:tab/>
      </w:r>
      <w:r w:rsidR="008439AA" w:rsidRPr="00B52633">
        <w:rPr>
          <w:noProof/>
        </w:rPr>
        <w:t>Quando implementam estas recomendações, os Estados-Membros devem recorrer às práticas descritas no capítulo I, secção 4, das orientações que figuram no anexo da presente recomendação.</w:t>
      </w:r>
    </w:p>
    <w:p w14:paraId="15E33BD8" w14:textId="77777777" w:rsidR="001947FD" w:rsidRPr="00B52633" w:rsidRDefault="001947FD" w:rsidP="0081674F">
      <w:pPr>
        <w:pStyle w:val="ManualHeading1"/>
        <w:rPr>
          <w:noProof/>
        </w:rPr>
      </w:pPr>
      <w:r w:rsidRPr="00B52633">
        <w:rPr>
          <w:noProof/>
        </w:rPr>
        <w:t xml:space="preserve">MELHORIA DA IDENTIFICAÇÃO E DO PLANEAMENTO DOS LOCAIS PARA PROJETOS </w:t>
      </w:r>
    </w:p>
    <w:p w14:paraId="497B94CD" w14:textId="699789B1" w:rsidR="007816AA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(21)</w:t>
      </w:r>
      <w:r w:rsidRPr="0046574F">
        <w:rPr>
          <w:noProof/>
        </w:rPr>
        <w:tab/>
      </w:r>
      <w:r w:rsidR="117735E1" w:rsidRPr="00B52633">
        <w:rPr>
          <w:noProof/>
        </w:rPr>
        <w:t>Os Estados-Membros devem identificar rapidamente zonas terrestres e marítimas adequadas para projetos de energia renovável, em consonância com os seus planos nacionais em matéria de energia e de clima e com o seu contributo para a consecução da meta revista para 2030 em matéria de energia renovável. No âmbito deste processo de cartografia, é conveniente designar zonas limitadas e claramente definidas como sendo particularmente adequadas para o desenvolvimento da energia renovável (zonas propícias ao desenvolvimento de energia renovável), evitando ao mesmo tempo, tanto quanto possível, zonas de valor ambiental e dando prioridade, nomeadamente, a terras degradadas não utilizáveis para a agricultura. Para o efeito, os Estados-Membros são incentivados a utilizar os conjuntos de dados atualizados disponíveis no Laboratório Geográfico para a Energia e a Indústria</w:t>
      </w:r>
      <w:r w:rsidR="117735E1" w:rsidRPr="00B52633">
        <w:rPr>
          <w:rStyle w:val="FootnoteReference"/>
          <w:noProof/>
        </w:rPr>
        <w:footnoteReference w:id="11"/>
      </w:r>
      <w:r w:rsidR="117735E1" w:rsidRPr="00B52633">
        <w:rPr>
          <w:noProof/>
        </w:rPr>
        <w:t xml:space="preserve"> («Energy and Industry Geography Lab», EIGL).</w:t>
      </w:r>
    </w:p>
    <w:p w14:paraId="25085351" w14:textId="31AD8A18" w:rsidR="007816AA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(22)</w:t>
      </w:r>
      <w:r w:rsidRPr="0046574F">
        <w:rPr>
          <w:noProof/>
        </w:rPr>
        <w:tab/>
      </w:r>
      <w:r w:rsidR="117735E1" w:rsidRPr="00B52633">
        <w:rPr>
          <w:noProof/>
        </w:rPr>
        <w:t xml:space="preserve">Os Estados-Membros devem limitar ao mínimo necessário as «zonas de exclusão» nas quais a energia renovável não pode ser desenvolvida. Devem fornecer informações claras e transparentes, com uma justificação fundamentada sobre as restrições ligadas à distância em relação a zonas residenciais e a zonas de aviação civil ou militar. As restrições devem basear-se em dados concretos e ser concebidas de forma a cumprir a sua finalidade, maximizando ao mesmo tempo a disponibilidade de zonas propícias ao desenvolvimento de projetos, tendo em conta outros condicionalismos em matéria de ordenamento do território. </w:t>
      </w:r>
    </w:p>
    <w:p w14:paraId="4B7111E8" w14:textId="6A2BE999" w:rsidR="009422B0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(23)</w:t>
      </w:r>
      <w:r w:rsidRPr="0046574F">
        <w:rPr>
          <w:noProof/>
        </w:rPr>
        <w:tab/>
      </w:r>
      <w:r w:rsidR="117735E1" w:rsidRPr="00B52633">
        <w:rPr>
          <w:noProof/>
        </w:rPr>
        <w:t>Na medida em que tal seja juridicamente possível, os Estados-Membros devem racionalizar os requisitos em matéria de avaliação de impacto ambiental de projetos de energia renovável aplicando as orientações técnicas disponíveis para conciliar a implantação da energia renovável com a legislação ambiental da União e integrando a avaliação de impacto ambiental com outras avaliações ambientais aplicáveis no âmbito de um procedimento conjunto. Os Estados-Membros devem utilizar a delimitação do âmbito</w:t>
      </w:r>
      <w:r w:rsidR="117735E1" w:rsidRPr="00B52633">
        <w:rPr>
          <w:rStyle w:val="FootnoteReference"/>
          <w:noProof/>
        </w:rPr>
        <w:footnoteReference w:id="12"/>
      </w:r>
      <w:r w:rsidR="117735E1" w:rsidRPr="00B52633">
        <w:rPr>
          <w:noProof/>
        </w:rPr>
        <w:t xml:space="preserve">de forma sistemática ou torná-la obrigatória, a fim de melhorar a qualidade do processo de avaliação de impacto ambiental. </w:t>
      </w:r>
    </w:p>
    <w:p w14:paraId="4BC8D60F" w14:textId="2692D617" w:rsidR="007816AA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(24)</w:t>
      </w:r>
      <w:r w:rsidRPr="0046574F">
        <w:rPr>
          <w:noProof/>
        </w:rPr>
        <w:tab/>
      </w:r>
      <w:r w:rsidR="009422B0" w:rsidRPr="00B52633">
        <w:rPr>
          <w:noProof/>
        </w:rPr>
        <w:t xml:space="preserve">Os Estados-Membros devem assegurar que o abate ou a perturbação de espécimes individuais de aves selvagens e de espécies protegidas ao abrigo da Diretiva </w:t>
      </w:r>
      <w:r w:rsidR="009422B0" w:rsidRPr="00B52633">
        <w:rPr>
          <w:bCs/>
          <w:noProof/>
          <w:szCs w:val="24"/>
        </w:rPr>
        <w:t>92/43/CEE</w:t>
      </w:r>
      <w:r w:rsidR="009422B0" w:rsidRPr="00B52633">
        <w:rPr>
          <w:rStyle w:val="FootnoteReference"/>
          <w:bCs/>
          <w:noProof/>
          <w:szCs w:val="24"/>
        </w:rPr>
        <w:footnoteReference w:id="13"/>
      </w:r>
      <w:r w:rsidR="009422B0" w:rsidRPr="00B52633">
        <w:rPr>
          <w:rFonts w:ascii="Segoe UI" w:hAnsi="Segoe UI"/>
          <w:b/>
          <w:bCs/>
          <w:noProof/>
          <w:sz w:val="21"/>
          <w:szCs w:val="21"/>
          <w:shd w:val="clear" w:color="auto" w:fill="FFFFFF"/>
        </w:rPr>
        <w:t xml:space="preserve"> </w:t>
      </w:r>
      <w:r w:rsidR="009422B0" w:rsidRPr="00B52633">
        <w:rPr>
          <w:noProof/>
        </w:rPr>
        <w:t>do Conselho não constitui um obstáculo ao desenvolvimento de projetos de energia renovável, exigindo que esses projetos integrem, conforme adequado, medidas de atenuação para prevenir eficazmente, tanto quanto possível, o abate ou a perturbação, monitorizando a sua eficácia e, à luz das informações obtidas graças à monitorização, tomando as medidas adicionais que se imponham para garantir que não haja um impacto negativo significativo na população das espécies em causa. Se estes pontos forem respeitados, o abate ou a perturbação acidentais de espécimes individuais não devem ser considerados deliberados e, por conseguinte, não devem ser abrangidos pelo âmbito do artigo 12.º, n.º 1, da Diretiva 92/43/CEE, nem pelo artigo 5.º da Diretiva 2009/147/CE do Parlamento Europeu e do Conselho</w:t>
      </w:r>
      <w:r w:rsidR="009422B0" w:rsidRPr="00B52633">
        <w:rPr>
          <w:rStyle w:val="FootnoteReference"/>
          <w:bCs/>
          <w:noProof/>
        </w:rPr>
        <w:footnoteReference w:id="14"/>
      </w:r>
      <w:r w:rsidR="009422B0" w:rsidRPr="00B52633">
        <w:rPr>
          <w:noProof/>
        </w:rPr>
        <w:t>. </w:t>
      </w:r>
    </w:p>
    <w:p w14:paraId="72C8E30D" w14:textId="5ED4D8ED" w:rsidR="007816AA" w:rsidRPr="00B52633" w:rsidRDefault="0046574F" w:rsidP="0046574F">
      <w:pPr>
        <w:pStyle w:val="Point0"/>
        <w:rPr>
          <w:rFonts w:asciiTheme="minorHAnsi" w:eastAsiaTheme="minorEastAsia" w:hAnsiTheme="minorHAnsi" w:cstheme="minorBidi"/>
          <w:noProof/>
          <w:szCs w:val="24"/>
        </w:rPr>
      </w:pPr>
      <w:r w:rsidRPr="0046574F">
        <w:rPr>
          <w:noProof/>
        </w:rPr>
        <w:t>(25)</w:t>
      </w:r>
      <w:r w:rsidRPr="0046574F">
        <w:rPr>
          <w:noProof/>
        </w:rPr>
        <w:tab/>
      </w:r>
      <w:r w:rsidR="005661AD" w:rsidRPr="00B52633">
        <w:rPr>
          <w:noProof/>
        </w:rPr>
        <w:t>Os Estados-Membros devem incentivar o envolvimento do público numa fase incipiente da definição dos planos de ordenamento do território, promover a utilização múltipla dos sítios e garantir a transparência quanto aos locais em que podem ser construídos ou instalados projetos de energia renovável, incluindo as pequenas instalações a nível municipal, bem como quanto ao modo de o fazer. Os Estados-Membros devem prosseguir o planeamento coordenado das redes e das capacidades de produção de energia renovável a todos os níveis, incluindo no contexto da cooperação regional.</w:t>
      </w:r>
    </w:p>
    <w:p w14:paraId="1FBB4F41" w14:textId="192295AD" w:rsidR="00060BC5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(26)</w:t>
      </w:r>
      <w:r w:rsidRPr="0046574F">
        <w:rPr>
          <w:noProof/>
        </w:rPr>
        <w:tab/>
      </w:r>
      <w:r w:rsidR="006E0A64" w:rsidRPr="00B52633">
        <w:rPr>
          <w:noProof/>
        </w:rPr>
        <w:t>Quando implementam estas recomendações, os Estados-Membros devem recorrer às práticas descritas no capítulo I, secção 5, das orientações que figuram no anexo da presente recomendação.</w:t>
      </w:r>
    </w:p>
    <w:p w14:paraId="6FDC28E2" w14:textId="77777777" w:rsidR="00392D76" w:rsidRPr="00B52633" w:rsidRDefault="00392D76" w:rsidP="0081674F">
      <w:pPr>
        <w:pStyle w:val="ManualHeading1"/>
        <w:rPr>
          <w:noProof/>
        </w:rPr>
      </w:pPr>
      <w:r w:rsidRPr="00B52633">
        <w:rPr>
          <w:noProof/>
        </w:rPr>
        <w:t>FACILITAÇÃO DA LIGAÇÃO À REDE</w:t>
      </w:r>
    </w:p>
    <w:p w14:paraId="6C194FC0" w14:textId="509FAFA8" w:rsidR="00646363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(27)</w:t>
      </w:r>
      <w:r w:rsidRPr="0046574F">
        <w:rPr>
          <w:noProof/>
        </w:rPr>
        <w:tab/>
      </w:r>
      <w:r w:rsidR="7078E9A9" w:rsidRPr="00B52633">
        <w:rPr>
          <w:noProof/>
        </w:rPr>
        <w:t xml:space="preserve">Os Estados-Membros devem implementar um planeamento da rede a longo prazo e prever investimentos compatíveis com a expansão prevista das capacidades de produção de energia renovável, tendo em conta a procura futura e o objetivo de neutralidade climática. </w:t>
      </w:r>
    </w:p>
    <w:p w14:paraId="22155716" w14:textId="7F7BEF7E" w:rsidR="007816AA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(28)</w:t>
      </w:r>
      <w:r w:rsidRPr="0046574F">
        <w:rPr>
          <w:noProof/>
        </w:rPr>
        <w:tab/>
      </w:r>
      <w:r w:rsidR="7078E9A9" w:rsidRPr="00B52633">
        <w:rPr>
          <w:noProof/>
        </w:rPr>
        <w:t>Os Estados-Membros devem estabelecer procedimentos simplificados para o reequipamento das centrais de energia renovável existentes, incluindo procedimentos simplificados para as avaliações de impacto ambiental, e adotar um procedimento de notificação simples para as suas ligações à rede nos casos em que não se preveja um impacto negativo significativo a nível social ou ambiental.</w:t>
      </w:r>
    </w:p>
    <w:p w14:paraId="27BAB4D8" w14:textId="3CE38541" w:rsidR="007816AA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(29)</w:t>
      </w:r>
      <w:r w:rsidRPr="0046574F">
        <w:rPr>
          <w:noProof/>
        </w:rPr>
        <w:tab/>
      </w:r>
      <w:r w:rsidR="5E52CAE0" w:rsidRPr="00B52633">
        <w:rPr>
          <w:noProof/>
        </w:rPr>
        <w:t>Os Estados-Membros devem assegurar que os operadores da rede (i) apliquem um procedimento transparente e digital para os pedidos de ligação à rede; (ii) forneçam informações sobre as capacidades da rede; e (iii) otimizem a utilização das capacidades da rede permitindo que sejam utilizadas por centrais elétricas que combinem várias tecnologias complementares.</w:t>
      </w:r>
    </w:p>
    <w:p w14:paraId="40B891BE" w14:textId="79AEAB03" w:rsidR="006C019A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(30)</w:t>
      </w:r>
      <w:r w:rsidRPr="0046574F">
        <w:rPr>
          <w:noProof/>
        </w:rPr>
        <w:tab/>
      </w:r>
      <w:r w:rsidR="006C019A" w:rsidRPr="00B52633">
        <w:rPr>
          <w:noProof/>
        </w:rPr>
        <w:t xml:space="preserve">Os Estados-Membros devem garantir a segurança jurídica no que respeita à reafetação das condutas de gás natural para o transporte de hidrogénio, indicando claramente as autorizações que serão necessárias e permitindo a aplicação de uma cláusula de anterioridade às autorizações existentes. </w:t>
      </w:r>
    </w:p>
    <w:p w14:paraId="03BC069C" w14:textId="190BEDCE" w:rsidR="00060BC5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(31)</w:t>
      </w:r>
      <w:r w:rsidRPr="0046574F">
        <w:rPr>
          <w:noProof/>
        </w:rPr>
        <w:tab/>
      </w:r>
      <w:r w:rsidR="006E0A64" w:rsidRPr="00B52633">
        <w:rPr>
          <w:noProof/>
        </w:rPr>
        <w:t>Quando implementam estas recomendações, os Estados-Membros devem recorrer às práticas descritas no capítulo I, secção 6, das orientações que figuram no anexo da presente recomendação.</w:t>
      </w:r>
    </w:p>
    <w:p w14:paraId="5F564751" w14:textId="77777777" w:rsidR="00725000" w:rsidRPr="00B52633" w:rsidRDefault="00725000" w:rsidP="000803F3">
      <w:pPr>
        <w:pStyle w:val="ManualHeading1"/>
        <w:rPr>
          <w:noProof/>
        </w:rPr>
      </w:pPr>
      <w:r w:rsidRPr="00B52633">
        <w:rPr>
          <w:noProof/>
        </w:rPr>
        <w:t>PROJETOS INOVADORES</w:t>
      </w:r>
    </w:p>
    <w:p w14:paraId="0BFAD48E" w14:textId="02C34A74" w:rsidR="00725000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(32)</w:t>
      </w:r>
      <w:r w:rsidRPr="0046574F">
        <w:rPr>
          <w:noProof/>
        </w:rPr>
        <w:tab/>
      </w:r>
      <w:r w:rsidR="00D7442D" w:rsidRPr="00B52633">
        <w:rPr>
          <w:noProof/>
        </w:rPr>
        <w:t>Os Estados-Membros são incentivados a criar ambientes de testagem da regulamentação para conceder isenções específicas relativamente ao quadro legislativo ou regulamentar nacional, regional ou local para tecnologias, produtos, abordagens ou serviços inovadores, a fim de facilitar a concessão de licenças para apoiar a implantação e a integração do sistema da energia renovável, do armazenamento e de outras tecnologias de descarbonização, em conformidade com a legislação da União.</w:t>
      </w:r>
    </w:p>
    <w:p w14:paraId="30B9152B" w14:textId="77777777" w:rsidR="005C4797" w:rsidRPr="00B52633" w:rsidRDefault="005C4797" w:rsidP="0081674F">
      <w:pPr>
        <w:pStyle w:val="ManualHeading1"/>
        <w:rPr>
          <w:noProof/>
        </w:rPr>
      </w:pPr>
      <w:r w:rsidRPr="00B52633">
        <w:rPr>
          <w:noProof/>
        </w:rPr>
        <w:t>FACILITAÇÃO DE CONTRATOS DE AQUISIÇÃO DE ENERGIA</w:t>
      </w:r>
    </w:p>
    <w:p w14:paraId="476DD455" w14:textId="4851BCC2" w:rsidR="00F52068" w:rsidRPr="00B52633" w:rsidRDefault="0046574F" w:rsidP="0046574F">
      <w:pPr>
        <w:pStyle w:val="Point0"/>
        <w:rPr>
          <w:rFonts w:asciiTheme="minorHAnsi" w:eastAsiaTheme="minorEastAsia" w:hAnsiTheme="minorHAnsi" w:cstheme="minorBidi"/>
          <w:noProof/>
        </w:rPr>
      </w:pPr>
      <w:r w:rsidRPr="0046574F">
        <w:rPr>
          <w:noProof/>
        </w:rPr>
        <w:t>(33)</w:t>
      </w:r>
      <w:r w:rsidRPr="0046574F">
        <w:rPr>
          <w:noProof/>
        </w:rPr>
        <w:tab/>
      </w:r>
      <w:r w:rsidR="00F52068" w:rsidRPr="00B52633">
        <w:rPr>
          <w:noProof/>
        </w:rPr>
        <w:t xml:space="preserve">Os Estados-Membros devem suprimir rapidamente os eventuais obstáculos administrativos ou de mercado injustificados aos contratos de aquisição de energia renovável por parte de empresas, em especial para acelerar a realização de contratos de aquisição de energia renovável por pequenas e médias empresas. </w:t>
      </w:r>
    </w:p>
    <w:p w14:paraId="5B77A62E" w14:textId="7FB470A1" w:rsidR="00F52068" w:rsidRPr="00B52633" w:rsidRDefault="0046574F" w:rsidP="0046574F">
      <w:pPr>
        <w:pStyle w:val="Point0"/>
        <w:rPr>
          <w:rFonts w:asciiTheme="minorHAnsi" w:eastAsiaTheme="minorEastAsia" w:hAnsiTheme="minorHAnsi" w:cstheme="minorBidi"/>
          <w:noProof/>
        </w:rPr>
      </w:pPr>
      <w:r w:rsidRPr="0046574F">
        <w:rPr>
          <w:noProof/>
        </w:rPr>
        <w:t>(34)</w:t>
      </w:r>
      <w:r w:rsidRPr="0046574F">
        <w:rPr>
          <w:noProof/>
        </w:rPr>
        <w:tab/>
      </w:r>
      <w:r w:rsidR="00F52068" w:rsidRPr="00B52633">
        <w:rPr>
          <w:noProof/>
        </w:rPr>
        <w:t>Os Estados-Membros devem conceber, programar e aplicar regimes de apoio — e garantias de origem — que sejam compatíveis com os contratos de aquisição de energia renovável por parte de empresas, que os complementem e que permitam a sua aplicação.</w:t>
      </w:r>
    </w:p>
    <w:p w14:paraId="182F22BB" w14:textId="4A42CCB7" w:rsidR="005C4797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(35)</w:t>
      </w:r>
      <w:r w:rsidRPr="0046574F">
        <w:rPr>
          <w:noProof/>
        </w:rPr>
        <w:tab/>
      </w:r>
      <w:r w:rsidR="006E0A64" w:rsidRPr="00B52633">
        <w:rPr>
          <w:noProof/>
        </w:rPr>
        <w:t>Na aplicação destas recomendações, os Estados-Membros devem recorrer às práticas descritas no capítulo II das orientações que figuram no anexo da presente recomendação.</w:t>
      </w:r>
    </w:p>
    <w:p w14:paraId="6354289D" w14:textId="77777777" w:rsidR="001947FD" w:rsidRPr="00B52633" w:rsidRDefault="00A117DF" w:rsidP="0081674F">
      <w:pPr>
        <w:pStyle w:val="ManualHeading1"/>
        <w:rPr>
          <w:noProof/>
        </w:rPr>
      </w:pPr>
      <w:r w:rsidRPr="00B52633">
        <w:rPr>
          <w:noProof/>
        </w:rPr>
        <w:t>ACOMPANHAMENTO, APRESENTAÇÃO DE RELATÓRIOS E ANÁLISE</w:t>
      </w:r>
    </w:p>
    <w:p w14:paraId="2EA6F038" w14:textId="0D53286E" w:rsidR="00A117DF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(36)</w:t>
      </w:r>
      <w:r w:rsidRPr="0046574F">
        <w:rPr>
          <w:noProof/>
        </w:rPr>
        <w:tab/>
      </w:r>
      <w:r w:rsidR="1CE16580" w:rsidRPr="00B52633">
        <w:rPr>
          <w:noProof/>
        </w:rPr>
        <w:t>Os Estados-Membros devem criar um ponto de contacto encarregado de acompanhar regularmente os principais pontos de estrangulamento nos procedimentos de concessão de licenças e resolver os problemas encontrados pelos promotores de projetos no domínio da energia renovável.</w:t>
      </w:r>
    </w:p>
    <w:p w14:paraId="555A5E5F" w14:textId="3E59926D" w:rsidR="004B415C" w:rsidRPr="00B52633" w:rsidRDefault="0046574F" w:rsidP="0046574F">
      <w:pPr>
        <w:pStyle w:val="Point0"/>
        <w:rPr>
          <w:noProof/>
        </w:rPr>
      </w:pPr>
      <w:r w:rsidRPr="0046574F">
        <w:rPr>
          <w:noProof/>
        </w:rPr>
        <w:t>(37)</w:t>
      </w:r>
      <w:r w:rsidRPr="0046574F">
        <w:rPr>
          <w:noProof/>
        </w:rPr>
        <w:tab/>
      </w:r>
      <w:r w:rsidR="7078E9A9" w:rsidRPr="00B52633">
        <w:rPr>
          <w:noProof/>
        </w:rPr>
        <w:t>De dois em dois anos, a partir de março de 2023, no âmbito dos relatórios nacionais integrados de progresso em matéria de energia e de clima, que devem ser apresentados em conformidade com o artigo 17.º do Regulamento (UE) 2018/1999 do Parlamento Europeu e do Conselho</w:t>
      </w:r>
      <w:r w:rsidR="7078E9A9" w:rsidRPr="00B52633">
        <w:rPr>
          <w:rStyle w:val="FootnoteReference"/>
          <w:noProof/>
        </w:rPr>
        <w:footnoteReference w:id="15"/>
      </w:r>
      <w:r w:rsidR="7078E9A9" w:rsidRPr="00B52633">
        <w:rPr>
          <w:noProof/>
        </w:rPr>
        <w:t xml:space="preserve">, os Estados-Membros devem comunicar à Comissão todas as informações pormenorizadas disponíveis sobre o estado de execução da presente recomendação. </w:t>
      </w:r>
    </w:p>
    <w:p w14:paraId="06E34E0A" w14:textId="2C471767" w:rsidR="00AF5C8A" w:rsidRPr="00B52633" w:rsidRDefault="0046574F" w:rsidP="00EF6FAF">
      <w:pPr>
        <w:pStyle w:val="Point0"/>
        <w:keepNext/>
        <w:keepLines/>
        <w:rPr>
          <w:noProof/>
        </w:rPr>
      </w:pPr>
      <w:r w:rsidRPr="0046574F">
        <w:rPr>
          <w:noProof/>
        </w:rPr>
        <w:t>(38)</w:t>
      </w:r>
      <w:r w:rsidRPr="0046574F">
        <w:rPr>
          <w:noProof/>
        </w:rPr>
        <w:tab/>
      </w:r>
      <w:r w:rsidR="188A3D8C" w:rsidRPr="00B52633">
        <w:rPr>
          <w:noProof/>
        </w:rPr>
        <w:t xml:space="preserve">A Comissão analisará a implementação da presente recomendação dois anos após a sua adoção e avaliará a eventual necessidade de novas medidas, tendo em conta as informações apresentadas pelos Estados-Membros. </w:t>
      </w:r>
    </w:p>
    <w:p w14:paraId="59357BD8" w14:textId="0FDF5624" w:rsidR="00F43014" w:rsidRPr="00B52633" w:rsidRDefault="006E4BBF" w:rsidP="00E361D1">
      <w:pPr>
        <w:pStyle w:val="Fait"/>
        <w:rPr>
          <w:noProof/>
        </w:rPr>
      </w:pPr>
      <w:r w:rsidRPr="006E4BBF">
        <w:t>Feito em Bruxelas, em 18.5.2022</w:t>
      </w:r>
    </w:p>
    <w:p w14:paraId="73DCFFBB" w14:textId="77777777" w:rsidR="00F43014" w:rsidRPr="00B52633" w:rsidRDefault="00F43014" w:rsidP="00E361D1">
      <w:pPr>
        <w:pStyle w:val="Institutionquisigne"/>
        <w:rPr>
          <w:noProof/>
        </w:rPr>
      </w:pPr>
      <w:r w:rsidRPr="00B52633">
        <w:rPr>
          <w:noProof/>
        </w:rPr>
        <w:tab/>
        <w:t>Pela Comissão</w:t>
      </w:r>
    </w:p>
    <w:p w14:paraId="0BB37BCD" w14:textId="14945F85" w:rsidR="00572F8E" w:rsidRPr="00572F8E" w:rsidRDefault="00704C98" w:rsidP="00E361D1">
      <w:pPr>
        <w:pStyle w:val="Personnequisigne"/>
        <w:keepNext/>
        <w:rPr>
          <w:noProof/>
        </w:rPr>
      </w:pPr>
      <w:r>
        <w:tab/>
        <w:t>Kadri SIMSON</w:t>
      </w:r>
      <w:r>
        <w:br/>
      </w:r>
      <w:r>
        <w:tab/>
        <w:t>Membro da Comissão</w:t>
      </w:r>
    </w:p>
    <w:tbl>
      <w:tblPr>
        <w:tblW w:w="0" w:type="auto"/>
        <w:tblInd w:w="4252" w:type="dxa"/>
        <w:tblCellMar>
          <w:top w:w="56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</w:tblGrid>
      <w:tr w:rsidR="00572F8E" w14:paraId="7C1D674F" w14:textId="77777777" w:rsidTr="00572F8E">
        <w:trPr>
          <w:cantSplit/>
        </w:trPr>
        <w:tc>
          <w:tcPr>
            <w:tcW w:w="0" w:type="auto"/>
            <w:shd w:val="clear" w:color="auto" w:fill="auto"/>
          </w:tcPr>
          <w:p w14:paraId="617FBA5D" w14:textId="664D63AE" w:rsidR="00572F8E" w:rsidRDefault="00F9486E" w:rsidP="00E361D1">
            <w:pPr>
              <w:keepNext/>
              <w:rPr>
                <w:noProof/>
              </w:rPr>
            </w:pPr>
            <w:r>
              <w:rPr>
                <w:noProof/>
              </w:rPr>
              <w:pict w14:anchorId="4B35ECD2">
                <v:shape id="_x0000_i1026" type="#_x0000_t75" style="width:186.2pt;height:100.45pt">
                  <v:imagedata r:id="rId13" o:title=""/>
                </v:shape>
              </w:pict>
            </w:r>
          </w:p>
        </w:tc>
      </w:tr>
    </w:tbl>
    <w:p w14:paraId="79085B26" w14:textId="77777777" w:rsidR="00620794" w:rsidRPr="00620794" w:rsidRDefault="00620794" w:rsidP="00E361D1">
      <w:pPr>
        <w:keepNext/>
      </w:pPr>
    </w:p>
    <w:tbl>
      <w:tblPr>
        <w:tblW w:w="0" w:type="auto"/>
        <w:tblInd w:w="4252" w:type="dxa"/>
        <w:tblCellMar>
          <w:top w:w="56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</w:tblGrid>
      <w:tr w:rsidR="00620794" w14:paraId="68EE1FE6" w14:textId="77777777" w:rsidTr="00620794">
        <w:trPr>
          <w:cantSplit/>
        </w:trPr>
        <w:tc>
          <w:tcPr>
            <w:tcW w:w="0" w:type="auto"/>
            <w:shd w:val="clear" w:color="auto" w:fill="auto"/>
          </w:tcPr>
          <w:p w14:paraId="4D199175" w14:textId="0DB59B0A" w:rsidR="00620794" w:rsidRDefault="00620794" w:rsidP="00620794">
            <w:bookmarkStart w:id="0" w:name="_GoBack"/>
            <w:bookmarkEnd w:id="0"/>
          </w:p>
        </w:tc>
      </w:tr>
    </w:tbl>
    <w:p w14:paraId="004BA937" w14:textId="46A6689E" w:rsidR="00F43014" w:rsidRPr="00620794" w:rsidRDefault="00F43014" w:rsidP="00620794"/>
    <w:sectPr w:rsidR="00F43014" w:rsidRPr="00620794" w:rsidSect="00E054F7">
      <w:footerReference w:type="default" r:id="rId14"/>
      <w:footerReference w:type="first" r:id="rId15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8F4FCA9" w16cex:dateUtc="2022-03-15T10:23:50.445Z"/>
  <w16cex:commentExtensible w16cex:durableId="06F998BE" w16cex:dateUtc="2022-03-15T10:25:17.86Z"/>
  <w16cex:commentExtensible w16cex:durableId="0ECE5CE1" w16cex:dateUtc="2022-03-16T14:09:21.818Z"/>
  <w16cex:commentExtensible w16cex:durableId="07C3B5EF" w16cex:dateUtc="2022-03-16T14:10:40.045Z"/>
  <w16cex:commentExtensible w16cex:durableId="43958D2A" w16cex:dateUtc="2022-03-16T14:11:30.013Z"/>
  <w16cex:commentExtensible w16cex:durableId="4C08667C" w16cex:dateUtc="2022-03-16T14:12:34.73Z"/>
  <w16cex:commentExtensible w16cex:durableId="38E845A4" w16cex:dateUtc="2022-03-16T14:17:14.193Z"/>
  <w16cex:commentExtensible w16cex:durableId="23F710B0" w16cex:dateUtc="2022-03-16T14:20:38.63Z"/>
  <w16cex:commentExtensible w16cex:durableId="0224C599" w16cex:dateUtc="2022-03-16T14:35:09.821Z"/>
  <w16cex:commentExtensible w16cex:durableId="3B909D8E" w16cex:dateUtc="2022-03-31T14:06:36.354Z"/>
  <w16cex:commentExtensible w16cex:durableId="08CD89B3" w16cex:dateUtc="2022-03-31T14:07:28.974Z"/>
  <w16cex:commentExtensible w16cex:durableId="5C760876" w16cex:dateUtc="2022-04-04T11:48:27.64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62E1D3D" w16cid:durableId="1F006814"/>
  <w16cid:commentId w16cid:paraId="38547635" w16cid:durableId="3F024560"/>
  <w16cid:commentId w16cid:paraId="157F203C" w16cid:durableId="48F0A555"/>
  <w16cid:commentId w16cid:paraId="5FF5B2C7" w16cid:durableId="3BA86FD7"/>
  <w16cid:commentId w16cid:paraId="5CE7007D" w16cid:durableId="19FAEEA4"/>
  <w16cid:commentId w16cid:paraId="4AA733F2" w16cid:durableId="6CFBFBB7"/>
  <w16cid:commentId w16cid:paraId="2F6AFB27" w16cid:durableId="294A6272"/>
  <w16cid:commentId w16cid:paraId="533CAD3C" w16cid:durableId="41EF41BF"/>
  <w16cid:commentId w16cid:paraId="20CF7A44" w16cid:durableId="72B237B3"/>
  <w16cid:commentId w16cid:paraId="42843D7F" w16cid:durableId="19BF27C3"/>
  <w16cid:commentId w16cid:paraId="1178576F" w16cid:durableId="01BA0D17"/>
  <w16cid:commentId w16cid:paraId="107B1E82" w16cid:durableId="1D9AA006"/>
  <w16cid:commentId w16cid:paraId="50BEEF87" w16cid:durableId="2E986B36"/>
  <w16cid:commentId w16cid:paraId="70D891B1" w16cid:durableId="4BC52765"/>
  <w16cid:commentId w16cid:paraId="427F4FCD" w16cid:durableId="2C5CDF29"/>
  <w16cid:commentId w16cid:paraId="26E3ABDB" w16cid:durableId="3538660A"/>
  <w16cid:commentId w16cid:paraId="373A45A7" w16cid:durableId="4A3B1CEC"/>
  <w16cid:commentId w16cid:paraId="24537F2A" w16cid:durableId="6E794E3C"/>
  <w16cid:commentId w16cid:paraId="13A6E6A4" w16cid:durableId="688B8AFF"/>
  <w16cid:commentId w16cid:paraId="0570555C" w16cid:durableId="6335F488"/>
  <w16cid:commentId w16cid:paraId="47F7DC58" w16cid:durableId="087C4EBF"/>
  <w16cid:commentId w16cid:paraId="6F9C6A69" w16cid:durableId="5D615A54"/>
  <w16cid:commentId w16cid:paraId="0ACCEEB1" w16cid:durableId="6A3EB8AF"/>
  <w16cid:commentId w16cid:paraId="1153898C" w16cid:durableId="78091D43"/>
  <w16cid:commentId w16cid:paraId="03D9A8B1" w16cid:durableId="55519ED8"/>
  <w16cid:commentId w16cid:paraId="72EDC427" w16cid:durableId="72507940"/>
  <w16cid:commentId w16cid:paraId="1DCDAF6C" w16cid:durableId="2D481B0E"/>
  <w16cid:commentId w16cid:paraId="53538FCC" w16cid:durableId="01830658"/>
  <w16cid:commentId w16cid:paraId="268B13CA" w16cid:durableId="11033B51"/>
  <w16cid:commentId w16cid:paraId="416628B4" w16cid:durableId="5918417B"/>
  <w16cid:commentId w16cid:paraId="630F5320" w16cid:durableId="72690903"/>
  <w16cid:commentId w16cid:paraId="5C165D30" w16cid:durableId="3BBE4993"/>
  <w16cid:commentId w16cid:paraId="13CCE029" w16cid:durableId="2E91D5A0"/>
  <w16cid:commentId w16cid:paraId="73FB6F38" w16cid:durableId="65C62AB8"/>
  <w16cid:commentId w16cid:paraId="5CE0D682" w16cid:durableId="7E068BE0"/>
  <w16cid:commentId w16cid:paraId="6CBBD620" w16cid:durableId="38C267C2"/>
  <w16cid:commentId w16cid:paraId="5744E65F" w16cid:durableId="42F5BE3B"/>
  <w16cid:commentId w16cid:paraId="31DD9049" w16cid:durableId="655C9D92"/>
  <w16cid:commentId w16cid:paraId="717C2B8D" w16cid:durableId="38A4F08A"/>
  <w16cid:commentId w16cid:paraId="07CF5350" w16cid:durableId="06D45AD1"/>
  <w16cid:commentId w16cid:paraId="202D4A41" w16cid:durableId="4A735FE4"/>
  <w16cid:commentId w16cid:paraId="7BD4F9FA" w16cid:durableId="48CA882F"/>
  <w16cid:commentId w16cid:paraId="21293DE8" w16cid:durableId="3D303AD2"/>
  <w16cid:commentId w16cid:paraId="534672B7" w16cid:durableId="2E9E6659"/>
  <w16cid:commentId w16cid:paraId="2332E202" w16cid:durableId="3CC8CBFE"/>
  <w16cid:commentId w16cid:paraId="7859EAB7" w16cid:durableId="09100ED0"/>
  <w16cid:commentId w16cid:paraId="0725D8DF" w16cid:durableId="3DC40AD9"/>
  <w16cid:commentId w16cid:paraId="410EDCF4" w16cid:durableId="3F0EB052"/>
  <w16cid:commentId w16cid:paraId="37C6A921" w16cid:durableId="3B05B897"/>
  <w16cid:commentId w16cid:paraId="5F580E21" w16cid:durableId="2ECC03DB"/>
  <w16cid:commentId w16cid:paraId="17007F41" w16cid:durableId="705865FA"/>
  <w16cid:commentId w16cid:paraId="531CE56E" w16cid:durableId="7AFC2293"/>
  <w16cid:commentId w16cid:paraId="5D7C5162" w16cid:durableId="18F4FCA9"/>
  <w16cid:commentId w16cid:paraId="5BD4F4AC" w16cid:durableId="06F998BE"/>
  <w16cid:commentId w16cid:paraId="73BD5E59" w16cid:durableId="1C16F322"/>
  <w16cid:commentId w16cid:paraId="242D1C28" w16cid:durableId="6D20E4F1"/>
  <w16cid:commentId w16cid:paraId="3293C795" w16cid:durableId="6BEB3D7B"/>
  <w16cid:commentId w16cid:paraId="0AD3EAA3" w16cid:durableId="2285ACC5"/>
  <w16cid:commentId w16cid:paraId="23579858" w16cid:durableId="7044126A"/>
  <w16cid:commentId w16cid:paraId="050A000E" w16cid:durableId="67687D2F"/>
  <w16cid:commentId w16cid:paraId="48AA4307" w16cid:durableId="66920445"/>
  <w16cid:commentId w16cid:paraId="69E23EC3" w16cid:durableId="60539DA2"/>
  <w16cid:commentId w16cid:paraId="50B05CAA" w16cid:durableId="0A58CE66"/>
  <w16cid:commentId w16cid:paraId="7E87267E" w16cid:durableId="110C25C5"/>
  <w16cid:commentId w16cid:paraId="3D2E9CAD" w16cid:durableId="1FCAA4C9"/>
  <w16cid:commentId w16cid:paraId="117CF62B" w16cid:durableId="445935B1"/>
  <w16cid:commentId w16cid:paraId="526A24A8" w16cid:durableId="29541700"/>
  <w16cid:commentId w16cid:paraId="688B7766" w16cid:durableId="78B42B8D"/>
  <w16cid:commentId w16cid:paraId="1F5C26BF" w16cid:durableId="6255D701"/>
  <w16cid:commentId w16cid:paraId="4BEF4676" w16cid:durableId="21797F7B"/>
  <w16cid:commentId w16cid:paraId="09DF9733" w16cid:durableId="224D9FC4"/>
  <w16cid:commentId w16cid:paraId="55441810" w16cid:durableId="3A6D3D01"/>
  <w16cid:commentId w16cid:paraId="7888A9A2" w16cid:durableId="3E957A19"/>
  <w16cid:commentId w16cid:paraId="7B4205E4" w16cid:durableId="2FBCECFA"/>
  <w16cid:commentId w16cid:paraId="5F4C4ACF" w16cid:durableId="49564D60"/>
  <w16cid:commentId w16cid:paraId="6FFDB449" w16cid:durableId="4DB14568"/>
  <w16cid:commentId w16cid:paraId="6A2B9D82" w16cid:durableId="6FA3C9E1"/>
  <w16cid:commentId w16cid:paraId="53790869" w16cid:durableId="12334929"/>
  <w16cid:commentId w16cid:paraId="3B2CD2B0" w16cid:durableId="5D29EF51"/>
  <w16cid:commentId w16cid:paraId="3648F097" w16cid:durableId="4ABF9641"/>
  <w16cid:commentId w16cid:paraId="5012A45A" w16cid:durableId="180BEC52"/>
  <w16cid:commentId w16cid:paraId="2CEE2B31" w16cid:durableId="3FC6F4EF"/>
  <w16cid:commentId w16cid:paraId="6FDFF5A2" w16cid:durableId="7F9EE13B"/>
  <w16cid:commentId w16cid:paraId="38BD75B0" w16cid:durableId="433DA65C"/>
  <w16cid:commentId w16cid:paraId="42768816" w16cid:durableId="254F09DB"/>
  <w16cid:commentId w16cid:paraId="67B40E95" w16cid:durableId="2F0E89A6"/>
  <w16cid:commentId w16cid:paraId="3ABC6F16" w16cid:durableId="5A140ED3"/>
  <w16cid:commentId w16cid:paraId="3303FD87" w16cid:durableId="628F4CD8"/>
  <w16cid:commentId w16cid:paraId="4B3FB521" w16cid:durableId="79489805"/>
  <w16cid:commentId w16cid:paraId="1B607537" w16cid:durableId="60C9E8C3"/>
  <w16cid:commentId w16cid:paraId="780FCE0B" w16cid:durableId="7AFC13CD"/>
  <w16cid:commentId w16cid:paraId="04E921EA" w16cid:durableId="368C2DBC"/>
  <w16cid:commentId w16cid:paraId="6F371A77" w16cid:durableId="46D80861"/>
  <w16cid:commentId w16cid:paraId="58F947D2" w16cid:durableId="63F8D4FB"/>
  <w16cid:commentId w16cid:paraId="5A3C62BD" w16cid:durableId="44DB152C"/>
  <w16cid:commentId w16cid:paraId="7FF3D313" w16cid:durableId="0ECE5CE1"/>
  <w16cid:commentId w16cid:paraId="2FCBF5C5" w16cid:durableId="07C3B5EF"/>
  <w16cid:commentId w16cid:paraId="4447C087" w16cid:durableId="43958D2A"/>
  <w16cid:commentId w16cid:paraId="5DB9E5BE" w16cid:durableId="4C08667C"/>
  <w16cid:commentId w16cid:paraId="122A2D22" w16cid:durableId="38E845A4"/>
  <w16cid:commentId w16cid:paraId="6EF22AE5" w16cid:durableId="23F710B0"/>
  <w16cid:commentId w16cid:paraId="00D8D06E" w16cid:durableId="0224C599"/>
  <w16cid:commentId w16cid:paraId="098A16B9" w16cid:durableId="2CF77A24"/>
  <w16cid:commentId w16cid:paraId="448667D3" w16cid:durableId="66E21FBF"/>
  <w16cid:commentId w16cid:paraId="72705972" w16cid:durableId="55A5C570"/>
  <w16cid:commentId w16cid:paraId="585624BB" w16cid:durableId="52EB3614"/>
  <w16cid:commentId w16cid:paraId="50644A65" w16cid:durableId="7D549358"/>
  <w16cid:commentId w16cid:paraId="697D25E8" w16cid:durableId="3B909D8E"/>
  <w16cid:commentId w16cid:paraId="05246350" w16cid:durableId="08CD89B3"/>
  <w16cid:commentId w16cid:paraId="04496D07" w16cid:durableId="61E8D6C7"/>
  <w16cid:commentId w16cid:paraId="42DC290D" w16cid:durableId="684F3F38"/>
  <w16cid:commentId w16cid:paraId="139A06FE" w16cid:durableId="6C547198"/>
  <w16cid:commentId w16cid:paraId="6563378C" w16cid:durableId="6BFB376A"/>
  <w16cid:commentId w16cid:paraId="4862E835" w16cid:durableId="1CA88C80"/>
  <w16cid:commentId w16cid:paraId="203B44AB" w16cid:durableId="3DBFF6DC"/>
  <w16cid:commentId w16cid:paraId="3115729E" w16cid:durableId="58B15051"/>
  <w16cid:commentId w16cid:paraId="6B24C515" w16cid:durableId="2C038141"/>
  <w16cid:commentId w16cid:paraId="761DEFE6" w16cid:durableId="602BF549"/>
  <w16cid:commentId w16cid:paraId="2CFF8961" w16cid:durableId="12FDDF5A"/>
  <w16cid:commentId w16cid:paraId="763BFCA7" w16cid:durableId="0B633F79"/>
  <w16cid:commentId w16cid:paraId="2B7CF8B3" w16cid:durableId="553E3E15"/>
  <w16cid:commentId w16cid:paraId="27221703" w16cid:durableId="2D09D0B6"/>
  <w16cid:commentId w16cid:paraId="1CF9CAC7" w16cid:durableId="7A6409B8"/>
  <w16cid:commentId w16cid:paraId="4BF50BCE" w16cid:durableId="4814FB6C"/>
  <w16cid:commentId w16cid:paraId="5957A4A2" w16cid:durableId="5C7608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3DCFD" w14:textId="77777777" w:rsidR="00B56EEE" w:rsidRDefault="00B56EEE" w:rsidP="00F43014">
      <w:pPr>
        <w:spacing w:before="0" w:after="0"/>
      </w:pPr>
      <w:r>
        <w:separator/>
      </w:r>
    </w:p>
  </w:endnote>
  <w:endnote w:type="continuationSeparator" w:id="0">
    <w:p w14:paraId="6AE03F3A" w14:textId="77777777" w:rsidR="00B56EEE" w:rsidRDefault="00B56EEE" w:rsidP="00F43014">
      <w:pPr>
        <w:spacing w:before="0" w:after="0"/>
      </w:pPr>
      <w:r>
        <w:continuationSeparator/>
      </w:r>
    </w:p>
  </w:endnote>
  <w:endnote w:type="continuationNotice" w:id="1">
    <w:p w14:paraId="1EB44E27" w14:textId="77777777" w:rsidR="00B56EEE" w:rsidRDefault="00B56EE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1B928" w14:textId="274D3CA8" w:rsidR="001553DA" w:rsidRPr="00E054F7" w:rsidRDefault="00E054F7" w:rsidP="00E054F7">
    <w:pPr>
      <w:pStyle w:val="Footer"/>
      <w:rPr>
        <w:rFonts w:ascii="Arial" w:hAnsi="Arial" w:cs="Arial"/>
        <w:b/>
        <w:sz w:val="48"/>
      </w:rPr>
    </w:pPr>
    <w:r w:rsidRPr="00E054F7">
      <w:rPr>
        <w:rFonts w:ascii="Arial" w:hAnsi="Arial" w:cs="Arial"/>
        <w:b/>
        <w:sz w:val="48"/>
      </w:rPr>
      <w:t>PT</w:t>
    </w:r>
    <w:r w:rsidRPr="00E054F7">
      <w:rPr>
        <w:rFonts w:ascii="Arial" w:hAnsi="Arial" w:cs="Arial"/>
        <w:b/>
        <w:sz w:val="48"/>
      </w:rPr>
      <w:tab/>
    </w:r>
    <w:r w:rsidRPr="00E054F7">
      <w:rPr>
        <w:rFonts w:ascii="Arial" w:hAnsi="Arial" w:cs="Arial"/>
        <w:b/>
        <w:sz w:val="48"/>
      </w:rPr>
      <w:tab/>
    </w:r>
    <w:r w:rsidRPr="00E054F7">
      <w:tab/>
    </w:r>
    <w:r w:rsidRPr="00E054F7">
      <w:rPr>
        <w:rFonts w:ascii="Arial" w:hAnsi="Arial" w:cs="Arial"/>
        <w:b/>
        <w:sz w:val="48"/>
      </w:rPr>
      <w:t>PT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C7767" w14:textId="260EBE4F" w:rsidR="00E054F7" w:rsidRPr="00E054F7" w:rsidRDefault="00E054F7" w:rsidP="00E054F7">
    <w:pPr>
      <w:pStyle w:val="Footer"/>
      <w:rPr>
        <w:rFonts w:ascii="Arial" w:hAnsi="Arial" w:cs="Arial"/>
        <w:b/>
        <w:sz w:val="48"/>
      </w:rPr>
    </w:pPr>
    <w:r w:rsidRPr="00E054F7">
      <w:rPr>
        <w:rFonts w:ascii="Arial" w:hAnsi="Arial" w:cs="Arial"/>
        <w:b/>
        <w:sz w:val="48"/>
      </w:rPr>
      <w:t>PT</w:t>
    </w:r>
    <w:r w:rsidRPr="00E054F7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F9486E">
      <w:rPr>
        <w:noProof/>
      </w:rPr>
      <w:t>10</w:t>
    </w:r>
    <w:r>
      <w:fldChar w:fldCharType="end"/>
    </w:r>
    <w:r>
      <w:tab/>
    </w:r>
    <w:r w:rsidRPr="00E054F7">
      <w:tab/>
    </w:r>
    <w:r w:rsidRPr="00E054F7">
      <w:rPr>
        <w:rFonts w:ascii="Arial" w:hAnsi="Arial" w:cs="Arial"/>
        <w:b/>
        <w:sz w:val="48"/>
      </w:rPr>
      <w:t>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7A191" w14:textId="77777777" w:rsidR="00E054F7" w:rsidRPr="00E054F7" w:rsidRDefault="00E054F7" w:rsidP="00E05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7034C" w14:textId="77777777" w:rsidR="00B56EEE" w:rsidRDefault="00B56EEE" w:rsidP="00F43014">
      <w:pPr>
        <w:spacing w:before="0" w:after="0"/>
      </w:pPr>
      <w:r>
        <w:separator/>
      </w:r>
    </w:p>
  </w:footnote>
  <w:footnote w:type="continuationSeparator" w:id="0">
    <w:p w14:paraId="582482F7" w14:textId="77777777" w:rsidR="00B56EEE" w:rsidRDefault="00B56EEE" w:rsidP="00F43014">
      <w:pPr>
        <w:spacing w:before="0" w:after="0"/>
      </w:pPr>
      <w:r>
        <w:continuationSeparator/>
      </w:r>
    </w:p>
  </w:footnote>
  <w:footnote w:type="continuationNotice" w:id="1">
    <w:p w14:paraId="0972D08F" w14:textId="77777777" w:rsidR="00B56EEE" w:rsidRDefault="00B56EEE">
      <w:pPr>
        <w:spacing w:before="0" w:after="0"/>
      </w:pPr>
    </w:p>
  </w:footnote>
  <w:footnote w:id="2">
    <w:p w14:paraId="5AE77733" w14:textId="77777777" w:rsidR="00B56EEE" w:rsidRPr="004D77B3" w:rsidRDefault="00B56EEE" w:rsidP="00E7583D">
      <w:pPr>
        <w:pStyle w:val="FootnoteText"/>
      </w:pPr>
      <w:r>
        <w:rPr>
          <w:rStyle w:val="FootnoteReference"/>
        </w:rPr>
        <w:footnoteRef/>
      </w:r>
      <w:r>
        <w:tab/>
        <w:t>Regulamento (UE) 2021/1119 do Parlamento Europeu e do Conselho, de 30 de junho de 2021, que cria o regime para alcançar a neutralidade climática e que altera os Regulamentos (CE) n.ºs 401/2009 e (UE) 2018/1999 («Lei europeia em matéria de clima») (JO L 243 de 9.7.2021, p. 1.)</w:t>
      </w:r>
    </w:p>
  </w:footnote>
  <w:footnote w:id="3">
    <w:p w14:paraId="7CD4C773" w14:textId="6CA837AD" w:rsidR="00B56EEE" w:rsidRPr="00852011" w:rsidRDefault="00B56EEE" w:rsidP="00852011">
      <w:pPr>
        <w:pStyle w:val="FootnoteText"/>
      </w:pPr>
      <w:r>
        <w:rPr>
          <w:rStyle w:val="FootnoteReference"/>
        </w:rPr>
        <w:footnoteRef/>
      </w:r>
      <w:r>
        <w:tab/>
        <w:t>Comunicação da Comissão ao Parlamento Europeu, ao Conselho Europeu, ao Conselho, ao Conselho Económico e Social e ao Comité das Regiões</w:t>
      </w:r>
      <w:r w:rsidR="00136273">
        <w:t xml:space="preserve"> </w:t>
      </w:r>
      <w:r>
        <w:t>«REPowerEU: ação conjunta europeia para uma energia mais segura e mais sustentável a preços mais acessíveis», COM(2022)108 final.</w:t>
      </w:r>
    </w:p>
  </w:footnote>
  <w:footnote w:id="4">
    <w:p w14:paraId="09F48483" w14:textId="77777777" w:rsidR="00B56EEE" w:rsidRPr="002E089A" w:rsidRDefault="00B56EEE" w:rsidP="00E86974">
      <w:pPr>
        <w:pStyle w:val="FootnoteText"/>
      </w:pPr>
      <w:r>
        <w:rPr>
          <w:rStyle w:val="FootnoteReference"/>
        </w:rPr>
        <w:footnoteRef/>
      </w:r>
      <w:r>
        <w:tab/>
        <w:t xml:space="preserve">Diretiva 2001/77/CE do Parlamento Europeu e do Conselho, de 27 de setembro de 2001, relativa à promoção da eletricidade produzida a partir de fontes de energia renováveis no mercado interno da eletricidade (JO L 283 de 27.10.2001, p. 33). </w:t>
      </w:r>
    </w:p>
  </w:footnote>
  <w:footnote w:id="5">
    <w:p w14:paraId="048C4147" w14:textId="77777777" w:rsidR="00B56EEE" w:rsidRPr="007852CD" w:rsidRDefault="00B56EEE">
      <w:pPr>
        <w:pStyle w:val="FootnoteText"/>
      </w:pPr>
      <w:r>
        <w:rPr>
          <w:rStyle w:val="FootnoteReference"/>
        </w:rPr>
        <w:footnoteRef/>
      </w:r>
      <w:r>
        <w:tab/>
        <w:t xml:space="preserve">Diretiva 2009/28/CE do Parlamento Europeu e do Conselho, de 23 de abril de 2009, relativa à promoção da utilização de energia proveniente de fontes renováveis que altera e subsequentemente revoga as Diretivas 2001/77/CE e 2003/30/CE (JO L140 de 5.6.2009, p. 16). </w:t>
      </w:r>
    </w:p>
  </w:footnote>
  <w:footnote w:id="6">
    <w:p w14:paraId="13B0F04D" w14:textId="77777777" w:rsidR="00B56EEE" w:rsidRPr="007852CD" w:rsidRDefault="00B56EEE" w:rsidP="00441308">
      <w:pPr>
        <w:pStyle w:val="FootnoteText"/>
      </w:pPr>
      <w:r>
        <w:rPr>
          <w:rStyle w:val="FootnoteReference"/>
        </w:rPr>
        <w:footnoteRef/>
      </w:r>
      <w:r>
        <w:tab/>
        <w:t xml:space="preserve">Diretiva (UE) 2018/2001 do Parlamento Europeu e do Conselho, de 11 de dezembro de 2018, relativa à promoção da utilização de energia de fontes renováveis (JO L 328 de 21.12.2018, p. 82). </w:t>
      </w:r>
    </w:p>
  </w:footnote>
  <w:footnote w:id="7">
    <w:p w14:paraId="05FF7399" w14:textId="77777777" w:rsidR="00441308" w:rsidRPr="00441308" w:rsidRDefault="00441308" w:rsidP="00441308">
      <w:pPr>
        <w:pStyle w:val="FootnoteText"/>
      </w:pPr>
      <w:r>
        <w:rPr>
          <w:rStyle w:val="FootnoteReference"/>
        </w:rPr>
        <w:footnoteRef/>
      </w:r>
      <w:r>
        <w:tab/>
        <w:t>Regulamento (UE) 2021/240 do Parlamento Europeu e do Conselho, de 10 de fevereiro de 2021, que cria um instrumento de assistência técnica</w:t>
      </w:r>
    </w:p>
  </w:footnote>
  <w:footnote w:id="8">
    <w:p w14:paraId="34025BD8" w14:textId="77777777" w:rsidR="00B56EEE" w:rsidRPr="00B56EEE" w:rsidRDefault="00B56EEE">
      <w:pPr>
        <w:pStyle w:val="FootnoteText"/>
      </w:pPr>
      <w:r>
        <w:rPr>
          <w:rStyle w:val="FootnoteReference"/>
        </w:rPr>
        <w:footnoteRef/>
      </w:r>
      <w:r>
        <w:tab/>
        <w:t>Diretiva 2014/89/UE do Parlamento Europeu e do Conselho, de 23 de julho de 2014, que estabelece um quadro para o ordenamento do espaço marítimo (JO L 257 de 28.8.2014, p. 135).</w:t>
      </w:r>
    </w:p>
  </w:footnote>
  <w:footnote w:id="9">
    <w:p w14:paraId="598A4E33" w14:textId="77777777" w:rsidR="00B56EEE" w:rsidRPr="00B56EEE" w:rsidRDefault="00B56EEE">
      <w:pPr>
        <w:pStyle w:val="FootnoteText"/>
      </w:pPr>
      <w:r>
        <w:rPr>
          <w:rStyle w:val="FootnoteReference"/>
        </w:rPr>
        <w:footnoteRef/>
      </w:r>
      <w:r>
        <w:tab/>
        <w:t>Cf. Relatório da Comissão sobre os progressos realizados na execução da Diretiva OEM, COM(2022)185 de 3 de maio de 2022.</w:t>
      </w:r>
    </w:p>
  </w:footnote>
  <w:footnote w:id="10">
    <w:p w14:paraId="29E6E77A" w14:textId="77777777" w:rsidR="000E72C6" w:rsidRPr="000E72C6" w:rsidRDefault="000E72C6">
      <w:pPr>
        <w:pStyle w:val="FootnoteText"/>
      </w:pPr>
      <w:r>
        <w:rPr>
          <w:rStyle w:val="FootnoteReference"/>
        </w:rPr>
        <w:footnoteRef/>
      </w:r>
      <w:r>
        <w:tab/>
      </w:r>
      <w:hyperlink r:id="rId1" w:history="1">
        <w:r>
          <w:rPr>
            <w:rStyle w:val="Hyperlink"/>
          </w:rPr>
          <w:t>https://energy-industry-geolab.jrc.ec.europa.eu/</w:t>
        </w:r>
      </w:hyperlink>
    </w:p>
  </w:footnote>
  <w:footnote w:id="11">
    <w:p w14:paraId="1A4AEAD8" w14:textId="77777777" w:rsidR="00B56EEE" w:rsidRPr="00A16E9B" w:rsidRDefault="00B56EEE" w:rsidP="000E00A6">
      <w:pPr>
        <w:pStyle w:val="FootnoteText"/>
      </w:pPr>
      <w:r>
        <w:rPr>
          <w:rStyle w:val="FootnoteReference"/>
        </w:rPr>
        <w:footnoteRef/>
      </w:r>
      <w:r>
        <w:tab/>
        <w:t>https://ec.europa.eu/energy-industry-geography-lab</w:t>
      </w:r>
    </w:p>
  </w:footnote>
  <w:footnote w:id="12">
    <w:p w14:paraId="47202ACC" w14:textId="77777777" w:rsidR="00EB6BC3" w:rsidRPr="00EB6BC3" w:rsidRDefault="00EB6BC3">
      <w:pPr>
        <w:pStyle w:val="FootnoteText"/>
      </w:pPr>
      <w:r>
        <w:rPr>
          <w:rStyle w:val="FootnoteReference"/>
        </w:rPr>
        <w:footnoteRef/>
      </w:r>
      <w:r>
        <w:tab/>
        <w:t>Por «delimitação do âmbito» entende-se a emissão de um parecer sobre o âmbito e o nível de pormenor das informações ambientais a apresentar sob a forma de um relatório de avaliação de impacto ambiental.</w:t>
      </w:r>
    </w:p>
  </w:footnote>
  <w:footnote w:id="13">
    <w:p w14:paraId="3816B524" w14:textId="77777777" w:rsidR="00B56EEE" w:rsidRPr="006E0A64" w:rsidRDefault="00B56EEE">
      <w:pPr>
        <w:pStyle w:val="FootnoteText"/>
      </w:pPr>
      <w:r>
        <w:rPr>
          <w:rStyle w:val="FootnoteReference"/>
        </w:rPr>
        <w:footnoteRef/>
      </w:r>
      <w:r>
        <w:tab/>
        <w:t>Diretiva 92/43/CEE do Conselho, de 21 de maio de 1992, relativa à preservação dos habitats naturais e da fauna e da flora selvagens (JO L 206 de 22.7.1992, p. 7).</w:t>
      </w:r>
    </w:p>
  </w:footnote>
  <w:footnote w:id="14">
    <w:p w14:paraId="5A300888" w14:textId="77777777" w:rsidR="00B56EEE" w:rsidRPr="008D011F" w:rsidRDefault="00B56EEE">
      <w:pPr>
        <w:pStyle w:val="FootnoteText"/>
      </w:pPr>
      <w:r>
        <w:rPr>
          <w:rStyle w:val="FootnoteReference"/>
        </w:rPr>
        <w:footnoteRef/>
      </w:r>
      <w:r>
        <w:tab/>
        <w:t>Diretiva 2009/147/CE do Parlamento Europeu e do Conselho, de 30 de novembro de 2009, relativa à conservação das aves selvagens</w:t>
      </w:r>
      <w:r>
        <w:cr/>
      </w:r>
      <w:r>
        <w:br/>
        <w:t>(JO L 20 de 26.1.2010, p. 7).</w:t>
      </w:r>
    </w:p>
  </w:footnote>
  <w:footnote w:id="15">
    <w:p w14:paraId="7FC43D2B" w14:textId="77777777" w:rsidR="00B56EEE" w:rsidRPr="00D26684" w:rsidRDefault="00B56EEE" w:rsidP="26745189">
      <w:pPr>
        <w:pStyle w:val="FootnoteText"/>
      </w:pPr>
      <w:r>
        <w:rPr>
          <w:rStyle w:val="FootnoteReference"/>
        </w:rPr>
        <w:footnoteRef/>
      </w:r>
      <w:r>
        <w:tab/>
        <w:t>Regulamento (UE) 2018/1999 do Parlamento Europeu e do Conselho, de 11 de dezembro de 2018, relativo à Governação da União da Energia e da Ação Climática, que altera os Regulamentos (CE) n.º 663/2009 e (CE) n.º 715/2009 do Parlamento Europeu e do Conselho, as Diretivas 94/22/CE, 98/70/CE, 2009/31/CE, 2009/73/CE, 2010/31/UE, 2012/27/UE e 2013/30/UE do Parlamento Europeu e do Conselho, as Diretivas 2009/119/CE e (UE) 2015/652 do Conselho, e revoga o Regulamento (UE) n.º 525/2013 do Parlamento Europeu e do Conselho (JO L 328 de 21.12.2018, p.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C48492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CA4680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A03E14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02C6B0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94C7CA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1F438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698EB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DBCE6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2"/>
    <w:lvlOverride w:ilvl="0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2"/>
  </w:num>
  <w:num w:numId="13">
    <w:abstractNumId w:val="21"/>
  </w:num>
  <w:num w:numId="14">
    <w:abstractNumId w:val="11"/>
  </w:num>
  <w:num w:numId="15">
    <w:abstractNumId w:val="13"/>
  </w:num>
  <w:num w:numId="16">
    <w:abstractNumId w:val="14"/>
  </w:num>
  <w:num w:numId="17">
    <w:abstractNumId w:val="9"/>
  </w:num>
  <w:num w:numId="18">
    <w:abstractNumId w:val="20"/>
  </w:num>
  <w:num w:numId="19">
    <w:abstractNumId w:val="8"/>
  </w:num>
  <w:num w:numId="20">
    <w:abstractNumId w:val="15"/>
  </w:num>
  <w:num w:numId="21">
    <w:abstractNumId w:val="17"/>
  </w:num>
  <w:num w:numId="22">
    <w:abstractNumId w:val="18"/>
  </w:num>
  <w:num w:numId="23">
    <w:abstractNumId w:val="10"/>
  </w:num>
  <w:num w:numId="24">
    <w:abstractNumId w:val="16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35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1003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2-05-18 17:15:04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LinkedStyl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Result_UnknownFonts" w:val="0;0"/>
    <w:docVar w:name="DQCStatus" w:val="Yellow"/>
    <w:docVar w:name="DQCVersion" w:val="3"/>
    <w:docVar w:name="DQCWithWarnings" w:val="0"/>
    <w:docVar w:name="LW_CORRIGENDUM" w:val="&lt;UNUSED&gt;"/>
    <w:docVar w:name="LW_COVERPAGE_EXISTS" w:val="True"/>
    <w:docVar w:name="LW_COVERPAGE_GUID" w:val="CB77E6E7-5171-4899-A6C0-D78A026D1F75"/>
    <w:docVar w:name="LW_COVERPAGE_TYPE" w:val="1"/>
    <w:docVar w:name="LW_CROSSREFERENCE" w:val="{SWD(2022) 149 final} - {SWD(2022) 151 final}"/>
    <w:docVar w:name="LW_DATE.ADOPT.CP" w:val="de 18.5.2022"/>
    <w:docVar w:name="LW_DATE.ADOPT.CP_DATEFORMAT" w:val="de %DATE%"/>
    <w:docVar w:name="LW_DATE.ADOPT.CP_ISODATE" w:val="2022-05-18"/>
    <w:docVar w:name="LW_DocType" w:val="COM"/>
    <w:docVar w:name="LW_EMISSION" w:val="18.5.2022"/>
    <w:docVar w:name="LW_EMISSION_ISODATE" w:val="2022-05-18"/>
    <w:docVar w:name="LW_EMISSION_LOCATION" w:val="BRX"/>
    <w:docVar w:name="LW_EMISSION_PREFIX" w:val="Bruxelas, "/>
    <w:docVar w:name="LW_EMISSION_SUFFIX" w:val=" "/>
    <w:docVar w:name="LW_ID_DOCMODEL" w:val="SJ-014"/>
    <w:docVar w:name="LW_ID_DOCSIGNATURE" w:val="SJ-014"/>
    <w:docVar w:name="LW_ID_DOCSTRUCTURE" w:val="COM/AA/NOEEA"/>
    <w:docVar w:name="LW_ID_DOCTYPE" w:val="SJ-014"/>
    <w:docVar w:name="LW_LANGUE" w:val="PT"/>
    <w:docVar w:name="LW_LANGUESFAISANTFOI.CP" w:val="&lt;UNUSED&gt;"/>
    <w:docVar w:name="LW_LEVEL_OF_SENSITIVITY" w:val="Standard treatment"/>
    <w:docVar w:name="LW_NOM.INST" w:val="COMISSÃO EUROPEIA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2) 3219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relativa à aceleração dos procedimentos de concessão de licenças para projetos no domínio da energia renovável e à facilitação dos contratos de aquisição de energia"/>
    <w:docVar w:name="LW_TYPE.DOC.CP" w:val="RECOMENDAÇÃO DA COMISSÃO"/>
    <w:docVar w:name="LwApiVersions" w:val="LW4CoDe 1.23.2.0; LW 8.0, Build 20211117"/>
  </w:docVars>
  <w:rsids>
    <w:rsidRoot w:val="00F43014"/>
    <w:rsid w:val="0000078A"/>
    <w:rsid w:val="00014BFB"/>
    <w:rsid w:val="0001575E"/>
    <w:rsid w:val="00023BE9"/>
    <w:rsid w:val="00023EDA"/>
    <w:rsid w:val="000251F2"/>
    <w:rsid w:val="00026B5C"/>
    <w:rsid w:val="00033FCC"/>
    <w:rsid w:val="00034340"/>
    <w:rsid w:val="00043E27"/>
    <w:rsid w:val="00043F4C"/>
    <w:rsid w:val="00053C86"/>
    <w:rsid w:val="00057048"/>
    <w:rsid w:val="00060BC5"/>
    <w:rsid w:val="00063EF2"/>
    <w:rsid w:val="00064F5B"/>
    <w:rsid w:val="000730A7"/>
    <w:rsid w:val="000803F3"/>
    <w:rsid w:val="000821DC"/>
    <w:rsid w:val="0009083D"/>
    <w:rsid w:val="00091457"/>
    <w:rsid w:val="00096A8D"/>
    <w:rsid w:val="000A1A3D"/>
    <w:rsid w:val="000A7517"/>
    <w:rsid w:val="000A7B96"/>
    <w:rsid w:val="000B54CD"/>
    <w:rsid w:val="000B77F2"/>
    <w:rsid w:val="000C09BE"/>
    <w:rsid w:val="000C0D14"/>
    <w:rsid w:val="000C4712"/>
    <w:rsid w:val="000C66BA"/>
    <w:rsid w:val="000E00A6"/>
    <w:rsid w:val="000E198E"/>
    <w:rsid w:val="000E1E15"/>
    <w:rsid w:val="000E67EC"/>
    <w:rsid w:val="000E72C6"/>
    <w:rsid w:val="00105BA3"/>
    <w:rsid w:val="00107530"/>
    <w:rsid w:val="001078B6"/>
    <w:rsid w:val="00110A0B"/>
    <w:rsid w:val="00111B79"/>
    <w:rsid w:val="00112587"/>
    <w:rsid w:val="00114877"/>
    <w:rsid w:val="0011781E"/>
    <w:rsid w:val="00121E6E"/>
    <w:rsid w:val="0012437A"/>
    <w:rsid w:val="001311AE"/>
    <w:rsid w:val="00131962"/>
    <w:rsid w:val="00132C0B"/>
    <w:rsid w:val="001338A8"/>
    <w:rsid w:val="00136273"/>
    <w:rsid w:val="00140BE3"/>
    <w:rsid w:val="001544B6"/>
    <w:rsid w:val="001553DA"/>
    <w:rsid w:val="0015754F"/>
    <w:rsid w:val="00157C41"/>
    <w:rsid w:val="0016079F"/>
    <w:rsid w:val="001656C4"/>
    <w:rsid w:val="0017350A"/>
    <w:rsid w:val="00173889"/>
    <w:rsid w:val="001833AB"/>
    <w:rsid w:val="00187A4D"/>
    <w:rsid w:val="00194049"/>
    <w:rsid w:val="001947FD"/>
    <w:rsid w:val="001B1511"/>
    <w:rsid w:val="001B2CDB"/>
    <w:rsid w:val="001B7AEF"/>
    <w:rsid w:val="001B7E39"/>
    <w:rsid w:val="001C2816"/>
    <w:rsid w:val="001C76A6"/>
    <w:rsid w:val="001C7D4D"/>
    <w:rsid w:val="001D0F50"/>
    <w:rsid w:val="001D1A2A"/>
    <w:rsid w:val="001D52FC"/>
    <w:rsid w:val="001E215F"/>
    <w:rsid w:val="001E2ACD"/>
    <w:rsid w:val="001F1348"/>
    <w:rsid w:val="00203916"/>
    <w:rsid w:val="00226F75"/>
    <w:rsid w:val="00227E0D"/>
    <w:rsid w:val="00232E98"/>
    <w:rsid w:val="00234E84"/>
    <w:rsid w:val="00235906"/>
    <w:rsid w:val="00236B5C"/>
    <w:rsid w:val="00244E75"/>
    <w:rsid w:val="00246110"/>
    <w:rsid w:val="00255D06"/>
    <w:rsid w:val="00257527"/>
    <w:rsid w:val="00267F50"/>
    <w:rsid w:val="00275E45"/>
    <w:rsid w:val="0027607B"/>
    <w:rsid w:val="0027782C"/>
    <w:rsid w:val="00286FD2"/>
    <w:rsid w:val="00291180"/>
    <w:rsid w:val="0029235F"/>
    <w:rsid w:val="0029474E"/>
    <w:rsid w:val="00296CB0"/>
    <w:rsid w:val="0029792F"/>
    <w:rsid w:val="002A1D0E"/>
    <w:rsid w:val="002B3297"/>
    <w:rsid w:val="002C3389"/>
    <w:rsid w:val="002D338B"/>
    <w:rsid w:val="002D7634"/>
    <w:rsid w:val="002E089A"/>
    <w:rsid w:val="002E68FF"/>
    <w:rsid w:val="002E6EA1"/>
    <w:rsid w:val="002F326A"/>
    <w:rsid w:val="002F3731"/>
    <w:rsid w:val="002F5D16"/>
    <w:rsid w:val="003034A2"/>
    <w:rsid w:val="00304F84"/>
    <w:rsid w:val="00306C4F"/>
    <w:rsid w:val="00307E90"/>
    <w:rsid w:val="003108C8"/>
    <w:rsid w:val="00312941"/>
    <w:rsid w:val="00312A2B"/>
    <w:rsid w:val="003205DB"/>
    <w:rsid w:val="00322329"/>
    <w:rsid w:val="00323D46"/>
    <w:rsid w:val="00324412"/>
    <w:rsid w:val="003244E0"/>
    <w:rsid w:val="00324966"/>
    <w:rsid w:val="003264D7"/>
    <w:rsid w:val="00326F31"/>
    <w:rsid w:val="003302F5"/>
    <w:rsid w:val="00333000"/>
    <w:rsid w:val="003412F9"/>
    <w:rsid w:val="00345CD9"/>
    <w:rsid w:val="00346261"/>
    <w:rsid w:val="0035258F"/>
    <w:rsid w:val="00354864"/>
    <w:rsid w:val="00360576"/>
    <w:rsid w:val="00364CEC"/>
    <w:rsid w:val="00366FDE"/>
    <w:rsid w:val="00372CFB"/>
    <w:rsid w:val="003756CE"/>
    <w:rsid w:val="00377772"/>
    <w:rsid w:val="00390E72"/>
    <w:rsid w:val="00392D76"/>
    <w:rsid w:val="00395A28"/>
    <w:rsid w:val="003975FF"/>
    <w:rsid w:val="003A4730"/>
    <w:rsid w:val="003B6441"/>
    <w:rsid w:val="003C048C"/>
    <w:rsid w:val="003C2E7F"/>
    <w:rsid w:val="003C6EA6"/>
    <w:rsid w:val="003C737F"/>
    <w:rsid w:val="003D2056"/>
    <w:rsid w:val="003D4DFC"/>
    <w:rsid w:val="003D569F"/>
    <w:rsid w:val="003D5C92"/>
    <w:rsid w:val="003E7CB4"/>
    <w:rsid w:val="003F1246"/>
    <w:rsid w:val="003F324C"/>
    <w:rsid w:val="00402F96"/>
    <w:rsid w:val="004069B0"/>
    <w:rsid w:val="0041294B"/>
    <w:rsid w:val="00421BEF"/>
    <w:rsid w:val="00423B06"/>
    <w:rsid w:val="004244F5"/>
    <w:rsid w:val="00431CAD"/>
    <w:rsid w:val="00441308"/>
    <w:rsid w:val="00446116"/>
    <w:rsid w:val="00446B04"/>
    <w:rsid w:val="0045262C"/>
    <w:rsid w:val="004537E3"/>
    <w:rsid w:val="00460EA0"/>
    <w:rsid w:val="00463AC4"/>
    <w:rsid w:val="0046433E"/>
    <w:rsid w:val="004655A5"/>
    <w:rsid w:val="0046574F"/>
    <w:rsid w:val="00473348"/>
    <w:rsid w:val="0047559D"/>
    <w:rsid w:val="00476663"/>
    <w:rsid w:val="00483C4A"/>
    <w:rsid w:val="0048546E"/>
    <w:rsid w:val="00486952"/>
    <w:rsid w:val="00487199"/>
    <w:rsid w:val="004875DA"/>
    <w:rsid w:val="004879C0"/>
    <w:rsid w:val="004963A7"/>
    <w:rsid w:val="004A15F0"/>
    <w:rsid w:val="004A4A2A"/>
    <w:rsid w:val="004A707B"/>
    <w:rsid w:val="004B046C"/>
    <w:rsid w:val="004B415C"/>
    <w:rsid w:val="004C1638"/>
    <w:rsid w:val="004C6E33"/>
    <w:rsid w:val="004C77D7"/>
    <w:rsid w:val="004D376B"/>
    <w:rsid w:val="004D3D48"/>
    <w:rsid w:val="004D77B3"/>
    <w:rsid w:val="004E1B9A"/>
    <w:rsid w:val="004E59DA"/>
    <w:rsid w:val="004E72E6"/>
    <w:rsid w:val="004F1C10"/>
    <w:rsid w:val="004F2C08"/>
    <w:rsid w:val="004F445E"/>
    <w:rsid w:val="004F5377"/>
    <w:rsid w:val="004F6904"/>
    <w:rsid w:val="0050222B"/>
    <w:rsid w:val="005027B3"/>
    <w:rsid w:val="0051045F"/>
    <w:rsid w:val="0052065B"/>
    <w:rsid w:val="00523F0B"/>
    <w:rsid w:val="00526C08"/>
    <w:rsid w:val="00527F6C"/>
    <w:rsid w:val="00540CE2"/>
    <w:rsid w:val="005422CE"/>
    <w:rsid w:val="0054346C"/>
    <w:rsid w:val="00543D0F"/>
    <w:rsid w:val="00543F40"/>
    <w:rsid w:val="00544861"/>
    <w:rsid w:val="00545A0B"/>
    <w:rsid w:val="00553FBE"/>
    <w:rsid w:val="00556806"/>
    <w:rsid w:val="0055775B"/>
    <w:rsid w:val="00561EA9"/>
    <w:rsid w:val="005623EC"/>
    <w:rsid w:val="005661AD"/>
    <w:rsid w:val="005674D8"/>
    <w:rsid w:val="00570F71"/>
    <w:rsid w:val="00572C02"/>
    <w:rsid w:val="00572F8E"/>
    <w:rsid w:val="00574D41"/>
    <w:rsid w:val="005814AD"/>
    <w:rsid w:val="00583805"/>
    <w:rsid w:val="005844F8"/>
    <w:rsid w:val="00586D92"/>
    <w:rsid w:val="00586E43"/>
    <w:rsid w:val="00586E94"/>
    <w:rsid w:val="00590B9C"/>
    <w:rsid w:val="00590BB9"/>
    <w:rsid w:val="005948D6"/>
    <w:rsid w:val="0059682B"/>
    <w:rsid w:val="005A4230"/>
    <w:rsid w:val="005A726B"/>
    <w:rsid w:val="005B0934"/>
    <w:rsid w:val="005B424F"/>
    <w:rsid w:val="005C072E"/>
    <w:rsid w:val="005C3DB7"/>
    <w:rsid w:val="005C4797"/>
    <w:rsid w:val="005C6DA9"/>
    <w:rsid w:val="005D1134"/>
    <w:rsid w:val="005D2EEF"/>
    <w:rsid w:val="005D37B7"/>
    <w:rsid w:val="005D4588"/>
    <w:rsid w:val="005D5FE4"/>
    <w:rsid w:val="005D7B37"/>
    <w:rsid w:val="005E34ED"/>
    <w:rsid w:val="005F4D1D"/>
    <w:rsid w:val="005F643F"/>
    <w:rsid w:val="00606EE0"/>
    <w:rsid w:val="0061300F"/>
    <w:rsid w:val="00613A0B"/>
    <w:rsid w:val="00615EF0"/>
    <w:rsid w:val="00620794"/>
    <w:rsid w:val="00622133"/>
    <w:rsid w:val="00623E1B"/>
    <w:rsid w:val="006251CC"/>
    <w:rsid w:val="00625553"/>
    <w:rsid w:val="006262DF"/>
    <w:rsid w:val="00626525"/>
    <w:rsid w:val="006277EC"/>
    <w:rsid w:val="00634BA7"/>
    <w:rsid w:val="006367C1"/>
    <w:rsid w:val="00642CBF"/>
    <w:rsid w:val="006444C6"/>
    <w:rsid w:val="00646363"/>
    <w:rsid w:val="0064692E"/>
    <w:rsid w:val="0065049D"/>
    <w:rsid w:val="00653556"/>
    <w:rsid w:val="00664E9E"/>
    <w:rsid w:val="00671670"/>
    <w:rsid w:val="00676460"/>
    <w:rsid w:val="00676CA1"/>
    <w:rsid w:val="00677F7A"/>
    <w:rsid w:val="00685089"/>
    <w:rsid w:val="00685DB7"/>
    <w:rsid w:val="006949B2"/>
    <w:rsid w:val="006A071E"/>
    <w:rsid w:val="006B7BA7"/>
    <w:rsid w:val="006B7D73"/>
    <w:rsid w:val="006C019A"/>
    <w:rsid w:val="006C5FE1"/>
    <w:rsid w:val="006D1CA5"/>
    <w:rsid w:val="006D38A1"/>
    <w:rsid w:val="006D6080"/>
    <w:rsid w:val="006D6D58"/>
    <w:rsid w:val="006E0A64"/>
    <w:rsid w:val="006E1D96"/>
    <w:rsid w:val="006E3D8B"/>
    <w:rsid w:val="006E4BBF"/>
    <w:rsid w:val="006F05CE"/>
    <w:rsid w:val="00700310"/>
    <w:rsid w:val="0070128F"/>
    <w:rsid w:val="007027AE"/>
    <w:rsid w:val="00704C98"/>
    <w:rsid w:val="00714BAA"/>
    <w:rsid w:val="00723539"/>
    <w:rsid w:val="007246BA"/>
    <w:rsid w:val="00725000"/>
    <w:rsid w:val="0073414F"/>
    <w:rsid w:val="00734FB2"/>
    <w:rsid w:val="00741B5A"/>
    <w:rsid w:val="007505EC"/>
    <w:rsid w:val="007511E6"/>
    <w:rsid w:val="00771AB4"/>
    <w:rsid w:val="007749FF"/>
    <w:rsid w:val="00777B4D"/>
    <w:rsid w:val="00781528"/>
    <w:rsid w:val="007816AA"/>
    <w:rsid w:val="007845C8"/>
    <w:rsid w:val="007852CD"/>
    <w:rsid w:val="007865B4"/>
    <w:rsid w:val="007909D2"/>
    <w:rsid w:val="00795559"/>
    <w:rsid w:val="007A0728"/>
    <w:rsid w:val="007A2188"/>
    <w:rsid w:val="007A61A6"/>
    <w:rsid w:val="007A6F81"/>
    <w:rsid w:val="007B197D"/>
    <w:rsid w:val="007B2CAD"/>
    <w:rsid w:val="007B3B08"/>
    <w:rsid w:val="007B709A"/>
    <w:rsid w:val="007C06F6"/>
    <w:rsid w:val="007C6B95"/>
    <w:rsid w:val="007D0FDF"/>
    <w:rsid w:val="007D1986"/>
    <w:rsid w:val="007D2C19"/>
    <w:rsid w:val="007D36DB"/>
    <w:rsid w:val="007D5E19"/>
    <w:rsid w:val="007D6C46"/>
    <w:rsid w:val="007E6FE9"/>
    <w:rsid w:val="007F150D"/>
    <w:rsid w:val="00802494"/>
    <w:rsid w:val="00806D24"/>
    <w:rsid w:val="008120EB"/>
    <w:rsid w:val="00812270"/>
    <w:rsid w:val="0081324F"/>
    <w:rsid w:val="0081604C"/>
    <w:rsid w:val="0081674F"/>
    <w:rsid w:val="008171A7"/>
    <w:rsid w:val="00820A95"/>
    <w:rsid w:val="008226B7"/>
    <w:rsid w:val="00826CDC"/>
    <w:rsid w:val="008406CA"/>
    <w:rsid w:val="00840CFC"/>
    <w:rsid w:val="00842FE9"/>
    <w:rsid w:val="008439AA"/>
    <w:rsid w:val="008463AA"/>
    <w:rsid w:val="008472B2"/>
    <w:rsid w:val="00852011"/>
    <w:rsid w:val="00855B99"/>
    <w:rsid w:val="00861597"/>
    <w:rsid w:val="008628D1"/>
    <w:rsid w:val="0086482D"/>
    <w:rsid w:val="00864D94"/>
    <w:rsid w:val="00865E55"/>
    <w:rsid w:val="0087682C"/>
    <w:rsid w:val="008958ED"/>
    <w:rsid w:val="008960AD"/>
    <w:rsid w:val="008A3AB4"/>
    <w:rsid w:val="008A7E8B"/>
    <w:rsid w:val="008B3258"/>
    <w:rsid w:val="008B416F"/>
    <w:rsid w:val="008C0F25"/>
    <w:rsid w:val="008C40E5"/>
    <w:rsid w:val="008C5099"/>
    <w:rsid w:val="008C50A8"/>
    <w:rsid w:val="008D011F"/>
    <w:rsid w:val="008D0A06"/>
    <w:rsid w:val="008D1B5B"/>
    <w:rsid w:val="008D2BB2"/>
    <w:rsid w:val="008D3DAB"/>
    <w:rsid w:val="008D536E"/>
    <w:rsid w:val="008E232C"/>
    <w:rsid w:val="008E6614"/>
    <w:rsid w:val="008F460D"/>
    <w:rsid w:val="008F51CF"/>
    <w:rsid w:val="008F5FD2"/>
    <w:rsid w:val="008F764A"/>
    <w:rsid w:val="00901920"/>
    <w:rsid w:val="00902B5B"/>
    <w:rsid w:val="00913AEF"/>
    <w:rsid w:val="009143A5"/>
    <w:rsid w:val="00916021"/>
    <w:rsid w:val="009171BC"/>
    <w:rsid w:val="00924C68"/>
    <w:rsid w:val="009278AE"/>
    <w:rsid w:val="00940F6C"/>
    <w:rsid w:val="009422B0"/>
    <w:rsid w:val="00950407"/>
    <w:rsid w:val="00954AAE"/>
    <w:rsid w:val="00955F64"/>
    <w:rsid w:val="00970004"/>
    <w:rsid w:val="0097261C"/>
    <w:rsid w:val="00973444"/>
    <w:rsid w:val="00975365"/>
    <w:rsid w:val="009775A8"/>
    <w:rsid w:val="0098020B"/>
    <w:rsid w:val="00986B33"/>
    <w:rsid w:val="00987AD5"/>
    <w:rsid w:val="009A42A5"/>
    <w:rsid w:val="009B5811"/>
    <w:rsid w:val="009B6293"/>
    <w:rsid w:val="009B7138"/>
    <w:rsid w:val="009B7BB0"/>
    <w:rsid w:val="009B7D79"/>
    <w:rsid w:val="009C2DEA"/>
    <w:rsid w:val="009D421B"/>
    <w:rsid w:val="009D7815"/>
    <w:rsid w:val="009E1769"/>
    <w:rsid w:val="009E3F17"/>
    <w:rsid w:val="009F358C"/>
    <w:rsid w:val="009F46F7"/>
    <w:rsid w:val="009F5C7F"/>
    <w:rsid w:val="009F6A12"/>
    <w:rsid w:val="00A005D8"/>
    <w:rsid w:val="00A00F53"/>
    <w:rsid w:val="00A02882"/>
    <w:rsid w:val="00A054B8"/>
    <w:rsid w:val="00A060DF"/>
    <w:rsid w:val="00A06FC9"/>
    <w:rsid w:val="00A079CB"/>
    <w:rsid w:val="00A104C7"/>
    <w:rsid w:val="00A1159B"/>
    <w:rsid w:val="00A117DF"/>
    <w:rsid w:val="00A12A70"/>
    <w:rsid w:val="00A13754"/>
    <w:rsid w:val="00A15062"/>
    <w:rsid w:val="00A16F49"/>
    <w:rsid w:val="00A24B9C"/>
    <w:rsid w:val="00A316E7"/>
    <w:rsid w:val="00A335E1"/>
    <w:rsid w:val="00A408D1"/>
    <w:rsid w:val="00A41246"/>
    <w:rsid w:val="00A42BA4"/>
    <w:rsid w:val="00A43CDD"/>
    <w:rsid w:val="00A52961"/>
    <w:rsid w:val="00A6791A"/>
    <w:rsid w:val="00A72A95"/>
    <w:rsid w:val="00A73FBC"/>
    <w:rsid w:val="00A75377"/>
    <w:rsid w:val="00A81B93"/>
    <w:rsid w:val="00A92C41"/>
    <w:rsid w:val="00A935B9"/>
    <w:rsid w:val="00A94C19"/>
    <w:rsid w:val="00A953FC"/>
    <w:rsid w:val="00A96262"/>
    <w:rsid w:val="00AA3EFE"/>
    <w:rsid w:val="00AA4630"/>
    <w:rsid w:val="00AA56AB"/>
    <w:rsid w:val="00AA72EE"/>
    <w:rsid w:val="00AA7AB3"/>
    <w:rsid w:val="00AB02F9"/>
    <w:rsid w:val="00AB2984"/>
    <w:rsid w:val="00AB5D50"/>
    <w:rsid w:val="00AC1D14"/>
    <w:rsid w:val="00AC1E17"/>
    <w:rsid w:val="00AC6BED"/>
    <w:rsid w:val="00AD1E8D"/>
    <w:rsid w:val="00AD2970"/>
    <w:rsid w:val="00AD38CE"/>
    <w:rsid w:val="00AD41B8"/>
    <w:rsid w:val="00AD5D01"/>
    <w:rsid w:val="00AD7B85"/>
    <w:rsid w:val="00AE0035"/>
    <w:rsid w:val="00AE1833"/>
    <w:rsid w:val="00AE3FC0"/>
    <w:rsid w:val="00AE5861"/>
    <w:rsid w:val="00AF39A6"/>
    <w:rsid w:val="00AF3E40"/>
    <w:rsid w:val="00AF5C8A"/>
    <w:rsid w:val="00AF7E2C"/>
    <w:rsid w:val="00B00222"/>
    <w:rsid w:val="00B005B6"/>
    <w:rsid w:val="00B01B54"/>
    <w:rsid w:val="00B02EAA"/>
    <w:rsid w:val="00B05FDB"/>
    <w:rsid w:val="00B060AF"/>
    <w:rsid w:val="00B10694"/>
    <w:rsid w:val="00B2352F"/>
    <w:rsid w:val="00B264C6"/>
    <w:rsid w:val="00B26574"/>
    <w:rsid w:val="00B33413"/>
    <w:rsid w:val="00B41D29"/>
    <w:rsid w:val="00B43050"/>
    <w:rsid w:val="00B46F3F"/>
    <w:rsid w:val="00B50870"/>
    <w:rsid w:val="00B50A24"/>
    <w:rsid w:val="00B51CCA"/>
    <w:rsid w:val="00B52099"/>
    <w:rsid w:val="00B52633"/>
    <w:rsid w:val="00B5582D"/>
    <w:rsid w:val="00B561D2"/>
    <w:rsid w:val="00B56EEE"/>
    <w:rsid w:val="00B61322"/>
    <w:rsid w:val="00B63825"/>
    <w:rsid w:val="00B72693"/>
    <w:rsid w:val="00B72C71"/>
    <w:rsid w:val="00B74341"/>
    <w:rsid w:val="00B7528E"/>
    <w:rsid w:val="00B767B2"/>
    <w:rsid w:val="00B77788"/>
    <w:rsid w:val="00B80D46"/>
    <w:rsid w:val="00B813DE"/>
    <w:rsid w:val="00B855F4"/>
    <w:rsid w:val="00B9029D"/>
    <w:rsid w:val="00B91B18"/>
    <w:rsid w:val="00B93CB4"/>
    <w:rsid w:val="00B94338"/>
    <w:rsid w:val="00B9448D"/>
    <w:rsid w:val="00BB4A79"/>
    <w:rsid w:val="00BC5464"/>
    <w:rsid w:val="00BD2143"/>
    <w:rsid w:val="00BD267A"/>
    <w:rsid w:val="00BE246D"/>
    <w:rsid w:val="00BE33F2"/>
    <w:rsid w:val="00BF17AA"/>
    <w:rsid w:val="00BF31B8"/>
    <w:rsid w:val="00BF708E"/>
    <w:rsid w:val="00C00052"/>
    <w:rsid w:val="00C01C69"/>
    <w:rsid w:val="00C05534"/>
    <w:rsid w:val="00C05D86"/>
    <w:rsid w:val="00C0736D"/>
    <w:rsid w:val="00C10DC0"/>
    <w:rsid w:val="00C211C3"/>
    <w:rsid w:val="00C24556"/>
    <w:rsid w:val="00C2464B"/>
    <w:rsid w:val="00C24C24"/>
    <w:rsid w:val="00C2515E"/>
    <w:rsid w:val="00C25679"/>
    <w:rsid w:val="00C261F6"/>
    <w:rsid w:val="00C30003"/>
    <w:rsid w:val="00C357AD"/>
    <w:rsid w:val="00C35F91"/>
    <w:rsid w:val="00C373B4"/>
    <w:rsid w:val="00C376D2"/>
    <w:rsid w:val="00C418AA"/>
    <w:rsid w:val="00C423BE"/>
    <w:rsid w:val="00C43317"/>
    <w:rsid w:val="00C43B2C"/>
    <w:rsid w:val="00C502D0"/>
    <w:rsid w:val="00C504E2"/>
    <w:rsid w:val="00C50DC9"/>
    <w:rsid w:val="00C65CFD"/>
    <w:rsid w:val="00C65E4B"/>
    <w:rsid w:val="00C74E4E"/>
    <w:rsid w:val="00C76E0B"/>
    <w:rsid w:val="00C82514"/>
    <w:rsid w:val="00C84223"/>
    <w:rsid w:val="00C858FC"/>
    <w:rsid w:val="00C863C0"/>
    <w:rsid w:val="00CA0180"/>
    <w:rsid w:val="00CA0BA4"/>
    <w:rsid w:val="00CA174B"/>
    <w:rsid w:val="00CA6F3E"/>
    <w:rsid w:val="00CA7A0B"/>
    <w:rsid w:val="00CA7BF8"/>
    <w:rsid w:val="00CB0A5D"/>
    <w:rsid w:val="00CB1B2F"/>
    <w:rsid w:val="00CB4B11"/>
    <w:rsid w:val="00CC4D43"/>
    <w:rsid w:val="00CC682F"/>
    <w:rsid w:val="00CC6F3F"/>
    <w:rsid w:val="00CD1DB7"/>
    <w:rsid w:val="00CD33A2"/>
    <w:rsid w:val="00CD7BA0"/>
    <w:rsid w:val="00CD7DA4"/>
    <w:rsid w:val="00CE6AF3"/>
    <w:rsid w:val="00CE7B46"/>
    <w:rsid w:val="00CE7FD9"/>
    <w:rsid w:val="00CF197B"/>
    <w:rsid w:val="00CF47B3"/>
    <w:rsid w:val="00D015A1"/>
    <w:rsid w:val="00D02B4C"/>
    <w:rsid w:val="00D03200"/>
    <w:rsid w:val="00D05FD2"/>
    <w:rsid w:val="00D07616"/>
    <w:rsid w:val="00D21F4E"/>
    <w:rsid w:val="00D235E3"/>
    <w:rsid w:val="00D23B8F"/>
    <w:rsid w:val="00D258DB"/>
    <w:rsid w:val="00D26684"/>
    <w:rsid w:val="00D31D32"/>
    <w:rsid w:val="00D329B9"/>
    <w:rsid w:val="00D4121C"/>
    <w:rsid w:val="00D437DC"/>
    <w:rsid w:val="00D45D3B"/>
    <w:rsid w:val="00D46251"/>
    <w:rsid w:val="00D51307"/>
    <w:rsid w:val="00D7442D"/>
    <w:rsid w:val="00D77B14"/>
    <w:rsid w:val="00D77DCF"/>
    <w:rsid w:val="00D84245"/>
    <w:rsid w:val="00D855B9"/>
    <w:rsid w:val="00D872AA"/>
    <w:rsid w:val="00D87375"/>
    <w:rsid w:val="00D90513"/>
    <w:rsid w:val="00DA2843"/>
    <w:rsid w:val="00DA3BB1"/>
    <w:rsid w:val="00DA4CC1"/>
    <w:rsid w:val="00DB0EF0"/>
    <w:rsid w:val="00DB309F"/>
    <w:rsid w:val="00DB5713"/>
    <w:rsid w:val="00DB5CA3"/>
    <w:rsid w:val="00DB6578"/>
    <w:rsid w:val="00DB7421"/>
    <w:rsid w:val="00DC5F64"/>
    <w:rsid w:val="00DC78C9"/>
    <w:rsid w:val="00DC7D3C"/>
    <w:rsid w:val="00DD785A"/>
    <w:rsid w:val="00DE1767"/>
    <w:rsid w:val="00DE582C"/>
    <w:rsid w:val="00DE59B5"/>
    <w:rsid w:val="00DE5FF2"/>
    <w:rsid w:val="00DE7425"/>
    <w:rsid w:val="00DF1DEF"/>
    <w:rsid w:val="00DF3BC0"/>
    <w:rsid w:val="00DF44F3"/>
    <w:rsid w:val="00DF6727"/>
    <w:rsid w:val="00DF73ED"/>
    <w:rsid w:val="00E00160"/>
    <w:rsid w:val="00E02580"/>
    <w:rsid w:val="00E04769"/>
    <w:rsid w:val="00E054F7"/>
    <w:rsid w:val="00E11AB3"/>
    <w:rsid w:val="00E14DF9"/>
    <w:rsid w:val="00E15AE8"/>
    <w:rsid w:val="00E1793C"/>
    <w:rsid w:val="00E218DD"/>
    <w:rsid w:val="00E361D1"/>
    <w:rsid w:val="00E41F20"/>
    <w:rsid w:val="00E44D48"/>
    <w:rsid w:val="00E5294C"/>
    <w:rsid w:val="00E6378C"/>
    <w:rsid w:val="00E677D6"/>
    <w:rsid w:val="00E70041"/>
    <w:rsid w:val="00E70C4D"/>
    <w:rsid w:val="00E737F7"/>
    <w:rsid w:val="00E7583D"/>
    <w:rsid w:val="00E7681A"/>
    <w:rsid w:val="00E77E4C"/>
    <w:rsid w:val="00E8521D"/>
    <w:rsid w:val="00E86974"/>
    <w:rsid w:val="00E87529"/>
    <w:rsid w:val="00E919E0"/>
    <w:rsid w:val="00EA30F4"/>
    <w:rsid w:val="00EA5674"/>
    <w:rsid w:val="00EA674E"/>
    <w:rsid w:val="00EA72AF"/>
    <w:rsid w:val="00EB094A"/>
    <w:rsid w:val="00EB31C5"/>
    <w:rsid w:val="00EB68B4"/>
    <w:rsid w:val="00EB6BC3"/>
    <w:rsid w:val="00EC39F6"/>
    <w:rsid w:val="00EC3D02"/>
    <w:rsid w:val="00EC6219"/>
    <w:rsid w:val="00EE02AB"/>
    <w:rsid w:val="00EF3E6E"/>
    <w:rsid w:val="00EF6FAF"/>
    <w:rsid w:val="00F13A1F"/>
    <w:rsid w:val="00F20062"/>
    <w:rsid w:val="00F254D4"/>
    <w:rsid w:val="00F26E43"/>
    <w:rsid w:val="00F27068"/>
    <w:rsid w:val="00F32C5D"/>
    <w:rsid w:val="00F33901"/>
    <w:rsid w:val="00F4123A"/>
    <w:rsid w:val="00F42796"/>
    <w:rsid w:val="00F43014"/>
    <w:rsid w:val="00F52068"/>
    <w:rsid w:val="00F55DD3"/>
    <w:rsid w:val="00F55FBE"/>
    <w:rsid w:val="00F644FE"/>
    <w:rsid w:val="00F66A53"/>
    <w:rsid w:val="00F753DD"/>
    <w:rsid w:val="00F802E9"/>
    <w:rsid w:val="00F85AC8"/>
    <w:rsid w:val="00F9486E"/>
    <w:rsid w:val="00F96DB0"/>
    <w:rsid w:val="00FA27B3"/>
    <w:rsid w:val="00FA756E"/>
    <w:rsid w:val="00FB201E"/>
    <w:rsid w:val="00FC0F4B"/>
    <w:rsid w:val="00FC1B06"/>
    <w:rsid w:val="00FC2442"/>
    <w:rsid w:val="00FC28BB"/>
    <w:rsid w:val="00FC6CD8"/>
    <w:rsid w:val="00FD2C4C"/>
    <w:rsid w:val="00FD59BD"/>
    <w:rsid w:val="00FE2036"/>
    <w:rsid w:val="00FE2B09"/>
    <w:rsid w:val="00FE406A"/>
    <w:rsid w:val="00FE7448"/>
    <w:rsid w:val="00FE7AA0"/>
    <w:rsid w:val="00FF1968"/>
    <w:rsid w:val="00FF3750"/>
    <w:rsid w:val="01AC0B21"/>
    <w:rsid w:val="023D9A49"/>
    <w:rsid w:val="024B3FE2"/>
    <w:rsid w:val="024F6C98"/>
    <w:rsid w:val="026F9E0E"/>
    <w:rsid w:val="02BD2A18"/>
    <w:rsid w:val="03406BAB"/>
    <w:rsid w:val="03F355F6"/>
    <w:rsid w:val="03F6D3F3"/>
    <w:rsid w:val="0448D0F0"/>
    <w:rsid w:val="049EDDA1"/>
    <w:rsid w:val="04CEAFD0"/>
    <w:rsid w:val="04D3B180"/>
    <w:rsid w:val="04EF8374"/>
    <w:rsid w:val="05184BA2"/>
    <w:rsid w:val="053F625E"/>
    <w:rsid w:val="056FDC43"/>
    <w:rsid w:val="05BEB38F"/>
    <w:rsid w:val="0629678F"/>
    <w:rsid w:val="06ABEF34"/>
    <w:rsid w:val="075A83F0"/>
    <w:rsid w:val="07C93A87"/>
    <w:rsid w:val="09F00253"/>
    <w:rsid w:val="09FAE505"/>
    <w:rsid w:val="0A3DB54A"/>
    <w:rsid w:val="0A510208"/>
    <w:rsid w:val="0CB9B034"/>
    <w:rsid w:val="0F92900B"/>
    <w:rsid w:val="0FE8C184"/>
    <w:rsid w:val="106211EA"/>
    <w:rsid w:val="10EE7F58"/>
    <w:rsid w:val="114602AB"/>
    <w:rsid w:val="117735E1"/>
    <w:rsid w:val="11D9F7D6"/>
    <w:rsid w:val="1375ECFC"/>
    <w:rsid w:val="1387F075"/>
    <w:rsid w:val="142DB79D"/>
    <w:rsid w:val="146A1CDA"/>
    <w:rsid w:val="1486D637"/>
    <w:rsid w:val="152399DA"/>
    <w:rsid w:val="1570B5B6"/>
    <w:rsid w:val="15934C5B"/>
    <w:rsid w:val="1606B1B9"/>
    <w:rsid w:val="165D2652"/>
    <w:rsid w:val="16A9D39F"/>
    <w:rsid w:val="188A3D8C"/>
    <w:rsid w:val="188BF82D"/>
    <w:rsid w:val="18EA8D9C"/>
    <w:rsid w:val="193CB0B2"/>
    <w:rsid w:val="19B78579"/>
    <w:rsid w:val="1A475827"/>
    <w:rsid w:val="1A4AF56B"/>
    <w:rsid w:val="1AE58C10"/>
    <w:rsid w:val="1C08D48B"/>
    <w:rsid w:val="1C4A7DFF"/>
    <w:rsid w:val="1C5C1099"/>
    <w:rsid w:val="1C74F79A"/>
    <w:rsid w:val="1CE16580"/>
    <w:rsid w:val="1D700E15"/>
    <w:rsid w:val="1E1679B7"/>
    <w:rsid w:val="1E7DEE3D"/>
    <w:rsid w:val="1EBCA194"/>
    <w:rsid w:val="1F54EB6A"/>
    <w:rsid w:val="1FEFC9EA"/>
    <w:rsid w:val="2073B19A"/>
    <w:rsid w:val="20C7C6B9"/>
    <w:rsid w:val="20EA65D3"/>
    <w:rsid w:val="20FC3651"/>
    <w:rsid w:val="21452654"/>
    <w:rsid w:val="215C6CC3"/>
    <w:rsid w:val="21BE59E8"/>
    <w:rsid w:val="21CE7443"/>
    <w:rsid w:val="22343C29"/>
    <w:rsid w:val="22A484EF"/>
    <w:rsid w:val="24940D85"/>
    <w:rsid w:val="2516DAD8"/>
    <w:rsid w:val="2602F2DF"/>
    <w:rsid w:val="262E4A95"/>
    <w:rsid w:val="26745189"/>
    <w:rsid w:val="26E60AD0"/>
    <w:rsid w:val="27495201"/>
    <w:rsid w:val="27C24924"/>
    <w:rsid w:val="282A50FE"/>
    <w:rsid w:val="284EE7A1"/>
    <w:rsid w:val="28FABFC9"/>
    <w:rsid w:val="293A93A1"/>
    <w:rsid w:val="29C6215F"/>
    <w:rsid w:val="2BF83EDE"/>
    <w:rsid w:val="2C02741D"/>
    <w:rsid w:val="2C0EE42A"/>
    <w:rsid w:val="2CF34C3F"/>
    <w:rsid w:val="2D3EDFE4"/>
    <w:rsid w:val="2EE5A79B"/>
    <w:rsid w:val="2EE942F6"/>
    <w:rsid w:val="308BBAA8"/>
    <w:rsid w:val="30CF1C4A"/>
    <w:rsid w:val="30D6259D"/>
    <w:rsid w:val="311625E4"/>
    <w:rsid w:val="31695084"/>
    <w:rsid w:val="3195F6A3"/>
    <w:rsid w:val="31C141F6"/>
    <w:rsid w:val="32E9636D"/>
    <w:rsid w:val="337FF70C"/>
    <w:rsid w:val="3384F2A6"/>
    <w:rsid w:val="3393337C"/>
    <w:rsid w:val="33CB87F5"/>
    <w:rsid w:val="342158FE"/>
    <w:rsid w:val="3440DFA5"/>
    <w:rsid w:val="34F89AAD"/>
    <w:rsid w:val="34FE5E24"/>
    <w:rsid w:val="3564A4A7"/>
    <w:rsid w:val="3571093B"/>
    <w:rsid w:val="35C3A7F0"/>
    <w:rsid w:val="361E3B63"/>
    <w:rsid w:val="3661C939"/>
    <w:rsid w:val="3739AC77"/>
    <w:rsid w:val="374A86C6"/>
    <w:rsid w:val="374AB0CB"/>
    <w:rsid w:val="3751AE7C"/>
    <w:rsid w:val="375B4F17"/>
    <w:rsid w:val="3770E010"/>
    <w:rsid w:val="37C4D815"/>
    <w:rsid w:val="37E9BF97"/>
    <w:rsid w:val="38B53B1B"/>
    <w:rsid w:val="391F130B"/>
    <w:rsid w:val="39BD6859"/>
    <w:rsid w:val="3B00A6DA"/>
    <w:rsid w:val="3B5FCFD0"/>
    <w:rsid w:val="3B6E6297"/>
    <w:rsid w:val="3B6E9A1D"/>
    <w:rsid w:val="3B7F71F7"/>
    <w:rsid w:val="3B9E7BFC"/>
    <w:rsid w:val="3BDD5AB2"/>
    <w:rsid w:val="3CF83532"/>
    <w:rsid w:val="3EB88821"/>
    <w:rsid w:val="3EFCE2D0"/>
    <w:rsid w:val="3F705D7B"/>
    <w:rsid w:val="3F94059C"/>
    <w:rsid w:val="3FFC600B"/>
    <w:rsid w:val="40926142"/>
    <w:rsid w:val="409A7176"/>
    <w:rsid w:val="4118C41B"/>
    <w:rsid w:val="413B6080"/>
    <w:rsid w:val="41C7E38B"/>
    <w:rsid w:val="41E748F6"/>
    <w:rsid w:val="41F3A756"/>
    <w:rsid w:val="42A9878D"/>
    <w:rsid w:val="42E30813"/>
    <w:rsid w:val="437FD5BD"/>
    <w:rsid w:val="447830B8"/>
    <w:rsid w:val="44BADA41"/>
    <w:rsid w:val="454D662B"/>
    <w:rsid w:val="4615F980"/>
    <w:rsid w:val="464DED1E"/>
    <w:rsid w:val="468C5169"/>
    <w:rsid w:val="4728B024"/>
    <w:rsid w:val="472C429C"/>
    <w:rsid w:val="47AF0C63"/>
    <w:rsid w:val="47BC99F2"/>
    <w:rsid w:val="4827655A"/>
    <w:rsid w:val="486F5931"/>
    <w:rsid w:val="48A657AE"/>
    <w:rsid w:val="48A9592D"/>
    <w:rsid w:val="491775D8"/>
    <w:rsid w:val="49AD2679"/>
    <w:rsid w:val="4A8F76B5"/>
    <w:rsid w:val="4C650EF4"/>
    <w:rsid w:val="4C664B8E"/>
    <w:rsid w:val="4C767541"/>
    <w:rsid w:val="4D08DD90"/>
    <w:rsid w:val="4D2BC245"/>
    <w:rsid w:val="4D752366"/>
    <w:rsid w:val="4D810413"/>
    <w:rsid w:val="4D9E6C6B"/>
    <w:rsid w:val="4DBDDF32"/>
    <w:rsid w:val="4E021BEF"/>
    <w:rsid w:val="4F1CD474"/>
    <w:rsid w:val="4F95FECA"/>
    <w:rsid w:val="4FC90461"/>
    <w:rsid w:val="4FEF0A17"/>
    <w:rsid w:val="50E7935C"/>
    <w:rsid w:val="51179D68"/>
    <w:rsid w:val="51425CF9"/>
    <w:rsid w:val="5212A6C1"/>
    <w:rsid w:val="52547536"/>
    <w:rsid w:val="52EB08D5"/>
    <w:rsid w:val="541D309E"/>
    <w:rsid w:val="545AFDFA"/>
    <w:rsid w:val="5499C014"/>
    <w:rsid w:val="54FAF325"/>
    <w:rsid w:val="5536D42A"/>
    <w:rsid w:val="56270A7B"/>
    <w:rsid w:val="56359075"/>
    <w:rsid w:val="5650F25D"/>
    <w:rsid w:val="56B97C2E"/>
    <w:rsid w:val="58306F83"/>
    <w:rsid w:val="58E0DBDF"/>
    <w:rsid w:val="59473E58"/>
    <w:rsid w:val="595F1B11"/>
    <w:rsid w:val="596A703D"/>
    <w:rsid w:val="59EE4FD0"/>
    <w:rsid w:val="5A16120D"/>
    <w:rsid w:val="5AB252BB"/>
    <w:rsid w:val="5AF32924"/>
    <w:rsid w:val="5B3A0D0A"/>
    <w:rsid w:val="5B3A89D5"/>
    <w:rsid w:val="5BA77DCB"/>
    <w:rsid w:val="5C9C2085"/>
    <w:rsid w:val="5D1D5E0F"/>
    <w:rsid w:val="5D506F3D"/>
    <w:rsid w:val="5DCCF307"/>
    <w:rsid w:val="5E0D9EE8"/>
    <w:rsid w:val="5E14E053"/>
    <w:rsid w:val="5E33EEFD"/>
    <w:rsid w:val="5E52CAE0"/>
    <w:rsid w:val="5EAAE2E5"/>
    <w:rsid w:val="5EC8B835"/>
    <w:rsid w:val="5F176296"/>
    <w:rsid w:val="5FE4FA7B"/>
    <w:rsid w:val="603B8463"/>
    <w:rsid w:val="60D035AE"/>
    <w:rsid w:val="614C33E1"/>
    <w:rsid w:val="61979C06"/>
    <w:rsid w:val="62E80442"/>
    <w:rsid w:val="631055E7"/>
    <w:rsid w:val="631D88F8"/>
    <w:rsid w:val="635A89BD"/>
    <w:rsid w:val="63C9BF25"/>
    <w:rsid w:val="6433079D"/>
    <w:rsid w:val="643599B7"/>
    <w:rsid w:val="64660037"/>
    <w:rsid w:val="653200C5"/>
    <w:rsid w:val="656AB356"/>
    <w:rsid w:val="6628935A"/>
    <w:rsid w:val="663EC54A"/>
    <w:rsid w:val="675C5936"/>
    <w:rsid w:val="67B4F923"/>
    <w:rsid w:val="67DC1032"/>
    <w:rsid w:val="69284E3F"/>
    <w:rsid w:val="69616A82"/>
    <w:rsid w:val="6C78A594"/>
    <w:rsid w:val="6D77A39A"/>
    <w:rsid w:val="6D92BA63"/>
    <w:rsid w:val="6DBA2C0E"/>
    <w:rsid w:val="6E6C9E56"/>
    <w:rsid w:val="6E75949D"/>
    <w:rsid w:val="6EB0AB4F"/>
    <w:rsid w:val="6F1F9248"/>
    <w:rsid w:val="6F8128CE"/>
    <w:rsid w:val="6FE20C3C"/>
    <w:rsid w:val="7078E9A9"/>
    <w:rsid w:val="709DA3E3"/>
    <w:rsid w:val="70D3B192"/>
    <w:rsid w:val="70F7B50B"/>
    <w:rsid w:val="71834C1C"/>
    <w:rsid w:val="718ACD4F"/>
    <w:rsid w:val="71C0F8DE"/>
    <w:rsid w:val="72362C7B"/>
    <w:rsid w:val="7309198A"/>
    <w:rsid w:val="737716A1"/>
    <w:rsid w:val="739C6029"/>
    <w:rsid w:val="74962595"/>
    <w:rsid w:val="74F3A3FC"/>
    <w:rsid w:val="75655EFA"/>
    <w:rsid w:val="75E1A132"/>
    <w:rsid w:val="76306C7F"/>
    <w:rsid w:val="76F7778D"/>
    <w:rsid w:val="76F78AD0"/>
    <w:rsid w:val="77B1A64E"/>
    <w:rsid w:val="7896B802"/>
    <w:rsid w:val="78BE543E"/>
    <w:rsid w:val="78FE0DC5"/>
    <w:rsid w:val="7AC43747"/>
    <w:rsid w:val="7B50C06C"/>
    <w:rsid w:val="7BC3CA55"/>
    <w:rsid w:val="7C2BD5AA"/>
    <w:rsid w:val="7D07252E"/>
    <w:rsid w:val="7D403927"/>
    <w:rsid w:val="7DD3DED2"/>
    <w:rsid w:val="7E6C5C6D"/>
    <w:rsid w:val="7F4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5973A0C"/>
  <w15:docId w15:val="{F42C8C55-85AE-43F0-B9B0-0F9FBA45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t-PT"/>
    </w:rPr>
  </w:style>
  <w:style w:type="paragraph" w:styleId="Heading1">
    <w:name w:val="heading 1"/>
    <w:basedOn w:val="Normal"/>
    <w:next w:val="Text1"/>
    <w:link w:val="Heading1Char"/>
    <w:uiPriority w:val="9"/>
    <w:qFormat/>
    <w:rsid w:val="00517205"/>
    <w:pPr>
      <w:keepNext/>
      <w:numPr>
        <w:numId w:val="1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517205"/>
    <w:pPr>
      <w:keepNext/>
      <w:numPr>
        <w:ilvl w:val="1"/>
        <w:numId w:val="1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517205"/>
    <w:pPr>
      <w:keepNext/>
      <w:numPr>
        <w:ilvl w:val="2"/>
        <w:numId w:val="1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517205"/>
    <w:pPr>
      <w:keepNext/>
      <w:numPr>
        <w:ilvl w:val="3"/>
        <w:numId w:val="18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rsid w:val="00517205"/>
    <w:pPr>
      <w:keepNext/>
      <w:numPr>
        <w:ilvl w:val="4"/>
        <w:numId w:val="18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rsid w:val="00517205"/>
    <w:pPr>
      <w:keepNext/>
      <w:numPr>
        <w:ilvl w:val="5"/>
        <w:numId w:val="18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rsid w:val="00517205"/>
    <w:pPr>
      <w:keepNext/>
      <w:numPr>
        <w:ilvl w:val="6"/>
        <w:numId w:val="18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3D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D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D02"/>
    <w:rPr>
      <w:rFonts w:ascii="Times New Roman" w:hAnsi="Times New Roman" w:cs="Times New Roma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D02"/>
    <w:rPr>
      <w:rFonts w:ascii="Times New Roman" w:hAnsi="Times New Roman" w:cs="Times New Roman"/>
      <w:b/>
      <w:bCs/>
      <w:sz w:val="20"/>
      <w:szCs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D0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02"/>
    <w:rPr>
      <w:rFonts w:ascii="Segoe UI" w:hAnsi="Segoe UI" w:cs="Segoe UI"/>
      <w:sz w:val="18"/>
      <w:szCs w:val="18"/>
      <w:lang w:val="pt-PT"/>
    </w:rPr>
  </w:style>
  <w:style w:type="paragraph" w:styleId="Revision">
    <w:name w:val="Revision"/>
    <w:hidden/>
    <w:uiPriority w:val="99"/>
    <w:semiHidden/>
    <w:rsid w:val="00EC3D02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ListBullet">
    <w:name w:val="List Bullet"/>
    <w:basedOn w:val="Normal"/>
    <w:uiPriority w:val="99"/>
    <w:semiHidden/>
    <w:unhideWhenUsed/>
    <w:rsid w:val="0037777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7777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7777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77772"/>
    <w:pPr>
      <w:numPr>
        <w:numId w:val="4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4D77B3"/>
    <w:rPr>
      <w:szCs w:val="24"/>
    </w:rPr>
  </w:style>
  <w:style w:type="character" w:styleId="Hyperlink">
    <w:name w:val="Hyperlink"/>
    <w:basedOn w:val="DefaultParagraphFont"/>
    <w:uiPriority w:val="99"/>
    <w:unhideWhenUsed/>
    <w:rsid w:val="00924C6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55DD3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DD3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D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55DD3"/>
    <w:rPr>
      <w:rFonts w:eastAsiaTheme="minorEastAsia"/>
      <w:color w:val="5A5A5A" w:themeColor="text1" w:themeTint="A5"/>
      <w:spacing w:val="15"/>
      <w:lang w:val="pt-PT"/>
    </w:rPr>
  </w:style>
  <w:style w:type="character" w:styleId="BookTitle">
    <w:name w:val="Book Title"/>
    <w:basedOn w:val="DefaultParagraphFont"/>
    <w:uiPriority w:val="33"/>
    <w:qFormat/>
    <w:rsid w:val="00F55DD3"/>
    <w:rPr>
      <w:b/>
      <w:bCs/>
      <w:i/>
      <w:iCs/>
      <w:spacing w:val="5"/>
    </w:rPr>
  </w:style>
  <w:style w:type="character" w:customStyle="1" w:styleId="normaltextrun">
    <w:name w:val="normaltextrun"/>
    <w:basedOn w:val="DefaultParagraphFont"/>
    <w:rsid w:val="00C418AA"/>
  </w:style>
  <w:style w:type="character" w:customStyle="1" w:styleId="findhit">
    <w:name w:val="findhit"/>
    <w:basedOn w:val="DefaultParagraphFont"/>
    <w:rsid w:val="00C418AA"/>
  </w:style>
  <w:style w:type="paragraph" w:styleId="Caption">
    <w:name w:val="caption"/>
    <w:basedOn w:val="Normal"/>
    <w:next w:val="Normal"/>
    <w:uiPriority w:val="35"/>
    <w:semiHidden/>
    <w:unhideWhenUsed/>
    <w:qFormat/>
    <w:rsid w:val="00E87529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87529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E87529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87529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87529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87529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4F7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054F7"/>
    <w:rPr>
      <w:rFonts w:ascii="Times New Roman" w:hAnsi="Times New Roman" w:cs="Times New Roman"/>
      <w:sz w:val="24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E054F7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E054F7"/>
    <w:rPr>
      <w:rFonts w:ascii="Times New Roman" w:hAnsi="Times New Roman" w:cs="Times New Roman"/>
      <w:sz w:val="24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7205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7205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17205"/>
    <w:rPr>
      <w:rFonts w:ascii="Times New Roman" w:eastAsiaTheme="majorEastAsia" w:hAnsi="Times New Roman" w:cs="Times New Roman"/>
      <w:b/>
      <w:bCs/>
      <w:smallCaps/>
      <w:sz w:val="24"/>
      <w:szCs w:val="28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205"/>
    <w:rPr>
      <w:rFonts w:ascii="Times New Roman" w:eastAsiaTheme="majorEastAsia" w:hAnsi="Times New Roman" w:cs="Times New Roman"/>
      <w:b/>
      <w:bCs/>
      <w:sz w:val="24"/>
      <w:szCs w:val="26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205"/>
    <w:rPr>
      <w:rFonts w:ascii="Times New Roman" w:eastAsiaTheme="majorEastAsia" w:hAnsi="Times New Roman" w:cs="Times New Roman"/>
      <w:bCs/>
      <w:i/>
      <w:sz w:val="24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205"/>
    <w:rPr>
      <w:rFonts w:ascii="Times New Roman" w:eastAsiaTheme="majorEastAsia" w:hAnsi="Times New Roman" w:cs="Times New Roman"/>
      <w:bCs/>
      <w:iCs/>
      <w:sz w:val="24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205"/>
    <w:rPr>
      <w:rFonts w:ascii="Times New Roman" w:eastAsiaTheme="majorEastAsia" w:hAnsi="Times New Roman" w:cs="Times New Roman"/>
      <w:sz w:val="24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205"/>
    <w:rPr>
      <w:rFonts w:ascii="Times New Roman" w:eastAsiaTheme="majorEastAsia" w:hAnsi="Times New Roman" w:cs="Times New Roman"/>
      <w:iCs/>
      <w:sz w:val="24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205"/>
    <w:rPr>
      <w:rFonts w:ascii="Times New Roman" w:eastAsiaTheme="majorEastAsia" w:hAnsi="Times New Roman" w:cs="Times New Roman"/>
      <w:iCs/>
      <w:sz w:val="24"/>
      <w:lang w:val="pt-PT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17205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517205"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E054F7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E054F7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517205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E054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E054F7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E054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517205"/>
    <w:pPr>
      <w:ind w:left="850"/>
    </w:pPr>
  </w:style>
  <w:style w:type="paragraph" w:customStyle="1" w:styleId="Text2">
    <w:name w:val="Text 2"/>
    <w:basedOn w:val="Normal"/>
    <w:rsid w:val="00517205"/>
    <w:pPr>
      <w:ind w:left="1417"/>
    </w:pPr>
  </w:style>
  <w:style w:type="paragraph" w:customStyle="1" w:styleId="Text3">
    <w:name w:val="Text 3"/>
    <w:basedOn w:val="Normal"/>
    <w:rsid w:val="00517205"/>
    <w:pPr>
      <w:ind w:left="1984"/>
    </w:pPr>
  </w:style>
  <w:style w:type="paragraph" w:customStyle="1" w:styleId="Text4">
    <w:name w:val="Text 4"/>
    <w:basedOn w:val="Normal"/>
    <w:rsid w:val="00517205"/>
    <w:pPr>
      <w:ind w:left="2551"/>
    </w:pPr>
  </w:style>
  <w:style w:type="paragraph" w:customStyle="1" w:styleId="Text5">
    <w:name w:val="Text 5"/>
    <w:basedOn w:val="Normal"/>
    <w:rsid w:val="00517205"/>
    <w:pPr>
      <w:ind w:left="3118"/>
    </w:pPr>
  </w:style>
  <w:style w:type="paragraph" w:customStyle="1" w:styleId="Text6">
    <w:name w:val="Text 6"/>
    <w:basedOn w:val="Normal"/>
    <w:rsid w:val="00517205"/>
    <w:pPr>
      <w:ind w:left="3685"/>
    </w:pPr>
  </w:style>
  <w:style w:type="paragraph" w:customStyle="1" w:styleId="NormalCentered">
    <w:name w:val="Normal Centered"/>
    <w:basedOn w:val="Normal"/>
    <w:rsid w:val="00517205"/>
    <w:pPr>
      <w:jc w:val="center"/>
    </w:pPr>
  </w:style>
  <w:style w:type="paragraph" w:customStyle="1" w:styleId="NormalLeft">
    <w:name w:val="Normal Left"/>
    <w:basedOn w:val="Normal"/>
    <w:rsid w:val="00517205"/>
    <w:pPr>
      <w:jc w:val="left"/>
    </w:pPr>
  </w:style>
  <w:style w:type="paragraph" w:customStyle="1" w:styleId="NormalRight">
    <w:name w:val="Normal Right"/>
    <w:basedOn w:val="Normal"/>
    <w:rsid w:val="00517205"/>
    <w:pPr>
      <w:jc w:val="right"/>
    </w:pPr>
  </w:style>
  <w:style w:type="paragraph" w:customStyle="1" w:styleId="QuotedText">
    <w:name w:val="Quoted Text"/>
    <w:basedOn w:val="Normal"/>
    <w:rsid w:val="00517205"/>
    <w:pPr>
      <w:ind w:left="1417"/>
    </w:pPr>
  </w:style>
  <w:style w:type="paragraph" w:customStyle="1" w:styleId="Point0">
    <w:name w:val="Point 0"/>
    <w:basedOn w:val="Normal"/>
    <w:rsid w:val="00517205"/>
    <w:pPr>
      <w:ind w:left="850" w:hanging="850"/>
    </w:pPr>
  </w:style>
  <w:style w:type="paragraph" w:customStyle="1" w:styleId="Point1">
    <w:name w:val="Point 1"/>
    <w:basedOn w:val="Normal"/>
    <w:rsid w:val="00517205"/>
    <w:pPr>
      <w:ind w:left="1417" w:hanging="567"/>
    </w:pPr>
  </w:style>
  <w:style w:type="paragraph" w:customStyle="1" w:styleId="Point2">
    <w:name w:val="Point 2"/>
    <w:basedOn w:val="Normal"/>
    <w:rsid w:val="00517205"/>
    <w:pPr>
      <w:ind w:left="1984" w:hanging="567"/>
    </w:pPr>
  </w:style>
  <w:style w:type="paragraph" w:customStyle="1" w:styleId="Point3">
    <w:name w:val="Point 3"/>
    <w:basedOn w:val="Normal"/>
    <w:rsid w:val="00517205"/>
    <w:pPr>
      <w:ind w:left="2551" w:hanging="567"/>
    </w:pPr>
  </w:style>
  <w:style w:type="paragraph" w:customStyle="1" w:styleId="Point4">
    <w:name w:val="Point 4"/>
    <w:basedOn w:val="Normal"/>
    <w:rsid w:val="00517205"/>
    <w:pPr>
      <w:ind w:left="3118" w:hanging="567"/>
    </w:pPr>
  </w:style>
  <w:style w:type="paragraph" w:customStyle="1" w:styleId="Point5">
    <w:name w:val="Point 5"/>
    <w:basedOn w:val="Normal"/>
    <w:rsid w:val="00517205"/>
    <w:pPr>
      <w:ind w:left="3685" w:hanging="567"/>
    </w:pPr>
  </w:style>
  <w:style w:type="paragraph" w:customStyle="1" w:styleId="Tiret0">
    <w:name w:val="Tiret 0"/>
    <w:basedOn w:val="Point0"/>
    <w:rsid w:val="00517205"/>
    <w:pPr>
      <w:numPr>
        <w:numId w:val="11"/>
      </w:numPr>
    </w:pPr>
  </w:style>
  <w:style w:type="paragraph" w:customStyle="1" w:styleId="Tiret1">
    <w:name w:val="Tiret 1"/>
    <w:basedOn w:val="Point1"/>
    <w:rsid w:val="00517205"/>
    <w:pPr>
      <w:numPr>
        <w:numId w:val="12"/>
      </w:numPr>
    </w:pPr>
  </w:style>
  <w:style w:type="paragraph" w:customStyle="1" w:styleId="Tiret2">
    <w:name w:val="Tiret 2"/>
    <w:basedOn w:val="Point2"/>
    <w:rsid w:val="00517205"/>
    <w:pPr>
      <w:numPr>
        <w:numId w:val="13"/>
      </w:numPr>
    </w:pPr>
  </w:style>
  <w:style w:type="paragraph" w:customStyle="1" w:styleId="Tiret3">
    <w:name w:val="Tiret 3"/>
    <w:basedOn w:val="Point3"/>
    <w:rsid w:val="00517205"/>
    <w:pPr>
      <w:numPr>
        <w:numId w:val="14"/>
      </w:numPr>
    </w:pPr>
  </w:style>
  <w:style w:type="paragraph" w:customStyle="1" w:styleId="Tiret4">
    <w:name w:val="Tiret 4"/>
    <w:basedOn w:val="Point4"/>
    <w:rsid w:val="00517205"/>
    <w:pPr>
      <w:numPr>
        <w:numId w:val="15"/>
      </w:numPr>
    </w:pPr>
  </w:style>
  <w:style w:type="paragraph" w:customStyle="1" w:styleId="Tiret5">
    <w:name w:val="Tiret 5"/>
    <w:basedOn w:val="Point5"/>
    <w:rsid w:val="00517205"/>
    <w:pPr>
      <w:numPr>
        <w:numId w:val="16"/>
      </w:numPr>
    </w:pPr>
  </w:style>
  <w:style w:type="paragraph" w:customStyle="1" w:styleId="PointDouble0">
    <w:name w:val="PointDouble 0"/>
    <w:basedOn w:val="Normal"/>
    <w:rsid w:val="00517205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517205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517205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517205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517205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517205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517205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517205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517205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517205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517205"/>
    <w:pPr>
      <w:numPr>
        <w:numId w:val="17"/>
      </w:numPr>
    </w:pPr>
  </w:style>
  <w:style w:type="paragraph" w:customStyle="1" w:styleId="NumPar2">
    <w:name w:val="NumPar 2"/>
    <w:basedOn w:val="Normal"/>
    <w:next w:val="Text1"/>
    <w:rsid w:val="00517205"/>
    <w:pPr>
      <w:numPr>
        <w:ilvl w:val="1"/>
        <w:numId w:val="17"/>
      </w:numPr>
    </w:pPr>
  </w:style>
  <w:style w:type="paragraph" w:customStyle="1" w:styleId="NumPar3">
    <w:name w:val="NumPar 3"/>
    <w:basedOn w:val="Normal"/>
    <w:next w:val="Text1"/>
    <w:rsid w:val="00517205"/>
    <w:pPr>
      <w:numPr>
        <w:ilvl w:val="2"/>
        <w:numId w:val="17"/>
      </w:numPr>
    </w:pPr>
  </w:style>
  <w:style w:type="paragraph" w:customStyle="1" w:styleId="NumPar4">
    <w:name w:val="NumPar 4"/>
    <w:basedOn w:val="Normal"/>
    <w:next w:val="Text1"/>
    <w:rsid w:val="00517205"/>
    <w:pPr>
      <w:numPr>
        <w:ilvl w:val="3"/>
        <w:numId w:val="17"/>
      </w:numPr>
    </w:pPr>
  </w:style>
  <w:style w:type="paragraph" w:customStyle="1" w:styleId="NumPar5">
    <w:name w:val="NumPar 5"/>
    <w:basedOn w:val="Normal"/>
    <w:next w:val="Text2"/>
    <w:rsid w:val="00517205"/>
    <w:pPr>
      <w:numPr>
        <w:ilvl w:val="4"/>
        <w:numId w:val="17"/>
      </w:numPr>
    </w:pPr>
  </w:style>
  <w:style w:type="paragraph" w:customStyle="1" w:styleId="NumPar6">
    <w:name w:val="NumPar 6"/>
    <w:basedOn w:val="Normal"/>
    <w:next w:val="Text2"/>
    <w:rsid w:val="00517205"/>
    <w:pPr>
      <w:numPr>
        <w:ilvl w:val="5"/>
        <w:numId w:val="17"/>
      </w:numPr>
    </w:pPr>
  </w:style>
  <w:style w:type="paragraph" w:customStyle="1" w:styleId="NumPar7">
    <w:name w:val="NumPar 7"/>
    <w:basedOn w:val="Normal"/>
    <w:next w:val="Text2"/>
    <w:rsid w:val="00517205"/>
    <w:pPr>
      <w:numPr>
        <w:ilvl w:val="6"/>
        <w:numId w:val="17"/>
      </w:numPr>
    </w:pPr>
  </w:style>
  <w:style w:type="paragraph" w:customStyle="1" w:styleId="ManualNumPar1">
    <w:name w:val="Manual NumPar 1"/>
    <w:basedOn w:val="Normal"/>
    <w:next w:val="Text1"/>
    <w:rsid w:val="00517205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517205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517205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517205"/>
    <w:pPr>
      <w:ind w:left="850" w:hanging="850"/>
    </w:pPr>
  </w:style>
  <w:style w:type="paragraph" w:customStyle="1" w:styleId="ManualNumPar5">
    <w:name w:val="Manual NumPar 5"/>
    <w:basedOn w:val="Normal"/>
    <w:next w:val="Text2"/>
    <w:rsid w:val="00517205"/>
    <w:pPr>
      <w:ind w:left="1417" w:hanging="1417"/>
    </w:pPr>
  </w:style>
  <w:style w:type="paragraph" w:customStyle="1" w:styleId="ManualNumPar6">
    <w:name w:val="Manual NumPar 6"/>
    <w:basedOn w:val="Normal"/>
    <w:next w:val="Text2"/>
    <w:rsid w:val="00517205"/>
    <w:pPr>
      <w:ind w:left="1417" w:hanging="1417"/>
    </w:pPr>
  </w:style>
  <w:style w:type="paragraph" w:customStyle="1" w:styleId="ManualNumPar7">
    <w:name w:val="Manual NumPar 7"/>
    <w:basedOn w:val="Normal"/>
    <w:next w:val="Text2"/>
    <w:rsid w:val="00517205"/>
    <w:pPr>
      <w:ind w:left="1417" w:hanging="1417"/>
    </w:pPr>
  </w:style>
  <w:style w:type="paragraph" w:customStyle="1" w:styleId="QuotedNumPar">
    <w:name w:val="Quoted NumPar"/>
    <w:basedOn w:val="Normal"/>
    <w:rsid w:val="00517205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517205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517205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517205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517205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rsid w:val="00517205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rsid w:val="00517205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rsid w:val="00517205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rsid w:val="00517205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517205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517205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517205"/>
    <w:pPr>
      <w:jc w:val="center"/>
    </w:pPr>
    <w:rPr>
      <w:b/>
    </w:rPr>
  </w:style>
  <w:style w:type="character" w:customStyle="1" w:styleId="Marker">
    <w:name w:val="Marker"/>
    <w:basedOn w:val="DefaultParagraphFont"/>
    <w:rsid w:val="00517205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517205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517205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17205"/>
    <w:pPr>
      <w:numPr>
        <w:numId w:val="19"/>
      </w:numPr>
    </w:pPr>
  </w:style>
  <w:style w:type="paragraph" w:customStyle="1" w:styleId="Point1number">
    <w:name w:val="Point 1 (number)"/>
    <w:basedOn w:val="Normal"/>
    <w:rsid w:val="00517205"/>
    <w:pPr>
      <w:numPr>
        <w:ilvl w:val="2"/>
        <w:numId w:val="19"/>
      </w:numPr>
    </w:pPr>
  </w:style>
  <w:style w:type="paragraph" w:customStyle="1" w:styleId="Point2number">
    <w:name w:val="Point 2 (number)"/>
    <w:basedOn w:val="Normal"/>
    <w:rsid w:val="00517205"/>
    <w:pPr>
      <w:numPr>
        <w:ilvl w:val="4"/>
        <w:numId w:val="19"/>
      </w:numPr>
    </w:pPr>
  </w:style>
  <w:style w:type="paragraph" w:customStyle="1" w:styleId="Point3number">
    <w:name w:val="Point 3 (number)"/>
    <w:basedOn w:val="Normal"/>
    <w:rsid w:val="00517205"/>
    <w:pPr>
      <w:numPr>
        <w:ilvl w:val="6"/>
        <w:numId w:val="19"/>
      </w:numPr>
    </w:pPr>
  </w:style>
  <w:style w:type="paragraph" w:customStyle="1" w:styleId="Point0letter">
    <w:name w:val="Point 0 (letter)"/>
    <w:basedOn w:val="Normal"/>
    <w:rsid w:val="00517205"/>
    <w:pPr>
      <w:numPr>
        <w:ilvl w:val="1"/>
        <w:numId w:val="19"/>
      </w:numPr>
    </w:pPr>
  </w:style>
  <w:style w:type="paragraph" w:customStyle="1" w:styleId="Point1letter">
    <w:name w:val="Point 1 (letter)"/>
    <w:basedOn w:val="Normal"/>
    <w:rsid w:val="00517205"/>
    <w:pPr>
      <w:numPr>
        <w:ilvl w:val="3"/>
        <w:numId w:val="19"/>
      </w:numPr>
    </w:pPr>
  </w:style>
  <w:style w:type="paragraph" w:customStyle="1" w:styleId="Point2letter">
    <w:name w:val="Point 2 (letter)"/>
    <w:basedOn w:val="Normal"/>
    <w:rsid w:val="00517205"/>
    <w:pPr>
      <w:numPr>
        <w:ilvl w:val="5"/>
        <w:numId w:val="19"/>
      </w:numPr>
    </w:pPr>
  </w:style>
  <w:style w:type="paragraph" w:customStyle="1" w:styleId="Point3letter">
    <w:name w:val="Point 3 (letter)"/>
    <w:basedOn w:val="Normal"/>
    <w:rsid w:val="00517205"/>
    <w:pPr>
      <w:numPr>
        <w:ilvl w:val="7"/>
        <w:numId w:val="19"/>
      </w:numPr>
    </w:pPr>
  </w:style>
  <w:style w:type="paragraph" w:customStyle="1" w:styleId="Point4letter">
    <w:name w:val="Point 4 (letter)"/>
    <w:basedOn w:val="Normal"/>
    <w:rsid w:val="00517205"/>
    <w:pPr>
      <w:numPr>
        <w:ilvl w:val="8"/>
        <w:numId w:val="19"/>
      </w:numPr>
    </w:pPr>
  </w:style>
  <w:style w:type="paragraph" w:customStyle="1" w:styleId="Bullet0">
    <w:name w:val="Bullet 0"/>
    <w:basedOn w:val="Normal"/>
    <w:rsid w:val="00517205"/>
    <w:pPr>
      <w:numPr>
        <w:numId w:val="20"/>
      </w:numPr>
    </w:pPr>
  </w:style>
  <w:style w:type="paragraph" w:customStyle="1" w:styleId="Bullet1">
    <w:name w:val="Bullet 1"/>
    <w:basedOn w:val="Normal"/>
    <w:rsid w:val="00517205"/>
    <w:pPr>
      <w:numPr>
        <w:numId w:val="21"/>
      </w:numPr>
    </w:pPr>
  </w:style>
  <w:style w:type="paragraph" w:customStyle="1" w:styleId="Bullet2">
    <w:name w:val="Bullet 2"/>
    <w:basedOn w:val="Normal"/>
    <w:rsid w:val="00517205"/>
    <w:pPr>
      <w:numPr>
        <w:numId w:val="22"/>
      </w:numPr>
    </w:pPr>
  </w:style>
  <w:style w:type="paragraph" w:customStyle="1" w:styleId="Bullet3">
    <w:name w:val="Bullet 3"/>
    <w:basedOn w:val="Normal"/>
    <w:rsid w:val="00517205"/>
    <w:pPr>
      <w:numPr>
        <w:numId w:val="23"/>
      </w:numPr>
    </w:pPr>
  </w:style>
  <w:style w:type="paragraph" w:customStyle="1" w:styleId="Bullet4">
    <w:name w:val="Bullet 4"/>
    <w:basedOn w:val="Normal"/>
    <w:rsid w:val="00517205"/>
    <w:pPr>
      <w:numPr>
        <w:numId w:val="24"/>
      </w:numPr>
    </w:pPr>
  </w:style>
  <w:style w:type="paragraph" w:customStyle="1" w:styleId="Langue">
    <w:name w:val="Langue"/>
    <w:basedOn w:val="Normal"/>
    <w:next w:val="Rfrenceinterne"/>
    <w:rsid w:val="00517205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517205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517205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517205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517205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517205"/>
    <w:pPr>
      <w:spacing w:before="0" w:after="0"/>
    </w:pPr>
  </w:style>
  <w:style w:type="paragraph" w:customStyle="1" w:styleId="Disclaimer">
    <w:name w:val="Disclaimer"/>
    <w:basedOn w:val="Normal"/>
    <w:rsid w:val="00517205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517205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517205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517205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517205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517205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517205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517205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517205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517205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517205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517205"/>
    <w:pPr>
      <w:numPr>
        <w:numId w:val="25"/>
      </w:numPr>
    </w:pPr>
  </w:style>
  <w:style w:type="paragraph" w:customStyle="1" w:styleId="Corrigendum">
    <w:name w:val="Corrigendum"/>
    <w:basedOn w:val="Normal"/>
    <w:next w:val="Normal"/>
    <w:rsid w:val="00517205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517205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517205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517205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517205"/>
    <w:pPr>
      <w:keepNext/>
    </w:pPr>
  </w:style>
  <w:style w:type="paragraph" w:customStyle="1" w:styleId="Institutionquiagit">
    <w:name w:val="Institution qui agit"/>
    <w:basedOn w:val="Normal"/>
    <w:next w:val="Normal"/>
    <w:rsid w:val="00517205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517205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517205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517205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517205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517205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517205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517205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rsid w:val="00517205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517205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sid w:val="00517205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517205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17205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517205"/>
    <w:rPr>
      <w:i/>
      <w:caps/>
    </w:rPr>
  </w:style>
  <w:style w:type="paragraph" w:customStyle="1" w:styleId="Supertitre">
    <w:name w:val="Supertitre"/>
    <w:basedOn w:val="Normal"/>
    <w:next w:val="Normal"/>
    <w:rsid w:val="00517205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517205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517205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517205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17205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17205"/>
  </w:style>
  <w:style w:type="paragraph" w:customStyle="1" w:styleId="StatutPagedecouverture">
    <w:name w:val="Statut (Page de couverture)"/>
    <w:basedOn w:val="Statut"/>
    <w:next w:val="TypedudocumentPagedecouverture"/>
    <w:rsid w:val="00517205"/>
  </w:style>
  <w:style w:type="paragraph" w:customStyle="1" w:styleId="TitreobjetPagedecouverture">
    <w:name w:val="Titre objet (Page de couverture)"/>
    <w:basedOn w:val="Titreobjet"/>
    <w:next w:val="IntrtEEEPagedecouverture"/>
    <w:rsid w:val="00517205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17205"/>
  </w:style>
  <w:style w:type="paragraph" w:customStyle="1" w:styleId="Volume">
    <w:name w:val="Volume"/>
    <w:basedOn w:val="Normal"/>
    <w:next w:val="Confidentialit"/>
    <w:rsid w:val="00517205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517205"/>
    <w:pPr>
      <w:spacing w:after="240"/>
    </w:pPr>
  </w:style>
  <w:style w:type="paragraph" w:customStyle="1" w:styleId="Accompagnant">
    <w:name w:val="Accompagnant"/>
    <w:basedOn w:val="Normal"/>
    <w:next w:val="Typeacteprincipal"/>
    <w:rsid w:val="00517205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517205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517205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517205"/>
  </w:style>
  <w:style w:type="paragraph" w:customStyle="1" w:styleId="AccompagnantPagedecouverture">
    <w:name w:val="Accompagnant (Page de couverture)"/>
    <w:basedOn w:val="Accompagnant"/>
    <w:next w:val="TypeacteprincipalPagedecouverture"/>
    <w:rsid w:val="00517205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17205"/>
  </w:style>
  <w:style w:type="paragraph" w:customStyle="1" w:styleId="ObjetacteprincipalPagedecouverture">
    <w:name w:val="Objet acte principal (Page de couverture)"/>
    <w:basedOn w:val="Objetacteprincipal"/>
    <w:next w:val="Rfrencecroise"/>
    <w:rsid w:val="00517205"/>
  </w:style>
  <w:style w:type="paragraph" w:customStyle="1" w:styleId="LanguesfaisantfoiPagedecouverture">
    <w:name w:val="Langues faisant foi (Page de couverture)"/>
    <w:basedOn w:val="Normal"/>
    <w:next w:val="Normal"/>
    <w:rsid w:val="00517205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9815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3780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1cd0337957624e1e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051c9bc9381d424b" Type="http://schemas.microsoft.com/office/2016/09/relationships/commentsIds" Target="commentsIds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s://energy-industry-geolab.jrc.ec.europa.eu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3AE254540994BBD772E5BCBE11F29" ma:contentTypeVersion="4" ma:contentTypeDescription="Create a new document." ma:contentTypeScope="" ma:versionID="222afb3486836adba99b7e3759471aa4">
  <xsd:schema xmlns:xsd="http://www.w3.org/2001/XMLSchema" xmlns:xs="http://www.w3.org/2001/XMLSchema" xmlns:p="http://schemas.microsoft.com/office/2006/metadata/properties" xmlns:ns2="a4c6cd38-953d-409e-8266-a7703513a0a4" targetNamespace="http://schemas.microsoft.com/office/2006/metadata/properties" ma:root="true" ma:fieldsID="571ec379ad384ad81942f0c37966c703" ns2:_="">
    <xsd:import namespace="a4c6cd38-953d-409e-8266-a7703513a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6cd38-953d-409e-8266-a7703513a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4FE86-F52F-489D-B254-9526168E9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6cd38-953d-409e-8266-a7703513a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E64FF-AC28-4C04-B0CB-92C7267239B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a4c6cd38-953d-409e-8266-a7703513a0a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BA67E89-0E34-444F-9469-A3329AC4C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73B9F-EB02-47A4-9487-2F0C4CFD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13</TotalTime>
  <Pages>11</Pages>
  <Words>3801</Words>
  <Characters>22124</Characters>
  <Application>Microsoft Office Word</Application>
  <DocSecurity>0</DocSecurity>
  <Lines>374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120</cp:revision>
  <cp:lastPrinted>2022-05-04T09:51:00Z</cp:lastPrinted>
  <dcterms:created xsi:type="dcterms:W3CDTF">2022-05-16T09:26:00Z</dcterms:created>
  <dcterms:modified xsi:type="dcterms:W3CDTF">2022-05-18T15:34:00Z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COM/AA/NOEEA</vt:lpwstr>
  </property>
  <property fmtid="{D5CDD505-2E9C-101B-9397-08002B2CF9AE}" pid="3" name="Version">
    <vt:lpwstr>7.0.9.0</vt:lpwstr>
  </property>
  <property fmtid="{D5CDD505-2E9C-101B-9397-08002B2CF9AE}" pid="4" name="Last edited using">
    <vt:lpwstr>LW 8.0, Build 20220128</vt:lpwstr>
  </property>
  <property fmtid="{D5CDD505-2E9C-101B-9397-08002B2CF9AE}" pid="5" name="Created using">
    <vt:lpwstr>LW 7.0.1, Build 20200226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SJ-014</vt:lpwstr>
  </property>
  <property fmtid="{D5CDD505-2E9C-101B-9397-08002B2CF9AE}" pid="10" name="ContentTypeId">
    <vt:lpwstr>0x0101003F53AE254540994BBD772E5BCBE11F29</vt:lpwstr>
  </property>
  <property fmtid="{D5CDD505-2E9C-101B-9397-08002B2CF9AE}" pid="11" name="DQCStatus">
    <vt:lpwstr>Yellow (DQC version 03)</vt:lpwstr>
  </property>
  <property name="OP_sanitized" fmtid="{D5CDD505-2E9C-101B-9397-08002B2CF9AE}" pid="12">
    <vt:lpwstr>True</vt:lpwstr>
  </property>
</Properties>
</file>