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53A771F1-7C62-49C7-9308-833FA215AC69" style="width:455.15pt;height:378.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38"/>
          <w:pgMar w:top="1134" w:right="1417" w:bottom="1134" w:left="1417" w:header="709" w:footer="709" w:gutter="0"/>
          <w:pgNumType w:start="0"/>
          <w:cols w:space="720"/>
          <w:docGrid w:linePitch="326"/>
        </w:sectPr>
      </w:pPr>
    </w:p>
    <w:p>
      <w:pPr>
        <w:pStyle w:val="Typedudocument"/>
        <w:rPr>
          <w:noProof/>
        </w:rPr>
      </w:pPr>
      <w:bookmarkStart w:id="1" w:name="_GoBack"/>
      <w:bookmarkEnd w:id="1"/>
      <w:r>
        <w:rPr>
          <w:noProof/>
        </w:rPr>
        <w:lastRenderedPageBreak/>
        <w:t>Comunicação da Comissão</w:t>
      </w:r>
      <w:r>
        <w:rPr>
          <w:noProof/>
        </w:rPr>
        <w:br/>
      </w:r>
      <w:r>
        <w:rPr>
          <w:noProof/>
        </w:rPr>
        <w:br/>
        <w:t>Documento de orientação sobre a proteção rigorosa de espécies animais de interesse comunitário ao abrigo da Diretiva Habitats</w:t>
      </w:r>
      <w:r>
        <w:rPr>
          <w:noProof/>
        </w:rPr>
        <w:br/>
      </w:r>
      <w:r>
        <w:rPr>
          <w:noProof/>
        </w:rPr>
        <w:br/>
      </w:r>
    </w:p>
    <w:p>
      <w:pPr>
        <w:pStyle w:val="Titreobjet"/>
        <w:rPr>
          <w:noProof/>
        </w:rPr>
      </w:pPr>
      <w:r>
        <w:rPr>
          <w:noProof/>
        </w:rPr>
        <w:br/>
      </w: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b/>
          <w:noProof/>
          <w:sz w:val="36"/>
          <w:szCs w:val="36"/>
          <w:u w:val="single"/>
        </w:rPr>
      </w:pPr>
      <w:r>
        <w:rPr>
          <w:rFonts w:ascii="Verdana" w:hAnsi="Verdana"/>
          <w:b/>
          <w:noProof/>
          <w:sz w:val="36"/>
          <w:szCs w:val="36"/>
          <w:u w:val="single"/>
        </w:rPr>
        <w:t>Documento de orientação sobre a proteção rigorosa</w:t>
      </w:r>
    </w:p>
    <w:p>
      <w:pPr>
        <w:spacing w:after="120"/>
        <w:jc w:val="center"/>
        <w:rPr>
          <w:b/>
          <w:noProof/>
          <w:sz w:val="36"/>
          <w:szCs w:val="36"/>
          <w:u w:val="single"/>
        </w:rPr>
      </w:pPr>
      <w:r>
        <w:rPr>
          <w:rFonts w:ascii="Verdana" w:hAnsi="Verdana"/>
          <w:b/>
          <w:noProof/>
          <w:sz w:val="36"/>
          <w:szCs w:val="36"/>
          <w:u w:val="single"/>
        </w:rPr>
        <w:t>de espécies animais de interesse comunitário ao abrigo</w:t>
      </w:r>
    </w:p>
    <w:p>
      <w:pPr>
        <w:spacing w:after="120"/>
        <w:jc w:val="center"/>
        <w:rPr>
          <w:rFonts w:ascii="Verdana" w:hAnsi="Verdana"/>
          <w:b/>
          <w:noProof/>
          <w:sz w:val="36"/>
          <w:szCs w:val="36"/>
          <w:u w:val="single"/>
        </w:rPr>
      </w:pPr>
      <w:r>
        <w:rPr>
          <w:rFonts w:ascii="Verdana" w:hAnsi="Verdana"/>
          <w:b/>
          <w:noProof/>
          <w:sz w:val="36"/>
          <w:szCs w:val="36"/>
          <w:u w:val="single"/>
        </w:rPr>
        <w:t xml:space="preserve">da Diretiva </w:t>
      </w:r>
      <w:r>
        <w:rPr>
          <w:rFonts w:ascii="Verdana" w:hAnsi="Verdana"/>
          <w:b/>
          <w:i/>
          <w:iCs/>
          <w:noProof/>
          <w:sz w:val="36"/>
          <w:szCs w:val="36"/>
          <w:u w:val="single"/>
        </w:rPr>
        <w:t>Habitats</w:t>
      </w: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noProof/>
          <w:sz w:val="28"/>
          <w:szCs w:val="28"/>
          <w:u w:val="single"/>
        </w:rPr>
      </w:pPr>
    </w:p>
    <w:p>
      <w:pPr>
        <w:spacing w:after="120"/>
        <w:jc w:val="center"/>
        <w:rPr>
          <w:rFonts w:ascii="Verdana" w:hAnsi="Verdana"/>
          <w:noProof/>
          <w:sz w:val="28"/>
          <w:szCs w:val="28"/>
          <w:u w:val="single"/>
        </w:rPr>
      </w:pPr>
    </w:p>
    <w:p>
      <w:pPr>
        <w:spacing w:after="120"/>
        <w:jc w:val="center"/>
        <w:rPr>
          <w:rFonts w:ascii="Verdana" w:hAnsi="Verdana"/>
          <w:b/>
          <w:noProof/>
          <w:color w:val="365F91" w:themeColor="accent1" w:themeShade="BF"/>
          <w:sz w:val="32"/>
          <w:szCs w:val="32"/>
        </w:rPr>
      </w:pPr>
      <w:r>
        <w:rPr>
          <w:noProof/>
        </w:rPr>
        <w:br w:type="page"/>
      </w:r>
      <w:r>
        <w:rPr>
          <w:rFonts w:ascii="Verdana" w:hAnsi="Verdana"/>
          <w:b/>
          <w:noProof/>
          <w:color w:val="365F91" w:themeColor="accent1" w:themeShade="BF"/>
          <w:sz w:val="32"/>
          <w:szCs w:val="32"/>
        </w:rPr>
        <w:t>ÍNDICE</w:t>
      </w:r>
    </w:p>
    <w:p>
      <w:pPr>
        <w:autoSpaceDE w:val="0"/>
        <w:autoSpaceDN w:val="0"/>
        <w:adjustRightInd w:val="0"/>
        <w:rPr>
          <w:rFonts w:ascii="Verdana" w:hAnsi="Verdana" w:cs="Verdana"/>
          <w:b/>
          <w:bCs/>
          <w:noProof/>
          <w:u w:val="single"/>
        </w:rPr>
      </w:pPr>
    </w:p>
    <w:p>
      <w:pPr>
        <w:tabs>
          <w:tab w:val="left" w:leader="dot" w:pos="7938"/>
          <w:tab w:val="left" w:pos="8080"/>
          <w:tab w:val="left" w:pos="8640"/>
        </w:tabs>
        <w:autoSpaceDE w:val="0"/>
        <w:autoSpaceDN w:val="0"/>
        <w:adjustRightInd w:val="0"/>
        <w:jc w:val="both"/>
        <w:rPr>
          <w:rFonts w:ascii="Verdana" w:hAnsi="Verdana" w:cs="Verdana"/>
          <w:b/>
          <w:bCs/>
          <w:noProof/>
          <w:color w:val="365F91" w:themeColor="accent1" w:themeShade="BF"/>
        </w:rPr>
      </w:pPr>
      <w:r>
        <w:rPr>
          <w:rFonts w:ascii="Verdana" w:hAnsi="Verdana"/>
          <w:b/>
          <w:bCs/>
          <w:noProof/>
          <w:color w:val="365F91" w:themeColor="accent1" w:themeShade="BF"/>
        </w:rPr>
        <w:t>PREFÁCIO</w:t>
      </w:r>
      <w:r>
        <w:rPr>
          <w:rFonts w:ascii="Verdana" w:hAnsi="Verdana"/>
          <w:b/>
          <w:bCs/>
          <w:noProof/>
          <w:color w:val="365F91" w:themeColor="accent1" w:themeShade="BF"/>
        </w:rPr>
        <w:tab/>
        <w:t xml:space="preserve"> 4</w:t>
      </w:r>
    </w:p>
    <w:p>
      <w:pPr>
        <w:tabs>
          <w:tab w:val="left" w:pos="7938"/>
          <w:tab w:val="left" w:pos="8080"/>
          <w:tab w:val="left" w:pos="8640"/>
        </w:tabs>
        <w:autoSpaceDE w:val="0"/>
        <w:autoSpaceDN w:val="0"/>
        <w:adjustRightInd w:val="0"/>
        <w:jc w:val="both"/>
        <w:rPr>
          <w:rFonts w:ascii="Verdana" w:hAnsi="Verdana" w:cs="Verdana"/>
          <w:b/>
          <w:bCs/>
          <w:noProof/>
          <w:color w:val="365F91" w:themeColor="accent1" w:themeShade="BF"/>
        </w:rPr>
      </w:pPr>
    </w:p>
    <w:p>
      <w:pPr>
        <w:tabs>
          <w:tab w:val="left" w:leader="dot" w:pos="7938"/>
          <w:tab w:val="left" w:pos="8080"/>
          <w:tab w:val="left" w:pos="8640"/>
        </w:tabs>
        <w:jc w:val="both"/>
        <w:rPr>
          <w:b/>
          <w:noProof/>
          <w:color w:val="365F91" w:themeColor="accent1" w:themeShade="BF"/>
        </w:rPr>
      </w:pPr>
      <w:r>
        <w:rPr>
          <w:rFonts w:ascii="Verdana" w:hAnsi="Verdana"/>
          <w:b/>
          <w:bCs/>
          <w:noProof/>
          <w:color w:val="365F91" w:themeColor="accent1" w:themeShade="BF"/>
        </w:rPr>
        <w:t>1. CONTEXTO</w:t>
      </w:r>
      <w:r>
        <w:rPr>
          <w:rFonts w:ascii="Verdana" w:hAnsi="Verdana"/>
          <w:b/>
          <w:bCs/>
          <w:noProof/>
          <w:color w:val="365F91" w:themeColor="accent1" w:themeShade="BF"/>
        </w:rPr>
        <w:tab/>
        <w:t xml:space="preserve"> 6</w:t>
      </w:r>
    </w:p>
    <w:p>
      <w:pPr>
        <w:tabs>
          <w:tab w:val="left" w:pos="7938"/>
          <w:tab w:val="left" w:pos="8080"/>
          <w:tab w:val="left" w:pos="8640"/>
        </w:tabs>
        <w:jc w:val="both"/>
        <w:rPr>
          <w:rFonts w:ascii="Verdana" w:hAnsi="Verdana"/>
          <w:b/>
          <w:noProof/>
          <w:color w:val="365F91" w:themeColor="accent1" w:themeShade="BF"/>
        </w:rPr>
      </w:pPr>
    </w:p>
    <w:p>
      <w:pPr>
        <w:tabs>
          <w:tab w:val="left" w:leader="dot" w:pos="7938"/>
          <w:tab w:val="left" w:pos="8080"/>
          <w:tab w:val="left" w:pos="8640"/>
        </w:tabs>
        <w:autoSpaceDE w:val="0"/>
        <w:autoSpaceDN w:val="0"/>
        <w:adjustRightInd w:val="0"/>
        <w:jc w:val="both"/>
        <w:rPr>
          <w:b/>
          <w:bCs/>
          <w:noProof/>
          <w:color w:val="365F91" w:themeColor="accent1" w:themeShade="BF"/>
        </w:rPr>
      </w:pPr>
      <w:r>
        <w:rPr>
          <w:rFonts w:ascii="Verdana" w:hAnsi="Verdana"/>
          <w:b/>
          <w:bCs/>
          <w:noProof/>
          <w:color w:val="365F91" w:themeColor="accent1" w:themeShade="BF"/>
        </w:rPr>
        <w:t>2. ARTIGO 12.º</w:t>
      </w:r>
      <w:r>
        <w:rPr>
          <w:rFonts w:ascii="Verdana" w:hAnsi="Verdana"/>
          <w:b/>
          <w:bCs/>
          <w:noProof/>
          <w:color w:val="365F91" w:themeColor="accent1" w:themeShade="BF"/>
        </w:rPr>
        <w:tab/>
        <w:t xml:space="preserve"> 8</w:t>
      </w:r>
    </w:p>
    <w:p>
      <w:pPr>
        <w:tabs>
          <w:tab w:val="left" w:pos="720"/>
          <w:tab w:val="left" w:pos="7938"/>
          <w:tab w:val="left" w:pos="8080"/>
          <w:tab w:val="left" w:pos="8640"/>
        </w:tabs>
        <w:jc w:val="both"/>
        <w:rPr>
          <w:rFonts w:ascii="Verdana" w:hAnsi="Verdana" w:cs="Verdana"/>
          <w:i/>
          <w:noProof/>
          <w:sz w:val="16"/>
          <w:szCs w:val="16"/>
        </w:rPr>
      </w:pPr>
    </w:p>
    <w:p>
      <w:pPr>
        <w:tabs>
          <w:tab w:val="left" w:leader="dot" w:pos="8080"/>
        </w:tabs>
        <w:jc w:val="both"/>
        <w:rPr>
          <w:rFonts w:ascii="Verdana" w:hAnsi="Verdana"/>
          <w:b/>
          <w:noProof/>
          <w:color w:val="365F91" w:themeColor="accent1" w:themeShade="BF"/>
          <w:sz w:val="22"/>
          <w:szCs w:val="22"/>
        </w:rPr>
      </w:pPr>
      <w:r>
        <w:rPr>
          <w:rFonts w:ascii="Verdana" w:hAnsi="Verdana"/>
          <w:b/>
          <w:noProof/>
          <w:color w:val="365F91" w:themeColor="accent1" w:themeShade="BF"/>
          <w:sz w:val="22"/>
          <w:szCs w:val="22"/>
        </w:rPr>
        <w:t>2.1 Considerações jurídicas gerais</w:t>
      </w:r>
      <w:r>
        <w:rPr>
          <w:rFonts w:ascii="Verdana" w:hAnsi="Verdana"/>
          <w:b/>
          <w:noProof/>
          <w:color w:val="365F91" w:themeColor="accent1" w:themeShade="BF"/>
          <w:sz w:val="22"/>
          <w:szCs w:val="22"/>
        </w:rPr>
        <w:tab/>
        <w:t>8</w:t>
      </w:r>
    </w:p>
    <w:p>
      <w:pPr>
        <w:tabs>
          <w:tab w:val="left" w:leader="dot" w:pos="8080"/>
        </w:tabs>
        <w:jc w:val="both"/>
        <w:rPr>
          <w:rFonts w:ascii="Verdana" w:hAnsi="Verdana"/>
          <w:b/>
          <w:noProof/>
          <w:color w:val="365F91" w:themeColor="accent1" w:themeShade="BF"/>
          <w:sz w:val="16"/>
          <w:szCs w:val="16"/>
        </w:rPr>
      </w:pPr>
    </w:p>
    <w:p>
      <w:pPr>
        <w:tabs>
          <w:tab w:val="left" w:leader="dot" w:pos="8080"/>
        </w:tabs>
        <w:autoSpaceDE w:val="0"/>
        <w:autoSpaceDN w:val="0"/>
        <w:adjustRightInd w:val="0"/>
        <w:spacing w:after="120"/>
        <w:jc w:val="both"/>
        <w:rPr>
          <w:rFonts w:ascii="Verdana" w:hAnsi="Verdana" w:cs="Verdana"/>
          <w:b/>
          <w:noProof/>
          <w:color w:val="365F91" w:themeColor="accent1" w:themeShade="BF"/>
          <w:sz w:val="22"/>
          <w:szCs w:val="22"/>
        </w:rPr>
      </w:pPr>
      <w:r>
        <w:rPr>
          <w:rFonts w:ascii="Verdana" w:hAnsi="Verdana"/>
          <w:b/>
          <w:noProof/>
          <w:color w:val="365F91" w:themeColor="accent1" w:themeShade="BF"/>
          <w:sz w:val="22"/>
          <w:szCs w:val="22"/>
        </w:rPr>
        <w:t>2.2 Medidas necessárias para um sistema de proteção rigorosa</w:t>
      </w:r>
      <w:r>
        <w:rPr>
          <w:rFonts w:ascii="Verdana" w:hAnsi="Verdana"/>
          <w:b/>
          <w:noProof/>
          <w:color w:val="365F91" w:themeColor="accent1" w:themeShade="BF"/>
          <w:sz w:val="22"/>
          <w:szCs w:val="22"/>
        </w:rPr>
        <w:tab/>
        <w:t>11</w:t>
      </w:r>
    </w:p>
    <w:p>
      <w:pPr>
        <w:tabs>
          <w:tab w:val="left" w:leader="dot" w:pos="8080"/>
        </w:tabs>
        <w:ind w:left="1276" w:hanging="850"/>
        <w:jc w:val="both"/>
        <w:rPr>
          <w:rFonts w:ascii="Verdana" w:hAnsi="Verdana"/>
          <w:noProof/>
          <w:sz w:val="20"/>
          <w:szCs w:val="20"/>
        </w:rPr>
      </w:pPr>
      <w:r>
        <w:rPr>
          <w:rFonts w:ascii="Verdana" w:hAnsi="Verdana"/>
          <w:noProof/>
          <w:sz w:val="20"/>
          <w:szCs w:val="20"/>
        </w:rPr>
        <w:t>2.2.1</w:t>
      </w:r>
      <w:r>
        <w:rPr>
          <w:rFonts w:ascii="Verdana" w:hAnsi="Verdana"/>
          <w:noProof/>
          <w:sz w:val="20"/>
          <w:szCs w:val="20"/>
        </w:rPr>
        <w:tab/>
        <w:t>Medidas para instituir e aplicar eficazmente</w:t>
      </w:r>
    </w:p>
    <w:p>
      <w:pPr>
        <w:tabs>
          <w:tab w:val="left" w:leader="dot" w:pos="8080"/>
        </w:tabs>
        <w:ind w:left="1276" w:hanging="850"/>
        <w:jc w:val="both"/>
        <w:rPr>
          <w:rFonts w:ascii="Verdana" w:hAnsi="Verdana"/>
          <w:noProof/>
          <w:sz w:val="20"/>
          <w:szCs w:val="20"/>
        </w:rPr>
      </w:pPr>
      <w:r>
        <w:rPr>
          <w:rFonts w:ascii="Verdana" w:hAnsi="Verdana"/>
          <w:noProof/>
          <w:sz w:val="20"/>
          <w:szCs w:val="20"/>
        </w:rPr>
        <w:tab/>
        <w:t>um sistema de proteção rigorosa</w:t>
      </w:r>
      <w:r>
        <w:rPr>
          <w:rFonts w:ascii="Verdana" w:hAnsi="Verdana"/>
          <w:noProof/>
          <w:sz w:val="20"/>
          <w:szCs w:val="20"/>
        </w:rPr>
        <w:tab/>
        <w:t>11</w:t>
      </w:r>
    </w:p>
    <w:p>
      <w:pPr>
        <w:tabs>
          <w:tab w:val="left" w:leader="dot" w:pos="8080"/>
        </w:tabs>
        <w:ind w:left="1276" w:hanging="850"/>
        <w:jc w:val="both"/>
        <w:rPr>
          <w:rFonts w:ascii="Verdana" w:hAnsi="Verdana"/>
          <w:noProof/>
          <w:sz w:val="20"/>
          <w:szCs w:val="20"/>
        </w:rPr>
      </w:pPr>
      <w:r>
        <w:rPr>
          <w:rFonts w:ascii="Verdana" w:hAnsi="Verdana"/>
          <w:noProof/>
          <w:sz w:val="20"/>
          <w:szCs w:val="20"/>
        </w:rPr>
        <w:t>2.2.2</w:t>
      </w:r>
      <w:r>
        <w:rPr>
          <w:rFonts w:ascii="Verdana" w:hAnsi="Verdana"/>
          <w:noProof/>
          <w:sz w:val="20"/>
          <w:szCs w:val="20"/>
        </w:rPr>
        <w:tab/>
        <w:t xml:space="preserve">Medidas para garantir um estado de conservação favorável </w:t>
      </w:r>
      <w:r>
        <w:rPr>
          <w:rFonts w:ascii="Verdana" w:hAnsi="Verdana"/>
          <w:noProof/>
          <w:sz w:val="20"/>
          <w:szCs w:val="20"/>
        </w:rPr>
        <w:tab/>
        <w:t>13</w:t>
      </w:r>
    </w:p>
    <w:p>
      <w:pPr>
        <w:tabs>
          <w:tab w:val="left" w:leader="dot" w:pos="8080"/>
        </w:tabs>
        <w:ind w:left="1276" w:hanging="850"/>
        <w:jc w:val="both"/>
        <w:rPr>
          <w:noProof/>
        </w:rPr>
      </w:pPr>
      <w:r>
        <w:rPr>
          <w:rFonts w:ascii="Verdana" w:hAnsi="Verdana"/>
          <w:noProof/>
          <w:sz w:val="20"/>
          <w:szCs w:val="20"/>
        </w:rPr>
        <w:t>2.2.3</w:t>
      </w:r>
      <w:r>
        <w:rPr>
          <w:rFonts w:ascii="Verdana" w:hAnsi="Verdana"/>
          <w:noProof/>
          <w:sz w:val="20"/>
          <w:szCs w:val="20"/>
        </w:rPr>
        <w:tab/>
        <w:t>Medidas relativas às situações descritas no artigo 12.º</w:t>
      </w:r>
      <w:r>
        <w:rPr>
          <w:rFonts w:ascii="Verdana" w:hAnsi="Verdana"/>
          <w:noProof/>
          <w:sz w:val="20"/>
          <w:szCs w:val="20"/>
        </w:rPr>
        <w:tab/>
        <w:t>15</w:t>
      </w:r>
    </w:p>
    <w:p>
      <w:pPr>
        <w:tabs>
          <w:tab w:val="left" w:leader="dot" w:pos="8080"/>
        </w:tabs>
        <w:ind w:left="1276" w:hanging="850"/>
        <w:jc w:val="both"/>
        <w:rPr>
          <w:rFonts w:ascii="Verdana" w:hAnsi="Verdana"/>
          <w:noProof/>
          <w:sz w:val="20"/>
          <w:szCs w:val="20"/>
        </w:rPr>
      </w:pPr>
      <w:r>
        <w:rPr>
          <w:rFonts w:ascii="Verdana" w:hAnsi="Verdana"/>
          <w:noProof/>
          <w:sz w:val="20"/>
          <w:szCs w:val="20"/>
        </w:rPr>
        <w:t>2.2.4</w:t>
      </w:r>
      <w:r>
        <w:rPr>
          <w:rFonts w:ascii="Verdana" w:hAnsi="Verdana"/>
          <w:noProof/>
          <w:sz w:val="20"/>
          <w:szCs w:val="20"/>
        </w:rPr>
        <w:tab/>
        <w:t>Disposições do artigo 12.º, n.º 1, alíneas a) a d), em relação às</w:t>
      </w:r>
    </w:p>
    <w:p>
      <w:pPr>
        <w:tabs>
          <w:tab w:val="left" w:leader="dot" w:pos="8080"/>
        </w:tabs>
        <w:ind w:left="1276" w:hanging="850"/>
        <w:jc w:val="both"/>
        <w:rPr>
          <w:rFonts w:ascii="Verdana" w:hAnsi="Verdana"/>
          <w:noProof/>
          <w:sz w:val="20"/>
          <w:szCs w:val="20"/>
        </w:rPr>
      </w:pPr>
      <w:r>
        <w:rPr>
          <w:rFonts w:ascii="Verdana" w:hAnsi="Verdana"/>
          <w:noProof/>
          <w:sz w:val="20"/>
          <w:szCs w:val="20"/>
        </w:rPr>
        <w:tab/>
        <w:t>atividades em curso</w:t>
      </w:r>
      <w:r>
        <w:rPr>
          <w:rFonts w:ascii="Verdana" w:hAnsi="Verdana"/>
          <w:noProof/>
          <w:sz w:val="20"/>
          <w:szCs w:val="20"/>
        </w:rPr>
        <w:tab/>
        <w:t>18</w:t>
      </w:r>
    </w:p>
    <w:p>
      <w:pPr>
        <w:tabs>
          <w:tab w:val="left" w:leader="dot" w:pos="8080"/>
        </w:tabs>
        <w:jc w:val="both"/>
        <w:rPr>
          <w:rFonts w:ascii="Verdana" w:hAnsi="Verdana" w:cs="Verdana"/>
          <w:noProof/>
          <w:sz w:val="16"/>
          <w:szCs w:val="16"/>
        </w:rPr>
      </w:pPr>
    </w:p>
    <w:p>
      <w:pPr>
        <w:tabs>
          <w:tab w:val="left" w:leader="dot" w:pos="8080"/>
        </w:tabs>
        <w:autoSpaceDE w:val="0"/>
        <w:autoSpaceDN w:val="0"/>
        <w:adjustRightInd w:val="0"/>
        <w:spacing w:after="120"/>
        <w:jc w:val="both"/>
        <w:rPr>
          <w:rFonts w:ascii="Verdana" w:hAnsi="Verdana" w:cs="Verdana"/>
          <w:b/>
          <w:noProof/>
          <w:color w:val="365F91" w:themeColor="accent1" w:themeShade="BF"/>
          <w:sz w:val="20"/>
          <w:szCs w:val="20"/>
        </w:rPr>
      </w:pPr>
      <w:r>
        <w:rPr>
          <w:rFonts w:ascii="Verdana" w:hAnsi="Verdana"/>
          <w:b/>
          <w:noProof/>
          <w:color w:val="365F91" w:themeColor="accent1" w:themeShade="BF"/>
          <w:sz w:val="20"/>
          <w:szCs w:val="20"/>
        </w:rPr>
        <w:t>2.3 Disposições de proteção específicas ao abrigo do artigo 12.º</w:t>
      </w:r>
      <w:r>
        <w:rPr>
          <w:rFonts w:ascii="Verdana" w:hAnsi="Verdana"/>
          <w:b/>
          <w:noProof/>
          <w:color w:val="365F91" w:themeColor="accent1" w:themeShade="BF"/>
          <w:sz w:val="20"/>
          <w:szCs w:val="20"/>
        </w:rPr>
        <w:tab/>
        <w:t>24</w:t>
      </w:r>
    </w:p>
    <w:p>
      <w:pPr>
        <w:tabs>
          <w:tab w:val="left" w:leader="dot" w:pos="8080"/>
        </w:tabs>
        <w:ind w:left="1276" w:hanging="850"/>
        <w:jc w:val="both"/>
        <w:rPr>
          <w:rFonts w:ascii="Verdana" w:hAnsi="Verdana"/>
          <w:noProof/>
          <w:sz w:val="20"/>
          <w:szCs w:val="20"/>
        </w:rPr>
      </w:pPr>
      <w:r>
        <w:rPr>
          <w:rFonts w:ascii="Verdana" w:hAnsi="Verdana"/>
          <w:noProof/>
          <w:sz w:val="20"/>
          <w:szCs w:val="20"/>
        </w:rPr>
        <w:t>2.3.1</w:t>
      </w:r>
      <w:r>
        <w:rPr>
          <w:rFonts w:ascii="Verdana" w:hAnsi="Verdana"/>
          <w:noProof/>
          <w:sz w:val="20"/>
          <w:szCs w:val="20"/>
        </w:rPr>
        <w:tab/>
        <w:t>Captura ou abate intencionais de espécimes das</w:t>
      </w:r>
    </w:p>
    <w:p>
      <w:pPr>
        <w:tabs>
          <w:tab w:val="left" w:leader="dot" w:pos="8080"/>
        </w:tabs>
        <w:ind w:left="1276" w:hanging="850"/>
        <w:jc w:val="both"/>
        <w:rPr>
          <w:rFonts w:ascii="Verdana" w:hAnsi="Verdana"/>
          <w:noProof/>
          <w:sz w:val="20"/>
          <w:szCs w:val="20"/>
        </w:rPr>
      </w:pPr>
      <w:r>
        <w:rPr>
          <w:rFonts w:ascii="Verdana" w:hAnsi="Verdana"/>
          <w:noProof/>
          <w:sz w:val="20"/>
          <w:szCs w:val="20"/>
        </w:rPr>
        <w:tab/>
        <w:t xml:space="preserve">espécies constantes do anexo IV, alínea a) </w:t>
      </w:r>
      <w:r>
        <w:rPr>
          <w:rFonts w:ascii="Verdana" w:hAnsi="Verdana"/>
          <w:noProof/>
          <w:sz w:val="20"/>
          <w:szCs w:val="20"/>
        </w:rPr>
        <w:tab/>
        <w:t>24</w:t>
      </w:r>
    </w:p>
    <w:p>
      <w:pPr>
        <w:tabs>
          <w:tab w:val="left" w:leader="dot" w:pos="8080"/>
        </w:tabs>
        <w:ind w:left="1276" w:hanging="850"/>
        <w:jc w:val="both"/>
        <w:rPr>
          <w:rFonts w:ascii="Verdana" w:hAnsi="Verdana"/>
          <w:noProof/>
          <w:sz w:val="20"/>
          <w:szCs w:val="20"/>
        </w:rPr>
      </w:pPr>
      <w:r>
        <w:rPr>
          <w:rFonts w:ascii="Verdana" w:hAnsi="Verdana"/>
          <w:noProof/>
          <w:sz w:val="20"/>
          <w:szCs w:val="20"/>
        </w:rPr>
        <w:t>2.3.2</w:t>
      </w:r>
      <w:r>
        <w:rPr>
          <w:rFonts w:ascii="Verdana" w:hAnsi="Verdana"/>
          <w:noProof/>
          <w:sz w:val="20"/>
          <w:szCs w:val="20"/>
        </w:rPr>
        <w:tab/>
        <w:t>Perturbação intencional das espécies constantes do anexo IV, alínea a),</w:t>
      </w:r>
    </w:p>
    <w:p>
      <w:pPr>
        <w:tabs>
          <w:tab w:val="left" w:leader="dot" w:pos="8080"/>
        </w:tabs>
        <w:ind w:left="1276" w:hanging="850"/>
        <w:jc w:val="both"/>
        <w:rPr>
          <w:rFonts w:ascii="Verdana" w:hAnsi="Verdana"/>
          <w:noProof/>
          <w:sz w:val="20"/>
          <w:szCs w:val="20"/>
        </w:rPr>
      </w:pPr>
      <w:r>
        <w:rPr>
          <w:rFonts w:ascii="Verdana" w:hAnsi="Verdana"/>
          <w:noProof/>
          <w:sz w:val="20"/>
          <w:szCs w:val="20"/>
        </w:rPr>
        <w:tab/>
        <w:t>nomeadamente durante o período de reprodução, de dependência,</w:t>
      </w:r>
    </w:p>
    <w:p>
      <w:pPr>
        <w:tabs>
          <w:tab w:val="left" w:leader="dot" w:pos="8080"/>
        </w:tabs>
        <w:ind w:left="1276" w:hanging="850"/>
        <w:jc w:val="both"/>
        <w:rPr>
          <w:noProof/>
          <w:sz w:val="20"/>
          <w:szCs w:val="20"/>
        </w:rPr>
      </w:pPr>
      <w:r>
        <w:rPr>
          <w:rFonts w:ascii="Verdana" w:hAnsi="Verdana"/>
          <w:noProof/>
          <w:sz w:val="20"/>
          <w:szCs w:val="20"/>
        </w:rPr>
        <w:tab/>
        <w:t>de hibernação e de migração</w:t>
      </w:r>
      <w:r>
        <w:rPr>
          <w:rFonts w:ascii="Verdana" w:hAnsi="Verdana"/>
          <w:noProof/>
          <w:sz w:val="20"/>
          <w:szCs w:val="20"/>
        </w:rPr>
        <w:tab/>
        <w:t>26</w:t>
      </w:r>
    </w:p>
    <w:p>
      <w:pPr>
        <w:tabs>
          <w:tab w:val="left" w:leader="dot" w:pos="8080"/>
        </w:tabs>
        <w:ind w:left="1276" w:hanging="850"/>
        <w:jc w:val="both"/>
        <w:rPr>
          <w:rFonts w:ascii="Verdana" w:hAnsi="Verdana"/>
          <w:noProof/>
          <w:sz w:val="20"/>
          <w:szCs w:val="20"/>
        </w:rPr>
      </w:pPr>
      <w:r>
        <w:rPr>
          <w:rFonts w:ascii="Verdana" w:hAnsi="Verdana"/>
          <w:noProof/>
          <w:sz w:val="20"/>
          <w:szCs w:val="20"/>
        </w:rPr>
        <w:t>2.3.3</w:t>
      </w:r>
      <w:r>
        <w:rPr>
          <w:rFonts w:ascii="Verdana" w:hAnsi="Verdana"/>
          <w:noProof/>
          <w:sz w:val="20"/>
          <w:szCs w:val="20"/>
        </w:rPr>
        <w:tab/>
        <w:t>Destruição ou recolha intencionais de ovos no meio natural</w:t>
      </w:r>
      <w:r>
        <w:rPr>
          <w:rFonts w:ascii="Verdana" w:hAnsi="Verdana"/>
          <w:noProof/>
          <w:sz w:val="20"/>
          <w:szCs w:val="20"/>
        </w:rPr>
        <w:tab/>
        <w:t>29</w:t>
      </w:r>
    </w:p>
    <w:p>
      <w:pPr>
        <w:tabs>
          <w:tab w:val="left" w:leader="dot" w:pos="8080"/>
        </w:tabs>
        <w:ind w:left="1276" w:hanging="850"/>
        <w:jc w:val="both"/>
        <w:rPr>
          <w:rFonts w:ascii="Verdana" w:hAnsi="Verdana"/>
          <w:noProof/>
          <w:sz w:val="20"/>
          <w:szCs w:val="20"/>
        </w:rPr>
      </w:pPr>
      <w:r>
        <w:rPr>
          <w:rFonts w:ascii="Verdana" w:hAnsi="Verdana"/>
          <w:noProof/>
          <w:sz w:val="20"/>
          <w:szCs w:val="20"/>
        </w:rPr>
        <w:t>2.3.4</w:t>
      </w:r>
      <w:r>
        <w:rPr>
          <w:rFonts w:ascii="Verdana" w:hAnsi="Verdana"/>
          <w:noProof/>
          <w:sz w:val="20"/>
          <w:szCs w:val="20"/>
        </w:rPr>
        <w:tab/>
        <w:t>Deterioração ou destruição dos locais de reprodução ou</w:t>
      </w:r>
    </w:p>
    <w:p>
      <w:pPr>
        <w:tabs>
          <w:tab w:val="left" w:leader="dot" w:pos="8080"/>
        </w:tabs>
        <w:ind w:left="1276" w:hanging="850"/>
        <w:jc w:val="both"/>
        <w:rPr>
          <w:rFonts w:ascii="Verdana" w:hAnsi="Verdana"/>
          <w:noProof/>
          <w:sz w:val="20"/>
          <w:szCs w:val="20"/>
        </w:rPr>
      </w:pPr>
      <w:r>
        <w:rPr>
          <w:rFonts w:ascii="Verdana" w:hAnsi="Verdana"/>
          <w:noProof/>
          <w:sz w:val="20"/>
          <w:szCs w:val="20"/>
        </w:rPr>
        <w:tab/>
        <w:t>das áreas de repouso</w:t>
      </w:r>
      <w:r>
        <w:rPr>
          <w:rFonts w:ascii="Verdana" w:hAnsi="Verdana"/>
          <w:noProof/>
          <w:sz w:val="20"/>
          <w:szCs w:val="20"/>
        </w:rPr>
        <w:tab/>
        <w:t>29</w:t>
      </w:r>
    </w:p>
    <w:p>
      <w:pPr>
        <w:tabs>
          <w:tab w:val="left" w:leader="dot" w:pos="8080"/>
        </w:tabs>
        <w:ind w:left="1276" w:hanging="850"/>
        <w:jc w:val="both"/>
        <w:rPr>
          <w:rFonts w:ascii="Verdana" w:hAnsi="Verdana"/>
          <w:noProof/>
          <w:sz w:val="20"/>
          <w:szCs w:val="20"/>
        </w:rPr>
      </w:pPr>
      <w:r>
        <w:rPr>
          <w:rFonts w:ascii="Verdana" w:hAnsi="Verdana"/>
          <w:noProof/>
          <w:sz w:val="20"/>
          <w:szCs w:val="20"/>
        </w:rPr>
        <w:t>2.3.5</w:t>
      </w:r>
      <w:r>
        <w:rPr>
          <w:rFonts w:ascii="Verdana" w:hAnsi="Verdana"/>
          <w:noProof/>
          <w:sz w:val="20"/>
          <w:szCs w:val="20"/>
        </w:rPr>
        <w:tab/>
        <w:t>Detenção, transporte, venda ou troca e oferta</w:t>
      </w:r>
    </w:p>
    <w:p>
      <w:pPr>
        <w:tabs>
          <w:tab w:val="left" w:leader="dot" w:pos="8080"/>
        </w:tabs>
        <w:ind w:left="1276" w:hanging="850"/>
        <w:jc w:val="both"/>
        <w:rPr>
          <w:noProof/>
          <w:sz w:val="20"/>
          <w:szCs w:val="20"/>
        </w:rPr>
      </w:pPr>
      <w:r>
        <w:rPr>
          <w:rFonts w:ascii="Verdana" w:hAnsi="Verdana"/>
          <w:noProof/>
          <w:sz w:val="20"/>
          <w:szCs w:val="20"/>
        </w:rPr>
        <w:tab/>
        <w:t>para fins de venda ou de troca de espécimes capturados no meio natural</w:t>
      </w:r>
      <w:r>
        <w:rPr>
          <w:rFonts w:ascii="Verdana" w:hAnsi="Verdana"/>
          <w:noProof/>
          <w:sz w:val="20"/>
          <w:szCs w:val="20"/>
        </w:rPr>
        <w:tab/>
        <w:t>40</w:t>
      </w:r>
    </w:p>
    <w:p>
      <w:pPr>
        <w:tabs>
          <w:tab w:val="left" w:leader="dot" w:pos="8080"/>
        </w:tabs>
        <w:ind w:left="1276" w:hanging="850"/>
        <w:jc w:val="both"/>
        <w:rPr>
          <w:rFonts w:ascii="Verdana" w:hAnsi="Verdana"/>
          <w:noProof/>
          <w:sz w:val="20"/>
          <w:szCs w:val="20"/>
        </w:rPr>
      </w:pPr>
      <w:r>
        <w:rPr>
          <w:rFonts w:ascii="Verdana" w:hAnsi="Verdana"/>
          <w:noProof/>
          <w:sz w:val="20"/>
          <w:szCs w:val="20"/>
        </w:rPr>
        <w:t>2.3.6</w:t>
      </w:r>
      <w:r>
        <w:rPr>
          <w:rFonts w:ascii="Verdana" w:hAnsi="Verdana"/>
          <w:noProof/>
          <w:sz w:val="20"/>
          <w:szCs w:val="20"/>
        </w:rPr>
        <w:tab/>
        <w:t>Sistema de vigilância permanente das capturas ou abates</w:t>
      </w:r>
    </w:p>
    <w:p>
      <w:pPr>
        <w:tabs>
          <w:tab w:val="left" w:leader="dot" w:pos="8080"/>
        </w:tabs>
        <w:ind w:left="1276" w:hanging="850"/>
        <w:jc w:val="both"/>
        <w:rPr>
          <w:rFonts w:ascii="Verdana" w:hAnsi="Verdana"/>
          <w:noProof/>
          <w:sz w:val="20"/>
          <w:szCs w:val="20"/>
        </w:rPr>
      </w:pPr>
      <w:r>
        <w:rPr>
          <w:rFonts w:ascii="Verdana" w:hAnsi="Verdana"/>
          <w:noProof/>
          <w:sz w:val="20"/>
          <w:szCs w:val="20"/>
        </w:rPr>
        <w:tab/>
        <w:t xml:space="preserve">acidentais das espécies constantes do anexo IV, alínea a) </w:t>
      </w:r>
      <w:r>
        <w:rPr>
          <w:rFonts w:ascii="Verdana" w:hAnsi="Verdana"/>
          <w:noProof/>
          <w:sz w:val="20"/>
          <w:szCs w:val="20"/>
        </w:rPr>
        <w:tab/>
        <w:t>40</w:t>
      </w:r>
    </w:p>
    <w:p>
      <w:pPr>
        <w:tabs>
          <w:tab w:val="left" w:pos="720"/>
          <w:tab w:val="left" w:pos="8080"/>
          <w:tab w:val="left" w:pos="8640"/>
        </w:tabs>
        <w:autoSpaceDE w:val="0"/>
        <w:autoSpaceDN w:val="0"/>
        <w:adjustRightInd w:val="0"/>
        <w:jc w:val="both"/>
        <w:rPr>
          <w:rFonts w:ascii="Verdana" w:hAnsi="Verdana" w:cs="Verdana"/>
          <w:i/>
          <w:noProof/>
          <w:sz w:val="16"/>
          <w:szCs w:val="16"/>
        </w:rPr>
      </w:pPr>
    </w:p>
    <w:p>
      <w:pPr>
        <w:tabs>
          <w:tab w:val="left" w:pos="8080"/>
          <w:tab w:val="left" w:pos="8640"/>
        </w:tabs>
        <w:ind w:left="1980" w:hanging="1260"/>
        <w:jc w:val="both"/>
        <w:rPr>
          <w:noProof/>
          <w:sz w:val="20"/>
          <w:szCs w:val="20"/>
        </w:rPr>
      </w:pPr>
    </w:p>
    <w:p>
      <w:pPr>
        <w:tabs>
          <w:tab w:val="left" w:leader="dot" w:pos="8080"/>
          <w:tab w:val="left" w:pos="8640"/>
        </w:tabs>
        <w:autoSpaceDE w:val="0"/>
        <w:autoSpaceDN w:val="0"/>
        <w:adjustRightInd w:val="0"/>
        <w:jc w:val="both"/>
        <w:rPr>
          <w:rFonts w:ascii="Verdana" w:hAnsi="Verdana" w:cs="Verdana"/>
          <w:b/>
          <w:bCs/>
          <w:noProof/>
          <w:color w:val="365F91" w:themeColor="accent1" w:themeShade="BF"/>
        </w:rPr>
      </w:pPr>
      <w:r>
        <w:rPr>
          <w:rFonts w:ascii="Verdana" w:hAnsi="Verdana"/>
          <w:b/>
          <w:bCs/>
          <w:noProof/>
          <w:color w:val="365F91" w:themeColor="accent1" w:themeShade="BF"/>
        </w:rPr>
        <w:t>3. ARTIGO 16.º</w:t>
      </w:r>
      <w:r>
        <w:rPr>
          <w:rFonts w:ascii="Verdana" w:hAnsi="Verdana"/>
          <w:b/>
          <w:bCs/>
          <w:noProof/>
          <w:color w:val="365F91" w:themeColor="accent1" w:themeShade="BF"/>
        </w:rPr>
        <w:tab/>
        <w:t>44</w:t>
      </w:r>
      <w:r>
        <w:rPr>
          <w:rFonts w:ascii="Verdana" w:hAnsi="Verdana"/>
          <w:b/>
          <w:bCs/>
          <w:noProof/>
          <w:color w:val="365F91" w:themeColor="accent1" w:themeShade="BF"/>
        </w:rPr>
        <w:tab/>
      </w:r>
    </w:p>
    <w:p>
      <w:pPr>
        <w:tabs>
          <w:tab w:val="left" w:pos="8080"/>
          <w:tab w:val="left" w:pos="8640"/>
        </w:tabs>
        <w:ind w:left="1620" w:hanging="900"/>
        <w:jc w:val="both"/>
        <w:rPr>
          <w:rFonts w:ascii="Verdana" w:hAnsi="Verdana"/>
          <w:i/>
          <w:noProof/>
          <w:sz w:val="16"/>
          <w:szCs w:val="16"/>
        </w:rPr>
      </w:pPr>
    </w:p>
    <w:p>
      <w:pPr>
        <w:tabs>
          <w:tab w:val="left" w:leader="dot" w:pos="8080"/>
        </w:tabs>
        <w:spacing w:after="120"/>
        <w:jc w:val="both"/>
        <w:rPr>
          <w:rFonts w:ascii="Verdana" w:hAnsi="Verdana"/>
          <w:b/>
          <w:noProof/>
          <w:color w:val="365F91" w:themeColor="accent1" w:themeShade="BF"/>
          <w:sz w:val="20"/>
          <w:szCs w:val="20"/>
        </w:rPr>
      </w:pPr>
      <w:r>
        <w:rPr>
          <w:rFonts w:ascii="Verdana" w:hAnsi="Verdana"/>
          <w:b/>
          <w:noProof/>
          <w:color w:val="365F91" w:themeColor="accent1" w:themeShade="BF"/>
          <w:sz w:val="20"/>
          <w:szCs w:val="20"/>
        </w:rPr>
        <w:t>3.1 Considerações jurídicas gerais</w:t>
      </w:r>
      <w:r>
        <w:rPr>
          <w:rFonts w:ascii="Verdana" w:hAnsi="Verdana"/>
          <w:b/>
          <w:noProof/>
          <w:color w:val="365F91" w:themeColor="accent1" w:themeShade="BF"/>
          <w:sz w:val="20"/>
          <w:szCs w:val="20"/>
        </w:rPr>
        <w:tab/>
        <w:t>45</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r>
        <w:rPr>
          <w:rFonts w:ascii="Verdana" w:hAnsi="Verdana"/>
          <w:noProof/>
          <w:sz w:val="20"/>
          <w:szCs w:val="20"/>
        </w:rPr>
        <w:t>3.1.1</w:t>
      </w:r>
      <w:r>
        <w:rPr>
          <w:rFonts w:ascii="Verdana" w:hAnsi="Verdana"/>
          <w:noProof/>
          <w:sz w:val="20"/>
          <w:szCs w:val="20"/>
        </w:rPr>
        <w:tab/>
        <w:t>Obrigação de garantir a transposição plena, clara e precisa</w:t>
      </w:r>
    </w:p>
    <w:p>
      <w:pPr>
        <w:tabs>
          <w:tab w:val="left" w:leader="dot" w:pos="8080"/>
        </w:tabs>
        <w:ind w:left="1980" w:hanging="1260"/>
        <w:rPr>
          <w:noProof/>
          <w:sz w:val="20"/>
          <w:szCs w:val="20"/>
        </w:rPr>
      </w:pPr>
      <w:r>
        <w:rPr>
          <w:rFonts w:ascii="Verdana" w:hAnsi="Verdana"/>
          <w:noProof/>
          <w:sz w:val="20"/>
          <w:szCs w:val="20"/>
        </w:rPr>
        <w:tab/>
        <w:t>do artigo 16.º</w:t>
      </w:r>
      <w:r>
        <w:rPr>
          <w:rFonts w:ascii="Verdana" w:hAnsi="Verdana"/>
          <w:noProof/>
          <w:sz w:val="20"/>
          <w:szCs w:val="20"/>
        </w:rPr>
        <w:tab/>
        <w:t>45</w:t>
      </w:r>
    </w:p>
    <w:p>
      <w:pPr>
        <w:tabs>
          <w:tab w:val="left" w:leader="dot" w:pos="8080"/>
        </w:tabs>
        <w:ind w:left="1980" w:hanging="1260"/>
        <w:rPr>
          <w:rFonts w:ascii="Verdana" w:hAnsi="Verdana"/>
          <w:noProof/>
          <w:sz w:val="20"/>
          <w:szCs w:val="20"/>
        </w:rPr>
      </w:pPr>
      <w:r>
        <w:rPr>
          <w:rFonts w:ascii="Verdana" w:hAnsi="Verdana"/>
          <w:noProof/>
          <w:sz w:val="20"/>
          <w:szCs w:val="20"/>
        </w:rPr>
        <w:t>3.1.2</w:t>
      </w:r>
      <w:r>
        <w:rPr>
          <w:rFonts w:ascii="Verdana" w:hAnsi="Verdana"/>
          <w:noProof/>
          <w:sz w:val="20"/>
          <w:szCs w:val="20"/>
        </w:rPr>
        <w:tab/>
        <w:t>Aplicação global adequada das derrogações</w:t>
      </w:r>
      <w:r>
        <w:rPr>
          <w:rFonts w:ascii="Verdana" w:hAnsi="Verdana"/>
          <w:noProof/>
          <w:sz w:val="20"/>
          <w:szCs w:val="20"/>
        </w:rPr>
        <w:tab/>
        <w:t>46</w:t>
      </w:r>
    </w:p>
    <w:p>
      <w:pPr>
        <w:tabs>
          <w:tab w:val="left" w:pos="8080"/>
          <w:tab w:val="left" w:pos="8640"/>
        </w:tabs>
        <w:jc w:val="both"/>
        <w:rPr>
          <w:rFonts w:ascii="Verdana" w:hAnsi="Verdana"/>
          <w:i/>
          <w:noProof/>
          <w:sz w:val="16"/>
          <w:szCs w:val="16"/>
        </w:rPr>
      </w:pPr>
    </w:p>
    <w:p>
      <w:pPr>
        <w:tabs>
          <w:tab w:val="left" w:leader="dot" w:pos="8080"/>
        </w:tabs>
        <w:spacing w:after="120"/>
        <w:rPr>
          <w:rFonts w:ascii="Verdana" w:hAnsi="Verdana"/>
          <w:b/>
          <w:noProof/>
          <w:color w:val="365F91" w:themeColor="accent1" w:themeShade="BF"/>
          <w:sz w:val="20"/>
          <w:szCs w:val="20"/>
        </w:rPr>
      </w:pPr>
      <w:r>
        <w:rPr>
          <w:rFonts w:ascii="Verdana" w:hAnsi="Verdana"/>
          <w:b/>
          <w:noProof/>
          <w:color w:val="365F91" w:themeColor="accent1" w:themeShade="BF"/>
          <w:sz w:val="20"/>
          <w:szCs w:val="20"/>
        </w:rPr>
        <w:t>3.2 Um sistema cuidadosamente controlado para a concessão de derrogações: os três testes</w:t>
      </w:r>
      <w:r>
        <w:rPr>
          <w:rFonts w:ascii="Verdana" w:hAnsi="Verdana"/>
          <w:b/>
          <w:noProof/>
          <w:color w:val="365F91" w:themeColor="accent1" w:themeShade="BF"/>
          <w:sz w:val="20"/>
          <w:szCs w:val="20"/>
        </w:rPr>
        <w:tab/>
        <w:t>48</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r>
        <w:rPr>
          <w:rFonts w:ascii="Verdana" w:hAnsi="Verdana"/>
          <w:noProof/>
          <w:sz w:val="20"/>
          <w:szCs w:val="20"/>
        </w:rPr>
        <w:t>3.2.1</w:t>
      </w:r>
      <w:r>
        <w:rPr>
          <w:rFonts w:ascii="Verdana" w:hAnsi="Verdana"/>
          <w:noProof/>
          <w:sz w:val="20"/>
          <w:szCs w:val="20"/>
        </w:rPr>
        <w:tab/>
        <w:t>Demonstração de um dos motivos ao abrigo do</w:t>
      </w:r>
    </w:p>
    <w:p>
      <w:pPr>
        <w:tabs>
          <w:tab w:val="left" w:leader="dot" w:pos="8080"/>
        </w:tabs>
        <w:ind w:left="1980" w:hanging="1260"/>
        <w:rPr>
          <w:rFonts w:ascii="Verdana" w:hAnsi="Verdana"/>
          <w:noProof/>
          <w:sz w:val="20"/>
          <w:szCs w:val="20"/>
        </w:rPr>
      </w:pPr>
      <w:r>
        <w:rPr>
          <w:rFonts w:ascii="Verdana" w:hAnsi="Verdana"/>
          <w:noProof/>
          <w:sz w:val="20"/>
          <w:szCs w:val="20"/>
        </w:rPr>
        <w:tab/>
        <w:t>artigo 16.º, n.º 1, alíneas a) a e) (teste 1)</w:t>
      </w:r>
      <w:r>
        <w:rPr>
          <w:rFonts w:ascii="Verdana" w:hAnsi="Verdana"/>
          <w:noProof/>
          <w:sz w:val="20"/>
          <w:szCs w:val="20"/>
        </w:rPr>
        <w:tab/>
        <w:t>50</w:t>
      </w:r>
    </w:p>
    <w:p>
      <w:pPr>
        <w:tabs>
          <w:tab w:val="left" w:leader="dot" w:pos="8080"/>
        </w:tabs>
        <w:ind w:left="1980" w:hanging="1260"/>
        <w:rPr>
          <w:rFonts w:ascii="Verdana" w:hAnsi="Verdana"/>
          <w:noProof/>
          <w:sz w:val="20"/>
          <w:szCs w:val="20"/>
        </w:rPr>
      </w:pPr>
      <w:r>
        <w:rPr>
          <w:rFonts w:ascii="Verdana" w:hAnsi="Verdana"/>
          <w:noProof/>
          <w:sz w:val="20"/>
          <w:szCs w:val="20"/>
        </w:rPr>
        <w:t>3.2.2</w:t>
      </w:r>
      <w:r>
        <w:rPr>
          <w:rFonts w:ascii="Verdana" w:hAnsi="Verdana"/>
          <w:noProof/>
          <w:sz w:val="20"/>
          <w:szCs w:val="20"/>
        </w:rPr>
        <w:tab/>
        <w:t>Ausência de outra solução satisfatória (teste 2)</w:t>
      </w:r>
      <w:r>
        <w:rPr>
          <w:rFonts w:ascii="Verdana" w:hAnsi="Verdana"/>
          <w:noProof/>
          <w:sz w:val="20"/>
          <w:szCs w:val="20"/>
        </w:rPr>
        <w:tab/>
        <w:t>61</w:t>
      </w:r>
    </w:p>
    <w:p>
      <w:pPr>
        <w:tabs>
          <w:tab w:val="left" w:leader="dot" w:pos="8080"/>
        </w:tabs>
        <w:ind w:left="1980" w:hanging="1260"/>
        <w:rPr>
          <w:rFonts w:ascii="Verdana" w:hAnsi="Verdana"/>
          <w:noProof/>
          <w:sz w:val="20"/>
          <w:szCs w:val="20"/>
        </w:rPr>
      </w:pPr>
      <w:r>
        <w:rPr>
          <w:rFonts w:ascii="Verdana" w:hAnsi="Verdana"/>
          <w:noProof/>
          <w:sz w:val="20"/>
          <w:szCs w:val="20"/>
        </w:rPr>
        <w:t>3.2.3</w:t>
      </w:r>
      <w:r>
        <w:rPr>
          <w:rFonts w:ascii="Verdana" w:hAnsi="Verdana"/>
          <w:noProof/>
          <w:sz w:val="20"/>
          <w:szCs w:val="20"/>
        </w:rPr>
        <w:tab/>
        <w:t>Impacto da derrogação no estado de conservação (teste 3)</w:t>
      </w:r>
      <w:r>
        <w:rPr>
          <w:rFonts w:ascii="Verdana" w:hAnsi="Verdana"/>
          <w:noProof/>
          <w:sz w:val="20"/>
          <w:szCs w:val="20"/>
        </w:rPr>
        <w:tab/>
        <w:t>64</w:t>
      </w:r>
    </w:p>
    <w:p>
      <w:pPr>
        <w:tabs>
          <w:tab w:val="left" w:leader="dot" w:pos="8080"/>
        </w:tabs>
        <w:ind w:left="1980" w:hanging="1260"/>
        <w:rPr>
          <w:rFonts w:ascii="Verdana" w:hAnsi="Verdana"/>
          <w:noProof/>
          <w:sz w:val="20"/>
          <w:szCs w:val="20"/>
        </w:rPr>
      </w:pPr>
    </w:p>
    <w:p>
      <w:pPr>
        <w:tabs>
          <w:tab w:val="left" w:leader="dot" w:pos="8080"/>
        </w:tabs>
        <w:spacing w:after="120"/>
        <w:rPr>
          <w:rFonts w:ascii="Verdana" w:hAnsi="Verdana"/>
          <w:b/>
          <w:noProof/>
          <w:color w:val="365F91" w:themeColor="accent1" w:themeShade="BF"/>
          <w:sz w:val="20"/>
          <w:szCs w:val="20"/>
        </w:rPr>
      </w:pPr>
      <w:r>
        <w:rPr>
          <w:rFonts w:ascii="Verdana" w:hAnsi="Verdana"/>
          <w:b/>
          <w:noProof/>
          <w:color w:val="365F91" w:themeColor="accent1" w:themeShade="BF"/>
          <w:sz w:val="20"/>
          <w:szCs w:val="20"/>
        </w:rPr>
        <w:t>3.3 Considerações adicionais</w:t>
      </w:r>
      <w:r>
        <w:rPr>
          <w:rFonts w:ascii="Verdana" w:hAnsi="Verdana"/>
          <w:b/>
          <w:noProof/>
          <w:color w:val="365F91" w:themeColor="accent1" w:themeShade="BF"/>
          <w:sz w:val="20"/>
          <w:szCs w:val="20"/>
        </w:rPr>
        <w:tab/>
        <w:t>67</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noProof/>
          <w:sz w:val="20"/>
          <w:szCs w:val="20"/>
        </w:rPr>
      </w:pPr>
      <w:r>
        <w:rPr>
          <w:rFonts w:ascii="Verdana" w:hAnsi="Verdana"/>
          <w:noProof/>
          <w:sz w:val="20"/>
          <w:szCs w:val="20"/>
        </w:rPr>
        <w:t>3.3.1</w:t>
      </w:r>
      <w:r>
        <w:rPr>
          <w:rFonts w:ascii="Verdana" w:hAnsi="Verdana"/>
          <w:noProof/>
          <w:sz w:val="20"/>
          <w:szCs w:val="20"/>
        </w:rPr>
        <w:tab/>
        <w:t xml:space="preserve">O papel dos planos de ação para espécies </w:t>
      </w:r>
      <w:r>
        <w:rPr>
          <w:rFonts w:ascii="Verdana" w:hAnsi="Verdana"/>
          <w:noProof/>
          <w:sz w:val="20"/>
          <w:szCs w:val="20"/>
        </w:rPr>
        <w:tab/>
        <w:t>68</w:t>
      </w:r>
    </w:p>
    <w:p>
      <w:pPr>
        <w:tabs>
          <w:tab w:val="left" w:leader="dot" w:pos="8080"/>
        </w:tabs>
        <w:ind w:left="1980" w:hanging="1260"/>
        <w:rPr>
          <w:rFonts w:ascii="Verdana" w:hAnsi="Verdana"/>
          <w:noProof/>
          <w:sz w:val="20"/>
          <w:szCs w:val="20"/>
        </w:rPr>
      </w:pPr>
      <w:r>
        <w:rPr>
          <w:rFonts w:ascii="Verdana" w:hAnsi="Verdana"/>
          <w:noProof/>
          <w:sz w:val="20"/>
          <w:szCs w:val="20"/>
        </w:rPr>
        <w:t>3.3.2</w:t>
      </w:r>
      <w:r>
        <w:rPr>
          <w:rFonts w:ascii="Verdana" w:hAnsi="Verdana"/>
          <w:noProof/>
          <w:sz w:val="20"/>
          <w:szCs w:val="20"/>
        </w:rPr>
        <w:tab/>
        <w:t>Avaliação do impacto de planos ou projetos e proteção</w:t>
      </w:r>
    </w:p>
    <w:p>
      <w:pPr>
        <w:tabs>
          <w:tab w:val="left" w:leader="dot" w:pos="8080"/>
        </w:tabs>
        <w:ind w:left="1980" w:hanging="1260"/>
        <w:rPr>
          <w:rFonts w:ascii="Verdana" w:hAnsi="Verdana"/>
          <w:noProof/>
          <w:sz w:val="20"/>
          <w:szCs w:val="20"/>
        </w:rPr>
      </w:pPr>
      <w:r>
        <w:rPr>
          <w:rFonts w:ascii="Verdana" w:hAnsi="Verdana"/>
          <w:noProof/>
          <w:sz w:val="20"/>
          <w:szCs w:val="20"/>
        </w:rPr>
        <w:tab/>
        <w:t>das espécies</w:t>
      </w:r>
      <w:r>
        <w:rPr>
          <w:rFonts w:ascii="Verdana" w:hAnsi="Verdana"/>
          <w:noProof/>
          <w:sz w:val="20"/>
          <w:szCs w:val="20"/>
        </w:rPr>
        <w:tab/>
        <w:t>69</w:t>
      </w:r>
    </w:p>
    <w:p>
      <w:pPr>
        <w:tabs>
          <w:tab w:val="left" w:leader="dot" w:pos="8080"/>
        </w:tabs>
        <w:ind w:left="1980" w:hanging="1260"/>
        <w:rPr>
          <w:rFonts w:ascii="Verdana" w:hAnsi="Verdana"/>
          <w:noProof/>
          <w:sz w:val="20"/>
          <w:szCs w:val="20"/>
        </w:rPr>
      </w:pPr>
      <w:r>
        <w:rPr>
          <w:rFonts w:ascii="Verdana" w:hAnsi="Verdana"/>
          <w:noProof/>
          <w:sz w:val="20"/>
          <w:szCs w:val="20"/>
        </w:rPr>
        <w:t>3.3.3</w:t>
      </w:r>
      <w:r>
        <w:rPr>
          <w:rFonts w:ascii="Verdana" w:hAnsi="Verdana"/>
          <w:noProof/>
          <w:sz w:val="20"/>
          <w:szCs w:val="20"/>
        </w:rPr>
        <w:tab/>
        <w:t xml:space="preserve">O papel das medidas compensatórias </w:t>
      </w:r>
      <w:r>
        <w:rPr>
          <w:rFonts w:ascii="Verdana" w:hAnsi="Verdana"/>
          <w:noProof/>
          <w:sz w:val="20"/>
          <w:szCs w:val="20"/>
        </w:rPr>
        <w:tab/>
        <w:t>70</w:t>
      </w:r>
    </w:p>
    <w:p>
      <w:pPr>
        <w:tabs>
          <w:tab w:val="left" w:leader="dot" w:pos="8080"/>
        </w:tabs>
        <w:ind w:left="1980" w:hanging="1260"/>
        <w:rPr>
          <w:rFonts w:ascii="Verdana" w:hAnsi="Verdana"/>
          <w:noProof/>
          <w:sz w:val="20"/>
          <w:szCs w:val="20"/>
        </w:rPr>
      </w:pPr>
      <w:r>
        <w:rPr>
          <w:rFonts w:ascii="Verdana" w:hAnsi="Verdana"/>
          <w:noProof/>
          <w:sz w:val="20"/>
          <w:szCs w:val="20"/>
        </w:rPr>
        <w:t>3.3.4</w:t>
      </w:r>
      <w:r>
        <w:rPr>
          <w:rFonts w:ascii="Verdana" w:hAnsi="Verdana"/>
          <w:noProof/>
          <w:sz w:val="20"/>
          <w:szCs w:val="20"/>
        </w:rPr>
        <w:tab/>
        <w:t xml:space="preserve">Derrogações para várias espécies </w:t>
      </w:r>
      <w:r>
        <w:rPr>
          <w:rFonts w:ascii="Verdana" w:hAnsi="Verdana"/>
          <w:noProof/>
          <w:sz w:val="20"/>
          <w:szCs w:val="20"/>
        </w:rPr>
        <w:tab/>
        <w:t>71</w:t>
      </w:r>
    </w:p>
    <w:p>
      <w:pPr>
        <w:tabs>
          <w:tab w:val="left" w:leader="dot" w:pos="8080"/>
        </w:tabs>
        <w:ind w:left="1980" w:hanging="1260"/>
        <w:rPr>
          <w:rFonts w:ascii="Verdana" w:hAnsi="Verdana"/>
          <w:noProof/>
          <w:sz w:val="20"/>
          <w:szCs w:val="20"/>
        </w:rPr>
      </w:pPr>
      <w:r>
        <w:rPr>
          <w:rFonts w:ascii="Verdana" w:hAnsi="Verdana"/>
          <w:noProof/>
          <w:sz w:val="20"/>
          <w:szCs w:val="20"/>
        </w:rPr>
        <w:t>3.3.5</w:t>
      </w:r>
      <w:r>
        <w:rPr>
          <w:rFonts w:ascii="Verdana" w:hAnsi="Verdana"/>
          <w:noProof/>
          <w:sz w:val="20"/>
          <w:szCs w:val="20"/>
        </w:rPr>
        <w:tab/>
        <w:t>«Natureza temporária»: lidar com a colonização de sítios</w:t>
      </w:r>
    </w:p>
    <w:p>
      <w:pPr>
        <w:tabs>
          <w:tab w:val="left" w:leader="dot" w:pos="8080"/>
        </w:tabs>
        <w:ind w:left="1980" w:hanging="1260"/>
        <w:rPr>
          <w:rFonts w:ascii="Verdana" w:hAnsi="Verdana"/>
          <w:noProof/>
          <w:sz w:val="20"/>
          <w:szCs w:val="20"/>
        </w:rPr>
      </w:pPr>
      <w:r>
        <w:rPr>
          <w:rFonts w:ascii="Verdana" w:hAnsi="Verdana"/>
          <w:noProof/>
          <w:sz w:val="20"/>
          <w:szCs w:val="20"/>
        </w:rPr>
        <w:tab/>
        <w:t>em desenvolvimento por espécies constantes do anexo IV</w:t>
      </w:r>
      <w:r>
        <w:rPr>
          <w:rFonts w:ascii="Verdana" w:hAnsi="Verdana"/>
          <w:noProof/>
          <w:sz w:val="20"/>
          <w:szCs w:val="20"/>
        </w:rPr>
        <w:tab/>
        <w:t>71</w:t>
      </w:r>
    </w:p>
    <w:p>
      <w:pPr>
        <w:tabs>
          <w:tab w:val="left" w:leader="dot" w:pos="8080"/>
        </w:tabs>
        <w:spacing w:after="120"/>
        <w:rPr>
          <w:rFonts w:ascii="Verdana" w:hAnsi="Verdana"/>
          <w:b/>
          <w:noProof/>
          <w:color w:val="365F91" w:themeColor="accent1" w:themeShade="BF"/>
          <w:sz w:val="20"/>
          <w:szCs w:val="20"/>
        </w:rPr>
      </w:pPr>
    </w:p>
    <w:p>
      <w:pPr>
        <w:tabs>
          <w:tab w:val="left" w:leader="dot" w:pos="8080"/>
        </w:tabs>
        <w:spacing w:after="120"/>
        <w:rPr>
          <w:rFonts w:ascii="Verdana" w:hAnsi="Verdana"/>
          <w:b/>
          <w:noProof/>
          <w:color w:val="365F91" w:themeColor="accent1" w:themeShade="BF"/>
          <w:sz w:val="20"/>
          <w:szCs w:val="20"/>
        </w:rPr>
      </w:pPr>
      <w:r>
        <w:rPr>
          <w:rFonts w:ascii="Verdana" w:hAnsi="Verdana"/>
          <w:b/>
          <w:noProof/>
          <w:color w:val="365F91" w:themeColor="accent1" w:themeShade="BF"/>
          <w:sz w:val="20"/>
          <w:szCs w:val="20"/>
        </w:rPr>
        <w:t>3.4 Acompanhamento e apresentação de relatórios sobre as derrogações</w:t>
      </w:r>
      <w:r>
        <w:rPr>
          <w:rFonts w:ascii="Verdana" w:hAnsi="Verdana"/>
          <w:b/>
          <w:noProof/>
          <w:color w:val="365F91" w:themeColor="accent1" w:themeShade="BF"/>
          <w:sz w:val="20"/>
          <w:szCs w:val="20"/>
        </w:rPr>
        <w:tab/>
        <w:t>73</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r>
        <w:rPr>
          <w:rFonts w:ascii="Verdana" w:hAnsi="Verdana"/>
          <w:noProof/>
          <w:sz w:val="20"/>
          <w:szCs w:val="20"/>
        </w:rPr>
        <w:t>3.4.1</w:t>
      </w:r>
      <w:r>
        <w:rPr>
          <w:rFonts w:ascii="Verdana" w:hAnsi="Verdana"/>
          <w:noProof/>
          <w:sz w:val="20"/>
          <w:szCs w:val="20"/>
        </w:rPr>
        <w:tab/>
        <w:t>Acompanhamento dos impactos das derrogações</w:t>
      </w:r>
      <w:r>
        <w:rPr>
          <w:rFonts w:ascii="Verdana" w:hAnsi="Verdana"/>
          <w:noProof/>
          <w:sz w:val="20"/>
          <w:szCs w:val="20"/>
        </w:rPr>
        <w:tab/>
        <w:t>73</w:t>
      </w:r>
    </w:p>
    <w:p>
      <w:pPr>
        <w:tabs>
          <w:tab w:val="left" w:leader="dot" w:pos="8080"/>
        </w:tabs>
        <w:ind w:left="1980" w:hanging="1260"/>
        <w:rPr>
          <w:rFonts w:ascii="Verdana" w:hAnsi="Verdana"/>
          <w:noProof/>
          <w:sz w:val="20"/>
          <w:szCs w:val="20"/>
        </w:rPr>
      </w:pPr>
      <w:r>
        <w:rPr>
          <w:rFonts w:ascii="Verdana" w:hAnsi="Verdana"/>
          <w:noProof/>
          <w:sz w:val="20"/>
          <w:szCs w:val="20"/>
        </w:rPr>
        <w:t>3.4.2</w:t>
      </w:r>
      <w:r>
        <w:rPr>
          <w:rFonts w:ascii="Verdana" w:hAnsi="Verdana"/>
          <w:noProof/>
          <w:sz w:val="20"/>
          <w:szCs w:val="20"/>
        </w:rPr>
        <w:tab/>
        <w:t>Obrigações de apresentação de relatórios ao abrigo do artigo 16.º, n.</w:t>
      </w:r>
      <w:r>
        <w:rPr>
          <w:rFonts w:ascii="Verdana" w:hAnsi="Verdana"/>
          <w:noProof/>
          <w:sz w:val="20"/>
          <w:szCs w:val="20"/>
          <w:vertAlign w:val="superscript"/>
        </w:rPr>
        <w:t>os</w:t>
      </w:r>
      <w:r>
        <w:rPr>
          <w:rFonts w:ascii="Verdana" w:hAnsi="Verdana"/>
          <w:noProof/>
          <w:sz w:val="20"/>
          <w:szCs w:val="20"/>
        </w:rPr>
        <w:t> 2 e 3</w:t>
      </w:r>
      <w:r>
        <w:rPr>
          <w:noProof/>
        </w:rPr>
        <w:t xml:space="preserve"> </w:t>
      </w:r>
      <w:r>
        <w:rPr>
          <w:rFonts w:ascii="Verdana" w:hAnsi="Verdana"/>
          <w:noProof/>
          <w:sz w:val="20"/>
          <w:szCs w:val="20"/>
        </w:rPr>
        <w:tab/>
        <w:t>74</w:t>
      </w: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noProof/>
          <w:sz w:val="20"/>
          <w:szCs w:val="20"/>
        </w:rPr>
      </w:pPr>
    </w:p>
    <w:p>
      <w:pPr>
        <w:tabs>
          <w:tab w:val="left" w:leader="dot" w:pos="8080"/>
        </w:tabs>
        <w:ind w:left="1260" w:hanging="1260"/>
        <w:rPr>
          <w:rFonts w:ascii="Verdana" w:hAnsi="Verdana"/>
          <w:noProof/>
          <w:sz w:val="20"/>
          <w:szCs w:val="20"/>
        </w:rPr>
      </w:pPr>
      <w:r>
        <w:rPr>
          <w:rFonts w:ascii="Verdana" w:hAnsi="Verdana"/>
          <w:b/>
          <w:noProof/>
          <w:sz w:val="20"/>
          <w:szCs w:val="20"/>
        </w:rPr>
        <w:t>Anexo I. Referências dos processos do Tribunal de Justiça</w:t>
      </w:r>
      <w:r>
        <w:rPr>
          <w:rFonts w:ascii="Verdana" w:hAnsi="Verdana"/>
          <w:noProof/>
          <w:sz w:val="20"/>
          <w:szCs w:val="20"/>
        </w:rPr>
        <w:tab/>
        <w:t>76</w:t>
      </w:r>
    </w:p>
    <w:p>
      <w:pPr>
        <w:tabs>
          <w:tab w:val="left" w:leader="dot" w:pos="8080"/>
        </w:tabs>
        <w:ind w:left="1980" w:hanging="1260"/>
        <w:rPr>
          <w:rFonts w:ascii="Verdana" w:hAnsi="Verdana"/>
          <w:noProof/>
          <w:sz w:val="20"/>
          <w:szCs w:val="20"/>
        </w:rPr>
      </w:pPr>
    </w:p>
    <w:p>
      <w:pPr>
        <w:tabs>
          <w:tab w:val="left" w:leader="dot" w:pos="8080"/>
        </w:tabs>
        <w:ind w:left="1260" w:hanging="1260"/>
        <w:rPr>
          <w:rFonts w:ascii="Verdana" w:hAnsi="Verdana"/>
          <w:noProof/>
          <w:sz w:val="20"/>
          <w:szCs w:val="20"/>
        </w:rPr>
      </w:pPr>
      <w:r>
        <w:rPr>
          <w:rFonts w:ascii="Verdana" w:hAnsi="Verdana"/>
          <w:b/>
          <w:noProof/>
          <w:sz w:val="20"/>
          <w:szCs w:val="20"/>
        </w:rPr>
        <w:t>Anexo II. Lista de espécies animais abrangidas pelos anexos II, IV e V</w:t>
      </w:r>
      <w:r>
        <w:rPr>
          <w:rFonts w:ascii="Verdana" w:hAnsi="Verdana"/>
          <w:noProof/>
          <w:sz w:val="20"/>
          <w:szCs w:val="20"/>
        </w:rPr>
        <w:tab/>
        <w:t>78</w:t>
      </w:r>
    </w:p>
    <w:p>
      <w:pPr>
        <w:tabs>
          <w:tab w:val="left" w:leader="dot" w:pos="8080"/>
        </w:tabs>
        <w:ind w:left="1260" w:hanging="1260"/>
        <w:rPr>
          <w:rFonts w:ascii="Verdana" w:hAnsi="Verdana"/>
          <w:noProof/>
          <w:sz w:val="20"/>
          <w:szCs w:val="20"/>
        </w:rPr>
      </w:pPr>
    </w:p>
    <w:p>
      <w:pPr>
        <w:tabs>
          <w:tab w:val="left" w:leader="dot" w:pos="8080"/>
        </w:tabs>
        <w:ind w:left="1260" w:hanging="1260"/>
        <w:rPr>
          <w:rFonts w:ascii="Verdana" w:hAnsi="Verdana"/>
          <w:b/>
          <w:noProof/>
          <w:sz w:val="20"/>
          <w:szCs w:val="20"/>
        </w:rPr>
      </w:pPr>
      <w:r>
        <w:rPr>
          <w:rFonts w:ascii="Verdana" w:hAnsi="Verdana"/>
          <w:b/>
          <w:noProof/>
          <w:sz w:val="20"/>
          <w:szCs w:val="20"/>
        </w:rPr>
        <w:t xml:space="preserve">Anexo III. Aplicação do artigo 12.º da Diretiva </w:t>
      </w:r>
      <w:r>
        <w:rPr>
          <w:rFonts w:ascii="Verdana" w:hAnsi="Verdana"/>
          <w:b/>
          <w:i/>
          <w:iCs/>
          <w:noProof/>
          <w:sz w:val="20"/>
          <w:szCs w:val="20"/>
        </w:rPr>
        <w:t>Habitats</w:t>
      </w:r>
      <w:r>
        <w:rPr>
          <w:rFonts w:ascii="Verdana" w:hAnsi="Verdana"/>
          <w:b/>
          <w:noProof/>
          <w:sz w:val="20"/>
          <w:szCs w:val="20"/>
        </w:rPr>
        <w:t xml:space="preserve"> —</w:t>
      </w:r>
    </w:p>
    <w:p>
      <w:pPr>
        <w:tabs>
          <w:tab w:val="left" w:leader="dot" w:pos="8080"/>
        </w:tabs>
        <w:ind w:left="1260" w:hanging="1260"/>
        <w:rPr>
          <w:rFonts w:ascii="Verdana" w:hAnsi="Verdana"/>
          <w:noProof/>
          <w:sz w:val="20"/>
          <w:szCs w:val="20"/>
        </w:rPr>
      </w:pPr>
      <w:r>
        <w:rPr>
          <w:rFonts w:ascii="Verdana" w:hAnsi="Verdana"/>
          <w:b/>
          <w:noProof/>
          <w:sz w:val="20"/>
          <w:szCs w:val="20"/>
        </w:rPr>
        <w:tab/>
        <w:t>o exemplo do lobo</w:t>
      </w:r>
      <w:r>
        <w:rPr>
          <w:rFonts w:ascii="Verdana" w:hAnsi="Verdana"/>
          <w:noProof/>
          <w:sz w:val="20"/>
          <w:szCs w:val="20"/>
        </w:rPr>
        <w:tab/>
        <w:t>91</w:t>
      </w: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i/>
          <w:noProof/>
          <w:sz w:val="20"/>
          <w:szCs w:val="20"/>
        </w:rPr>
      </w:pPr>
    </w:p>
    <w:p>
      <w:pPr>
        <w:tabs>
          <w:tab w:val="left" w:pos="1985"/>
          <w:tab w:val="left" w:pos="8080"/>
          <w:tab w:val="left" w:pos="8640"/>
        </w:tabs>
        <w:ind w:left="1080" w:hanging="1080"/>
        <w:jc w:val="both"/>
        <w:rPr>
          <w:rFonts w:ascii="Verdana" w:hAnsi="Verdana"/>
          <w:noProof/>
          <w:sz w:val="20"/>
          <w:szCs w:val="20"/>
        </w:rPr>
      </w:pPr>
    </w:p>
    <w:p>
      <w:pPr>
        <w:tabs>
          <w:tab w:val="left" w:pos="1985"/>
          <w:tab w:val="left" w:pos="8080"/>
          <w:tab w:val="left" w:pos="8640"/>
        </w:tabs>
        <w:ind w:left="1985" w:hanging="1985"/>
        <w:jc w:val="both"/>
        <w:rPr>
          <w:rFonts w:ascii="Verdana" w:hAnsi="Verdana"/>
          <w:noProof/>
          <w:sz w:val="20"/>
          <w:szCs w:val="20"/>
        </w:rPr>
      </w:pPr>
      <w:r>
        <w:rPr>
          <w:rFonts w:ascii="Verdana" w:hAnsi="Verdana"/>
          <w:noProof/>
          <w:sz w:val="20"/>
          <w:szCs w:val="20"/>
        </w:rPr>
        <w:tab/>
      </w:r>
    </w:p>
    <w:p>
      <w:pPr>
        <w:tabs>
          <w:tab w:val="left" w:pos="1800"/>
          <w:tab w:val="left" w:pos="8640"/>
        </w:tabs>
        <w:rPr>
          <w:rFonts w:ascii="Verdana" w:hAnsi="Verdana" w:cs="Verdana"/>
          <w:b/>
          <w:bCs/>
          <w:noProof/>
          <w:color w:val="365F91" w:themeColor="accent1" w:themeShade="BF"/>
          <w:sz w:val="28"/>
          <w:szCs w:val="28"/>
        </w:rPr>
      </w:pPr>
    </w:p>
    <w:p>
      <w:pPr>
        <w:rPr>
          <w:rFonts w:ascii="Verdana" w:hAnsi="Verdana" w:cs="Verdana"/>
          <w:b/>
          <w:bCs/>
          <w:noProof/>
          <w:color w:val="365F91" w:themeColor="accent1" w:themeShade="BF"/>
          <w:sz w:val="28"/>
          <w:szCs w:val="28"/>
        </w:rPr>
      </w:pPr>
      <w:r>
        <w:rPr>
          <w:noProof/>
        </w:rPr>
        <w:br w:type="page"/>
      </w:r>
    </w:p>
    <w:p>
      <w:pPr>
        <w:pStyle w:val="h2"/>
        <w:rPr>
          <w:noProof/>
        </w:rPr>
      </w:pPr>
      <w:r>
        <w:rPr>
          <w:noProof/>
        </w:rPr>
        <w:t>PREFÁCIO</w:t>
      </w:r>
    </w:p>
    <w:p>
      <w:pPr>
        <w:autoSpaceDE w:val="0"/>
        <w:autoSpaceDN w:val="0"/>
        <w:adjustRightInd w:val="0"/>
        <w:spacing w:after="240"/>
        <w:jc w:val="both"/>
        <w:rPr>
          <w:rFonts w:ascii="Verdana" w:hAnsi="Verdana" w:cs="Verdana"/>
          <w:b/>
          <w:bCs/>
          <w:noProof/>
          <w:color w:val="365F91" w:themeColor="accent1" w:themeShade="BF"/>
          <w:sz w:val="20"/>
          <w:szCs w:val="20"/>
        </w:rPr>
      </w:pPr>
    </w:p>
    <w:p>
      <w:pPr>
        <w:autoSpaceDE w:val="0"/>
        <w:autoSpaceDN w:val="0"/>
        <w:adjustRightInd w:val="0"/>
        <w:spacing w:after="240"/>
        <w:jc w:val="both"/>
        <w:rPr>
          <w:rFonts w:ascii="Verdana" w:hAnsi="Verdana" w:cs="Verdana"/>
          <w:b/>
          <w:bCs/>
          <w:noProof/>
          <w:color w:val="365F91" w:themeColor="accent1" w:themeShade="BF"/>
          <w:sz w:val="20"/>
          <w:szCs w:val="20"/>
          <w:u w:val="single"/>
        </w:rPr>
      </w:pPr>
      <w:r>
        <w:rPr>
          <w:rFonts w:ascii="Verdana" w:hAnsi="Verdana"/>
          <w:b/>
          <w:bCs/>
          <w:noProof/>
          <w:color w:val="365F91" w:themeColor="accent1" w:themeShade="BF"/>
          <w:sz w:val="20"/>
          <w:szCs w:val="20"/>
        </w:rPr>
        <w:t>Porquê uma versão atualizada do documento de orientação sobre a proteção rigorosa de espécies animais?</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O primeiro documento de orientação sobre a proteção rigorosa de espécies animais de interesse comunitário ao abrigo da Diretiva </w:t>
      </w:r>
      <w:r>
        <w:rPr>
          <w:rFonts w:ascii="Verdana" w:hAnsi="Verdana"/>
          <w:i/>
          <w:iCs/>
          <w:noProof/>
          <w:sz w:val="20"/>
          <w:szCs w:val="20"/>
        </w:rPr>
        <w:t>Habitats</w:t>
      </w:r>
      <w:r>
        <w:rPr>
          <w:rFonts w:ascii="Verdana" w:hAnsi="Verdana"/>
          <w:noProof/>
          <w:sz w:val="20"/>
          <w:szCs w:val="20"/>
          <w:vertAlign w:val="superscript"/>
        </w:rPr>
        <w:footnoteReference w:id="2"/>
      </w:r>
      <w:r>
        <w:rPr>
          <w:rFonts w:ascii="Verdana" w:hAnsi="Verdana"/>
          <w:noProof/>
          <w:sz w:val="20"/>
          <w:szCs w:val="20"/>
        </w:rPr>
        <w:t xml:space="preserve"> foi publicado em 2007. Tinha por objetivo permitir uma melhor compreensão das disposições relativas à proteção das espécies e dos termos específicos utilizados.</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Na sequência do balanço de qualidade das diretivas da UE no domínio da natureza (2014-2016), a Comissão Europeia adotou o </w:t>
      </w:r>
      <w:r>
        <w:rPr>
          <w:rFonts w:ascii="Verdana" w:hAnsi="Verdana"/>
          <w:i/>
          <w:noProof/>
          <w:sz w:val="20"/>
          <w:szCs w:val="20"/>
        </w:rPr>
        <w:t>plano de ação para a natureza, a população e a economia</w:t>
      </w:r>
      <w:r>
        <w:rPr>
          <w:rFonts w:ascii="Verdana" w:hAnsi="Verdana"/>
          <w:noProof/>
          <w:sz w:val="20"/>
          <w:szCs w:val="20"/>
          <w:vertAlign w:val="superscript"/>
        </w:rPr>
        <w:footnoteReference w:id="3"/>
      </w:r>
      <w:r>
        <w:rPr>
          <w:rFonts w:ascii="Verdana" w:hAnsi="Verdana"/>
          <w:noProof/>
          <w:sz w:val="20"/>
          <w:szCs w:val="20"/>
        </w:rPr>
        <w:t>, a fim de promover uma aplicação melhor, mais inteligente e mais economicamente eficiente das diretivas. A ação 1 do plano de ação implicava uma atualização deste documento de orientação. Esta atualização foi considerada necessária face às decisões recentes do Tribunal de Justiça da União Europeia (TJUE) e para garantir uma melhor coerência com objetivos socioeconómicos mais amplos.</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O presente documento de orientação é o resultado deste processo de revisão. Tem em conta a experiência prática obtida com a aplicação das disposições em matéria de proteção das espécies da Diretiva </w:t>
      </w:r>
      <w:r>
        <w:rPr>
          <w:rFonts w:ascii="Verdana" w:hAnsi="Verdana"/>
          <w:i/>
          <w:iCs/>
          <w:noProof/>
          <w:sz w:val="20"/>
          <w:szCs w:val="20"/>
        </w:rPr>
        <w:t>Habitats</w:t>
      </w:r>
      <w:r>
        <w:rPr>
          <w:rFonts w:ascii="Verdana" w:hAnsi="Verdana"/>
          <w:noProof/>
          <w:sz w:val="20"/>
          <w:szCs w:val="20"/>
        </w:rPr>
        <w:t xml:space="preserve"> ao longo dos anos, desde a publicação da primeira versão do documento de orientação.</w:t>
      </w:r>
    </w:p>
    <w:p>
      <w:pPr>
        <w:autoSpaceDE w:val="0"/>
        <w:autoSpaceDN w:val="0"/>
        <w:adjustRightInd w:val="0"/>
        <w:spacing w:after="240"/>
        <w:jc w:val="both"/>
        <w:rPr>
          <w:rFonts w:ascii="Verdana" w:hAnsi="Verdana" w:cs="Verdana"/>
          <w:bCs/>
          <w:noProof/>
          <w:color w:val="365F91" w:themeColor="accent1" w:themeShade="BF"/>
          <w:sz w:val="20"/>
          <w:szCs w:val="20"/>
        </w:rPr>
      </w:pPr>
      <w:r>
        <w:rPr>
          <w:rFonts w:ascii="Verdana" w:hAnsi="Verdana"/>
          <w:b/>
          <w:bCs/>
          <w:noProof/>
          <w:color w:val="365F91" w:themeColor="accent1" w:themeShade="BF"/>
          <w:sz w:val="20"/>
          <w:szCs w:val="20"/>
        </w:rPr>
        <w:t>Objetivo do documento de orientação</w:t>
      </w:r>
    </w:p>
    <w:p>
      <w:pPr>
        <w:autoSpaceDE w:val="0"/>
        <w:autoSpaceDN w:val="0"/>
        <w:adjustRightInd w:val="0"/>
        <w:spacing w:after="240"/>
        <w:jc w:val="both"/>
        <w:rPr>
          <w:rFonts w:ascii="Verdana" w:hAnsi="Verdana"/>
          <w:i/>
          <w:noProof/>
          <w:sz w:val="20"/>
          <w:szCs w:val="20"/>
        </w:rPr>
      </w:pPr>
      <w:r>
        <w:rPr>
          <w:rFonts w:ascii="Verdana" w:hAnsi="Verdana"/>
          <w:noProof/>
          <w:sz w:val="20"/>
          <w:szCs w:val="20"/>
        </w:rPr>
        <w:t xml:space="preserve">O presente documento concentra-se nas obrigações decorrentes dos artigos 12.º e 16.º </w:t>
      </w:r>
      <w:r>
        <w:rPr>
          <w:rFonts w:ascii="Verdana" w:hAnsi="Verdana"/>
          <w:bCs/>
          <w:noProof/>
          <w:sz w:val="20"/>
          <w:szCs w:val="20"/>
        </w:rPr>
        <w:t xml:space="preserve">da Diretiva </w:t>
      </w:r>
      <w:r>
        <w:rPr>
          <w:rFonts w:ascii="Verdana" w:hAnsi="Verdana"/>
          <w:bCs/>
          <w:i/>
          <w:iCs/>
          <w:noProof/>
          <w:sz w:val="20"/>
          <w:szCs w:val="20"/>
        </w:rPr>
        <w:t>Habitats</w:t>
      </w:r>
      <w:r>
        <w:rPr>
          <w:rFonts w:ascii="Verdana" w:hAnsi="Verdana"/>
          <w:noProof/>
          <w:sz w:val="20"/>
          <w:szCs w:val="20"/>
        </w:rPr>
        <w:t>. Estes artigos instituem um sistema de proteção rigorosa das espécies animais enumeradas no anexo IV, alínea a), da diretiva, permitindo simultaneamente a derrogação destas disposições em determinadas condições. O documento baseia-se essencialmente em acórdãos pertinentes do TJUE e em exemplos de sistemas de proteção de espécies em vigor em vários Estados-Membros</w:t>
      </w:r>
      <w:r>
        <w:rPr>
          <w:noProof/>
          <w:sz w:val="20"/>
          <w:szCs w:val="20"/>
        </w:rPr>
        <w:t>.</w:t>
      </w:r>
    </w:p>
    <w:p>
      <w:pPr>
        <w:spacing w:after="240"/>
        <w:jc w:val="both"/>
        <w:rPr>
          <w:noProof/>
          <w:sz w:val="20"/>
          <w:szCs w:val="20"/>
        </w:rPr>
      </w:pPr>
      <w:r>
        <w:rPr>
          <w:rFonts w:ascii="Verdana" w:hAnsi="Verdana"/>
          <w:noProof/>
          <w:sz w:val="20"/>
          <w:szCs w:val="20"/>
        </w:rPr>
        <w:t xml:space="preserve">O documento tem como destinatários as autoridades nacionais, regionais e locais, os organismos de conservação e outras organizações responsáveis pela aplicação da Diretiva </w:t>
      </w:r>
      <w:r>
        <w:rPr>
          <w:rFonts w:ascii="Verdana" w:hAnsi="Verdana"/>
          <w:i/>
          <w:iCs/>
          <w:noProof/>
          <w:sz w:val="20"/>
          <w:szCs w:val="20"/>
        </w:rPr>
        <w:t>Habitats</w:t>
      </w:r>
      <w:r>
        <w:rPr>
          <w:rFonts w:ascii="Verdana" w:hAnsi="Verdana"/>
          <w:noProof/>
          <w:sz w:val="20"/>
          <w:szCs w:val="20"/>
        </w:rPr>
        <w:t xml:space="preserve"> ou que nela intervêm, bem como as partes interessadas. Visa auxiliá</w:t>
      </w:r>
      <w:r>
        <w:rPr>
          <w:rFonts w:ascii="Verdana" w:hAnsi="Verdana"/>
          <w:noProof/>
          <w:sz w:val="20"/>
          <w:szCs w:val="20"/>
        </w:rPr>
        <w:noBreakHyphen/>
        <w:t>los a conceber formas eficazes e pragmáticas de aplicar as disposições, no pleno respeito do quadro jurídico. Os Estados-Membros e as principais partes interessadas foram consultados relativamente a diversas versões preliminares do documento e as suas observações foram tidas em conta.</w:t>
      </w:r>
    </w:p>
    <w:p>
      <w:pPr>
        <w:spacing w:after="240"/>
        <w:jc w:val="both"/>
        <w:rPr>
          <w:rFonts w:ascii="Verdana" w:hAnsi="Verdana"/>
          <w:i/>
          <w:noProof/>
          <w:color w:val="365F91" w:themeColor="accent1" w:themeShade="BF"/>
          <w:sz w:val="20"/>
          <w:szCs w:val="20"/>
        </w:rPr>
      </w:pPr>
      <w:r>
        <w:rPr>
          <w:rFonts w:ascii="Verdana" w:hAnsi="Verdana"/>
          <w:b/>
          <w:noProof/>
          <w:color w:val="365F91" w:themeColor="accent1" w:themeShade="BF"/>
          <w:sz w:val="20"/>
          <w:szCs w:val="20"/>
        </w:rPr>
        <w:t>Limitações do documento de orientação</w:t>
      </w:r>
    </w:p>
    <w:p>
      <w:pPr>
        <w:spacing w:after="240"/>
        <w:jc w:val="both"/>
        <w:rPr>
          <w:rFonts w:ascii="Verdana" w:hAnsi="Verdana"/>
          <w:noProof/>
          <w:sz w:val="20"/>
          <w:szCs w:val="20"/>
        </w:rPr>
      </w:pPr>
      <w:r>
        <w:rPr>
          <w:rFonts w:ascii="Verdana" w:hAnsi="Verdana"/>
          <w:noProof/>
          <w:sz w:val="20"/>
          <w:szCs w:val="20"/>
        </w:rPr>
        <w:t>O presente guia dá a conhecer o entendimento da Comissão sobre as disposições pertinentes da diretiva mas não tem, em si mesmo, caráter legislativo; não define novas regras, mas fornece orientações quanto à aplicação das regras existentes. Apenas o TJUE é competente para interpretar perentoriamente o direito da UE.</w:t>
      </w:r>
    </w:p>
    <w:p>
      <w:pPr>
        <w:spacing w:after="240"/>
        <w:jc w:val="both"/>
        <w:rPr>
          <w:rFonts w:ascii="Verdana" w:hAnsi="Verdana"/>
          <w:noProof/>
          <w:sz w:val="20"/>
          <w:szCs w:val="20"/>
        </w:rPr>
      </w:pPr>
      <w:r>
        <w:rPr>
          <w:rFonts w:ascii="Verdana" w:hAnsi="Verdana"/>
          <w:noProof/>
          <w:sz w:val="20"/>
          <w:szCs w:val="20"/>
        </w:rPr>
        <w:t>As orientações, que serão novamente atualizadas a intervalos regulares, deverão ser interpretadas à luz de qualquer jurisprudência produzida sobre esta matéria e também da experiência resultante da aplicação dos artigos 12.º e 16.º nos Estados-Membros.</w:t>
      </w:r>
    </w:p>
    <w:p>
      <w:pPr>
        <w:spacing w:after="240"/>
        <w:jc w:val="both"/>
        <w:rPr>
          <w:rFonts w:ascii="Verdana" w:hAnsi="Verdana"/>
          <w:b/>
          <w:noProof/>
          <w:color w:val="365F91" w:themeColor="accent1" w:themeShade="BF"/>
          <w:sz w:val="20"/>
          <w:szCs w:val="20"/>
        </w:rPr>
      </w:pPr>
      <w:r>
        <w:rPr>
          <w:rFonts w:ascii="Verdana" w:hAnsi="Verdana"/>
          <w:b/>
          <w:noProof/>
          <w:color w:val="365F91" w:themeColor="accent1" w:themeShade="BF"/>
          <w:sz w:val="20"/>
          <w:szCs w:val="20"/>
        </w:rPr>
        <w:t>Estrutura do documento</w:t>
      </w:r>
    </w:p>
    <w:p>
      <w:pPr>
        <w:spacing w:after="240"/>
        <w:jc w:val="both"/>
        <w:rPr>
          <w:rFonts w:ascii="Verdana" w:hAnsi="Verdana"/>
          <w:noProof/>
          <w:sz w:val="20"/>
          <w:szCs w:val="20"/>
        </w:rPr>
      </w:pPr>
      <w:r>
        <w:rPr>
          <w:rFonts w:ascii="Verdana" w:hAnsi="Verdana"/>
          <w:noProof/>
          <w:sz w:val="20"/>
          <w:szCs w:val="20"/>
        </w:rPr>
        <w:t xml:space="preserve">O documento está dividido em três capítulos principais. O capítulo 1 analisa o lugar da proteção das espécies no panorama global da Diretiva </w:t>
      </w:r>
      <w:r>
        <w:rPr>
          <w:rFonts w:ascii="Verdana" w:hAnsi="Verdana"/>
          <w:i/>
          <w:iCs/>
          <w:noProof/>
          <w:sz w:val="20"/>
          <w:szCs w:val="20"/>
        </w:rPr>
        <w:t>Habitats</w:t>
      </w:r>
      <w:r>
        <w:rPr>
          <w:rFonts w:ascii="Verdana" w:hAnsi="Verdana"/>
          <w:noProof/>
          <w:sz w:val="20"/>
          <w:szCs w:val="20"/>
        </w:rPr>
        <w:t>. O capítulo 2 analisa de forma mais aprofundada as disposições jurídicas pertinentes do artigo 12.º da diretiva. O capítulo 3 examina as possibilidades de derrogação ao abrigo do artigo 16.º.</w:t>
      </w:r>
    </w:p>
    <w:p>
      <w:pPr>
        <w:spacing w:after="120"/>
        <w:jc w:val="both"/>
        <w:rPr>
          <w:rFonts w:ascii="Verdana" w:hAnsi="Verdana" w:cs="Verdana"/>
          <w:bCs/>
          <w:noProof/>
          <w:sz w:val="20"/>
          <w:szCs w:val="20"/>
        </w:rPr>
      </w:pPr>
      <w:r>
        <w:rPr>
          <w:rFonts w:ascii="Verdana" w:hAnsi="Verdana"/>
          <w:bCs/>
          <w:noProof/>
          <w:sz w:val="20"/>
          <w:szCs w:val="20"/>
        </w:rPr>
        <w:t>Os principais pontos resultantes das análises são sintetizados (em itálico) no início de cada secção. As referências completas dos processos do Tribunal de Justiça citados ao longo do texto são fornecidas no anexo I. O anexo II apresenta a lista de espécies animais abrangidas pelas disposições em matéria de proteção das espécies. O anexo III faculta um exemplo, no caso do lobo, de como o documento de orientação pode ser aplicado.</w:t>
      </w:r>
    </w:p>
    <w:p>
      <w:pPr>
        <w:rPr>
          <w:rFonts w:ascii="Verdana" w:hAnsi="Verdana" w:cs="Verdana"/>
          <w:bCs/>
          <w:noProof/>
          <w:sz w:val="20"/>
          <w:szCs w:val="20"/>
        </w:rPr>
      </w:pPr>
      <w:r>
        <w:rPr>
          <w:noProof/>
        </w:rPr>
        <w:br w:type="page"/>
      </w:r>
    </w:p>
    <w:p>
      <w:pPr>
        <w:pStyle w:val="h2"/>
        <w:numPr>
          <w:ilvl w:val="0"/>
          <w:numId w:val="43"/>
        </w:numPr>
        <w:rPr>
          <w:noProof/>
        </w:rPr>
      </w:pPr>
      <w:r>
        <w:rPr>
          <w:noProof/>
        </w:rPr>
        <w:t>CONTEXTO</w:t>
      </w:r>
    </w:p>
    <w:p>
      <w:pPr>
        <w:pStyle w:val="h3"/>
        <w:rPr>
          <w:noProof/>
        </w:rPr>
      </w:pPr>
      <w:r>
        <w:rPr>
          <w:noProof/>
        </w:rPr>
        <w:t xml:space="preserve">1.1 </w:t>
      </w:r>
      <w:r>
        <w:rPr>
          <w:noProof/>
        </w:rPr>
        <w:tab/>
        <w:t>Conservação de espécies ao abrigo da Diretiva 92/43/CEE</w:t>
      </w:r>
    </w:p>
    <w:p>
      <w:pPr>
        <w:autoSpaceDE w:val="0"/>
        <w:autoSpaceDN w:val="0"/>
        <w:adjustRightInd w:val="0"/>
        <w:spacing w:after="240"/>
        <w:jc w:val="both"/>
        <w:rPr>
          <w:rFonts w:ascii="Verdana" w:hAnsi="Verdana"/>
          <w:noProof/>
          <w:sz w:val="20"/>
          <w:szCs w:val="20"/>
        </w:rPr>
      </w:pPr>
      <w:r>
        <w:rPr>
          <w:rFonts w:ascii="Verdana" w:hAnsi="Verdana"/>
          <w:noProof/>
          <w:sz w:val="20"/>
          <w:szCs w:val="20"/>
        </w:rPr>
        <w:t>(1-1)</w:t>
      </w:r>
      <w:r>
        <w:rPr>
          <w:rFonts w:ascii="Verdana" w:hAnsi="Verdana"/>
          <w:noProof/>
          <w:sz w:val="20"/>
          <w:szCs w:val="20"/>
        </w:rPr>
        <w:tab/>
        <w:t xml:space="preserve">O artigo 2.º, n.º 1, apresenta o objetivo global da Diretiva </w:t>
      </w:r>
      <w:r>
        <w:rPr>
          <w:rFonts w:ascii="Verdana" w:hAnsi="Verdana"/>
          <w:i/>
          <w:iCs/>
          <w:noProof/>
          <w:sz w:val="20"/>
          <w:szCs w:val="20"/>
        </w:rPr>
        <w:t>Habitats</w:t>
      </w:r>
      <w:r>
        <w:rPr>
          <w:rFonts w:ascii="Verdana" w:hAnsi="Verdana"/>
          <w:noProof/>
          <w:sz w:val="20"/>
          <w:szCs w:val="20"/>
        </w:rPr>
        <w:t xml:space="preserve">, que consiste em «contribuir para assegurar a biodiversidade através da conservação dos </w:t>
      </w:r>
      <w:r>
        <w:rPr>
          <w:rFonts w:ascii="Verdana" w:hAnsi="Verdana"/>
          <w:i/>
          <w:iCs/>
          <w:noProof/>
          <w:sz w:val="20"/>
          <w:szCs w:val="20"/>
        </w:rPr>
        <w:t>habitats</w:t>
      </w:r>
      <w:r>
        <w:rPr>
          <w:rFonts w:ascii="Verdana" w:hAnsi="Verdana"/>
          <w:noProof/>
          <w:sz w:val="20"/>
          <w:szCs w:val="20"/>
        </w:rPr>
        <w:t xml:space="preserve"> naturais e da fauna e da flora selvagens no território europeu dos Estados-Membros em que o Tratado é aplicável».</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Nos termos do artigo 2.º, n.º 2, as medidas tomadas ao abrigo da diretiva «destinam-se a garantir a conservação ou o restabelecimento dos </w:t>
      </w:r>
      <w:r>
        <w:rPr>
          <w:rFonts w:ascii="Verdana" w:hAnsi="Verdana"/>
          <w:i/>
          <w:iCs/>
          <w:noProof/>
          <w:sz w:val="20"/>
          <w:szCs w:val="20"/>
        </w:rPr>
        <w:t>habitats</w:t>
      </w:r>
      <w:r>
        <w:rPr>
          <w:rFonts w:ascii="Verdana" w:hAnsi="Verdana"/>
          <w:noProof/>
          <w:sz w:val="20"/>
          <w:szCs w:val="20"/>
        </w:rPr>
        <w:t xml:space="preserve"> naturais e das espécies selvagens de interesse comunitário num estado de conservação favorável». Estas medidas, em conformidade com o artigo 2.º, n.º 3, «devem ter em conta as exigências económicas, sociais e culturais, bem como as particularidades regionais e locais»</w:t>
      </w:r>
      <w:r>
        <w:rPr>
          <w:rFonts w:ascii="Verdana" w:hAnsi="Verdana"/>
          <w:noProof/>
          <w:sz w:val="20"/>
          <w:szCs w:val="20"/>
          <w:vertAlign w:val="superscript"/>
        </w:rPr>
        <w:footnoteReference w:id="4"/>
      </w:r>
      <w:r>
        <w:rPr>
          <w:rFonts w:ascii="Verdana" w:hAnsi="Verdana"/>
          <w:noProof/>
          <w:sz w:val="20"/>
          <w:szCs w:val="20"/>
        </w:rPr>
        <w:t>.</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Por conseguinte, o objetivo principal da Diretiva </w:t>
      </w:r>
      <w:r>
        <w:rPr>
          <w:rFonts w:ascii="Verdana" w:hAnsi="Verdana"/>
          <w:i/>
          <w:iCs/>
          <w:noProof/>
          <w:sz w:val="20"/>
          <w:szCs w:val="20"/>
        </w:rPr>
        <w:t>Habitats</w:t>
      </w:r>
      <w:r>
        <w:rPr>
          <w:rFonts w:ascii="Verdana" w:hAnsi="Verdana"/>
          <w:noProof/>
          <w:sz w:val="20"/>
          <w:szCs w:val="20"/>
        </w:rPr>
        <w:t xml:space="preserve"> é a conservação ou o restabelecimento de todos os </w:t>
      </w:r>
      <w:r>
        <w:rPr>
          <w:rFonts w:ascii="Verdana" w:hAnsi="Verdana"/>
          <w:i/>
          <w:iCs/>
          <w:noProof/>
          <w:sz w:val="20"/>
          <w:szCs w:val="20"/>
        </w:rPr>
        <w:t>habitats</w:t>
      </w:r>
      <w:r>
        <w:rPr>
          <w:rFonts w:ascii="Verdana" w:hAnsi="Verdana"/>
          <w:noProof/>
          <w:sz w:val="20"/>
          <w:szCs w:val="20"/>
        </w:rPr>
        <w:t xml:space="preserve"> naturais e espécies de interesse comunitário num estado de conservação favorável. O artigo 1.º, alínea i), da diretiva define o que se entende por «estado de conservação favorável» das espécies</w:t>
      </w:r>
      <w:r>
        <w:rPr>
          <w:rFonts w:ascii="Verdana" w:hAnsi="Verdana"/>
          <w:noProof/>
          <w:sz w:val="20"/>
          <w:szCs w:val="20"/>
          <w:vertAlign w:val="superscript"/>
        </w:rPr>
        <w:footnoteReference w:id="5"/>
      </w:r>
      <w:r>
        <w:rPr>
          <w:rFonts w:ascii="Verdana" w:hAnsi="Verdana"/>
          <w:noProof/>
          <w:sz w:val="20"/>
          <w:szCs w:val="20"/>
        </w:rPr>
        <w:t>.</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(1-2) </w:t>
      </w:r>
      <w:r>
        <w:rPr>
          <w:rFonts w:ascii="Verdana" w:hAnsi="Verdana"/>
          <w:noProof/>
          <w:sz w:val="20"/>
          <w:szCs w:val="20"/>
        </w:rPr>
        <w:tab/>
        <w:t xml:space="preserve">A fim de atingir este objetivo, a diretiva contém dois conjuntos principais de disposições. O primeiro conjunto diz respeito à preservação dos </w:t>
      </w:r>
      <w:r>
        <w:rPr>
          <w:rFonts w:ascii="Verdana" w:hAnsi="Verdana"/>
          <w:i/>
          <w:iCs/>
          <w:noProof/>
          <w:sz w:val="20"/>
          <w:szCs w:val="20"/>
        </w:rPr>
        <w:t>habitats</w:t>
      </w:r>
      <w:r>
        <w:rPr>
          <w:rFonts w:ascii="Verdana" w:hAnsi="Verdana"/>
          <w:noProof/>
          <w:sz w:val="20"/>
          <w:szCs w:val="20"/>
        </w:rPr>
        <w:t xml:space="preserve"> naturais e dos </w:t>
      </w:r>
      <w:r>
        <w:rPr>
          <w:rFonts w:ascii="Verdana" w:hAnsi="Verdana"/>
          <w:i/>
          <w:iCs/>
          <w:noProof/>
          <w:sz w:val="20"/>
          <w:szCs w:val="20"/>
        </w:rPr>
        <w:t>habitats</w:t>
      </w:r>
      <w:r>
        <w:rPr>
          <w:rFonts w:ascii="Verdana" w:hAnsi="Verdana"/>
          <w:noProof/>
          <w:sz w:val="20"/>
          <w:szCs w:val="20"/>
        </w:rPr>
        <w:t xml:space="preserve"> das espécies (artigos 3.º a 11.º) e o segundo à proteção das espécies (artigos 12.º a 16.º).</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(1-3) </w:t>
      </w:r>
      <w:r>
        <w:rPr>
          <w:rFonts w:ascii="Verdana" w:hAnsi="Verdana"/>
          <w:noProof/>
          <w:sz w:val="20"/>
          <w:szCs w:val="20"/>
        </w:rPr>
        <w:tab/>
        <w:t xml:space="preserve">As disposições relativas à proteção das espécies (artigos 12.º a 16.º) são aplicáveis a toda a área de repartição natural das espécies nos Estados-Membros, tanto dentro como fora dos sítios Natura 2000. Estas disposições complementam as que regem os sítios Natura 2000, que incidem na proteção de </w:t>
      </w:r>
      <w:r>
        <w:rPr>
          <w:rFonts w:ascii="Verdana" w:hAnsi="Verdana"/>
          <w:i/>
          <w:iCs/>
          <w:noProof/>
          <w:sz w:val="20"/>
          <w:szCs w:val="20"/>
        </w:rPr>
        <w:t>habitats</w:t>
      </w:r>
      <w:r>
        <w:rPr>
          <w:rFonts w:ascii="Verdana" w:hAnsi="Verdana"/>
          <w:noProof/>
          <w:sz w:val="20"/>
          <w:szCs w:val="20"/>
        </w:rPr>
        <w:t xml:space="preserve"> naturais e das zonas principais dos </w:t>
      </w:r>
      <w:r>
        <w:rPr>
          <w:rFonts w:ascii="Verdana" w:hAnsi="Verdana"/>
          <w:i/>
          <w:iCs/>
          <w:noProof/>
          <w:sz w:val="20"/>
          <w:szCs w:val="20"/>
        </w:rPr>
        <w:t>habitats</w:t>
      </w:r>
      <w:r>
        <w:rPr>
          <w:rFonts w:ascii="Verdana" w:hAnsi="Verdana"/>
          <w:noProof/>
          <w:sz w:val="20"/>
          <w:szCs w:val="20"/>
        </w:rPr>
        <w:t xml:space="preserve"> das espécies protegidas enumeradas no anexo II da diretiva.</w:t>
      </w:r>
    </w:p>
    <w:p>
      <w:pPr>
        <w:spacing w:after="240"/>
        <w:jc w:val="both"/>
        <w:rPr>
          <w:rFonts w:ascii="Verdana" w:hAnsi="Verdana"/>
          <w:noProof/>
          <w:sz w:val="20"/>
          <w:szCs w:val="20"/>
        </w:rPr>
      </w:pPr>
      <w:bookmarkStart w:id="2" w:name="MO"/>
      <w:r>
        <w:rPr>
          <w:rFonts w:ascii="Verdana" w:hAnsi="Verdana"/>
          <w:noProof/>
          <w:sz w:val="20"/>
          <w:szCs w:val="20"/>
        </w:rPr>
        <w:t>(1-4)</w:t>
      </w:r>
      <w:r>
        <w:rPr>
          <w:rFonts w:ascii="Verdana" w:hAnsi="Verdana"/>
          <w:noProof/>
          <w:sz w:val="20"/>
          <w:szCs w:val="20"/>
        </w:rPr>
        <w:tab/>
        <w:t>Uma diretiva é vinculativa quanto ao resultado a alcançar, mas deixa aos Estados</w:t>
      </w:r>
      <w:r>
        <w:rPr>
          <w:rFonts w:ascii="Verdana" w:hAnsi="Verdana"/>
          <w:noProof/>
          <w:sz w:val="20"/>
          <w:szCs w:val="20"/>
        </w:rPr>
        <w:noBreakHyphen/>
        <w:t>Membros a escolha da forma e dos meios para alcançar esse resultado. A jurisprudência assente esclarece que a transposição para o direito nacional deve ser clara e precisa, fidedigna e com caráter obrigatório incontestável (ver TJUE, processos C</w:t>
      </w:r>
      <w:r>
        <w:rPr>
          <w:rFonts w:ascii="Verdana" w:hAnsi="Verdana"/>
          <w:noProof/>
          <w:sz w:val="20"/>
          <w:szCs w:val="20"/>
        </w:rPr>
        <w:noBreakHyphen/>
        <w:t>363/85, C-361/88, C-159/99, n.º 32, C-415/01, n.º 21, C-58/02, C-6/04, n.</w:t>
      </w:r>
      <w:r>
        <w:rPr>
          <w:rFonts w:ascii="Verdana" w:hAnsi="Verdana"/>
          <w:noProof/>
          <w:sz w:val="20"/>
          <w:szCs w:val="20"/>
          <w:vertAlign w:val="superscript"/>
        </w:rPr>
        <w:t>os</w:t>
      </w:r>
      <w:r>
        <w:rPr>
          <w:rFonts w:ascii="Verdana" w:hAnsi="Verdana"/>
          <w:noProof/>
          <w:sz w:val="20"/>
          <w:szCs w:val="20"/>
        </w:rPr>
        <w:t> 21, 25 e 26, e C-508/04, n.º 80).</w:t>
      </w:r>
    </w:p>
    <w:p>
      <w:pPr>
        <w:spacing w:after="240"/>
        <w:jc w:val="both"/>
        <w:rPr>
          <w:rFonts w:ascii="Verdana" w:hAnsi="Verdana"/>
          <w:noProof/>
          <w:sz w:val="20"/>
          <w:szCs w:val="20"/>
        </w:rPr>
      </w:pPr>
      <w:r>
        <w:rPr>
          <w:rFonts w:ascii="Verdana" w:hAnsi="Verdana"/>
          <w:noProof/>
          <w:sz w:val="20"/>
          <w:szCs w:val="20"/>
        </w:rPr>
        <w:t xml:space="preserve">(1-5) A interpretação e aplicação das disposições da diretiva também devem ter em conta </w:t>
      </w:r>
      <w:r>
        <w:rPr>
          <w:rFonts w:ascii="Verdana" w:hAnsi="Verdana"/>
          <w:b/>
          <w:noProof/>
          <w:sz w:val="20"/>
          <w:szCs w:val="20"/>
        </w:rPr>
        <w:t>o princípio da precaução</w:t>
      </w:r>
      <w:r>
        <w:rPr>
          <w:rFonts w:ascii="Verdana" w:hAnsi="Verdana"/>
          <w:noProof/>
          <w:sz w:val="20"/>
          <w:szCs w:val="20"/>
        </w:rPr>
        <w:t xml:space="preserve"> estabelecido no artigo 191.º do Tratado sobre o Funcionamento da União Europeia (TFUE), que visa garantir um nível mais elevado de proteção do ambiente através de decisões preventivas em caso de risco.</w:t>
      </w:r>
    </w:p>
    <w:bookmarkEnd w:id="2"/>
    <w:p>
      <w:pPr>
        <w:spacing w:after="240"/>
        <w:jc w:val="both"/>
        <w:rPr>
          <w:noProof/>
          <w:sz w:val="20"/>
          <w:szCs w:val="20"/>
        </w:rPr>
      </w:pPr>
      <w:r>
        <w:rPr>
          <w:rFonts w:ascii="Verdana" w:hAnsi="Verdana"/>
          <w:noProof/>
          <w:sz w:val="20"/>
          <w:szCs w:val="20"/>
        </w:rPr>
        <w:t>(1-6)</w:t>
      </w:r>
      <w:r>
        <w:rPr>
          <w:rFonts w:ascii="Verdana" w:hAnsi="Verdana"/>
          <w:noProof/>
          <w:sz w:val="20"/>
          <w:szCs w:val="20"/>
        </w:rPr>
        <w:tab/>
        <w:t xml:space="preserve">Importa igualmente sublinhar que a aplicação das disposições da diretiva em matéria de proteção das espécies exige </w:t>
      </w:r>
      <w:r>
        <w:rPr>
          <w:rFonts w:ascii="Verdana" w:hAnsi="Verdana"/>
          <w:b/>
          <w:noProof/>
          <w:sz w:val="20"/>
          <w:szCs w:val="20"/>
        </w:rPr>
        <w:t>uma abordagem espécie a espécie.</w:t>
      </w:r>
      <w:r>
        <w:rPr>
          <w:rFonts w:ascii="Verdana" w:hAnsi="Verdana"/>
          <w:noProof/>
          <w:sz w:val="20"/>
          <w:szCs w:val="20"/>
        </w:rPr>
        <w:t xml:space="preserve"> Por conseguinte, os Estados-Membros devem sempre ponderar as suas ações de aplicação à luz do objetivo prosseguido, da espécie em questão e das circunstâncias de cada caso.</w:t>
      </w:r>
    </w:p>
    <w:p>
      <w:pPr>
        <w:spacing w:after="240"/>
        <w:jc w:val="both"/>
        <w:rPr>
          <w:rFonts w:ascii="Verdana" w:hAnsi="Verdana"/>
          <w:noProof/>
          <w:sz w:val="20"/>
          <w:szCs w:val="20"/>
        </w:rPr>
      </w:pPr>
      <w:r>
        <w:rPr>
          <w:rFonts w:ascii="Verdana" w:hAnsi="Verdana"/>
          <w:noProof/>
          <w:sz w:val="20"/>
          <w:szCs w:val="20"/>
        </w:rPr>
        <w:t>(1-7)</w:t>
      </w:r>
      <w:r>
        <w:rPr>
          <w:rFonts w:ascii="Verdana" w:hAnsi="Verdana"/>
          <w:noProof/>
          <w:sz w:val="20"/>
          <w:szCs w:val="20"/>
        </w:rPr>
        <w:tab/>
        <w:t>Estes conceitos de flexibilidade e proporcionalidade não devem ser mal interpretados. Não reduzem as obrigações dos Estados-Membros de agir de forma eficaz, antes conferem às autoridades margem de manobra suficiente para adaptarem a sua forma de aplicação a circunstâncias específicas (em termos do estado de conservação, mas também em termos sociais, económicos e culturais).</w:t>
      </w:r>
    </w:p>
    <w:p>
      <w:pPr>
        <w:spacing w:after="240"/>
        <w:jc w:val="both"/>
        <w:rPr>
          <w:rFonts w:ascii="Verdana" w:hAnsi="Verdana"/>
          <w:noProof/>
          <w:sz w:val="20"/>
          <w:szCs w:val="20"/>
        </w:rPr>
      </w:pPr>
      <w:r>
        <w:rPr>
          <w:rFonts w:ascii="Verdana" w:hAnsi="Verdana"/>
          <w:noProof/>
          <w:sz w:val="20"/>
          <w:szCs w:val="20"/>
        </w:rPr>
        <w:t xml:space="preserve">(1-8) Segundo o Tribunal de Justiça, «os artigos 12.º, 13.º e 16.º da [D]iretiva </w:t>
      </w:r>
      <w:r>
        <w:rPr>
          <w:rFonts w:ascii="Verdana" w:hAnsi="Verdana"/>
          <w:i/>
          <w:iCs/>
          <w:noProof/>
          <w:sz w:val="20"/>
          <w:szCs w:val="20"/>
        </w:rPr>
        <w:t>[H]abitats</w:t>
      </w:r>
      <w:r>
        <w:rPr>
          <w:rFonts w:ascii="Verdana" w:hAnsi="Verdana"/>
          <w:noProof/>
          <w:sz w:val="20"/>
          <w:szCs w:val="20"/>
        </w:rPr>
        <w:t xml:space="preserve"> formam um conjunto coerente de normas que pretendem assegurar a proteção das populações das espécies em causa, pelo que qualquer derrogação que seja incompatível com esta diretiva viola tanto as proibições constantes dos artigos 12.º ou 13.º desta última como a regra segundo a qual as derrogações podem ser concedidas nos termos do seu artigo 16.º»</w:t>
      </w:r>
      <w:r>
        <w:rPr>
          <w:rFonts w:ascii="Verdana" w:hAnsi="Verdana"/>
          <w:noProof/>
          <w:sz w:val="20"/>
          <w:szCs w:val="20"/>
          <w:vertAlign w:val="superscript"/>
        </w:rPr>
        <w:footnoteReference w:id="6"/>
      </w:r>
      <w:r>
        <w:rPr>
          <w:rFonts w:ascii="Verdana" w:hAnsi="Verdana"/>
          <w:noProof/>
          <w:sz w:val="20"/>
          <w:szCs w:val="20"/>
        </w:rPr>
        <w:t>. O Tribunal de Justiça clarificou ainda que «os artigos 12.º a 14.º e 15.º, alíneas a) e b), da diretiva formam um conjunto coerente de normas que impõem aos Estados-Membros o estabelecimento de regimes de proteção rigorosos das espécies animais e vegetais em causa»</w:t>
      </w:r>
      <w:r>
        <w:rPr>
          <w:rFonts w:ascii="Verdana" w:hAnsi="Verdana"/>
          <w:noProof/>
          <w:sz w:val="20"/>
          <w:szCs w:val="20"/>
          <w:vertAlign w:val="superscript"/>
        </w:rPr>
        <w:footnoteReference w:id="7"/>
      </w:r>
      <w:r>
        <w:rPr>
          <w:rFonts w:ascii="Verdana" w:hAnsi="Verdana"/>
          <w:noProof/>
          <w:sz w:val="20"/>
          <w:szCs w:val="20"/>
        </w:rPr>
        <w:t xml:space="preserve">. Independentemente da abordagem adotada em relação à aplicação destas disposições, esta terá de respeitar o objetivo global da diretiva, ou seja, garantir a biodiversidade e conservar ou restabelecer os </w:t>
      </w:r>
      <w:r>
        <w:rPr>
          <w:rFonts w:ascii="Verdana" w:hAnsi="Verdana"/>
          <w:i/>
          <w:iCs/>
          <w:noProof/>
          <w:sz w:val="20"/>
          <w:szCs w:val="20"/>
        </w:rPr>
        <w:t>habitats</w:t>
      </w:r>
      <w:r>
        <w:rPr>
          <w:rFonts w:ascii="Verdana" w:hAnsi="Verdana"/>
          <w:noProof/>
          <w:sz w:val="20"/>
          <w:szCs w:val="20"/>
        </w:rPr>
        <w:t xml:space="preserve"> naturais e as espécies de interesse comunitário num estado favorável.</w:t>
      </w:r>
    </w:p>
    <w:p>
      <w:pPr>
        <w:spacing w:after="240"/>
        <w:jc w:val="both"/>
        <w:rPr>
          <w:rFonts w:ascii="Verdana" w:hAnsi="Verdana"/>
          <w:noProof/>
          <w:sz w:val="20"/>
          <w:szCs w:val="20"/>
        </w:rPr>
      </w:pPr>
    </w:p>
    <w:p>
      <w:pPr>
        <w:spacing w:after="240"/>
        <w:jc w:val="both"/>
        <w:rPr>
          <w:rFonts w:ascii="Verdana" w:hAnsi="Verdana"/>
          <w:b/>
          <w:noProof/>
          <w:sz w:val="20"/>
          <w:szCs w:val="20"/>
        </w:rPr>
      </w:pPr>
      <w:r>
        <w:rPr>
          <w:rFonts w:ascii="Verdana" w:hAnsi="Verdana"/>
          <w:b/>
          <w:noProof/>
          <w:sz w:val="20"/>
          <w:szCs w:val="20"/>
        </w:rPr>
        <w:t xml:space="preserve">A área de repartição natural de espécies e </w:t>
      </w:r>
      <w:r>
        <w:rPr>
          <w:rFonts w:ascii="Verdana" w:hAnsi="Verdana"/>
          <w:b/>
          <w:i/>
          <w:iCs/>
          <w:noProof/>
          <w:sz w:val="20"/>
          <w:szCs w:val="20"/>
        </w:rPr>
        <w:t>habitats</w:t>
      </w:r>
      <w:r>
        <w:rPr>
          <w:rFonts w:ascii="Verdana" w:hAnsi="Verdana"/>
          <w:b/>
          <w:noProof/>
          <w:sz w:val="20"/>
          <w:szCs w:val="20"/>
        </w:rPr>
        <w:t xml:space="preserve"> — um conceito dinâmico</w:t>
      </w:r>
    </w:p>
    <w:p>
      <w:pPr>
        <w:spacing w:after="240"/>
        <w:jc w:val="both"/>
        <w:rPr>
          <w:rFonts w:ascii="Verdana" w:hAnsi="Verdana"/>
          <w:noProof/>
          <w:sz w:val="20"/>
          <w:szCs w:val="20"/>
        </w:rPr>
      </w:pPr>
      <w:r>
        <w:rPr>
          <w:rFonts w:ascii="Verdana" w:hAnsi="Verdana"/>
          <w:noProof/>
          <w:sz w:val="20"/>
          <w:szCs w:val="20"/>
        </w:rPr>
        <w:t xml:space="preserve">(1-9) A área de repartição natural descreve aproximadamente os limites espaciais em que o </w:t>
      </w:r>
      <w:r>
        <w:rPr>
          <w:rFonts w:ascii="Verdana" w:hAnsi="Verdana"/>
          <w:i/>
          <w:iCs/>
          <w:noProof/>
          <w:sz w:val="20"/>
          <w:szCs w:val="20"/>
        </w:rPr>
        <w:t>habitat</w:t>
      </w:r>
      <w:r>
        <w:rPr>
          <w:rFonts w:ascii="Verdana" w:hAnsi="Verdana"/>
          <w:noProof/>
          <w:sz w:val="20"/>
          <w:szCs w:val="20"/>
        </w:rPr>
        <w:t xml:space="preserve"> ou a espécie estão presentes. Não é idêntica às localizações exatas (a área efetivamente ocupada) ou ao território exato onde um </w:t>
      </w:r>
      <w:r>
        <w:rPr>
          <w:rFonts w:ascii="Verdana" w:hAnsi="Verdana"/>
          <w:i/>
          <w:iCs/>
          <w:noProof/>
          <w:sz w:val="20"/>
          <w:szCs w:val="20"/>
        </w:rPr>
        <w:t>habitat</w:t>
      </w:r>
      <w:r>
        <w:rPr>
          <w:rFonts w:ascii="Verdana" w:hAnsi="Verdana"/>
          <w:noProof/>
          <w:sz w:val="20"/>
          <w:szCs w:val="20"/>
        </w:rPr>
        <w:t xml:space="preserve">, uma espécie ou uma subespécie estão presentes de forma permanente. Estas localizações ou territórios efetivos podem estar fragmentados ou separados (ou seja, os </w:t>
      </w:r>
      <w:r>
        <w:rPr>
          <w:rFonts w:ascii="Verdana" w:hAnsi="Verdana"/>
          <w:i/>
          <w:iCs/>
          <w:noProof/>
          <w:sz w:val="20"/>
          <w:szCs w:val="20"/>
        </w:rPr>
        <w:t>habitats</w:t>
      </w:r>
      <w:r>
        <w:rPr>
          <w:rFonts w:ascii="Verdana" w:hAnsi="Verdana"/>
          <w:noProof/>
          <w:sz w:val="20"/>
          <w:szCs w:val="20"/>
        </w:rPr>
        <w:t xml:space="preserve"> e as espécies podem não estar dispersos de modo uniforme) na sua área de repartição natural. Caso se verifique que a separação se deve a motivos naturais, ou seja, é causada por fatores ecológicos, as localizações isoladas não devem ser interpretadas como uma área de repartição natural contínua. Por exemplo, no caso de uma espécie alpina, a área de repartição pode incluir os Alpes e os Pirenéus, mas não as planícies entre eles. Porém, a área de repartição natural inclui zonas que não são usadas de forma permanente: por exemplo, no caso das espécies migratórias, a sua área de repartição inclui o conjunto das superfícies terrestres ou aquáticas que uma espécie migratória habita, frequenta temporariamente, atravessa ou sobrevoa em qualquer momento do seu itinerário de migração habitual</w:t>
      </w:r>
      <w:r>
        <w:rPr>
          <w:rFonts w:ascii="Verdana" w:hAnsi="Verdana"/>
          <w:noProof/>
          <w:sz w:val="20"/>
          <w:szCs w:val="20"/>
          <w:vertAlign w:val="superscript"/>
        </w:rPr>
        <w:footnoteReference w:id="8"/>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(1-10) Uma área de repartição natural é dinâmica e não estática: pode diminuir e aumentar. Uma área de repartição natural pode constituir um aspeto da avaliação das condições de um </w:t>
      </w:r>
      <w:r>
        <w:rPr>
          <w:rFonts w:ascii="Verdana" w:hAnsi="Verdana"/>
          <w:i/>
          <w:iCs/>
          <w:noProof/>
          <w:sz w:val="20"/>
          <w:szCs w:val="20"/>
        </w:rPr>
        <w:t>habitat</w:t>
      </w:r>
      <w:r>
        <w:rPr>
          <w:rFonts w:ascii="Verdana" w:hAnsi="Verdana"/>
          <w:noProof/>
          <w:sz w:val="20"/>
          <w:szCs w:val="20"/>
        </w:rPr>
        <w:t xml:space="preserve"> ou de uma espécie. Se a área de repartição natural tiver uma dimensão insuficiente para permitir a existência a longo prazo desse </w:t>
      </w:r>
      <w:r>
        <w:rPr>
          <w:rFonts w:ascii="Verdana" w:hAnsi="Verdana"/>
          <w:i/>
          <w:iCs/>
          <w:noProof/>
          <w:sz w:val="20"/>
          <w:szCs w:val="20"/>
        </w:rPr>
        <w:t>habitat</w:t>
      </w:r>
      <w:r>
        <w:rPr>
          <w:rFonts w:ascii="Verdana" w:hAnsi="Verdana"/>
          <w:noProof/>
          <w:sz w:val="20"/>
          <w:szCs w:val="20"/>
        </w:rPr>
        <w:t xml:space="preserve"> ou dessa espécie, é solicitado aos Estados-Membros que definam um valor de referência para uma área de repartição que permita condições favoráveis e que trabalhem nesse sentido através, por exemplo, da promoção da expansão da área de repartição atual.</w:t>
      </w:r>
    </w:p>
    <w:p>
      <w:pPr>
        <w:spacing w:after="240"/>
        <w:jc w:val="both"/>
        <w:rPr>
          <w:rFonts w:ascii="Verdana" w:hAnsi="Verdana" w:cs="Verdana"/>
          <w:b/>
          <w:bCs/>
          <w:noProof/>
          <w:sz w:val="20"/>
          <w:szCs w:val="20"/>
        </w:rPr>
      </w:pPr>
      <w:r>
        <w:rPr>
          <w:rFonts w:ascii="Verdana" w:hAnsi="Verdana"/>
          <w:noProof/>
          <w:sz w:val="20"/>
          <w:szCs w:val="20"/>
        </w:rPr>
        <w:t xml:space="preserve">(1-11) Quando uma espécie ou um </w:t>
      </w:r>
      <w:r>
        <w:rPr>
          <w:rFonts w:ascii="Verdana" w:hAnsi="Verdana"/>
          <w:i/>
          <w:iCs/>
          <w:noProof/>
          <w:sz w:val="20"/>
          <w:szCs w:val="20"/>
        </w:rPr>
        <w:t>habitat</w:t>
      </w:r>
      <w:r>
        <w:rPr>
          <w:rFonts w:ascii="Verdana" w:hAnsi="Verdana"/>
          <w:noProof/>
          <w:sz w:val="20"/>
          <w:szCs w:val="20"/>
        </w:rPr>
        <w:t xml:space="preserve"> se dispersa autonomamente para uma nova zona ou território, ou se uma espécie tiver sido reintroduzida na sua área de repartição natural anterior (em conformidade com as regras estabelecidas no artigo 22.º da Diretiva </w:t>
      </w:r>
      <w:r>
        <w:rPr>
          <w:rFonts w:ascii="Verdana" w:hAnsi="Verdana"/>
          <w:i/>
          <w:iCs/>
          <w:noProof/>
          <w:sz w:val="20"/>
          <w:szCs w:val="20"/>
        </w:rPr>
        <w:t>Habitats</w:t>
      </w:r>
      <w:r>
        <w:rPr>
          <w:rFonts w:ascii="Verdana" w:hAnsi="Verdana"/>
          <w:noProof/>
          <w:sz w:val="20"/>
          <w:szCs w:val="20"/>
        </w:rPr>
        <w:t xml:space="preserve">), este território tem de ser considerado parte da área de repartição natural. Da mesma forma, a recuperação, recriação ou gestão de zonas de </w:t>
      </w:r>
      <w:r>
        <w:rPr>
          <w:rFonts w:ascii="Verdana" w:hAnsi="Verdana"/>
          <w:i/>
          <w:iCs/>
          <w:noProof/>
          <w:sz w:val="20"/>
          <w:szCs w:val="20"/>
        </w:rPr>
        <w:t>habitat</w:t>
      </w:r>
      <w:r>
        <w:rPr>
          <w:rFonts w:ascii="Verdana" w:hAnsi="Verdana"/>
          <w:noProof/>
          <w:sz w:val="20"/>
          <w:szCs w:val="20"/>
        </w:rPr>
        <w:t xml:space="preserve">, e determinadas práticas agrícolas e florestais, podem contribuir para a expansão da área de repartição natural de um </w:t>
      </w:r>
      <w:r>
        <w:rPr>
          <w:rFonts w:ascii="Verdana" w:hAnsi="Verdana"/>
          <w:i/>
          <w:iCs/>
          <w:noProof/>
          <w:sz w:val="20"/>
          <w:szCs w:val="20"/>
        </w:rPr>
        <w:t>habitat</w:t>
      </w:r>
      <w:r>
        <w:rPr>
          <w:rFonts w:ascii="Verdana" w:hAnsi="Verdana"/>
          <w:noProof/>
          <w:sz w:val="20"/>
          <w:szCs w:val="20"/>
        </w:rPr>
        <w:t xml:space="preserve"> ou espécie. Todavia, os espécimes ou as populações assilvestradas de uma espécie animal introduzida pelo homem de forma deliberada ou acidental em locais onde estes nunca estiveram presentes naturalmente, ou para onde nunca se teriam dispersado naturalmente num futuro previsível, devem ser considerados como estando fora da sua área de repartição natural e, consequentemente, como não estando abrangidos pela diretiva.</w:t>
      </w:r>
    </w:p>
    <w:p>
      <w:pPr>
        <w:pStyle w:val="h2"/>
        <w:rPr>
          <w:noProof/>
        </w:rPr>
      </w:pPr>
      <w:r>
        <w:rPr>
          <w:noProof/>
        </w:rPr>
        <w:t>2. ARTIGO 12.º</w:t>
      </w:r>
    </w:p>
    <w:tbl>
      <w:tblPr>
        <w:tblW w:w="887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shd w:val="clear" w:color="auto" w:fill="B0DDFF"/>
        <w:tblLayout w:type="fixed"/>
        <w:tblLook w:val="00A0" w:firstRow="1" w:lastRow="0" w:firstColumn="1" w:lastColumn="0" w:noHBand="0" w:noVBand="0"/>
      </w:tblPr>
      <w:tblGrid>
        <w:gridCol w:w="8872"/>
      </w:tblGrid>
      <w:tr>
        <w:trPr>
          <w:trHeight w:val="181"/>
        </w:trPr>
        <w:tc>
          <w:tcPr>
            <w:tcW w:w="8872" w:type="dxa"/>
            <w:tcBorders>
              <w:top w:val="single" w:sz="12" w:space="0" w:color="000000"/>
              <w:bottom w:val="single" w:sz="4" w:space="0" w:color="auto"/>
            </w:tcBorders>
            <w:shd w:val="clear" w:color="auto" w:fill="3366FF"/>
          </w:tcPr>
          <w:p>
            <w:pPr>
              <w:spacing w:after="120"/>
              <w:rPr>
                <w:rFonts w:ascii="Verdana" w:hAnsi="Verdana"/>
                <w:b/>
                <w:i/>
                <w:noProof/>
                <w:color w:val="FFFFFF" w:themeColor="background1"/>
              </w:rPr>
            </w:pPr>
            <w:r>
              <w:rPr>
                <w:rFonts w:ascii="Verdana" w:hAnsi="Verdana"/>
                <w:b/>
                <w:noProof/>
                <w:color w:val="FFFFFF" w:themeColor="background1"/>
              </w:rPr>
              <w:t xml:space="preserve">Texto do artigo 12.º </w:t>
            </w:r>
          </w:p>
        </w:tc>
      </w:tr>
      <w:tr>
        <w:trPr>
          <w:trHeight w:val="5776"/>
        </w:trPr>
        <w:tc>
          <w:tcPr>
            <w:tcW w:w="8872" w:type="dxa"/>
            <w:tcBorders>
              <w:top w:val="single" w:sz="4" w:space="0" w:color="auto"/>
            </w:tcBorders>
            <w:shd w:val="clear" w:color="auto" w:fill="B0DDFF"/>
          </w:tcPr>
          <w:p>
            <w:pPr>
              <w:spacing w:before="150" w:after="150"/>
              <w:ind w:right="525"/>
              <w:textAlignment w:val="baseline"/>
              <w:rPr>
                <w:rFonts w:ascii="Tahoma" w:hAnsi="Tahoma" w:cs="Tahoma"/>
                <w:noProof/>
                <w:color w:val="444444"/>
                <w:sz w:val="19"/>
                <w:szCs w:val="19"/>
                <w:u w:val="single"/>
              </w:rPr>
            </w:pPr>
            <w:r>
              <w:rPr>
                <w:rFonts w:ascii="Verdana" w:hAnsi="Verdana"/>
                <w:noProof/>
                <w:sz w:val="19"/>
                <w:szCs w:val="19"/>
                <w:u w:val="single"/>
              </w:rPr>
              <w:t>Artigo 12.º</w:t>
            </w:r>
          </w:p>
          <w:p>
            <w:pPr>
              <w:spacing w:after="60"/>
              <w:jc w:val="both"/>
              <w:rPr>
                <w:rFonts w:ascii="Verdana" w:hAnsi="Verdana"/>
                <w:i/>
                <w:noProof/>
                <w:sz w:val="19"/>
                <w:szCs w:val="19"/>
              </w:rPr>
            </w:pPr>
            <w:r>
              <w:rPr>
                <w:rFonts w:ascii="Verdana" w:hAnsi="Verdana"/>
                <w:i/>
                <w:noProof/>
                <w:sz w:val="19"/>
                <w:szCs w:val="19"/>
              </w:rPr>
              <w:t>1. Os Estados-Membros tomarão as medidas necessárias para instituir um sistema de proteção rigorosa das espécies animais constantes do anexo IV a) dentro da sua área de repartição natural proibindo:</w:t>
            </w:r>
          </w:p>
          <w:p>
            <w:pPr>
              <w:spacing w:after="60"/>
              <w:ind w:left="284"/>
              <w:jc w:val="both"/>
              <w:rPr>
                <w:rFonts w:ascii="Verdana" w:hAnsi="Verdana"/>
                <w:i/>
                <w:noProof/>
                <w:sz w:val="19"/>
                <w:szCs w:val="19"/>
              </w:rPr>
            </w:pPr>
            <w:r>
              <w:rPr>
                <w:rFonts w:ascii="Verdana" w:hAnsi="Verdana"/>
                <w:i/>
                <w:noProof/>
                <w:sz w:val="19"/>
                <w:szCs w:val="19"/>
              </w:rPr>
              <w:t>a) Todas as formas de captura ou abate intencionais de espécimes dessas espécies capturados no meio natural;</w:t>
            </w:r>
          </w:p>
          <w:p>
            <w:pPr>
              <w:spacing w:after="60"/>
              <w:ind w:left="284"/>
              <w:jc w:val="both"/>
              <w:rPr>
                <w:rFonts w:ascii="Verdana" w:hAnsi="Verdana"/>
                <w:i/>
                <w:noProof/>
                <w:sz w:val="19"/>
                <w:szCs w:val="19"/>
              </w:rPr>
            </w:pPr>
            <w:r>
              <w:rPr>
                <w:rFonts w:ascii="Verdana" w:hAnsi="Verdana"/>
                <w:i/>
                <w:noProof/>
                <w:sz w:val="19"/>
                <w:szCs w:val="19"/>
              </w:rPr>
              <w:t>b) A perturbação intencional dessas espécies, nomeadamente durante o período de reprodução, de dependência, de hibernação e de migração;</w:t>
            </w:r>
          </w:p>
          <w:p>
            <w:pPr>
              <w:spacing w:after="60"/>
              <w:ind w:left="284"/>
              <w:jc w:val="both"/>
              <w:rPr>
                <w:rFonts w:ascii="Verdana" w:hAnsi="Verdana"/>
                <w:i/>
                <w:noProof/>
                <w:sz w:val="19"/>
                <w:szCs w:val="19"/>
              </w:rPr>
            </w:pPr>
            <w:r>
              <w:rPr>
                <w:rFonts w:ascii="Verdana" w:hAnsi="Verdana"/>
                <w:i/>
                <w:noProof/>
                <w:sz w:val="19"/>
                <w:szCs w:val="19"/>
              </w:rPr>
              <w:t>c) A destruição ou a recolha intencionais de ovos no meio natural;</w:t>
            </w:r>
          </w:p>
          <w:p>
            <w:pPr>
              <w:spacing w:after="120"/>
              <w:ind w:left="284"/>
              <w:jc w:val="both"/>
              <w:rPr>
                <w:rFonts w:ascii="Verdana" w:hAnsi="Verdana"/>
                <w:i/>
                <w:noProof/>
                <w:sz w:val="19"/>
                <w:szCs w:val="19"/>
              </w:rPr>
            </w:pPr>
            <w:r>
              <w:rPr>
                <w:rFonts w:ascii="Verdana" w:hAnsi="Verdana"/>
                <w:i/>
                <w:noProof/>
                <w:sz w:val="19"/>
                <w:szCs w:val="19"/>
              </w:rPr>
              <w:t>d) A deterioração ou a destruição dos locais de reprodução ou áreas de repouso.</w:t>
            </w:r>
          </w:p>
          <w:p>
            <w:pPr>
              <w:spacing w:after="120"/>
              <w:jc w:val="both"/>
              <w:rPr>
                <w:rFonts w:ascii="Verdana" w:hAnsi="Verdana"/>
                <w:i/>
                <w:noProof/>
                <w:sz w:val="19"/>
                <w:szCs w:val="19"/>
              </w:rPr>
            </w:pPr>
            <w:r>
              <w:rPr>
                <w:rFonts w:ascii="Verdana" w:hAnsi="Verdana"/>
                <w:i/>
                <w:noProof/>
                <w:sz w:val="19"/>
                <w:szCs w:val="19"/>
              </w:rPr>
              <w:t>2. Relativamente a estas espécies, os Estados-Membros proibirão a detenção, o transporte, o comércio ou a troca e a oferta para fins de venda ou de troca de espécimes capturados no meio natural, com exceção dos espécimes colhidos legalmente antes da entrada em vigor da presente diretiva.</w:t>
            </w:r>
          </w:p>
          <w:p>
            <w:pPr>
              <w:spacing w:after="120"/>
              <w:jc w:val="both"/>
              <w:rPr>
                <w:rFonts w:ascii="Verdana" w:hAnsi="Verdana"/>
                <w:i/>
                <w:noProof/>
                <w:sz w:val="19"/>
                <w:szCs w:val="19"/>
              </w:rPr>
            </w:pPr>
            <w:r>
              <w:rPr>
                <w:rFonts w:ascii="Verdana" w:hAnsi="Verdana"/>
                <w:i/>
                <w:noProof/>
                <w:sz w:val="19"/>
                <w:szCs w:val="19"/>
              </w:rPr>
              <w:t>3. As proibições referidas nas alíneas a) e b) do n.º 1 e no n.º 2 aplicam-se a todas as fases da vida dos animais abrangidos pelo presente artigo.</w:t>
            </w:r>
          </w:p>
          <w:p>
            <w:pPr>
              <w:spacing w:after="240"/>
              <w:jc w:val="both"/>
              <w:rPr>
                <w:i/>
                <w:noProof/>
                <w:sz w:val="19"/>
                <w:szCs w:val="19"/>
              </w:rPr>
            </w:pPr>
            <w:r>
              <w:rPr>
                <w:rFonts w:ascii="Verdana" w:hAnsi="Verdana"/>
                <w:i/>
                <w:noProof/>
                <w:sz w:val="19"/>
                <w:szCs w:val="19"/>
              </w:rPr>
              <w:t>4. Os Estados‑Membros instituirão um sistema de vigilância permanente das capturas ou abates acidentais das espécies da fauna enumeradas no anexo IV, alínea a). Com base nas informações recolhidas, os Estados-membros analisarão a necessidade de subsequentes investigações ou medidas de conservação com vista a garantir que as capturas ou abates acidentais não tenham um impacte negativo importante nas espécies em questão.</w:t>
            </w:r>
          </w:p>
          <w:p>
            <w:pPr>
              <w:spacing w:after="120"/>
              <w:jc w:val="both"/>
              <w:rPr>
                <w:rFonts w:ascii="Verdana" w:hAnsi="Verdana"/>
                <w:i/>
                <w:noProof/>
                <w:sz w:val="19"/>
                <w:szCs w:val="19"/>
              </w:rPr>
            </w:pPr>
          </w:p>
        </w:tc>
      </w:tr>
    </w:tbl>
    <w:p>
      <w:pPr>
        <w:spacing w:after="24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(2-1)</w:t>
      </w:r>
      <w:r>
        <w:rPr>
          <w:rFonts w:ascii="Verdana" w:hAnsi="Verdana"/>
          <w:noProof/>
          <w:sz w:val="20"/>
          <w:szCs w:val="20"/>
        </w:rPr>
        <w:tab/>
        <w:t xml:space="preserve">O artigo 12.º diz respeito à proteção das espécies constantes do anexo IV, alínea a). O artigo é aplicável a toda a área de repartição natural das espécies na UE e visa fazer face às respetivas ameaças diretas, mais do que às dos seus </w:t>
      </w:r>
      <w:r>
        <w:rPr>
          <w:rFonts w:ascii="Verdana" w:hAnsi="Verdana"/>
          <w:i/>
          <w:iCs/>
          <w:noProof/>
          <w:sz w:val="20"/>
          <w:szCs w:val="20"/>
        </w:rPr>
        <w:t>habitats</w:t>
      </w:r>
      <w:r>
        <w:rPr>
          <w:rFonts w:ascii="Verdana" w:hAnsi="Verdana"/>
          <w:noProof/>
          <w:sz w:val="20"/>
          <w:szCs w:val="20"/>
        </w:rPr>
        <w:t>, com exceção do artigo 12.º, n.º 1, alínea d).</w:t>
      </w:r>
    </w:p>
    <w:p>
      <w:pPr>
        <w:spacing w:after="240"/>
        <w:jc w:val="both"/>
        <w:rPr>
          <w:rFonts w:ascii="Verdana" w:hAnsi="Verdana"/>
          <w:noProof/>
          <w:sz w:val="20"/>
          <w:szCs w:val="20"/>
        </w:rPr>
      </w:pPr>
      <w:r>
        <w:rPr>
          <w:rFonts w:ascii="Verdana" w:hAnsi="Verdana"/>
          <w:noProof/>
          <w:sz w:val="20"/>
          <w:szCs w:val="20"/>
        </w:rPr>
        <w:t>(2-2)</w:t>
      </w:r>
      <w:r>
        <w:rPr>
          <w:rFonts w:ascii="Verdana" w:hAnsi="Verdana"/>
          <w:noProof/>
          <w:sz w:val="20"/>
          <w:szCs w:val="20"/>
        </w:rPr>
        <w:tab/>
        <w:t xml:space="preserve">O anexo IV, alínea a), engloba uma ampla variedade de espécies, desde grandes vertebrados com uma ampla área de repartição até pequenos invertebrados com uma área de repartição muito pequena. Algumas espécies constam também do anexo II e, por conseguinte, beneficiam também de medidas que visam a conservação dos seus </w:t>
      </w:r>
      <w:r>
        <w:rPr>
          <w:rFonts w:ascii="Verdana" w:hAnsi="Verdana"/>
          <w:i/>
          <w:iCs/>
          <w:noProof/>
          <w:sz w:val="20"/>
          <w:szCs w:val="20"/>
        </w:rPr>
        <w:t>habitats</w:t>
      </w:r>
      <w:r>
        <w:rPr>
          <w:rFonts w:ascii="Verdana" w:hAnsi="Verdana"/>
          <w:noProof/>
          <w:sz w:val="20"/>
          <w:szCs w:val="20"/>
        </w:rPr>
        <w:t xml:space="preserve"> dentro de zonas especiais de conservação (artigos 3.º a 10.º). Outras, todavia, constam unicamente do anexo IV, alínea a), o que significa que, no seu caso, o artigo 12.º (para as espécies animais) e o artigo 13.º (para as espécies vegetais) constituem as principais disposições para atingir o objetivo de conservação da diretiva, referido no artigo 2.º.</w:t>
      </w:r>
    </w:p>
    <w:p>
      <w:pPr>
        <w:spacing w:after="480"/>
        <w:jc w:val="both"/>
        <w:rPr>
          <w:rFonts w:ascii="Verdana" w:hAnsi="Verdana"/>
          <w:noProof/>
          <w:sz w:val="20"/>
          <w:szCs w:val="20"/>
        </w:rPr>
      </w:pPr>
      <w:r>
        <w:rPr>
          <w:rFonts w:ascii="Verdana" w:hAnsi="Verdana"/>
          <w:noProof/>
          <w:sz w:val="20"/>
          <w:szCs w:val="20"/>
        </w:rPr>
        <w:t>(2-3)</w:t>
      </w:r>
      <w:r>
        <w:rPr>
          <w:rFonts w:ascii="Verdana" w:hAnsi="Verdana"/>
          <w:noProof/>
          <w:sz w:val="20"/>
          <w:szCs w:val="20"/>
        </w:rPr>
        <w:tab/>
        <w:t>Antes de analisar em pormenor as disposições do artigo 12.º, vale a pena relembrar algumas considerações jurídicas gerais que foram desenvolvidas pelo TJUE.</w:t>
      </w:r>
    </w:p>
    <w:p>
      <w:pPr>
        <w:pStyle w:val="h3"/>
        <w:rPr>
          <w:noProof/>
        </w:rPr>
      </w:pPr>
      <w:r>
        <w:rPr>
          <w:noProof/>
        </w:rPr>
        <w:t xml:space="preserve">2.1. </w:t>
      </w:r>
      <w:r>
        <w:rPr>
          <w:noProof/>
        </w:rPr>
        <w:tab/>
      </w:r>
      <w:r>
        <w:rPr>
          <w:noProof/>
        </w:rPr>
        <w:tab/>
        <w:t>Considerações jurídicas gerais</w:t>
      </w:r>
    </w:p>
    <w:p>
      <w:pPr>
        <w:pBdr>
          <w:top w:val="single" w:sz="8" w:space="1" w:color="000000"/>
          <w:left w:val="single" w:sz="8" w:space="0"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A transposição do artigo 12.º para a legislação nacional tem de ser completa, clara e precisa. As disposições nacionais têm de ser suficientemente específicas para satisfazer os requisitos da diretiva.</w:t>
      </w:r>
    </w:p>
    <w:p>
      <w:pPr>
        <w:spacing w:after="240"/>
        <w:jc w:val="both"/>
        <w:rPr>
          <w:rFonts w:ascii="Verdana" w:hAnsi="Verdana"/>
          <w:noProof/>
          <w:sz w:val="20"/>
          <w:szCs w:val="20"/>
        </w:rPr>
      </w:pPr>
      <w:r>
        <w:rPr>
          <w:rFonts w:ascii="Verdana" w:hAnsi="Verdana"/>
          <w:noProof/>
          <w:sz w:val="20"/>
          <w:szCs w:val="20"/>
        </w:rPr>
        <w:t>(2-4)</w:t>
      </w:r>
      <w:r>
        <w:rPr>
          <w:rFonts w:ascii="Verdana" w:hAnsi="Verdana"/>
          <w:noProof/>
          <w:sz w:val="20"/>
          <w:szCs w:val="20"/>
        </w:rPr>
        <w:tab/>
        <w:t xml:space="preserve">A aplicação eficaz do </w:t>
      </w:r>
      <w:r>
        <w:rPr>
          <w:rFonts w:ascii="Verdana" w:hAnsi="Verdana"/>
          <w:b/>
          <w:noProof/>
          <w:sz w:val="20"/>
          <w:szCs w:val="20"/>
        </w:rPr>
        <w:t xml:space="preserve">artigo 12.º da Diretiva </w:t>
      </w:r>
      <w:r>
        <w:rPr>
          <w:rFonts w:ascii="Verdana" w:hAnsi="Verdana"/>
          <w:b/>
          <w:i/>
          <w:iCs/>
          <w:noProof/>
          <w:sz w:val="20"/>
          <w:szCs w:val="20"/>
        </w:rPr>
        <w:t>Habitats</w:t>
      </w:r>
      <w:r>
        <w:rPr>
          <w:rFonts w:ascii="Verdana" w:hAnsi="Verdana"/>
          <w:b/>
          <w:noProof/>
          <w:sz w:val="20"/>
          <w:szCs w:val="20"/>
        </w:rPr>
        <w:t xml:space="preserve"> exige uma transposição plena, clara e precisa por parte dos Estados-Membros</w:t>
      </w:r>
      <w:r>
        <w:rPr>
          <w:rFonts w:ascii="Verdana" w:hAnsi="Verdana"/>
          <w:noProof/>
          <w:sz w:val="20"/>
          <w:szCs w:val="20"/>
        </w:rPr>
        <w:t>. Segundo a jurisprudência constante, «as disposições de uma diretiva devem ser aplicadas com caráter obrigatório incontestável, com a especificidade, precisão e clareza necessárias, a fim de ser satisfeita a exigência da segurança jurídica»</w:t>
      </w:r>
      <w:r>
        <w:rPr>
          <w:rFonts w:ascii="Verdana" w:hAnsi="Verdana"/>
          <w:noProof/>
          <w:sz w:val="20"/>
          <w:szCs w:val="20"/>
          <w:vertAlign w:val="superscript"/>
        </w:rPr>
        <w:footnoteReference w:id="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(2-5) Segundo o Tribunal de Justiça, «embora a transposição de uma diretiva para o direito interno não exija necessariamente uma repetição formal e textual do seu conteúdo numa disposição legal expressa e específica, pode, em função do seu conteúdo, ser suficiente para tanto um contexto jurídico geral, desde que este assegure efetivamente a plena aplicação da diretiva de um modo suficientemente claro e preciso»</w:t>
      </w:r>
      <w:r>
        <w:rPr>
          <w:rFonts w:ascii="Verdana" w:hAnsi="Verdana"/>
          <w:noProof/>
          <w:sz w:val="20"/>
          <w:szCs w:val="20"/>
          <w:vertAlign w:val="superscript"/>
        </w:rPr>
        <w:footnoteReference w:id="10"/>
      </w:r>
      <w:r>
        <w:rPr>
          <w:rFonts w:ascii="Verdana" w:hAnsi="Verdana"/>
          <w:noProof/>
          <w:sz w:val="20"/>
          <w:szCs w:val="20"/>
        </w:rPr>
        <w:t>. O Tribunal de Justiça tem afirmado coerentemente que, para que fique satisfeita a exigência de segurança jurídica, os particulares devem beneficiar de uma situação jurídica clara e precisa, que lhes permita conhecer a plenitude dos seus direitos e defendê-los, se for caso disso, perante os órgãos jurisdicionais nacionais</w:t>
      </w:r>
      <w:r>
        <w:rPr>
          <w:rFonts w:ascii="Verdana" w:hAnsi="Verdana"/>
          <w:noProof/>
          <w:sz w:val="20"/>
          <w:szCs w:val="20"/>
          <w:vertAlign w:val="superscript"/>
        </w:rPr>
        <w:footnoteReference w:id="1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A legislação pode prever diferentes tipos de restrições, que podem assumir diversas formas. Todavia, independentemente da forma utilizada, as restrições devem ser suficientemente claras, precisas e estritas. Por exemplo, foi considerado que uma proibição da utilização de produtos fitossanitários em locais onde fosse provável que estes produzissem efeitos nocivos graves no equilíbrio da natureza não preconizava, de modo suficientemente claro, preciso e estrito, a necessidade de proibir a deterioração dos sítios de reprodução ou das áreas de repouso prevista no artigo 12.º, n.º 1, alínea d)</w:t>
      </w:r>
      <w:r>
        <w:rPr>
          <w:rFonts w:ascii="Verdana" w:hAnsi="Verdana"/>
          <w:noProof/>
          <w:sz w:val="20"/>
          <w:szCs w:val="20"/>
          <w:vertAlign w:val="superscript"/>
        </w:rPr>
        <w:footnoteReference w:id="12"/>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(2-6)</w:t>
      </w:r>
      <w:r>
        <w:rPr>
          <w:rFonts w:ascii="Verdana" w:hAnsi="Verdana"/>
          <w:noProof/>
          <w:sz w:val="20"/>
          <w:szCs w:val="20"/>
        </w:rPr>
        <w:tab/>
        <w:t>Quaisquer disposições que estabeleçam um quadro de proteção rigorosa devem abordar especificamente as espécies constantes do anexo IV e cumprir todos os requisitos previstos no artigo 12.º. O Tribunal de Justiça</w:t>
      </w:r>
      <w:r>
        <w:rPr>
          <w:rFonts w:ascii="Verdana" w:hAnsi="Verdana"/>
          <w:noProof/>
          <w:sz w:val="20"/>
          <w:szCs w:val="20"/>
          <w:vertAlign w:val="superscript"/>
        </w:rPr>
        <w:footnoteReference w:id="13"/>
      </w:r>
      <w:r>
        <w:rPr>
          <w:rFonts w:ascii="Verdana" w:hAnsi="Verdana"/>
          <w:noProof/>
          <w:sz w:val="20"/>
          <w:szCs w:val="20"/>
        </w:rPr>
        <w:t xml:space="preserve"> salientou a importância desta questão no processo </w:t>
      </w:r>
      <w:r>
        <w:rPr>
          <w:rFonts w:ascii="Verdana" w:hAnsi="Verdana"/>
          <w:i/>
          <w:noProof/>
          <w:sz w:val="20"/>
          <w:szCs w:val="20"/>
        </w:rPr>
        <w:t>Caretta caretta</w:t>
      </w:r>
      <w:r>
        <w:rPr>
          <w:rFonts w:ascii="Verdana" w:hAnsi="Verdana"/>
          <w:noProof/>
          <w:sz w:val="20"/>
          <w:szCs w:val="20"/>
        </w:rPr>
        <w:t xml:space="preserve"> (tartaruga-vulgar). Convidado pelo Tribunal de Justiça a precisar as disposições da sua ordem jurídica em vigor que considerava serem suscetíveis de cumprir as exigências impostas pelo artigo 12.º, «o Governo helénico limitou-se a enumerar uma série de atos legislativos, regulamentares e administrativos, sem indicar qualquer disposição específica suscetível de cumprir as referidas exigências».</w:t>
      </w:r>
    </w:p>
    <w:p>
      <w:pPr>
        <w:spacing w:after="240"/>
        <w:jc w:val="both"/>
        <w:rPr>
          <w:rFonts w:ascii="Verdana" w:hAnsi="Verdana"/>
          <w:noProof/>
          <w:sz w:val="20"/>
          <w:szCs w:val="20"/>
        </w:rPr>
      </w:pPr>
      <w:r>
        <w:rPr>
          <w:rFonts w:ascii="Verdana" w:hAnsi="Verdana"/>
          <w:noProof/>
          <w:sz w:val="20"/>
          <w:szCs w:val="20"/>
        </w:rPr>
        <w:t xml:space="preserve">Face ao caráter específico do artigo 12.º, o Tribunal de Justiça decidiu que as disposições legislativas ou administrativas de caráter geral, como, por exemplo, uma mera reprodução do texto do artigo 12.º na legislação nacional, nem sempre satisfazem os requisitos de proteção das espécies nem garantem a aplicação eficaz do artigo 12.º. </w:t>
      </w:r>
      <w:r>
        <w:rPr>
          <w:rFonts w:ascii="Verdana" w:hAnsi="Verdana"/>
          <w:noProof/>
          <w:snapToGrid w:val="0"/>
          <w:sz w:val="20"/>
          <w:szCs w:val="20"/>
        </w:rPr>
        <w:t xml:space="preserve">A transposição formal do artigo 12.º para a legislação nacional não é, por si só, suficiente para garantir a sua eficácia. Deve ser complementada por outras disposições de execução, a fim de garantir a proteção rigorosa </w:t>
      </w:r>
      <w:r>
        <w:rPr>
          <w:rFonts w:ascii="Verdana" w:hAnsi="Verdana"/>
          <w:noProof/>
          <w:sz w:val="20"/>
          <w:szCs w:val="20"/>
        </w:rPr>
        <w:t>com base nas particularidades e nos problemas e ameaças específicos enfrentados pelas espécies ou grupos de espécies constantes do anexo IV.</w:t>
      </w:r>
    </w:p>
    <w:p>
      <w:pPr>
        <w:spacing w:after="240"/>
        <w:jc w:val="both"/>
        <w:rPr>
          <w:rFonts w:ascii="Verdana" w:hAnsi="Verdana"/>
          <w:noProof/>
          <w:sz w:val="20"/>
          <w:szCs w:val="20"/>
        </w:rPr>
      </w:pPr>
      <w:r>
        <w:rPr>
          <w:rFonts w:ascii="Verdana" w:hAnsi="Verdana"/>
          <w:noProof/>
          <w:sz w:val="20"/>
          <w:szCs w:val="20"/>
        </w:rPr>
        <w:t>(2-7)</w:t>
      </w:r>
      <w:r>
        <w:rPr>
          <w:rFonts w:ascii="Verdana" w:hAnsi="Verdana"/>
          <w:noProof/>
          <w:sz w:val="20"/>
          <w:szCs w:val="20"/>
        </w:rPr>
        <w:tab/>
        <w:t>Na transposição da diretiva, os Estados-Membros têm de respeitar o significado dos termos e conceitos utilizados pela diretiva, a fim de garantir a uniformidade na sua interpretação e aplicação</w:t>
      </w:r>
      <w:r>
        <w:rPr>
          <w:rFonts w:ascii="Verdana" w:hAnsi="Verdana"/>
          <w:noProof/>
          <w:sz w:val="20"/>
          <w:szCs w:val="20"/>
          <w:vertAlign w:val="superscript"/>
        </w:rPr>
        <w:footnoteReference w:id="14"/>
      </w:r>
      <w:r>
        <w:rPr>
          <w:rFonts w:ascii="Verdana" w:hAnsi="Verdana"/>
          <w:noProof/>
          <w:sz w:val="20"/>
          <w:szCs w:val="20"/>
        </w:rPr>
        <w:t>. Tal implica também que as medidas de transposição nacionais garantam a plena aplicação da diretiva sem modificar os respetivos termos, aplicar seletivamente as suas disposições ou acrescentar condições ou derrogações suplementares não previstas na diretiva</w:t>
      </w:r>
      <w:r>
        <w:rPr>
          <w:rFonts w:ascii="Verdana" w:hAnsi="Verdana"/>
          <w:noProof/>
          <w:sz w:val="20"/>
          <w:szCs w:val="20"/>
          <w:vertAlign w:val="superscript"/>
        </w:rPr>
        <w:footnoteReference w:id="15"/>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Tal como observou o Tribunal de Justiça, «a exatidão da transposição tem uma importância especial num caso como o ora vertente, em que a gestão do património comum é confiada, em relação ao seu respetivo território, aos Estados‑Membros […] Daqui decorre que, no âmbito da [D]iretiva [</w:t>
      </w:r>
      <w:r>
        <w:rPr>
          <w:rFonts w:ascii="Verdana" w:hAnsi="Verdana"/>
          <w:i/>
          <w:iCs/>
          <w:noProof/>
          <w:sz w:val="20"/>
          <w:szCs w:val="20"/>
        </w:rPr>
        <w:t>Habitats</w:t>
      </w:r>
      <w:r>
        <w:rPr>
          <w:rFonts w:ascii="Verdana" w:hAnsi="Verdana"/>
          <w:noProof/>
          <w:sz w:val="20"/>
          <w:szCs w:val="20"/>
        </w:rPr>
        <w:t>], que contém regras complexas e técnicas no domínio do direito do ambiente, os Estados‑Membros são especialmente obrigados a garantir que as respetivas legislações destinadas a assegurar a transposição dessa diretiva sejam claras e precisas»</w:t>
      </w:r>
      <w:r>
        <w:rPr>
          <w:rFonts w:ascii="Verdana" w:hAnsi="Verdana"/>
          <w:noProof/>
          <w:sz w:val="20"/>
          <w:szCs w:val="20"/>
          <w:vertAlign w:val="superscript"/>
        </w:rPr>
        <w:footnoteReference w:id="1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Por exemplo, foi considerado que a transposição do artigo 12.º, n.º 1, alínea d), proibindo apenas a deterioração ou a destruição dos locais de reprodução ou áreas de repouso que são claramente percetíveis ou </w:t>
      </w:r>
      <w:r>
        <w:rPr>
          <w:rFonts w:ascii="Verdana" w:hAnsi="Verdana"/>
          <w:noProof/>
          <w:sz w:val="20"/>
        </w:rPr>
        <w:t xml:space="preserve">perfeitamente </w:t>
      </w:r>
      <w:r>
        <w:rPr>
          <w:rFonts w:ascii="Verdana" w:hAnsi="Verdana"/>
          <w:noProof/>
          <w:sz w:val="20"/>
          <w:szCs w:val="20"/>
        </w:rPr>
        <w:t>conhecidos e identificados como tal, ou a proibição apenas da deterioração ou destruição intencionais dos locais de reprodução ou áreas de repouso</w:t>
      </w:r>
      <w:r>
        <w:rPr>
          <w:rFonts w:ascii="Verdana" w:hAnsi="Verdana"/>
          <w:noProof/>
          <w:sz w:val="20"/>
          <w:szCs w:val="20"/>
          <w:vertAlign w:val="superscript"/>
        </w:rPr>
        <w:footnoteReference w:id="17"/>
      </w:r>
      <w:r>
        <w:rPr>
          <w:rFonts w:ascii="Verdana" w:hAnsi="Verdana"/>
          <w:noProof/>
          <w:sz w:val="20"/>
          <w:szCs w:val="20"/>
        </w:rPr>
        <w:t>, modificou a substância do artigo 12.º, n.º 1, alínea d), e limita o seu âmbito de aplicação. Esta disposição exige que os Estados</w:t>
      </w:r>
      <w:r>
        <w:rPr>
          <w:rFonts w:ascii="Verdana" w:hAnsi="Verdana"/>
          <w:noProof/>
          <w:sz w:val="20"/>
          <w:szCs w:val="20"/>
        </w:rPr>
        <w:noBreakHyphen/>
        <w:t xml:space="preserve">Membros proíbam a destruição, intencional ou não, de </w:t>
      </w:r>
      <w:r>
        <w:rPr>
          <w:rFonts w:ascii="Verdana" w:hAnsi="Verdana"/>
          <w:i/>
          <w:noProof/>
          <w:sz w:val="20"/>
          <w:szCs w:val="20"/>
        </w:rPr>
        <w:t>todos</w:t>
      </w:r>
      <w:r>
        <w:rPr>
          <w:rFonts w:ascii="Verdana" w:hAnsi="Verdana"/>
          <w:noProof/>
          <w:sz w:val="20"/>
          <w:szCs w:val="20"/>
        </w:rPr>
        <w:t xml:space="preserve"> os locais de reprodução e áreas de repouso, e não apenas dos que são bem conhecidos. Além disso, também exclui a isenção de atos lícitos da proibição prevista no artigo 12.º, n.º 1, alínea d). Por conseguinte, este tipo de transposição é incompatível com o artigo 12.º, n.º 1, alínea d), na medida em que não proíbe a destruição, intencional ou não, de </w:t>
      </w:r>
      <w:r>
        <w:rPr>
          <w:rFonts w:ascii="Verdana" w:hAnsi="Verdana"/>
          <w:i/>
          <w:noProof/>
          <w:sz w:val="20"/>
          <w:szCs w:val="20"/>
        </w:rPr>
        <w:t>todos</w:t>
      </w:r>
      <w:r>
        <w:rPr>
          <w:rFonts w:ascii="Verdana" w:hAnsi="Verdana"/>
          <w:noProof/>
          <w:sz w:val="20"/>
          <w:szCs w:val="20"/>
        </w:rPr>
        <w:t xml:space="preserve"> os locais de reprodução e áreas de repouso.</w:t>
      </w:r>
    </w:p>
    <w:p>
      <w:pPr>
        <w:autoSpaceDE w:val="0"/>
        <w:autoSpaceDN w:val="0"/>
        <w:adjustRightInd w:val="0"/>
        <w:jc w:val="both"/>
        <w:rPr>
          <w:noProof/>
          <w:sz w:val="20"/>
          <w:szCs w:val="20"/>
        </w:rPr>
      </w:pPr>
      <w:r>
        <w:rPr>
          <w:rFonts w:ascii="Verdana" w:hAnsi="Verdana"/>
          <w:noProof/>
          <w:sz w:val="20"/>
          <w:szCs w:val="20"/>
        </w:rPr>
        <w:t>(2-8)</w:t>
      </w:r>
      <w:r>
        <w:rPr>
          <w:rFonts w:ascii="Verdana" w:hAnsi="Verdana"/>
          <w:noProof/>
          <w:sz w:val="20"/>
          <w:szCs w:val="20"/>
        </w:rPr>
        <w:tab/>
        <w:t xml:space="preserve">Além disso, «[m]eras práticas administrativas, por natureza modificáveis </w:t>
      </w:r>
      <w:r>
        <w:rPr>
          <w:rFonts w:ascii="Verdana" w:hAnsi="Verdana"/>
          <w:i/>
          <w:iCs/>
          <w:noProof/>
          <w:sz w:val="20"/>
          <w:szCs w:val="20"/>
        </w:rPr>
        <w:t>ad libitum</w:t>
      </w:r>
      <w:r>
        <w:rPr>
          <w:rFonts w:ascii="Verdana" w:hAnsi="Verdana"/>
          <w:noProof/>
          <w:sz w:val="20"/>
          <w:szCs w:val="20"/>
        </w:rPr>
        <w:t xml:space="preserve"> pela administração, não poderão ser consideradas como constituindo uma execução válida da obrigação que incumbe aos Estados-[M]embros, destinatários de uma diretiva, por força do artigo 189.° do Tratado»</w:t>
      </w:r>
      <w:r>
        <w:rPr>
          <w:rFonts w:ascii="Verdana" w:hAnsi="Verdana"/>
          <w:noProof/>
          <w:sz w:val="20"/>
          <w:szCs w:val="20"/>
          <w:vertAlign w:val="superscript"/>
        </w:rPr>
        <w:footnoteReference w:id="18"/>
      </w:r>
      <w:r>
        <w:rPr>
          <w:rFonts w:ascii="Verdana" w:hAnsi="Verdana"/>
          <w:noProof/>
          <w:sz w:val="20"/>
          <w:szCs w:val="20"/>
        </w:rPr>
        <w:t>. Outro processo do Tribunal de Justiça reforçou esta decisão</w:t>
      </w:r>
      <w:r>
        <w:rPr>
          <w:rFonts w:ascii="Verdana" w:hAnsi="Verdana"/>
          <w:noProof/>
          <w:sz w:val="20"/>
          <w:szCs w:val="20"/>
          <w:vertAlign w:val="superscript"/>
        </w:rPr>
        <w:footnoteReference w:id="19"/>
      </w:r>
      <w:r>
        <w:rPr>
          <w:rFonts w:ascii="Verdana" w:hAnsi="Verdana"/>
          <w:noProof/>
          <w:sz w:val="20"/>
          <w:szCs w:val="20"/>
        </w:rPr>
        <w:t>. Não se pode considerar que a existência de jurisprudência nacional, por si só, sem nenhuma disposição jurídica específica, constitua uma execução válida da obrigação de transpor integralmente uma diretiva.</w:t>
      </w:r>
      <w:r>
        <w:rPr>
          <w:noProof/>
        </w:rPr>
        <w:t xml:space="preserve"> </w:t>
      </w:r>
      <w:r>
        <w:rPr>
          <w:rFonts w:ascii="Verdana" w:hAnsi="Verdana"/>
          <w:noProof/>
          <w:sz w:val="20"/>
          <w:szCs w:val="20"/>
        </w:rPr>
        <w:t>Por outro lado, «mesmo que a legislação nacional aplicável seja, em si mesma, compatível com o direito comunitário, o incumprimento pode decorrer da existência de uma prática administrativa que viola esse direito»</w:t>
      </w:r>
      <w:r>
        <w:rPr>
          <w:rFonts w:ascii="Verdana" w:hAnsi="Verdana"/>
          <w:noProof/>
          <w:sz w:val="20"/>
          <w:szCs w:val="20"/>
          <w:vertAlign w:val="superscript"/>
        </w:rPr>
        <w:footnoteReference w:id="20"/>
      </w:r>
      <w:r>
        <w:rPr>
          <w:rFonts w:ascii="Verdana" w:hAnsi="Verdana"/>
          <w:noProof/>
          <w:sz w:val="20"/>
          <w:szCs w:val="20"/>
        </w:rPr>
        <w:t>.</w:t>
      </w:r>
    </w:p>
    <w:p>
      <w:pPr>
        <w:autoSpaceDE w:val="0"/>
        <w:autoSpaceDN w:val="0"/>
        <w:adjustRightInd w:val="0"/>
        <w:jc w:val="both"/>
        <w:rPr>
          <w:noProof/>
          <w:sz w:val="20"/>
          <w:szCs w:val="20"/>
        </w:rPr>
      </w:pP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b/>
          <w:noProof/>
          <w:sz w:val="18"/>
          <w:szCs w:val="20"/>
        </w:rPr>
        <w:t xml:space="preserve">1 — Jurisprudência do TJUE: o processo </w:t>
      </w:r>
      <w:r>
        <w:rPr>
          <w:rFonts w:ascii="Verdana" w:hAnsi="Verdana"/>
          <w:b/>
          <w:i/>
          <w:noProof/>
          <w:sz w:val="18"/>
          <w:szCs w:val="20"/>
        </w:rPr>
        <w:t>Caretta caretta</w:t>
      </w:r>
      <w:r>
        <w:rPr>
          <w:rFonts w:ascii="Verdana" w:hAnsi="Verdana"/>
          <w:b/>
          <w:noProof/>
          <w:sz w:val="18"/>
          <w:szCs w:val="20"/>
        </w:rPr>
        <w:t xml:space="preserve"> (tartaruga-vulgar) em Zákynthos</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O processo </w:t>
      </w:r>
      <w:r>
        <w:rPr>
          <w:rFonts w:ascii="Verdana" w:hAnsi="Verdana"/>
          <w:i/>
          <w:noProof/>
          <w:sz w:val="18"/>
          <w:szCs w:val="20"/>
        </w:rPr>
        <w:t>Caretta caretta</w:t>
      </w:r>
      <w:r>
        <w:rPr>
          <w:rFonts w:ascii="Verdana" w:hAnsi="Verdana"/>
          <w:noProof/>
          <w:sz w:val="18"/>
          <w:szCs w:val="20"/>
        </w:rPr>
        <w:t xml:space="preserve"> (processo C-103/00, Comissão/Grécia) foi o primeiro acórdão sobre a aplicação do artigo 12.º da Diretiva </w:t>
      </w:r>
      <w:r>
        <w:rPr>
          <w:rFonts w:ascii="Verdana" w:hAnsi="Verdana"/>
          <w:i/>
          <w:iCs/>
          <w:noProof/>
          <w:sz w:val="18"/>
          <w:szCs w:val="20"/>
        </w:rPr>
        <w:t>Habitats</w:t>
      </w:r>
      <w:r>
        <w:rPr>
          <w:rFonts w:ascii="Verdana" w:hAnsi="Verdana"/>
          <w:noProof/>
          <w:sz w:val="18"/>
          <w:szCs w:val="20"/>
        </w:rPr>
        <w:t xml:space="preserve"> a uma espécie específica. Nunca, antes deste acórdão, tinha o Tribunal de Justiça emitido uma interpretação sobre a sua aplicação e âmbito.</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A tartaruga-vulgar (</w:t>
      </w:r>
      <w:r>
        <w:rPr>
          <w:rFonts w:ascii="Verdana" w:hAnsi="Verdana"/>
          <w:i/>
          <w:noProof/>
          <w:sz w:val="18"/>
          <w:szCs w:val="20"/>
        </w:rPr>
        <w:t>Caretta caretta</w:t>
      </w:r>
      <w:r>
        <w:rPr>
          <w:rFonts w:ascii="Verdana" w:hAnsi="Verdana"/>
          <w:noProof/>
          <w:sz w:val="18"/>
          <w:szCs w:val="20"/>
        </w:rPr>
        <w:t xml:space="preserve">) consta dos anexos II e IV da Diretiva </w:t>
      </w:r>
      <w:r>
        <w:rPr>
          <w:rFonts w:ascii="Verdana" w:hAnsi="Verdana"/>
          <w:i/>
          <w:iCs/>
          <w:noProof/>
          <w:sz w:val="18"/>
          <w:szCs w:val="20"/>
        </w:rPr>
        <w:t>Habitats</w:t>
      </w:r>
      <w:r>
        <w:rPr>
          <w:rFonts w:ascii="Verdana" w:hAnsi="Verdana"/>
          <w:noProof/>
          <w:sz w:val="18"/>
          <w:szCs w:val="20"/>
        </w:rPr>
        <w:t xml:space="preserve"> como espécie de interesse comunitário que exige uma proteção rigorosa. O golfo de Laganas da ilha de Zákynthos é o local de reprodução mais importante desta tartaruga no Mediterrâneo e é também um sítio Natura 2000.</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Em 1998, várias organizações não governamentais expuseram os vários problemas enfrentados pela espécie em Zákynthos. Entre estes contavam-se o uso descontrolado das praias da ilha e do mar envolvente para atividades turísticas, a construção de edifícios ilegais, a utilização de motociclos nas praias e outras atividades com impactos potencialmente negativos nestas tartarugas.</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A Comissão solicitou às autoridades helénicas informações quanto às medidas tomadas para proteger a espécie nesta ilha. Com base nestas informações e nas conclusões dos serviços da Comissão em visitas de inspeção, foi iniciado um processo de infração ao abrigo do artigo 258.º do TFUE pelo facto de a Grécia ter desrespeitado as obrigações que lhe incumbem por força do artigo 12.º, n.º 1, alíneas b) e d), da Diretiva </w:t>
      </w:r>
      <w:r>
        <w:rPr>
          <w:rFonts w:ascii="Verdana" w:hAnsi="Verdana"/>
          <w:i/>
          <w:iCs/>
          <w:noProof/>
          <w:sz w:val="18"/>
          <w:szCs w:val="20"/>
        </w:rPr>
        <w:t>Habitats</w:t>
      </w:r>
      <w:r>
        <w:rPr>
          <w:rFonts w:ascii="Verdana" w:hAnsi="Verdana"/>
          <w:noProof/>
          <w:sz w:val="18"/>
          <w:szCs w:val="20"/>
        </w:rPr>
        <w:t>. Durante o procedimento pré-contencioso, as autoridades helénicas afirmaram que tinham sido adotadas ou estavam em processo de adoção e aplicação todas as medidas adequadas para garantir a proteção da tartaruga.</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Após uma avaliação atualizada pela Comissão em 1999, verificou-se que a situação ainda era insatisfatória, tendo o processo sido enviado para o Tribunal de Justiça. Mais especificamente, a Comissão alegou que a Grécia tinha desrespeitado o artigo 12.º, n.º 1, alíneas b) e d), da Diretiva </w:t>
      </w:r>
      <w:r>
        <w:rPr>
          <w:rFonts w:ascii="Verdana" w:hAnsi="Verdana"/>
          <w:i/>
          <w:iCs/>
          <w:noProof/>
          <w:sz w:val="18"/>
          <w:szCs w:val="20"/>
        </w:rPr>
        <w:t>Habitats</w:t>
      </w:r>
      <w:r>
        <w:rPr>
          <w:rFonts w:ascii="Verdana" w:hAnsi="Verdana"/>
          <w:noProof/>
          <w:sz w:val="18"/>
          <w:szCs w:val="20"/>
        </w:rPr>
        <w:t xml:space="preserve">, em primeiro lugar, ao não adotar um quadro jurídico para assegurar uma proteção rigorosa da </w:t>
      </w:r>
      <w:r>
        <w:rPr>
          <w:rFonts w:ascii="Verdana" w:hAnsi="Verdana"/>
          <w:i/>
          <w:noProof/>
          <w:sz w:val="18"/>
          <w:szCs w:val="20"/>
        </w:rPr>
        <w:t>Caretta caretta</w:t>
      </w:r>
      <w:r>
        <w:rPr>
          <w:rFonts w:ascii="Verdana" w:hAnsi="Verdana"/>
          <w:noProof/>
          <w:sz w:val="18"/>
          <w:szCs w:val="20"/>
        </w:rPr>
        <w:t xml:space="preserve"> contra qualquer perturbação intencional durante o período de reprodução, bem como contra qualquer deterioração ou destruição das suas áreas de reprodução e, em segundo lugar, ao não tomar medidas concretas e eficazes no terreno para evitar estes problemas.</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Em 30 de janeiro de 2002, o Tribunal de Justiça aceitou os argumentos da Comissão e condenou a Grécia por não ter </w:t>
      </w:r>
      <w:r>
        <w:rPr>
          <w:rFonts w:ascii="Verdana" w:hAnsi="Verdana"/>
          <w:bCs/>
          <w:noProof/>
          <w:sz w:val="18"/>
          <w:szCs w:val="20"/>
        </w:rPr>
        <w:t>estabelecido e aplicado um sistema eficaz de proteção rigorosa</w:t>
      </w:r>
      <w:r>
        <w:rPr>
          <w:rFonts w:ascii="Verdana" w:hAnsi="Verdana"/>
          <w:noProof/>
          <w:sz w:val="18"/>
          <w:szCs w:val="20"/>
        </w:rPr>
        <w:t xml:space="preserve"> para a tartaruga</w:t>
      </w:r>
      <w:r>
        <w:rPr>
          <w:rFonts w:ascii="Verdana" w:hAnsi="Verdana"/>
          <w:noProof/>
          <w:sz w:val="18"/>
          <w:szCs w:val="20"/>
        </w:rPr>
        <w:noBreakHyphen/>
        <w:t>vulgar (</w:t>
      </w:r>
      <w:r>
        <w:rPr>
          <w:rFonts w:ascii="Verdana" w:hAnsi="Verdana"/>
          <w:i/>
          <w:noProof/>
          <w:sz w:val="18"/>
          <w:szCs w:val="20"/>
        </w:rPr>
        <w:t>Caretta caretta</w:t>
      </w:r>
      <w:r>
        <w:rPr>
          <w:rFonts w:ascii="Verdana" w:hAnsi="Verdana"/>
          <w:noProof/>
          <w:sz w:val="18"/>
          <w:szCs w:val="20"/>
        </w:rPr>
        <w:t>) em Zákynthos. Nomeadamente, as autoridades helénicas não tinham tomado as medidas necessárias para evitar, por um lado, a perturbação da espécie durante o período de reprodução e, por outro lado, atividades que pudessem causar a deterioração ou destruição das suas áreas de reprodução.</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480"/>
        <w:jc w:val="both"/>
        <w:rPr>
          <w:noProof/>
          <w:sz w:val="18"/>
          <w:szCs w:val="20"/>
        </w:rPr>
      </w:pPr>
      <w:r>
        <w:rPr>
          <w:rFonts w:ascii="Verdana" w:hAnsi="Verdana"/>
          <w:noProof/>
          <w:sz w:val="18"/>
          <w:szCs w:val="20"/>
        </w:rPr>
        <w:t>Após a segunda decisão, foi criado um novo Conselho de Administração para fiscalizar as praias onde ocorre a nidificação e assegurar o contacto com as autoridades locais (província, municípios, polícia, autoridade portuária, autoridade responsável pelos terrenos públicos). Foram também assinados códigos de conduta com as ONG, os operadores económicos e os proprietários de terrenos. Na sequência da avaliação das novas medidas tomadas para proteger a espécie, a Comissão considerou que a Grécia tinha dado cumprimento ao acórdão do Tribunal de Justiça e, em 27 de junho de 2007, decidiu encerrar o processo.</w:t>
      </w:r>
    </w:p>
    <w:p>
      <w:pPr>
        <w:pStyle w:val="h3"/>
        <w:rPr>
          <w:noProof/>
        </w:rPr>
      </w:pPr>
      <w:r>
        <w:rPr>
          <w:noProof/>
        </w:rPr>
        <w:t xml:space="preserve">2.2. </w:t>
      </w:r>
      <w:r>
        <w:rPr>
          <w:noProof/>
        </w:rPr>
        <w:tab/>
      </w:r>
      <w:r>
        <w:rPr>
          <w:noProof/>
        </w:rPr>
        <w:tab/>
        <w:t>Medidas necessárias para um sistema de proteção rigorosa</w:t>
      </w:r>
    </w:p>
    <w:p>
      <w:pPr>
        <w:spacing w:after="240"/>
        <w:jc w:val="both"/>
        <w:rPr>
          <w:rFonts w:ascii="Verdana" w:hAnsi="Verdana"/>
          <w:noProof/>
          <w:sz w:val="20"/>
          <w:szCs w:val="20"/>
        </w:rPr>
      </w:pPr>
      <w:r>
        <w:rPr>
          <w:rFonts w:ascii="Verdana" w:hAnsi="Verdana"/>
          <w:noProof/>
          <w:sz w:val="20"/>
          <w:szCs w:val="20"/>
        </w:rPr>
        <w:t>(2-9)</w:t>
      </w:r>
      <w:r>
        <w:rPr>
          <w:rFonts w:ascii="Verdana" w:hAnsi="Verdana"/>
          <w:noProof/>
          <w:sz w:val="20"/>
          <w:szCs w:val="20"/>
        </w:rPr>
        <w:tab/>
        <w:t xml:space="preserve">O artigo 12.º, n.º 1, da Diretiva </w:t>
      </w:r>
      <w:r>
        <w:rPr>
          <w:rFonts w:ascii="Verdana" w:hAnsi="Verdana"/>
          <w:i/>
          <w:iCs/>
          <w:noProof/>
          <w:sz w:val="20"/>
          <w:szCs w:val="20"/>
        </w:rPr>
        <w:t>Habitats</w:t>
      </w:r>
      <w:r>
        <w:rPr>
          <w:rFonts w:ascii="Verdana" w:hAnsi="Verdana"/>
          <w:noProof/>
          <w:sz w:val="20"/>
          <w:szCs w:val="20"/>
        </w:rPr>
        <w:t xml:space="preserve"> obriga os Estados-Membros a tomarem «as medidas necessárias para instituir um sistema de proteção rigorosa» das espécies constantes do anexo IV dentro da sua área de repartição natural. Esta obrigação suscita várias questões quanto à definição de certos termos utilizados. Embora defina claramente as proibições, a diretiva, por exemplo, não define em pormenor o que se entende por medidas «necessárias» nem por «sistema» de proteção rigorosa.</w:t>
      </w:r>
    </w:p>
    <w:p>
      <w:pPr>
        <w:spacing w:after="360"/>
        <w:jc w:val="both"/>
        <w:rPr>
          <w:rFonts w:ascii="Verdana" w:hAnsi="Verdana"/>
          <w:noProof/>
          <w:sz w:val="20"/>
          <w:szCs w:val="20"/>
        </w:rPr>
      </w:pPr>
      <w:r>
        <w:rPr>
          <w:rFonts w:ascii="Verdana" w:hAnsi="Verdana"/>
          <w:noProof/>
          <w:sz w:val="20"/>
          <w:szCs w:val="20"/>
        </w:rPr>
        <w:t>(2-10) Por conseguinte, importa recordar que a interpretação e aplicação do artigo 12.º, n.º 1, alíneas a) a d), devem ter em conta o objetivo da diretiva previsto no artigo 2.º. Por conseguinte, a diretiva concede uma certa margem de manobra aos Estados-Membros na instituição de um «sistema» de proteção rigorosa das espécies enumeradas no anexo IV. Porém, este poder discricionário está sujeito a limitações e tem de respeitar uma série de requisitos mínimos, conforme especificado a seguir.</w:t>
      </w:r>
    </w:p>
    <w:p>
      <w:pPr>
        <w:pStyle w:val="h4"/>
        <w:rPr>
          <w:noProof/>
        </w:rPr>
      </w:pPr>
      <w:r>
        <w:rPr>
          <w:noProof/>
        </w:rPr>
        <w:t>2.2.1.</w:t>
      </w:r>
      <w:r>
        <w:rPr>
          <w:noProof/>
        </w:rPr>
        <w:tab/>
        <w:t>Medidas para instituir e aplicar eficazmente um sistema de proteção rigorosa</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A aplicação plena e eficaz do artigo 12.º exige: 1) a instituição de um quadro jurídico coerente para o sistema de proteção rigorosa; 2) medidas concretas para a sua execução eficaz no terreno; e 3) a aplicação de um conjunto de medidas coerentes e coordenadas de caráter preventivo.</w:t>
      </w:r>
    </w:p>
    <w:p>
      <w:pPr>
        <w:spacing w:after="240"/>
        <w:jc w:val="both"/>
        <w:rPr>
          <w:rFonts w:ascii="Verdana" w:hAnsi="Verdana"/>
          <w:noProof/>
          <w:sz w:val="20"/>
          <w:szCs w:val="20"/>
        </w:rPr>
      </w:pPr>
      <w:r>
        <w:rPr>
          <w:rFonts w:ascii="Verdana" w:hAnsi="Verdana"/>
          <w:noProof/>
          <w:sz w:val="20"/>
          <w:szCs w:val="20"/>
        </w:rPr>
        <w:t>(2-11)</w:t>
      </w:r>
      <w:r>
        <w:rPr>
          <w:rFonts w:ascii="Verdana" w:hAnsi="Verdana"/>
          <w:noProof/>
          <w:sz w:val="20"/>
          <w:szCs w:val="20"/>
        </w:rPr>
        <w:tab/>
        <w:t xml:space="preserve">A </w:t>
      </w:r>
      <w:r>
        <w:rPr>
          <w:rFonts w:ascii="Verdana" w:hAnsi="Verdana"/>
          <w:b/>
          <w:noProof/>
          <w:sz w:val="20"/>
          <w:szCs w:val="20"/>
        </w:rPr>
        <w:t xml:space="preserve">aplicação plena e eficaz do artigo 12.º exige, </w:t>
      </w:r>
      <w:r>
        <w:rPr>
          <w:rFonts w:ascii="Verdana" w:hAnsi="Verdana"/>
          <w:noProof/>
          <w:sz w:val="20"/>
          <w:szCs w:val="20"/>
        </w:rPr>
        <w:t>por um lado,</w:t>
      </w:r>
      <w:r>
        <w:rPr>
          <w:rFonts w:ascii="Verdana" w:hAnsi="Verdana"/>
          <w:b/>
          <w:noProof/>
          <w:sz w:val="20"/>
          <w:szCs w:val="20"/>
        </w:rPr>
        <w:t xml:space="preserve"> a instituição de um quadro jurídico coerente</w:t>
      </w:r>
      <w:r>
        <w:rPr>
          <w:rFonts w:ascii="Verdana" w:hAnsi="Verdana"/>
          <w:noProof/>
          <w:sz w:val="20"/>
          <w:szCs w:val="20"/>
        </w:rPr>
        <w:t xml:space="preserve">, ou seja, a adoção de legislação, regulamentação ou medidas administrativas específicas para proibir eficazmente as atividades indicadas no artigo 12.º </w:t>
      </w:r>
      <w:r>
        <w:rPr>
          <w:rFonts w:ascii="Verdana" w:hAnsi="Verdana"/>
          <w:b/>
          <w:noProof/>
          <w:sz w:val="20"/>
          <w:szCs w:val="20"/>
        </w:rPr>
        <w:t>e,</w:t>
      </w:r>
      <w:r>
        <w:rPr>
          <w:rFonts w:ascii="Verdana" w:hAnsi="Verdana"/>
          <w:noProof/>
          <w:sz w:val="20"/>
          <w:szCs w:val="20"/>
        </w:rPr>
        <w:t xml:space="preserve"> por outro lado, </w:t>
      </w:r>
      <w:r>
        <w:rPr>
          <w:rFonts w:ascii="Verdana" w:hAnsi="Verdana"/>
          <w:b/>
          <w:noProof/>
          <w:sz w:val="20"/>
          <w:szCs w:val="20"/>
        </w:rPr>
        <w:t xml:space="preserve">a aplicação de medidas concretas para executar estas disposições </w:t>
      </w:r>
      <w:r>
        <w:rPr>
          <w:rFonts w:ascii="Verdana" w:hAnsi="Verdana"/>
          <w:noProof/>
          <w:sz w:val="20"/>
          <w:szCs w:val="20"/>
        </w:rPr>
        <w:t>no terreno para a proteção das espécies enumeradas no anexo IV. Esta salvaguarda dupla é fundamental para a aplicação do artigo 12.º.</w:t>
      </w:r>
    </w:p>
    <w:p>
      <w:pPr>
        <w:spacing w:after="240"/>
        <w:jc w:val="both"/>
        <w:rPr>
          <w:rFonts w:ascii="Verdana" w:hAnsi="Verdana"/>
          <w:noProof/>
          <w:sz w:val="20"/>
          <w:szCs w:val="20"/>
        </w:rPr>
      </w:pPr>
      <w:r>
        <w:rPr>
          <w:rFonts w:ascii="Verdana" w:hAnsi="Verdana"/>
          <w:noProof/>
          <w:sz w:val="20"/>
          <w:szCs w:val="20"/>
        </w:rPr>
        <w:t xml:space="preserve">O Tribunal de Justiça confirmou esta abordagem nos processos C-103/00 (relativo à proteção da </w:t>
      </w:r>
      <w:r>
        <w:rPr>
          <w:rFonts w:ascii="Verdana" w:hAnsi="Verdana"/>
          <w:i/>
          <w:noProof/>
          <w:sz w:val="20"/>
          <w:szCs w:val="20"/>
        </w:rPr>
        <w:t xml:space="preserve">Caretta caretta </w:t>
      </w:r>
      <w:r>
        <w:rPr>
          <w:rFonts w:ascii="Verdana" w:hAnsi="Verdana"/>
          <w:noProof/>
          <w:sz w:val="20"/>
          <w:szCs w:val="20"/>
        </w:rPr>
        <w:t>em Zákynthos</w:t>
      </w:r>
      <w:r>
        <w:rPr>
          <w:rFonts w:ascii="Verdana" w:hAnsi="Verdana"/>
          <w:noProof/>
          <w:sz w:val="20"/>
          <w:szCs w:val="20"/>
          <w:vertAlign w:val="superscript"/>
        </w:rPr>
        <w:footnoteReference w:id="21"/>
      </w:r>
      <w:r>
        <w:rPr>
          <w:rFonts w:ascii="Verdana" w:hAnsi="Verdana"/>
          <w:noProof/>
          <w:sz w:val="20"/>
          <w:szCs w:val="20"/>
        </w:rPr>
        <w:t xml:space="preserve">), C-518/04 (relativo à proteção da </w:t>
      </w:r>
      <w:r>
        <w:rPr>
          <w:rFonts w:ascii="Verdana" w:hAnsi="Verdana"/>
          <w:i/>
          <w:noProof/>
          <w:sz w:val="20"/>
          <w:szCs w:val="20"/>
        </w:rPr>
        <w:t>Vipera schweizeri</w:t>
      </w:r>
      <w:r>
        <w:rPr>
          <w:rFonts w:ascii="Verdana" w:hAnsi="Verdana"/>
          <w:noProof/>
          <w:sz w:val="20"/>
          <w:szCs w:val="20"/>
        </w:rPr>
        <w:t xml:space="preserve"> em Milos</w:t>
      </w:r>
      <w:r>
        <w:rPr>
          <w:rFonts w:ascii="Verdana" w:hAnsi="Verdana"/>
          <w:noProof/>
          <w:sz w:val="20"/>
          <w:szCs w:val="20"/>
          <w:vertAlign w:val="superscript"/>
        </w:rPr>
        <w:footnoteReference w:id="22"/>
      </w:r>
      <w:r>
        <w:rPr>
          <w:rFonts w:ascii="Verdana" w:hAnsi="Verdana"/>
          <w:noProof/>
          <w:sz w:val="20"/>
          <w:szCs w:val="20"/>
        </w:rPr>
        <w:t>), C-183/05 (relativo à proteção de várias espécies constantes do anexo IV na Irlanda</w:t>
      </w:r>
      <w:r>
        <w:rPr>
          <w:rFonts w:ascii="Verdana" w:hAnsi="Verdana"/>
          <w:noProof/>
          <w:sz w:val="20"/>
          <w:szCs w:val="20"/>
          <w:vertAlign w:val="superscript"/>
        </w:rPr>
        <w:footnoteReference w:id="23"/>
      </w:r>
      <w:r>
        <w:rPr>
          <w:rFonts w:ascii="Verdana" w:hAnsi="Verdana"/>
          <w:noProof/>
          <w:sz w:val="20"/>
          <w:szCs w:val="20"/>
        </w:rPr>
        <w:t xml:space="preserve">), C-383/09 (relativo à proteção do </w:t>
      </w:r>
      <w:r>
        <w:rPr>
          <w:rFonts w:ascii="Verdana" w:hAnsi="Verdana"/>
          <w:i/>
          <w:noProof/>
          <w:sz w:val="20"/>
          <w:szCs w:val="20"/>
        </w:rPr>
        <w:t>Cricetus cricetus</w:t>
      </w:r>
      <w:r>
        <w:rPr>
          <w:rFonts w:ascii="Verdana" w:hAnsi="Verdana"/>
          <w:noProof/>
          <w:sz w:val="20"/>
          <w:szCs w:val="20"/>
        </w:rPr>
        <w:t xml:space="preserve"> em França</w:t>
      </w:r>
      <w:r>
        <w:rPr>
          <w:rFonts w:ascii="Verdana" w:hAnsi="Verdana"/>
          <w:noProof/>
          <w:sz w:val="20"/>
          <w:szCs w:val="20"/>
          <w:vertAlign w:val="superscript"/>
        </w:rPr>
        <w:footnoteReference w:id="24"/>
      </w:r>
      <w:r>
        <w:rPr>
          <w:rFonts w:ascii="Verdana" w:hAnsi="Verdana"/>
          <w:noProof/>
          <w:sz w:val="20"/>
          <w:szCs w:val="20"/>
        </w:rPr>
        <w:t xml:space="preserve">) e C-504/14 (relativo à proteção da </w:t>
      </w:r>
      <w:r>
        <w:rPr>
          <w:rFonts w:ascii="Verdana" w:hAnsi="Verdana"/>
          <w:i/>
          <w:noProof/>
          <w:sz w:val="20"/>
          <w:szCs w:val="20"/>
        </w:rPr>
        <w:t>Caretta caretta</w:t>
      </w:r>
      <w:r>
        <w:rPr>
          <w:rFonts w:ascii="Verdana" w:hAnsi="Verdana"/>
          <w:noProof/>
          <w:sz w:val="20"/>
          <w:szCs w:val="20"/>
        </w:rPr>
        <w:t xml:space="preserve"> na zona de Kyparissia</w:t>
      </w:r>
      <w:r>
        <w:rPr>
          <w:rFonts w:ascii="Verdana" w:hAnsi="Verdana"/>
          <w:noProof/>
          <w:sz w:val="20"/>
          <w:szCs w:val="20"/>
          <w:vertAlign w:val="superscript"/>
        </w:rPr>
        <w:footnoteReference w:id="25"/>
      </w:r>
      <w:r>
        <w:rPr>
          <w:rFonts w:ascii="Verdana" w:hAnsi="Verdana"/>
          <w:noProof/>
          <w:sz w:val="20"/>
          <w:szCs w:val="20"/>
        </w:rPr>
        <w:t>).</w:t>
      </w:r>
    </w:p>
    <w:p>
      <w:pPr>
        <w:spacing w:after="240"/>
        <w:jc w:val="both"/>
        <w:rPr>
          <w:noProof/>
          <w:sz w:val="20"/>
          <w:szCs w:val="20"/>
        </w:rPr>
      </w:pPr>
      <w:r>
        <w:rPr>
          <w:rFonts w:ascii="Verdana" w:hAnsi="Verdana"/>
          <w:noProof/>
          <w:sz w:val="20"/>
          <w:szCs w:val="20"/>
        </w:rPr>
        <w:t xml:space="preserve">(2-12) Assim, o artigo 12.º, n.º 1, exige simultaneamente a instituição </w:t>
      </w:r>
      <w:r>
        <w:rPr>
          <w:rFonts w:ascii="Verdana" w:hAnsi="Verdana"/>
          <w:i/>
          <w:noProof/>
          <w:sz w:val="20"/>
          <w:szCs w:val="20"/>
        </w:rPr>
        <w:t xml:space="preserve">e </w:t>
      </w:r>
      <w:r>
        <w:rPr>
          <w:rFonts w:ascii="Verdana" w:hAnsi="Verdana"/>
          <w:noProof/>
          <w:sz w:val="20"/>
          <w:szCs w:val="20"/>
        </w:rPr>
        <w:t xml:space="preserve">a aplicação de um sistema de proteção rigorosa que proíba efetivamente as atividades enumeradas no mesmo. Por conseguinte, um sistema adequado de proteção rigorosa das espécies constantes do anexo IV exige também </w:t>
      </w:r>
      <w:r>
        <w:rPr>
          <w:rFonts w:ascii="Verdana" w:hAnsi="Verdana"/>
          <w:b/>
          <w:noProof/>
          <w:sz w:val="20"/>
          <w:szCs w:val="20"/>
        </w:rPr>
        <w:t>um conjunto de medidas coerentes e coordenadas, de caráter preventivo</w:t>
      </w:r>
      <w:r>
        <w:rPr>
          <w:rFonts w:ascii="Verdana" w:hAnsi="Verdana"/>
          <w:noProof/>
          <w:sz w:val="20"/>
          <w:szCs w:val="20"/>
        </w:rPr>
        <w:t xml:space="preserve">. O mesmo deve ser aplicável, se for caso disso, à coordenação transfronteiras entre Estados-Membros vizinhos, nomeadamente quando partilham a mesma população de uma espécie protegida. </w:t>
      </w:r>
    </w:p>
    <w:p>
      <w:pPr>
        <w:spacing w:after="240"/>
        <w:jc w:val="both"/>
        <w:rPr>
          <w:rFonts w:ascii="Verdana" w:hAnsi="Verdana"/>
          <w:noProof/>
          <w:sz w:val="20"/>
          <w:szCs w:val="20"/>
        </w:rPr>
      </w:pPr>
      <w:r>
        <w:rPr>
          <w:rFonts w:ascii="Verdana" w:hAnsi="Verdana"/>
          <w:noProof/>
          <w:sz w:val="20"/>
          <w:szCs w:val="20"/>
        </w:rPr>
        <w:t xml:space="preserve">No processo </w:t>
      </w:r>
      <w:r>
        <w:rPr>
          <w:rFonts w:ascii="Verdana" w:hAnsi="Verdana"/>
          <w:i/>
          <w:noProof/>
          <w:sz w:val="20"/>
          <w:szCs w:val="20"/>
        </w:rPr>
        <w:t>Cricetus cricetus</w:t>
      </w:r>
      <w:r>
        <w:rPr>
          <w:rFonts w:ascii="Verdana" w:hAnsi="Verdana"/>
          <w:noProof/>
          <w:sz w:val="20"/>
          <w:szCs w:val="20"/>
        </w:rPr>
        <w:t xml:space="preserve"> (C-383/09), o Tribunal de Justiça declarou que a transposição da disposição prevista no artigo 12.º, n.º 1, alínea d), impõe, para além da adoção de um quadro legislativo completo, a aplicação de medidas concretas e específicas de proteção e a adoção de medidas coerentes e coordenadas, de caráter preventivo</w:t>
      </w:r>
      <w:r>
        <w:rPr>
          <w:rFonts w:ascii="Verdana" w:hAnsi="Verdana"/>
          <w:noProof/>
          <w:sz w:val="20"/>
          <w:szCs w:val="20"/>
          <w:vertAlign w:val="superscript"/>
        </w:rPr>
        <w:footnoteReference w:id="26"/>
      </w:r>
      <w:r>
        <w:rPr>
          <w:rFonts w:ascii="Verdana" w:hAnsi="Verdana"/>
          <w:noProof/>
          <w:sz w:val="20"/>
          <w:szCs w:val="20"/>
        </w:rPr>
        <w:t xml:space="preserve"> (ver também o processo C</w:t>
      </w:r>
      <w:r>
        <w:rPr>
          <w:rFonts w:ascii="Verdana" w:hAnsi="Verdana"/>
          <w:noProof/>
          <w:sz w:val="20"/>
          <w:szCs w:val="20"/>
        </w:rPr>
        <w:noBreakHyphen/>
        <w:t>518/04</w:t>
      </w:r>
      <w:r>
        <w:rPr>
          <w:rFonts w:ascii="Verdana" w:hAnsi="Verdana"/>
          <w:noProof/>
          <w:sz w:val="20"/>
          <w:szCs w:val="20"/>
          <w:vertAlign w:val="superscript"/>
        </w:rPr>
        <w:footnoteReference w:id="27"/>
      </w:r>
      <w:r>
        <w:rPr>
          <w:rFonts w:ascii="Verdana" w:hAnsi="Verdana"/>
          <w:noProof/>
          <w:sz w:val="20"/>
          <w:szCs w:val="20"/>
        </w:rPr>
        <w:t xml:space="preserve"> e o processo C</w:t>
      </w:r>
      <w:r>
        <w:rPr>
          <w:rFonts w:ascii="Verdana" w:hAnsi="Verdana"/>
          <w:noProof/>
          <w:sz w:val="20"/>
          <w:szCs w:val="20"/>
        </w:rPr>
        <w:noBreakHyphen/>
        <w:t>183/05</w:t>
      </w:r>
      <w:r>
        <w:rPr>
          <w:rFonts w:ascii="Verdana" w:hAnsi="Verdana"/>
          <w:noProof/>
          <w:sz w:val="20"/>
          <w:szCs w:val="20"/>
          <w:vertAlign w:val="superscript"/>
        </w:rPr>
        <w:footnoteReference w:id="28"/>
      </w:r>
      <w:r>
        <w:rPr>
          <w:rFonts w:ascii="Verdana" w:hAnsi="Verdana"/>
          <w:noProof/>
          <w:sz w:val="20"/>
          <w:szCs w:val="20"/>
        </w:rPr>
        <w:t xml:space="preserve">). Um sistema de proteção rigorosa deste tipo deve, assim, permitir evitar efetivamente a deterioração ou a destruição dos locais de reprodução e das áreas de repouso das espécies animais constantes do anexo IV, alínea a), da Diretiva </w:t>
      </w:r>
      <w:r>
        <w:rPr>
          <w:rFonts w:ascii="Verdana" w:hAnsi="Verdana"/>
          <w:i/>
          <w:iCs/>
          <w:noProof/>
          <w:sz w:val="20"/>
          <w:szCs w:val="20"/>
        </w:rPr>
        <w:t>Habitats</w:t>
      </w:r>
      <w:r>
        <w:rPr>
          <w:rFonts w:ascii="Verdana" w:hAnsi="Verdana"/>
          <w:noProof/>
          <w:sz w:val="20"/>
          <w:szCs w:val="20"/>
        </w:rPr>
        <w:t xml:space="preserve"> (ver processo C</w:t>
      </w:r>
      <w:r>
        <w:rPr>
          <w:rFonts w:ascii="Verdana" w:hAnsi="Verdana"/>
          <w:noProof/>
          <w:sz w:val="20"/>
          <w:szCs w:val="20"/>
        </w:rPr>
        <w:noBreakHyphen/>
        <w:t>103/00</w:t>
      </w:r>
      <w:r>
        <w:rPr>
          <w:rFonts w:ascii="Verdana" w:hAnsi="Verdana"/>
          <w:noProof/>
          <w:sz w:val="20"/>
          <w:szCs w:val="20"/>
          <w:vertAlign w:val="superscript"/>
        </w:rPr>
        <w:footnoteReference w:id="2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No processo </w:t>
      </w:r>
      <w:r>
        <w:rPr>
          <w:rFonts w:ascii="Verdana" w:hAnsi="Verdana"/>
          <w:i/>
          <w:noProof/>
          <w:sz w:val="20"/>
          <w:szCs w:val="20"/>
        </w:rPr>
        <w:t>Skydda Skogen</w:t>
      </w:r>
      <w:r>
        <w:rPr>
          <w:rFonts w:ascii="Verdana" w:hAnsi="Verdana"/>
          <w:noProof/>
          <w:sz w:val="20"/>
          <w:szCs w:val="20"/>
        </w:rPr>
        <w:t xml:space="preserve"> (C</w:t>
      </w:r>
      <w:r>
        <w:rPr>
          <w:rFonts w:ascii="Cambria Math" w:hAnsi="Cambria Math"/>
          <w:noProof/>
          <w:sz w:val="20"/>
          <w:szCs w:val="20"/>
        </w:rPr>
        <w:t>‑</w:t>
      </w:r>
      <w:r>
        <w:rPr>
          <w:rFonts w:ascii="Verdana" w:hAnsi="Verdana"/>
          <w:noProof/>
          <w:sz w:val="20"/>
          <w:szCs w:val="20"/>
        </w:rPr>
        <w:t>473/19 e C</w:t>
      </w:r>
      <w:r>
        <w:rPr>
          <w:rFonts w:ascii="Cambria Math" w:hAnsi="Cambria Math"/>
          <w:noProof/>
          <w:sz w:val="20"/>
          <w:szCs w:val="20"/>
        </w:rPr>
        <w:t>‑</w:t>
      </w:r>
      <w:r>
        <w:rPr>
          <w:rFonts w:ascii="Verdana" w:hAnsi="Verdana"/>
          <w:noProof/>
          <w:sz w:val="20"/>
          <w:szCs w:val="20"/>
        </w:rPr>
        <w:t xml:space="preserve">474/19), o Tribunal de Justiça confirmou que, para efeitos da realização dos objetivos da Diretiva </w:t>
      </w:r>
      <w:r>
        <w:rPr>
          <w:rFonts w:ascii="Verdana" w:hAnsi="Verdana"/>
          <w:i/>
          <w:iCs/>
          <w:noProof/>
          <w:sz w:val="20"/>
          <w:szCs w:val="20"/>
        </w:rPr>
        <w:t>Habitats</w:t>
      </w:r>
      <w:r>
        <w:rPr>
          <w:rFonts w:ascii="Verdana" w:hAnsi="Verdana"/>
          <w:noProof/>
          <w:sz w:val="20"/>
          <w:szCs w:val="20"/>
        </w:rPr>
        <w:t>, é efetivamente necessário que as autoridades competentes possam antecipar as atividades que são danosas para as espécies protegidas por esta diretiva, pouco importando, a este respeito, que o objetivo da atividade em causa consista ou não no abate ou na perturbação dessas espécies</w:t>
      </w:r>
      <w:r>
        <w:rPr>
          <w:rFonts w:ascii="Verdana" w:hAnsi="Verdana"/>
          <w:noProof/>
          <w:sz w:val="20"/>
          <w:szCs w:val="20"/>
          <w:vertAlign w:val="superscript"/>
        </w:rPr>
        <w:footnoteReference w:id="30"/>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(2-13) Tal resulta diretamente da expressão «sistema de proteção rigorosa» e também tem em conta a necessidade de estabelecer uma ligação entre as medidas adotadas e os objetivos do artigo 12.º e da diretiva em geral. </w:t>
      </w:r>
      <w:r>
        <w:rPr>
          <w:rFonts w:ascii="Verdana" w:hAnsi="Verdana"/>
          <w:b/>
          <w:noProof/>
          <w:sz w:val="20"/>
          <w:szCs w:val="20"/>
        </w:rPr>
        <w:t xml:space="preserve">Estas medidas têm de contribuir para o objetivo de manter a espécie a longo prazo ou de recuperar a sua população no seu </w:t>
      </w:r>
      <w:r>
        <w:rPr>
          <w:rFonts w:ascii="Verdana" w:hAnsi="Verdana"/>
          <w:b/>
          <w:i/>
          <w:iCs/>
          <w:noProof/>
          <w:sz w:val="20"/>
          <w:szCs w:val="20"/>
        </w:rPr>
        <w:t>habitat</w:t>
      </w:r>
      <w:r>
        <w:rPr>
          <w:rFonts w:ascii="Verdana" w:hAnsi="Verdana"/>
          <w:b/>
          <w:noProof/>
          <w:sz w:val="20"/>
          <w:szCs w:val="20"/>
        </w:rPr>
        <w:t>, e devem ser</w:t>
      </w:r>
      <w:r>
        <w:rPr>
          <w:rFonts w:ascii="Verdana" w:hAnsi="Verdana"/>
          <w:noProof/>
          <w:sz w:val="20"/>
          <w:szCs w:val="20"/>
        </w:rPr>
        <w:t xml:space="preserve"> </w:t>
      </w:r>
      <w:r>
        <w:rPr>
          <w:rFonts w:ascii="Verdana" w:hAnsi="Verdana"/>
          <w:b/>
          <w:noProof/>
          <w:sz w:val="20"/>
          <w:szCs w:val="20"/>
        </w:rPr>
        <w:t>efetivamente executadas</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Esta interpretação é corroborada pelos considerandos 3</w:t>
      </w:r>
      <w:r>
        <w:rPr>
          <w:rFonts w:ascii="Verdana" w:hAnsi="Verdana"/>
          <w:noProof/>
          <w:sz w:val="20"/>
          <w:szCs w:val="20"/>
          <w:vertAlign w:val="superscript"/>
        </w:rPr>
        <w:footnoteReference w:id="31"/>
      </w:r>
      <w:r>
        <w:rPr>
          <w:rFonts w:ascii="Verdana" w:hAnsi="Verdana"/>
          <w:noProof/>
          <w:sz w:val="20"/>
          <w:szCs w:val="20"/>
        </w:rPr>
        <w:t xml:space="preserve"> e 15</w:t>
      </w:r>
      <w:r>
        <w:rPr>
          <w:rFonts w:ascii="Verdana" w:hAnsi="Verdana"/>
          <w:noProof/>
          <w:sz w:val="20"/>
          <w:szCs w:val="20"/>
          <w:vertAlign w:val="superscript"/>
        </w:rPr>
        <w:footnoteReference w:id="32"/>
      </w:r>
      <w:r>
        <w:rPr>
          <w:rFonts w:ascii="Verdana" w:hAnsi="Verdana"/>
          <w:noProof/>
          <w:sz w:val="20"/>
          <w:szCs w:val="20"/>
        </w:rPr>
        <w:t xml:space="preserve"> da diretiva, que se referem ao encorajamento de atividades humanas e às medidas de gestão como sendo necessários para manter ou restabelecer as espécies num estado de conservação favorável. Os considerandos por si sós não têm qualquer efeito jurídico vinculativo e nunca se podem sobrepor às disposições substantivas da diretiva, mas indicam claramente uma intenção. Portanto, embora o Tribunal de Justiça não recorra ao preâmbulo para fundamentar diretamente um acórdão, o preâmbulo é, ainda assim, frequentemente utilizado para auxiliar na interpretação das disposições substantivas de legislação secundária</w:t>
      </w:r>
      <w:r>
        <w:rPr>
          <w:rFonts w:ascii="Verdana" w:hAnsi="Verdana"/>
          <w:noProof/>
          <w:sz w:val="20"/>
          <w:szCs w:val="20"/>
          <w:vertAlign w:val="superscript"/>
        </w:rPr>
        <w:footnoteReference w:id="3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(2-14) A necessidade de medidas concretas, coerentes e coordenadas de caráter preventivo para cumprir o requisito da proteção rigorosa das espécies constantes do anexo IV não implica necessariamente a criação de novas estruturas ou procedimentos de autorização a nível nacional. Por exemplo, no que se refere a projetos suscetíveis de afetarem uma espécie do anexo IV, os Estados-Membros podem adaptar os procedimentos de ordenamento do território existentes para satisfazer os requisitos do artigo 12.º. Isto significa que a avaliação do impacto na espécie e nos seus locais de reprodução e áreas de repouso pode ser incorporada em processos de decisão existentes a vários níveis num Estado-Membro, incluindo, por exemplo, decisões de ordenamento do território ou procedimentos de avaliação do impacto ambiental para planos e projetos.</w:t>
      </w:r>
    </w:p>
    <w:p>
      <w:pPr>
        <w:spacing w:after="240"/>
        <w:jc w:val="both"/>
        <w:rPr>
          <w:rFonts w:ascii="Verdana" w:hAnsi="Verdana"/>
          <w:noProof/>
          <w:sz w:val="20"/>
          <w:szCs w:val="20"/>
        </w:rPr>
      </w:pPr>
      <w:r>
        <w:rPr>
          <w:rFonts w:ascii="Verdana" w:hAnsi="Verdana"/>
          <w:noProof/>
          <w:sz w:val="20"/>
          <w:szCs w:val="20"/>
        </w:rPr>
        <w:t>No tocante às atividades em curso, os Estados-Membros podem empregar procedimentos de planeamento, regulamentos ou códigos de boas práticas (que têm de ser suficientemente pormenorizados e claros) como ferramentas de aplicação das disposições do artigo 12.º.</w:t>
      </w:r>
      <w:r>
        <w:rPr>
          <w:rFonts w:ascii="Verdana" w:hAnsi="Verdana"/>
          <w:b/>
          <w:noProof/>
          <w:sz w:val="20"/>
          <w:szCs w:val="20"/>
        </w:rPr>
        <w:t xml:space="preserve"> </w:t>
      </w:r>
      <w:r>
        <w:rPr>
          <w:rFonts w:ascii="Verdana" w:hAnsi="Verdana"/>
          <w:noProof/>
          <w:sz w:val="20"/>
          <w:szCs w:val="20"/>
        </w:rPr>
        <w:t>Porém, como é explicado na secção 2.3.4., tais abordagens e ferramentas complementam, e não substituem, a proteção jurídica formal.</w:t>
      </w:r>
    </w:p>
    <w:p>
      <w:pPr>
        <w:spacing w:after="240"/>
        <w:jc w:val="both"/>
        <w:rPr>
          <w:rFonts w:ascii="Verdana" w:hAnsi="Verdana"/>
          <w:noProof/>
          <w:sz w:val="20"/>
          <w:szCs w:val="20"/>
        </w:rPr>
      </w:pPr>
    </w:p>
    <w:p>
      <w:pPr>
        <w:spacing w:after="240"/>
        <w:jc w:val="both"/>
        <w:rPr>
          <w:rFonts w:ascii="Verdana" w:hAnsi="Verdana"/>
          <w:noProof/>
          <w:sz w:val="20"/>
          <w:szCs w:val="20"/>
          <w:highlight w:val="yellow"/>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b/>
          <w:noProof/>
          <w:sz w:val="18"/>
          <w:szCs w:val="20"/>
        </w:rPr>
        <w:t>2 — Exemplo de boas práticas: autorização ambiental de projetos, avaliação do impacto e proteção rigorosa de espécies em França</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Desde 2017, o Código do Ambiente francês (artigo L181-1) inclui uma autorização ambiental que tem de ser concedida no caso de projetos com impactos no ambiente (a nomenclatura indica os tipos de projetos em questão). Esta autorização tem por objetivo garantir que os projetos cumprem os regulamentos pertinentes em matéria de ambiente (água, riscos ambientais, biodiversidade, paisagem, etc.), incluindo as disposições sobre a proteção rigorosa das espécies ao abrigo da Diretiva </w:t>
      </w:r>
      <w:r>
        <w:rPr>
          <w:rFonts w:ascii="Verdana" w:hAnsi="Verdana"/>
          <w:i/>
          <w:iCs/>
          <w:noProof/>
          <w:sz w:val="18"/>
          <w:szCs w:val="20"/>
        </w:rPr>
        <w:t>Habitats</w:t>
      </w:r>
      <w:r>
        <w:rPr>
          <w:rFonts w:ascii="Verdana" w:hAnsi="Verdana"/>
          <w:noProof/>
          <w:sz w:val="18"/>
          <w:szCs w:val="20"/>
        </w:rPr>
        <w:t>.</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Neste contexto, é obrigatória uma avaliação do impacto, com base em estudos ecológicos, que, por sua vez, pode ajudar a definir as medidas necessárias para evitar e reduzir os impactos nas espécies protegidas. De facto, o primeiro objetivo consiste em dar cumprimento às proibições relacionadas com as espécies protegidas. Se isso não for possível e, por conseguinte, for necessária uma derrogação ao regime de proteção rigorosa, é necessário realizar um estudo minucioso para demonstrar o cumprimento das condições para concessão da derrogação. O processo é avaliado pelo Conselho Nacional para a Proteção da Natureza. A autorização ambiental só pode ser concedida se o projeto cumprir integralmente toda a regulamentação ambiental pertinente.</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Depois de autorizado, o projeto é sujeito a controlos de campo e administrativos, a fim de garantir que as disposições da autorização são respeitadas.</w:t>
      </w:r>
    </w:p>
    <w:p>
      <w:pPr>
        <w:rPr>
          <w:rFonts w:ascii="Verdana" w:hAnsi="Verdana"/>
          <w:b/>
          <w:noProof/>
          <w:sz w:val="20"/>
          <w:szCs w:val="20"/>
        </w:rPr>
      </w:pPr>
    </w:p>
    <w:p>
      <w:pPr>
        <w:pStyle w:val="h4"/>
        <w:rPr>
          <w:noProof/>
        </w:rPr>
      </w:pPr>
      <w:r>
        <w:rPr>
          <w:noProof/>
        </w:rPr>
        <w:t xml:space="preserve">2.2.2. </w:t>
      </w:r>
      <w:r>
        <w:rPr>
          <w:noProof/>
        </w:rPr>
        <w:tab/>
        <w:t>Medidas para garantir um estado de conservação favorável</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 xml:space="preserve">As </w:t>
      </w:r>
      <w:r>
        <w:rPr>
          <w:rFonts w:ascii="Verdana" w:hAnsi="Verdana"/>
          <w:i/>
          <w:noProof/>
          <w:snapToGrid w:val="0"/>
          <w:sz w:val="20"/>
          <w:szCs w:val="20"/>
        </w:rPr>
        <w:t>m</w:t>
      </w:r>
      <w:r>
        <w:rPr>
          <w:rFonts w:ascii="Verdana" w:hAnsi="Verdana"/>
          <w:i/>
          <w:noProof/>
          <w:sz w:val="20"/>
          <w:szCs w:val="20"/>
        </w:rPr>
        <w:t>edidas de proteção rigorosa adotadas ao abrigo do artigo 12.º têm de contribuir para o cumprimento do principal objetivo da diretiva, ou seja, de manter ou restabelecer um estado de conservação favorável.</w:t>
      </w:r>
    </w:p>
    <w:p>
      <w:pPr>
        <w:spacing w:after="240"/>
        <w:jc w:val="both"/>
        <w:rPr>
          <w:rFonts w:ascii="Verdana" w:hAnsi="Verdana"/>
          <w:noProof/>
          <w:sz w:val="20"/>
          <w:szCs w:val="20"/>
        </w:rPr>
      </w:pPr>
      <w:r>
        <w:rPr>
          <w:rFonts w:ascii="Verdana" w:hAnsi="Verdana"/>
          <w:noProof/>
          <w:sz w:val="20"/>
          <w:szCs w:val="20"/>
        </w:rPr>
        <w:t>(2-15)</w:t>
      </w:r>
      <w:r>
        <w:rPr>
          <w:rFonts w:ascii="Verdana" w:hAnsi="Verdana"/>
          <w:noProof/>
          <w:sz w:val="20"/>
          <w:szCs w:val="20"/>
        </w:rPr>
        <w:tab/>
        <w:t xml:space="preserve">A interpretação do artigo 12.º tem de ter em conta o objetivo da Diretiva </w:t>
      </w:r>
      <w:r>
        <w:rPr>
          <w:rFonts w:ascii="Verdana" w:hAnsi="Verdana"/>
          <w:i/>
          <w:iCs/>
          <w:noProof/>
          <w:sz w:val="20"/>
          <w:szCs w:val="20"/>
        </w:rPr>
        <w:t>Habitats</w:t>
      </w:r>
      <w:r>
        <w:rPr>
          <w:rFonts w:ascii="Verdana" w:hAnsi="Verdana"/>
          <w:noProof/>
          <w:sz w:val="20"/>
          <w:szCs w:val="20"/>
        </w:rPr>
        <w:t xml:space="preserve"> previsto no artigo 2.º, que é aplicável, sem distinção, aos </w:t>
      </w:r>
      <w:r>
        <w:rPr>
          <w:rFonts w:ascii="Verdana" w:hAnsi="Verdana"/>
          <w:i/>
          <w:iCs/>
          <w:noProof/>
          <w:sz w:val="20"/>
          <w:szCs w:val="20"/>
        </w:rPr>
        <w:t>habitats</w:t>
      </w:r>
      <w:r>
        <w:rPr>
          <w:rFonts w:ascii="Verdana" w:hAnsi="Verdana"/>
          <w:noProof/>
          <w:sz w:val="20"/>
          <w:szCs w:val="20"/>
        </w:rPr>
        <w:t xml:space="preserve"> e às espécies constantes de todos os anexos. Consequentemente,</w:t>
      </w:r>
      <w:r>
        <w:rPr>
          <w:rFonts w:ascii="Verdana" w:hAnsi="Verdana"/>
          <w:b/>
          <w:noProof/>
          <w:sz w:val="20"/>
          <w:szCs w:val="20"/>
        </w:rPr>
        <w:t xml:space="preserve"> as medidas de proteção rigorosa adotadas ao abrigo do artigo 12.º devem garantir ou contribuir para a conservação ou o restabelecimento das espécies de interesse comunitário constantes do anexo IV num estado de conservação favorável</w:t>
      </w:r>
      <w:r>
        <w:rPr>
          <w:rFonts w:ascii="Verdana" w:hAnsi="Verdana"/>
          <w:noProof/>
          <w:sz w:val="20"/>
          <w:szCs w:val="20"/>
        </w:rPr>
        <w:t>.</w:t>
      </w:r>
    </w:p>
    <w:p>
      <w:pPr>
        <w:spacing w:after="240"/>
        <w:jc w:val="both"/>
        <w:rPr>
          <w:rFonts w:ascii="Verdana" w:hAnsi="Verdana"/>
          <w:noProof/>
          <w:snapToGrid w:val="0"/>
          <w:sz w:val="20"/>
          <w:szCs w:val="20"/>
        </w:rPr>
      </w:pPr>
      <w:r>
        <w:rPr>
          <w:rFonts w:ascii="Verdana" w:hAnsi="Verdana"/>
          <w:noProof/>
          <w:sz w:val="20"/>
          <w:szCs w:val="20"/>
        </w:rPr>
        <w:t>(2-16)</w:t>
      </w:r>
      <w:r>
        <w:rPr>
          <w:rFonts w:ascii="Verdana" w:hAnsi="Verdana"/>
          <w:noProof/>
          <w:sz w:val="20"/>
          <w:szCs w:val="20"/>
        </w:rPr>
        <w:tab/>
        <w:t>Além disso, o artigo 12.º tem de ser interpretado à luz do artigo 1.º, alínea i), que define o estado de conservação favorável de uma espécie, o que implica que as medidas a tomar têm de ser decididas com base nas circunstâncias específicas de cada situação e tendo em conta a especificidade de cada espécie. Por exemplo, a</w:t>
      </w:r>
      <w:r>
        <w:rPr>
          <w:rFonts w:ascii="Verdana" w:hAnsi="Verdana"/>
          <w:noProof/>
          <w:snapToGrid w:val="0"/>
          <w:sz w:val="20"/>
          <w:szCs w:val="20"/>
        </w:rPr>
        <w:t>s características de uma espécie, como o seu estado de conservação, podem justificar medidas de proteção mais específicas ou intensas.</w:t>
      </w:r>
    </w:p>
    <w:p>
      <w:pPr>
        <w:spacing w:after="480"/>
        <w:jc w:val="both"/>
        <w:rPr>
          <w:rFonts w:ascii="Verdana" w:hAnsi="Verdana"/>
          <w:noProof/>
          <w:sz w:val="20"/>
          <w:szCs w:val="20"/>
        </w:rPr>
      </w:pPr>
      <w:r>
        <w:rPr>
          <w:rFonts w:ascii="Verdana" w:hAnsi="Verdana"/>
          <w:noProof/>
          <w:sz w:val="20"/>
          <w:szCs w:val="20"/>
        </w:rPr>
        <w:t xml:space="preserve">No processo </w:t>
      </w:r>
      <w:r>
        <w:rPr>
          <w:rFonts w:ascii="Verdana" w:hAnsi="Verdana"/>
          <w:i/>
          <w:noProof/>
          <w:sz w:val="20"/>
          <w:szCs w:val="20"/>
        </w:rPr>
        <w:t>Cricetus cricetus</w:t>
      </w:r>
      <w:r>
        <w:rPr>
          <w:rFonts w:ascii="Verdana" w:hAnsi="Verdana"/>
          <w:noProof/>
          <w:sz w:val="20"/>
          <w:szCs w:val="20"/>
        </w:rPr>
        <w:t xml:space="preserve"> (C-383/09, n.</w:t>
      </w:r>
      <w:r>
        <w:rPr>
          <w:rFonts w:ascii="Verdana" w:hAnsi="Verdana"/>
          <w:noProof/>
          <w:sz w:val="20"/>
          <w:szCs w:val="20"/>
          <w:vertAlign w:val="superscript"/>
        </w:rPr>
        <w:t>os</w:t>
      </w:r>
      <w:r>
        <w:rPr>
          <w:rFonts w:ascii="Verdana" w:hAnsi="Verdana"/>
          <w:noProof/>
          <w:sz w:val="20"/>
          <w:szCs w:val="20"/>
        </w:rPr>
        <w:t> 37 e 25), o Tribunal de Justiça afirmou que as medidas implementadas «não eram suficientes para permitir evitar eficazmente a deterioração ou a destruição dos locais de reprodução ou das áreas de repouso do grande hámster». O Tribunal de Justiça considerou que «[a]pesar da implementação das medidas consignadas no plano de recuperação a favor do [grande hámster] (2007‑2011) e dos compromissos respetivos das partes em causa para a salvaguarda da espécie, os resultados biológicos obtidos até ao momento são insuficientes para a salvaguarda desta espécie em França». Por conseguinte, «é imperativo que o dispositivo a favor do grande hámster seja nítida e rapidamente melhorado, de forma a obter, a curto prazo, resultados biológicos que atestem a recuperação da espécie». Isto significa que o sistema de proteção rigorosa tem de ser adaptado às necessidades e ao estado de conservação da espécie.</w:t>
      </w:r>
    </w:p>
    <w:p>
      <w:pPr>
        <w:spacing w:after="48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b/>
          <w:noProof/>
          <w:sz w:val="18"/>
          <w:szCs w:val="20"/>
        </w:rPr>
      </w:pPr>
      <w:r>
        <w:rPr>
          <w:rFonts w:ascii="Verdana" w:hAnsi="Verdana"/>
          <w:b/>
          <w:noProof/>
          <w:sz w:val="18"/>
          <w:szCs w:val="20"/>
        </w:rPr>
        <w:t>3 — Orientações complementares: planos de ação da UE para espécies específicas</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 xml:space="preserve">Desde 2008, a Comissão Europeia apoia o desenvolvimento de vários planos de ação da UE para espécies específicas que constam da Diretiva </w:t>
      </w:r>
      <w:r>
        <w:rPr>
          <w:rFonts w:ascii="Verdana" w:hAnsi="Verdana"/>
          <w:i/>
          <w:iCs/>
          <w:noProof/>
          <w:sz w:val="18"/>
          <w:szCs w:val="20"/>
        </w:rPr>
        <w:t>Habitats</w:t>
      </w:r>
      <w:r>
        <w:rPr>
          <w:rFonts w:ascii="Verdana" w:hAnsi="Verdana"/>
          <w:noProof/>
          <w:sz w:val="18"/>
          <w:szCs w:val="20"/>
        </w:rPr>
        <w:t>. Os planos destinam-se a ser utilizados como ferramenta para identificar e priorizar medidas com vista a restabelecer as populações destas espécies em toda a sua área de repartição na UE. Fornecem informações sobre o estado, a ecologia, as ameaças e as medidas de conservação atuais para cada espécie e elencam as principais ações necessárias para melhorar o respetivo estado de conservação nos Estados-Membros da UE e para cumprir outra legislação pertinente da UE. Cada plano resulta de um processo alargado de consulta com peritos individuais na UE.</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Plano de ação para a conservação do sapo-parteiro-comum na UE</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Plano de ação para a conservação da borboleta-maravilha-do-danúbio na UE</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Plano de ação para a conservação do esquilo-do-campo-europeu na União Europeia</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Plano de ação da UE para a conservação de todas as espécies de morcegos na União Europeia (2018-2024)</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Plano de ação pan-europeu para os esturjões</w:t>
      </w:r>
    </w:p>
    <w:p>
      <w:pPr>
        <w:pBdr>
          <w:top w:val="single" w:sz="4" w:space="1" w:color="auto"/>
          <w:left w:val="single" w:sz="4" w:space="4" w:color="auto"/>
          <w:bottom w:val="single" w:sz="4" w:space="1" w:color="auto"/>
          <w:right w:val="single" w:sz="4" w:space="4" w:color="auto"/>
        </w:pBdr>
        <w:shd w:val="clear" w:color="auto" w:fill="FFC000"/>
        <w:spacing w:after="240"/>
        <w:jc w:val="both"/>
        <w:rPr>
          <w:noProof/>
          <w:sz w:val="18"/>
          <w:szCs w:val="20"/>
        </w:rPr>
      </w:pPr>
      <w:r>
        <w:rPr>
          <w:rFonts w:ascii="Verdana" w:hAnsi="Verdana"/>
          <w:noProof/>
          <w:sz w:val="18"/>
          <w:szCs w:val="20"/>
        </w:rPr>
        <w:t>Os planos visam auxiliar os Estados-Membros na conservação destas espécies, embora não sejam documentos juridicamente vinculativos e não obriguem os Estados-Membros para além dos compromissos legais a que estão sujeitos ao abrigo da diretiva.</w:t>
      </w:r>
    </w:p>
    <w:p>
      <w:pPr>
        <w:pBdr>
          <w:top w:val="single" w:sz="4" w:space="1" w:color="auto"/>
          <w:left w:val="single" w:sz="4" w:space="4" w:color="auto"/>
          <w:bottom w:val="single" w:sz="4" w:space="1" w:color="auto"/>
          <w:right w:val="single" w:sz="4" w:space="4" w:color="auto"/>
        </w:pBdr>
        <w:shd w:val="clear" w:color="auto" w:fill="FFC000"/>
        <w:rPr>
          <w:rFonts w:ascii="Verdana" w:hAnsi="Verdana"/>
          <w:noProof/>
          <w:sz w:val="18"/>
          <w:szCs w:val="20"/>
        </w:rPr>
      </w:pPr>
      <w:r>
        <w:rPr>
          <w:rFonts w:ascii="Verdana" w:hAnsi="Verdana"/>
          <w:noProof/>
          <w:sz w:val="18"/>
          <w:szCs w:val="20"/>
        </w:rPr>
        <w:t>Os planos de ação elaborados estão disponíveis na Internet: http://ec.europa.eu/environment/nature/conservation/species/action_plans/index_en.htm.</w:t>
      </w:r>
    </w:p>
    <w:p>
      <w:pPr>
        <w:spacing w:after="48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4 — Boas práticas: conservação do urso-pardo-cantábrico em Espanha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Em Espanha, existem três grandes carnívoros: o lince-ibérico (</w:t>
      </w:r>
      <w:r>
        <w:rPr>
          <w:rFonts w:ascii="Verdana" w:hAnsi="Verdana"/>
          <w:i/>
          <w:noProof/>
          <w:sz w:val="18"/>
          <w:szCs w:val="20"/>
        </w:rPr>
        <w:t>Lynx pardinus</w:t>
      </w:r>
      <w:r>
        <w:rPr>
          <w:rFonts w:ascii="Verdana" w:hAnsi="Verdana"/>
          <w:noProof/>
          <w:sz w:val="18"/>
          <w:szCs w:val="20"/>
        </w:rPr>
        <w:t>), o urso-pardo (</w:t>
      </w:r>
      <w:r>
        <w:rPr>
          <w:rFonts w:ascii="Verdana" w:hAnsi="Verdana"/>
          <w:i/>
          <w:noProof/>
          <w:sz w:val="18"/>
          <w:szCs w:val="20"/>
        </w:rPr>
        <w:t>Ursus arctos</w:t>
      </w:r>
      <w:r>
        <w:rPr>
          <w:rFonts w:ascii="Verdana" w:hAnsi="Verdana"/>
          <w:noProof/>
          <w:sz w:val="18"/>
          <w:szCs w:val="20"/>
        </w:rPr>
        <w:t>) e o lobo (</w:t>
      </w:r>
      <w:r>
        <w:rPr>
          <w:rFonts w:ascii="Verdana" w:hAnsi="Verdana"/>
          <w:i/>
          <w:noProof/>
          <w:sz w:val="18"/>
          <w:szCs w:val="20"/>
        </w:rPr>
        <w:t>Canis lupus</w:t>
      </w:r>
      <w:r>
        <w:rPr>
          <w:rFonts w:ascii="Verdana" w:hAnsi="Verdana"/>
          <w:noProof/>
          <w:sz w:val="18"/>
          <w:szCs w:val="20"/>
        </w:rPr>
        <w:t>). Como noutros países europeus, as duas últimas espécies têm sido alvo de perseguição ao longo dos séculos.</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Em meados do século XX, a população de ursos nos montes Cantábricos era composta por apenas 60-70 exemplares, que se dividiam em duas subpopulações. Existia nos Pirenéus uma outra pequena população de 20-30 exemplares. A estratégia espanhola para a conservação do urso-pardo-cantábrico foi adotada em 1999</w:t>
      </w:r>
      <w:r>
        <w:rPr>
          <w:noProof/>
        </w:rPr>
        <w:t xml:space="preserve"> </w:t>
      </w:r>
      <w:r>
        <w:rPr>
          <w:rFonts w:ascii="Verdana" w:hAnsi="Verdana"/>
          <w:noProof/>
          <w:sz w:val="18"/>
          <w:szCs w:val="20"/>
        </w:rPr>
        <w:t>e atualizada em 2019. A estratégia para as populações de ursos nos Pirenéus (reintroduzidos nos Pirenéus franceses</w:t>
      </w:r>
      <w:r>
        <w:rPr>
          <w:noProof/>
        </w:rPr>
        <w:t xml:space="preserve"> </w:t>
      </w:r>
      <w:r>
        <w:rPr>
          <w:rFonts w:ascii="Verdana" w:hAnsi="Verdana"/>
          <w:noProof/>
          <w:sz w:val="18"/>
          <w:szCs w:val="20"/>
        </w:rPr>
        <w:t xml:space="preserve">com a libertação de alguns exemplares também no lado espanhol) foi aprovada em 2007. Estas estratégias incluem, nomeadamente, medidas para aplicar o artigo 12.º da Diretiva </w:t>
      </w:r>
      <w:r>
        <w:rPr>
          <w:rFonts w:ascii="Verdana" w:hAnsi="Verdana"/>
          <w:i/>
          <w:iCs/>
          <w:noProof/>
          <w:sz w:val="18"/>
          <w:szCs w:val="20"/>
        </w:rPr>
        <w:t>Habitats</w:t>
      </w:r>
      <w:r>
        <w:rPr>
          <w:rFonts w:ascii="Verdana" w:hAnsi="Verdana"/>
          <w:noProof/>
          <w:sz w:val="18"/>
          <w:szCs w:val="20"/>
        </w:rPr>
        <w:t>.</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 xml:space="preserve">Em 1992, foi aprovado o primeiro projeto LIFE para a recuperação das duas subpopulações nos montes Cantábricos. Desde então, foram realizados 26 projetos que incidiam direta ou indiretamente sobre os ursos em toda a sua área de distribuição no norte da península Ibérica. Estes projetos situavam-se essencialmente nos montes Cantábricos e na Galiza, e alguns nos Pirenéus. Tinham por objetivo melhorar o </w:t>
      </w:r>
      <w:r>
        <w:rPr>
          <w:rFonts w:ascii="Verdana" w:hAnsi="Verdana"/>
          <w:i/>
          <w:iCs/>
          <w:noProof/>
          <w:sz w:val="18"/>
          <w:szCs w:val="20"/>
        </w:rPr>
        <w:t>habitat</w:t>
      </w:r>
      <w:r>
        <w:rPr>
          <w:rFonts w:ascii="Verdana" w:hAnsi="Verdana"/>
          <w:noProof/>
          <w:sz w:val="18"/>
          <w:szCs w:val="20"/>
        </w:rPr>
        <w:t>, pôr termo à caça furtiva, conquistar o apoio e conseguir a participação das populações e dos intervenientes locais através da sensibilização, melhorar a ligação entre populações, combater o envenenamento e incentivar a expansão das populações.</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20"/>
          <w:szCs w:val="20"/>
        </w:rPr>
      </w:pPr>
      <w:r>
        <w:rPr>
          <w:rFonts w:ascii="Verdana" w:hAnsi="Verdana"/>
          <w:noProof/>
          <w:sz w:val="18"/>
          <w:szCs w:val="20"/>
        </w:rPr>
        <w:t>Graças ao apoio dos governos nacional e regional</w:t>
      </w:r>
      <w:r>
        <w:rPr>
          <w:noProof/>
        </w:rPr>
        <w:t xml:space="preserve"> </w:t>
      </w:r>
      <w:r>
        <w:rPr>
          <w:rFonts w:ascii="Verdana" w:hAnsi="Verdana"/>
          <w:noProof/>
          <w:sz w:val="18"/>
          <w:szCs w:val="20"/>
        </w:rPr>
        <w:t>e das ONG, os projetos nos montes Cantábricos tiveram um êxito considerável. A atitude dos habitantes face ao urso também melhorou e a caça furtiva desapareceu quase por completo. Estima-se que a população atual seja de 270-310 ursos</w:t>
      </w:r>
      <w:r>
        <w:rPr>
          <w:rFonts w:ascii="Verdana" w:hAnsi="Verdana"/>
          <w:noProof/>
          <w:sz w:val="18"/>
          <w:szCs w:val="20"/>
          <w:vertAlign w:val="superscript"/>
        </w:rPr>
        <w:footnoteReference w:id="34"/>
      </w:r>
      <w:r>
        <w:rPr>
          <w:rFonts w:ascii="Verdana" w:hAnsi="Verdana"/>
          <w:noProof/>
          <w:sz w:val="18"/>
          <w:szCs w:val="20"/>
        </w:rPr>
        <w:t xml:space="preserve"> e que esteja a aumentar.</w:t>
      </w:r>
    </w:p>
    <w:p>
      <w:pPr>
        <w:spacing w:after="480"/>
        <w:jc w:val="both"/>
        <w:rPr>
          <w:rFonts w:ascii="Verdana" w:hAnsi="Verdana"/>
          <w:noProof/>
          <w:sz w:val="20"/>
          <w:szCs w:val="20"/>
        </w:rPr>
      </w:pPr>
    </w:p>
    <w:p>
      <w:pPr>
        <w:pStyle w:val="h4"/>
        <w:rPr>
          <w:noProof/>
        </w:rPr>
      </w:pPr>
      <w:r>
        <w:rPr>
          <w:noProof/>
        </w:rPr>
        <w:t xml:space="preserve">2.2.3. </w:t>
      </w:r>
      <w:r>
        <w:rPr>
          <w:noProof/>
        </w:rPr>
        <w:tab/>
        <w:t>Medidas relativas às situações descritas no artigo 12.º</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cs="Verdana"/>
          <w:i/>
          <w:noProof/>
          <w:sz w:val="20"/>
          <w:szCs w:val="20"/>
        </w:rPr>
      </w:pPr>
      <w:r>
        <w:rPr>
          <w:rFonts w:ascii="Verdana" w:hAnsi="Verdana"/>
          <w:i/>
          <w:noProof/>
          <w:sz w:val="20"/>
          <w:szCs w:val="20"/>
        </w:rPr>
        <w:t>As medidas a tomar ao abrigo do artigo 12.º são limitadas pelo teor das proibições e outras obrigações previstas neste artigo. Estas obrigações podem incluir a adoção e aplicação de medidas preventivas que antecipem e abordem as ameaças e os riscos que uma espécie pode enfrentar.</w:t>
      </w:r>
    </w:p>
    <w:p>
      <w:pPr>
        <w:spacing w:after="240"/>
        <w:jc w:val="both"/>
        <w:rPr>
          <w:rFonts w:ascii="Verdana" w:hAnsi="Verdana"/>
          <w:noProof/>
          <w:snapToGrid w:val="0"/>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17)</w:t>
      </w:r>
      <w:r>
        <w:rPr>
          <w:rFonts w:ascii="Verdana" w:hAnsi="Verdana"/>
          <w:noProof/>
          <w:snapToGrid w:val="0"/>
          <w:sz w:val="20"/>
          <w:szCs w:val="20"/>
        </w:rPr>
        <w:tab/>
        <w:t xml:space="preserve">O âmbito e o tipo das medidas tomadas para instituir um sistema de proteção rigorosa são limitados pela lista de proibições e outras obrigações constantes do artigo 12.º (ver também secção 2.3 abaixo). Consequentemente, as medidas tomadas têm de estar relacionadas com ações que ameacem as próprias espécies [artigo 12.º, n.º 1, alíneas a) a c), n.º 2, n.º 3 e n.º 4] ou elementos definidos dos respetivos </w:t>
      </w:r>
      <w:r>
        <w:rPr>
          <w:rFonts w:ascii="Verdana" w:hAnsi="Verdana"/>
          <w:i/>
          <w:iCs/>
          <w:noProof/>
          <w:snapToGrid w:val="0"/>
          <w:sz w:val="20"/>
          <w:szCs w:val="20"/>
        </w:rPr>
        <w:t>habitats</w:t>
      </w:r>
      <w:r>
        <w:rPr>
          <w:rFonts w:ascii="Verdana" w:hAnsi="Verdana"/>
          <w:noProof/>
          <w:snapToGrid w:val="0"/>
          <w:sz w:val="20"/>
          <w:szCs w:val="20"/>
        </w:rPr>
        <w:t xml:space="preserve"> [artigo 12.º, n.º 1, alínea d)]. O artigo 12.º, n.º 1, por si só ou em conjugação com o artigo 2.º, não obriga os Estados-Membros a tomarem medidas proativas de gestão de </w:t>
      </w:r>
      <w:r>
        <w:rPr>
          <w:rFonts w:ascii="Verdana" w:hAnsi="Verdana"/>
          <w:i/>
          <w:iCs/>
          <w:noProof/>
          <w:snapToGrid w:val="0"/>
          <w:sz w:val="20"/>
          <w:szCs w:val="20"/>
        </w:rPr>
        <w:t>habitats</w:t>
      </w:r>
      <w:r>
        <w:rPr>
          <w:rFonts w:ascii="Verdana" w:hAnsi="Verdana"/>
          <w:noProof/>
          <w:snapToGrid w:val="0"/>
          <w:sz w:val="20"/>
          <w:szCs w:val="20"/>
          <w:vertAlign w:val="superscript"/>
          <w:lang w:eastAsia="en-US"/>
        </w:rPr>
        <w:footnoteReference w:id="35"/>
      </w:r>
      <w:r>
        <w:rPr>
          <w:rFonts w:ascii="Verdana" w:hAnsi="Verdana"/>
          <w:noProof/>
          <w:snapToGrid w:val="0"/>
          <w:sz w:val="20"/>
          <w:szCs w:val="20"/>
        </w:rPr>
        <w:t>; apenas exige medidas para proibir eficazmente todas as atividades constantes do artigo 12.º, n.º 1</w:t>
      </w:r>
      <w:r>
        <w:rPr>
          <w:rFonts w:ascii="Verdana" w:hAnsi="Verdana"/>
          <w:noProof/>
          <w:sz w:val="20"/>
          <w:szCs w:val="20"/>
        </w:rPr>
        <w:t>. Além disso, nos termos do artigo 12.º, n.º 4, «os Estados‑[M]embros analisarão a necessidade de subsequentes investigações ou medidas de conservação com vista a garantir que as capturas ou abates acidentais não tenham um impacte negativo importante nas espécies em questão».</w:t>
      </w:r>
    </w:p>
    <w:p>
      <w:pPr>
        <w:spacing w:after="240"/>
        <w:jc w:val="both"/>
        <w:rPr>
          <w:rFonts w:ascii="Verdana" w:hAnsi="Verdana"/>
          <w:noProof/>
          <w:snapToGrid w:val="0"/>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 xml:space="preserve">18) Podem ser necessários diferentes tipos de medidas para outras espécies constantes do anexo IV e para situações diferentes. Esta necessidade pode variar em função dos diferentes requisitos ecológicos da espécie e dos problemas e ameaças específicos enfrentados pela mesma ou por grupos de espécies. </w:t>
      </w:r>
      <w:r>
        <w:rPr>
          <w:rFonts w:ascii="Verdana" w:hAnsi="Verdana"/>
          <w:b/>
          <w:noProof/>
          <w:snapToGrid w:val="0"/>
          <w:sz w:val="20"/>
          <w:szCs w:val="20"/>
        </w:rPr>
        <w:t>Compete às autoridades nacionais definir as medidas que são necessárias para aplicar eficazmente as proibições constantes do artigo 12.º, n.º 1, e garantir a proteção rigorosa das espécies</w:t>
      </w:r>
      <w:r>
        <w:rPr>
          <w:rFonts w:ascii="Verdana" w:hAnsi="Verdana"/>
          <w:noProof/>
          <w:snapToGrid w:val="0"/>
          <w:sz w:val="20"/>
          <w:szCs w:val="20"/>
        </w:rPr>
        <w:t>.</w:t>
      </w:r>
    </w:p>
    <w:p>
      <w:pPr>
        <w:spacing w:after="240"/>
        <w:jc w:val="both"/>
        <w:rPr>
          <w:rFonts w:ascii="Verdana" w:hAnsi="Verdana"/>
          <w:noProof/>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 xml:space="preserve">-19) </w:t>
      </w:r>
      <w:r>
        <w:rPr>
          <w:rFonts w:ascii="Verdana" w:hAnsi="Verdana"/>
          <w:noProof/>
          <w:sz w:val="20"/>
          <w:szCs w:val="20"/>
        </w:rPr>
        <w:t>Por conseguinte, os Estados-Membros têm a obrigação, por um lado, de introduzir uma proibição na legislação (em conformidade com o artigo 12.º, n.º 1) e, por outro lado, de executar e aplicar efetivamente essa proibição, incluindo medidas de prevenção (tais como sensibilização para as proibições em vigor, vigilância, etc.). Decorre também claramente da redação do artigo 12.º e do artigo 1.º, alínea i), bem como do objetivo da «manutenção» de um estado de conservação favorável, que os Estados-Membros têm de respeitar as obrigações decorrentes do artigo 12.º, mesmo antes de se confirmar alguma redução dos efetivos da espécie ou de se concretizar o risco de desaparecimento de uma espécie protegida</w:t>
      </w:r>
      <w:r>
        <w:rPr>
          <w:rFonts w:ascii="Verdana" w:hAnsi="Verdana"/>
          <w:noProof/>
          <w:sz w:val="20"/>
          <w:szCs w:val="20"/>
          <w:vertAlign w:val="superscript"/>
        </w:rPr>
        <w:footnoteReference w:id="36"/>
      </w:r>
      <w:r>
        <w:rPr>
          <w:rFonts w:ascii="Verdana" w:hAnsi="Verdana"/>
          <w:noProof/>
          <w:sz w:val="20"/>
          <w:szCs w:val="20"/>
        </w:rPr>
        <w:t>. Mesmo que uma espécie tenha um estado de conservação favorável e seja suscetível de o manter num futuro previsível</w:t>
      </w:r>
      <w:r>
        <w:rPr>
          <w:rFonts w:ascii="Verdana" w:hAnsi="Verdana"/>
          <w:b/>
          <w:noProof/>
          <w:sz w:val="20"/>
          <w:szCs w:val="20"/>
        </w:rPr>
        <w:t xml:space="preserve">, os Estados-Membros devem adotar medidas de </w:t>
      </w:r>
      <w:r>
        <w:rPr>
          <w:rFonts w:ascii="Verdana" w:hAnsi="Verdana"/>
          <w:b/>
          <w:i/>
          <w:noProof/>
          <w:sz w:val="20"/>
          <w:szCs w:val="20"/>
        </w:rPr>
        <w:t>prevenção</w:t>
      </w:r>
      <w:r>
        <w:rPr>
          <w:rFonts w:ascii="Verdana" w:hAnsi="Verdana"/>
          <w:b/>
          <w:noProof/>
          <w:sz w:val="20"/>
          <w:szCs w:val="20"/>
        </w:rPr>
        <w:t xml:space="preserve"> para proteger a espécie</w:t>
      </w:r>
      <w:r>
        <w:rPr>
          <w:rFonts w:ascii="Verdana" w:hAnsi="Verdana"/>
          <w:noProof/>
          <w:sz w:val="20"/>
          <w:szCs w:val="20"/>
        </w:rPr>
        <w:t xml:space="preserve"> contra as atividades enumeradas no artigo 12.º.</w:t>
      </w:r>
    </w:p>
    <w:p>
      <w:pPr>
        <w:spacing w:after="240"/>
        <w:jc w:val="both"/>
        <w:rPr>
          <w:rFonts w:ascii="Verdana" w:hAnsi="Verdana"/>
          <w:noProof/>
          <w:sz w:val="20"/>
          <w:szCs w:val="20"/>
        </w:rPr>
      </w:pPr>
      <w:r>
        <w:rPr>
          <w:rFonts w:ascii="Verdana" w:hAnsi="Verdana"/>
          <w:noProof/>
          <w:sz w:val="20"/>
          <w:szCs w:val="20"/>
        </w:rPr>
        <w:t>De facto, o TJUE esclareceu que «a aplicação do regime de proteção previsto no artigo 12.º, n.º 1, alíneas a) a c), da Diretiva [</w:t>
      </w:r>
      <w:r>
        <w:rPr>
          <w:rFonts w:ascii="Verdana" w:hAnsi="Verdana"/>
          <w:i/>
          <w:iCs/>
          <w:noProof/>
          <w:sz w:val="20"/>
          <w:szCs w:val="20"/>
        </w:rPr>
        <w:t>Habitats</w:t>
      </w:r>
      <w:r>
        <w:rPr>
          <w:rFonts w:ascii="Verdana" w:hAnsi="Verdana"/>
          <w:noProof/>
          <w:sz w:val="20"/>
          <w:szCs w:val="20"/>
        </w:rPr>
        <w:t>] não está subordinada à condição de ser provável que uma determinada atividade tenha um impacto negativo no estado de conservação da espécie animal em causa»</w:t>
      </w:r>
      <w:r>
        <w:rPr>
          <w:rStyle w:val="FootnoteReference"/>
          <w:rFonts w:ascii="Verdana" w:hAnsi="Verdana"/>
          <w:noProof/>
          <w:sz w:val="20"/>
          <w:szCs w:val="20"/>
        </w:rPr>
        <w:footnoteReference w:id="37"/>
      </w:r>
      <w:r>
        <w:rPr>
          <w:rFonts w:ascii="Verdana" w:hAnsi="Verdana"/>
          <w:noProof/>
          <w:sz w:val="20"/>
          <w:szCs w:val="20"/>
        </w:rPr>
        <w:t xml:space="preserve"> e que «a proteção oferecida pela referida disposição não deixa de se aplicar às espécies que tenham alcançado um estado de conservação favorável»</w:t>
      </w:r>
      <w:r>
        <w:rPr>
          <w:rStyle w:val="FootnoteReference"/>
          <w:rFonts w:ascii="Verdana" w:hAnsi="Verdana"/>
          <w:noProof/>
          <w:sz w:val="20"/>
          <w:szCs w:val="20"/>
        </w:rPr>
        <w:footnoteReference w:id="38"/>
      </w:r>
      <w:r>
        <w:rPr>
          <w:rFonts w:ascii="Verdana" w:hAnsi="Verdana"/>
          <w:noProof/>
          <w:sz w:val="20"/>
          <w:szCs w:val="20"/>
        </w:rPr>
        <w:t>. Além disso, «uma vez que a aplicação do regime de proteção previsto no artigo 12.º, n.º 1, alínea d), dessa diretiva não está subordinada ao número de espécimes da espécie em causa, também não pode estar subordinada […] ao risco de um impacto negativo no estado de conservação dessa espécie»</w:t>
      </w:r>
      <w:r>
        <w:rPr>
          <w:rStyle w:val="FootnoteReference"/>
          <w:rFonts w:ascii="Verdana" w:hAnsi="Verdana"/>
          <w:noProof/>
          <w:sz w:val="20"/>
          <w:szCs w:val="20"/>
        </w:rPr>
        <w:footnoteReference w:id="3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(2-20)</w:t>
      </w:r>
      <w:r>
        <w:rPr>
          <w:rFonts w:ascii="Verdana" w:hAnsi="Verdana"/>
          <w:noProof/>
          <w:sz w:val="20"/>
          <w:szCs w:val="20"/>
        </w:rPr>
        <w:tab/>
        <w:t>Esta opinião é corroborada pelos processos C-103/00, C-518/04, C-183/05 e C</w:t>
      </w:r>
      <w:r>
        <w:rPr>
          <w:rFonts w:ascii="Verdana" w:hAnsi="Verdana"/>
          <w:noProof/>
          <w:sz w:val="20"/>
          <w:szCs w:val="20"/>
        </w:rPr>
        <w:noBreakHyphen/>
        <w:t>383/09, em que o Tribunal de Justiça sublinhou a importância do caráter preventivo das medidas tomadas</w:t>
      </w:r>
      <w:r>
        <w:rPr>
          <w:rFonts w:ascii="Verdana" w:hAnsi="Verdana"/>
          <w:noProof/>
          <w:sz w:val="20"/>
          <w:szCs w:val="20"/>
          <w:vertAlign w:val="superscript"/>
        </w:rPr>
        <w:footnoteReference w:id="40"/>
      </w:r>
      <w:r>
        <w:rPr>
          <w:rFonts w:ascii="Verdana" w:hAnsi="Verdana"/>
          <w:noProof/>
          <w:sz w:val="20"/>
          <w:szCs w:val="20"/>
        </w:rPr>
        <w:t xml:space="preserve">. O Tribunal de Justiça rejeitou o argumento do Governo helénico de que era necessário comprovar uma redução do número de ninhos para demonstrar a ausência de proteção rigorosa da </w:t>
      </w:r>
      <w:r>
        <w:rPr>
          <w:rFonts w:ascii="Verdana" w:hAnsi="Verdana"/>
          <w:i/>
          <w:noProof/>
          <w:sz w:val="20"/>
          <w:szCs w:val="20"/>
        </w:rPr>
        <w:t>Caretta caretta</w:t>
      </w:r>
      <w:r>
        <w:rPr>
          <w:rFonts w:ascii="Verdana" w:hAnsi="Verdana"/>
          <w:noProof/>
          <w:sz w:val="20"/>
          <w:szCs w:val="20"/>
        </w:rPr>
        <w:t xml:space="preserve">. Segundo o Tribunal de Justiça, «[o] facto de parecer que o número de ninhos desta espécie não diminuiu nos últimos 15 anos não pode, por si só, pôr em causa aquela conclusão», ou seja, a ausência de um sistema de proteção rigorosa da </w:t>
      </w:r>
      <w:r>
        <w:rPr>
          <w:rFonts w:ascii="Verdana" w:hAnsi="Verdana"/>
          <w:i/>
          <w:noProof/>
          <w:sz w:val="20"/>
          <w:szCs w:val="20"/>
        </w:rPr>
        <w:t>Caretta caretta</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O Tribunal de Justiça declarou que a transposição do artigo 12.º impõe aos Estados</w:t>
      </w:r>
      <w:r>
        <w:rPr>
          <w:rFonts w:ascii="Verdana" w:hAnsi="Verdana"/>
          <w:noProof/>
          <w:sz w:val="20"/>
          <w:szCs w:val="20"/>
        </w:rPr>
        <w:noBreakHyphen/>
        <w:t>Membros não só a adoção de um quadro legislativo completo mas também a aplicação de medidas concretas e específicas de proteção a este respeito e que o sistema de proteção rigorosa pressupõe a adoção de medidas coerentes e coordenadas de caráter preventivo</w:t>
      </w:r>
      <w:r>
        <w:rPr>
          <w:rFonts w:ascii="Verdana" w:hAnsi="Verdana" w:cstheme="minorHAnsi"/>
          <w:noProof/>
          <w:sz w:val="22"/>
          <w:szCs w:val="22"/>
          <w:vertAlign w:val="superscript"/>
        </w:rPr>
        <w:footnoteReference w:id="41"/>
      </w:r>
      <w:r>
        <w:rPr>
          <w:rFonts w:ascii="Verdana" w:hAnsi="Verdana"/>
          <w:noProof/>
          <w:sz w:val="22"/>
          <w:szCs w:val="22"/>
        </w:rPr>
        <w:t xml:space="preserve">. </w:t>
      </w:r>
      <w:r>
        <w:rPr>
          <w:rFonts w:ascii="Verdana" w:hAnsi="Verdana"/>
          <w:noProof/>
          <w:sz w:val="20"/>
          <w:szCs w:val="20"/>
        </w:rPr>
        <w:t xml:space="preserve">Tal sistema de proteção rigorosa tem, portanto, de permitir evitar efetivamente a deterioração ou a destruição dos locais de reprodução ou áreas de repouso das espécies animais que constam do anexo IV, alínea a), da Diretiva </w:t>
      </w:r>
      <w:r>
        <w:rPr>
          <w:rFonts w:ascii="Verdana" w:hAnsi="Verdana"/>
          <w:i/>
          <w:iCs/>
          <w:noProof/>
          <w:sz w:val="20"/>
          <w:szCs w:val="20"/>
        </w:rPr>
        <w:t>Habitats</w:t>
      </w:r>
      <w:r>
        <w:rPr>
          <w:rFonts w:ascii="Verdana" w:hAnsi="Verdana"/>
          <w:noProof/>
          <w:sz w:val="20"/>
          <w:szCs w:val="20"/>
        </w:rPr>
        <w:t xml:space="preserve"> (ver, a este respeito, o processo C</w:t>
      </w:r>
      <w:r>
        <w:rPr>
          <w:rFonts w:ascii="Verdana" w:hAnsi="Verdana"/>
          <w:noProof/>
          <w:sz w:val="20"/>
          <w:szCs w:val="20"/>
        </w:rPr>
        <w:noBreakHyphen/>
        <w:t>103/00, Comissão/Grécia, ECLI:EU:C:2002:60, n.º 39).</w:t>
      </w:r>
    </w:p>
    <w:p>
      <w:pPr>
        <w:spacing w:after="240"/>
        <w:jc w:val="both"/>
        <w:rPr>
          <w:rFonts w:ascii="Verdana" w:hAnsi="Verdana" w:cs="Verdana"/>
          <w:noProof/>
          <w:sz w:val="20"/>
          <w:szCs w:val="20"/>
        </w:rPr>
      </w:pPr>
      <w:r>
        <w:rPr>
          <w:rFonts w:ascii="Verdana" w:hAnsi="Verdana"/>
          <w:noProof/>
          <w:sz w:val="20"/>
          <w:szCs w:val="20"/>
        </w:rPr>
        <w:t>(2-21)</w:t>
      </w:r>
      <w:r>
        <w:rPr>
          <w:rFonts w:ascii="Verdana" w:hAnsi="Verdana"/>
          <w:noProof/>
          <w:sz w:val="20"/>
          <w:szCs w:val="20"/>
        </w:rPr>
        <w:tab/>
        <w:t>Este tipo de abordagem também se fundamenta no artigo 191.º do TFUE, segundo o qual «[a] política da União no domínio do ambiente terá por objetivo atingir um nível de proteção elevado», e baseia-se no princípio da precaução e no princípio de que deve existir uma ação preventiva. As medidas de prevenção antecipam e abordam as ameaças e os riscos que uma espécie pode enfrentar. Consequentemente, para algumas espécies, as medidas de prevenção também devem fazer parte das «medidas necessárias» para a instituição do sistema de proteção rigorosa.</w:t>
      </w:r>
    </w:p>
    <w:p>
      <w:pPr>
        <w:spacing w:after="36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FFC000"/>
        <w:autoSpaceDE w:val="0"/>
        <w:autoSpaceDN w:val="0"/>
        <w:adjustRightInd w:val="0"/>
        <w:spacing w:after="240"/>
        <w:ind w:left="3"/>
        <w:jc w:val="both"/>
        <w:rPr>
          <w:rFonts w:ascii="Verdana" w:hAnsi="Verdana" w:cs="Verdana"/>
          <w:b/>
          <w:noProof/>
          <w:sz w:val="18"/>
          <w:szCs w:val="20"/>
        </w:rPr>
      </w:pPr>
      <w:r>
        <w:rPr>
          <w:rFonts w:ascii="Verdana" w:hAnsi="Verdana"/>
          <w:b/>
          <w:noProof/>
          <w:sz w:val="18"/>
          <w:szCs w:val="20"/>
        </w:rPr>
        <w:t>5 — Orientações complementares: exemplos de medidas de prevenção que apoiam a aplicação efetiva «no terreno» das proibições previstas no artigo 12.º</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Campanhas de informação para sensibilizar o público em geral, ou públicos específicos (por exemplo, proprietários de terrenos) para os requisitos de proteção de certas espécies e a sua localização, bem como a localização dos respetivos locais de reprodução e áreas de repouso.</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Ações para garantir que as considerações em matéria de proteção das espécies são tidas em conta pelas atividades económicas pertinentes (por exemplo, agricultura, silvicultura ou pesca) que possam ter impacto nas espécies constantes do anexo IV, a fim de evitar os impactos negativos de certas práticas de uso da terra ou do mar. Podem incluir formação, códigos de conduta, documentos de orientação, a adaptação de planos silvícolas ou agrícolas ou de práticas piscatórias, e boas práticas ou procedimentos administrativos.</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Prevenção ativa das perturbações prováveis (por exemplo, limitação do acesso às grutas de morcegos durante períodos sensíveis, a fim de evitar perturbação ou vandalismo, modificação ou limitação de práticas agrícolas, silvícolas ou piscatórias).</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Identificação de atividades especialmente prejudiciais que têm de ser sujeitas a autorizações específicas ou a controlo local.</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Identificação de atividades potencialmente prejudiciais que têm de ser sujeitas a vigilância.</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Integração nos procedimentos de avaliação do impacto ambiental e de avaliação ambiental estratégica de requisitos para avaliar os impactos de projetos e planos em espécies constantes do anexo IV e nos seus locais de reprodução e áreas de repouso.</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Inspeções e utilização de guardas florestais para efeitos de vigilância.</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Elaboração de planos nacionais de conservação, que podem definir pormenorizadamente as medidas anteriormente mencionadas e fornecer orientações práticas às autoridades locais/regionais, grupos de interesse afetados, etc., sobre a aplicação efetiva destas disposições a espécies específicas.</w:t>
      </w:r>
    </w:p>
    <w:p>
      <w:pPr>
        <w:spacing w:after="36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6 — Exemplo de boas práticas: plano nacional de conservação da orca em Espanha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Em 2017, a Espanha adotou um plano de conservação da orca (</w:t>
      </w:r>
      <w:r>
        <w:rPr>
          <w:rFonts w:ascii="Verdana" w:hAnsi="Verdana"/>
          <w:i/>
          <w:noProof/>
          <w:sz w:val="18"/>
          <w:szCs w:val="20"/>
        </w:rPr>
        <w:t>Orcinus orca</w:t>
      </w:r>
      <w:r>
        <w:rPr>
          <w:rFonts w:ascii="Verdana" w:hAnsi="Verdana"/>
          <w:noProof/>
          <w:sz w:val="18"/>
          <w:szCs w:val="20"/>
        </w:rPr>
        <w:t>) para o estreito de Gibraltar e o golfo de Cádis, os dois locais onde a espécie está presente em águas espanholas. Trata-se do primeiro plano de conservação para uma espécie marinha aprovado em Espanha. O estado da população de orcas no estreito de Gibraltar e no golfo de Cádis é descrito como «vulnerável» no catálogo espanhol de espécies ameaçadas (CEEA) mas foi avaliado como favorável por Espanha no seu último relatório ao abrigo do artigo 17.º. Este plano contém ações para reduzir as ameaças às orcas naquelas zonas, com o objetivo de garantir um estado de conservação favorável.</w:t>
      </w:r>
    </w:p>
    <w:p>
      <w:pPr>
        <w:pBdr>
          <w:top w:val="single" w:sz="4" w:space="1" w:color="auto"/>
          <w:left w:val="single" w:sz="4" w:space="4" w:color="auto"/>
          <w:bottom w:val="single" w:sz="4" w:space="1" w:color="auto"/>
          <w:right w:val="single" w:sz="4" w:space="4" w:color="auto"/>
        </w:pBdr>
        <w:shd w:val="clear" w:color="auto" w:fill="92D050"/>
        <w:spacing w:after="240"/>
        <w:jc w:val="both"/>
        <w:rPr>
          <w:noProof/>
        </w:rPr>
      </w:pPr>
      <w:r>
        <w:rPr>
          <w:rFonts w:ascii="Verdana" w:hAnsi="Verdana"/>
          <w:noProof/>
          <w:sz w:val="18"/>
          <w:szCs w:val="20"/>
        </w:rPr>
        <w:t>As principais ameaças são a redução do número de presas devido à sobrepesca, a interação com embarcações e a poluição acústica e química. Por conseguinte, o plano inclui medidas como a proibição da exploração de petróleo e de gás através de prospeção sísmica em certas zonas, a regulação da observação de cetáceos, a redução do esforço de pesca com vista a garantir recursos alimentares suficientes para a população de orcas, a redução da poluição naquelas zonas e a vigilância da população.</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Foram adotados outros atos jurídicos relacionados com a proteção dos cetáceos. O Decreto Real n.º 1727/2007 institui medidas de proteção para os cetáceos e abrange, entre outras, as atividades de observação de cetáceos. O Decreto Real n.º 699/2018 designa o corredor de migração de cetáceos no Mediterrâneo como área marinha protegida. Além disso, aprova um regime de proteção preventiva e propõe a inclusão do corredor de migração na lista de áreas especialmente protegidas de importância para o Mediterrâneo no âmbito da Convenção de Barcelona.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Há também projetos específicos, como o projeto LIFE IP INTEMARES, que põem em prática medidas de conservação de cetáceos, como a análise do tráfego marítimo e da distribuição de cetáceos, a fim de reduzir a mortalidade dos cetáceos devido a colisões</w:t>
      </w:r>
      <w:r>
        <w:rPr>
          <w:noProof/>
        </w:rPr>
        <w:t xml:space="preserve"> </w:t>
      </w:r>
      <w:r>
        <w:rPr>
          <w:rFonts w:ascii="Verdana" w:hAnsi="Verdana"/>
          <w:noProof/>
          <w:sz w:val="18"/>
          <w:szCs w:val="20"/>
        </w:rPr>
        <w:t>nas águas em redor das ilhas Baleares e das ilhas Canárias. Além disso, há ações para controlar as atividades recreativas que implicam a aproximação aos cetáceos e medidas para promover a redução do ruído no mar</w:t>
      </w:r>
      <w:r>
        <w:rPr>
          <w:rFonts w:ascii="Verdana" w:hAnsi="Verdana"/>
          <w:noProof/>
          <w:sz w:val="18"/>
          <w:szCs w:val="20"/>
          <w:vertAlign w:val="superscript"/>
        </w:rPr>
        <w:footnoteReference w:id="42"/>
      </w:r>
      <w:r>
        <w:rPr>
          <w:rFonts w:ascii="Verdana" w:hAnsi="Verdana"/>
          <w:noProof/>
          <w:sz w:val="18"/>
          <w:szCs w:val="20"/>
        </w:rPr>
        <w:t>.</w:t>
      </w:r>
    </w:p>
    <w:p>
      <w:pPr>
        <w:spacing w:after="240"/>
        <w:jc w:val="both"/>
        <w:rPr>
          <w:rFonts w:ascii="Verdana" w:hAnsi="Verdana"/>
          <w:noProof/>
          <w:sz w:val="18"/>
          <w:szCs w:val="20"/>
        </w:rPr>
      </w:pPr>
    </w:p>
    <w:p>
      <w:pPr>
        <w:spacing w:after="240"/>
        <w:jc w:val="both"/>
        <w:rPr>
          <w:rFonts w:ascii="Verdana" w:hAnsi="Verdana"/>
          <w:noProof/>
          <w:sz w:val="18"/>
          <w:szCs w:val="20"/>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b/>
          <w:noProof/>
          <w:sz w:val="18"/>
          <w:szCs w:val="18"/>
        </w:rPr>
      </w:pPr>
      <w:r>
        <w:rPr>
          <w:rFonts w:ascii="Verdana" w:hAnsi="Verdana"/>
          <w:b/>
          <w:noProof/>
          <w:sz w:val="18"/>
          <w:szCs w:val="18"/>
        </w:rPr>
        <w:t>7 — Boas práticas: proteção de grutas de morcegos na Roménia</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 xml:space="preserve">Os montes Pădurea Craiului, Bi-hor e Trascău, na Roménia estão repletos de grutas subterrâneas espetaculares de diferentes tamanhos, habitadas por importantes colónias de diferentes espécies de morcegos protegidas ao abrigo da Diretiva </w:t>
      </w:r>
      <w:r>
        <w:rPr>
          <w:rFonts w:ascii="Verdana" w:hAnsi="Verdana"/>
          <w:i/>
          <w:iCs/>
          <w:noProof/>
          <w:sz w:val="18"/>
          <w:szCs w:val="18"/>
        </w:rPr>
        <w:t>Habitats</w:t>
      </w:r>
      <w:r>
        <w:rPr>
          <w:rFonts w:ascii="Verdana" w:hAnsi="Verdana"/>
          <w:noProof/>
          <w:sz w:val="18"/>
          <w:szCs w:val="18"/>
        </w:rPr>
        <w:t>. Os morcegos são muito vulneráveis a qualquer forma de perturbação, especialmente durante os períodos de empoleiramento e de hibernação.</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A fim de salvaguardar os poleiros existentes contra perturbações causadas por turistas, foi lançado em 2010 um projeto LIFE</w:t>
      </w:r>
      <w:r>
        <w:rPr>
          <w:rStyle w:val="FootnoteReference"/>
          <w:rFonts w:ascii="Verdana" w:hAnsi="Verdana"/>
          <w:noProof/>
          <w:sz w:val="18"/>
          <w:szCs w:val="18"/>
        </w:rPr>
        <w:footnoteReference w:id="43"/>
      </w:r>
      <w:r>
        <w:rPr>
          <w:rFonts w:ascii="Verdana" w:hAnsi="Verdana"/>
          <w:noProof/>
          <w:sz w:val="18"/>
          <w:szCs w:val="18"/>
        </w:rPr>
        <w:t xml:space="preserve"> para fechar as entradas de 15 grutas que alojavam importantes poleiros de morcegos (100 000 morcegos só na gruta de Huda lui Papară). Para o efeito, foi colocada uma grelha com um desenho especial ou uma vedação na entrada das grutas, a fim de controlar o acesso humano permitindo simultaneamente o acesso sem entraves aos morcegos.</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Ainda é possível realizar visitas guiadas a estas grutas, em pequenos grupos, mas estes têm de seguir um código de conduta para garantir que evitam perturbar os morcegos. Foram também colocados painéis informativos na entrada das grutas para explicar o motivo por que foram encerradas e o tipo de morcegos que estão a ser protegidos.</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b/>
          <w:noProof/>
          <w:sz w:val="18"/>
          <w:szCs w:val="18"/>
        </w:rPr>
      </w:pPr>
    </w:p>
    <w:p>
      <w:pPr>
        <w:autoSpaceDE w:val="0"/>
        <w:autoSpaceDN w:val="0"/>
        <w:adjustRightInd w:val="0"/>
        <w:jc w:val="both"/>
        <w:rPr>
          <w:rFonts w:ascii="Verdana" w:hAnsi="Verdana"/>
          <w:b/>
          <w:noProof/>
          <w:sz w:val="20"/>
          <w:szCs w:val="20"/>
        </w:rPr>
      </w:pPr>
    </w:p>
    <w:p>
      <w:pPr>
        <w:autoSpaceDE w:val="0"/>
        <w:autoSpaceDN w:val="0"/>
        <w:adjustRightInd w:val="0"/>
        <w:jc w:val="both"/>
        <w:rPr>
          <w:rFonts w:ascii="Verdana" w:hAnsi="Verdana"/>
          <w:b/>
          <w:noProof/>
          <w:sz w:val="20"/>
          <w:szCs w:val="20"/>
        </w:rPr>
      </w:pPr>
    </w:p>
    <w:p>
      <w:pPr>
        <w:pStyle w:val="h4"/>
        <w:rPr>
          <w:noProof/>
        </w:rPr>
      </w:pPr>
      <w:r>
        <w:rPr>
          <w:noProof/>
        </w:rPr>
        <w:t xml:space="preserve">2.2.4. </w:t>
      </w:r>
      <w:r>
        <w:rPr>
          <w:noProof/>
        </w:rPr>
        <w:tab/>
        <w:t>Disposições do artigo 12.º, n.º 1, alíneas a) a d), e do artigo 12.º, n.º 4, em relação às atividades em curso</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bCs/>
          <w:i/>
          <w:noProof/>
          <w:sz w:val="20"/>
          <w:szCs w:val="20"/>
        </w:rPr>
      </w:pPr>
      <w:r>
        <w:rPr>
          <w:rFonts w:ascii="Verdana" w:hAnsi="Verdana"/>
          <w:bCs/>
          <w:i/>
          <w:noProof/>
          <w:sz w:val="20"/>
          <w:szCs w:val="20"/>
        </w:rPr>
        <w:t>No caso das atividades em curso, como a agricultura, a silvicultura ou a pesca, o desafio consiste em aplicar as disposições em matéria de proteção das espécies do artigo 12.º, de forma a evitar antes de mais eventuais conflitos. A utilização de ferramentas como instrumentos de planeamento, códigos de conduta e informações práticas e orientações podem potencialmente satisfazer as necessidades de conservação, tendo simultaneamente em conta as exigências económicas, sociais e culturais.</w:t>
      </w:r>
      <w:r>
        <w:rPr>
          <w:rFonts w:ascii="Verdana" w:hAnsi="Verdana"/>
          <w:i/>
          <w:noProof/>
          <w:sz w:val="20"/>
          <w:szCs w:val="20"/>
        </w:rPr>
        <w:t xml:space="preserve"> Porém, estas ferramentas</w:t>
      </w:r>
      <w:r>
        <w:rPr>
          <w:rFonts w:ascii="Verdana" w:hAnsi="Verdana"/>
          <w:bCs/>
          <w:i/>
          <w:noProof/>
          <w:sz w:val="20"/>
          <w:szCs w:val="20"/>
        </w:rPr>
        <w:t xml:space="preserve"> têm de ser acompanhadas por um quadro jurídico que garanta a execução adequada por parte das autoridades reguladoras em caso de incumprimento. Quanto à perturbação não intencional ou ao abate acidental de espécimes individuais durante as atividades em curso, têm de ser abordados ao abrigo do artigo 12.º, n.º 4.</w:t>
      </w:r>
    </w:p>
    <w:p>
      <w:pPr>
        <w:jc w:val="both"/>
        <w:rPr>
          <w:rFonts w:ascii="Verdana" w:hAnsi="Verdana"/>
          <w:noProof/>
          <w:sz w:val="20"/>
          <w:szCs w:val="20"/>
        </w:rPr>
      </w:pPr>
      <w:r>
        <w:rPr>
          <w:rFonts w:ascii="Verdana" w:hAnsi="Verdana"/>
          <w:noProof/>
          <w:sz w:val="20"/>
          <w:szCs w:val="20"/>
        </w:rPr>
        <w:t xml:space="preserve">(2-22) Embora a aplicação de regulamentos de proteção possa estar claramente associada a procedimentos de aprovação de projetos (por exemplo, para projetos de construção e de infraestruturas), a sua aplicação no caso de atividades recorrentes e generalizadas, como é o caso da </w:t>
      </w:r>
      <w:r>
        <w:rPr>
          <w:rFonts w:ascii="Verdana" w:hAnsi="Verdana"/>
          <w:b/>
          <w:noProof/>
          <w:sz w:val="20"/>
          <w:szCs w:val="20"/>
        </w:rPr>
        <w:t>agricultura, da silvicultura ou da pesca</w:t>
      </w:r>
      <w:r>
        <w:rPr>
          <w:rFonts w:ascii="Verdana" w:hAnsi="Verdana"/>
          <w:noProof/>
          <w:sz w:val="20"/>
          <w:szCs w:val="20"/>
          <w:vertAlign w:val="superscript"/>
        </w:rPr>
        <w:footnoteReference w:id="44"/>
      </w:r>
      <w:r>
        <w:rPr>
          <w:rFonts w:ascii="Verdana" w:hAnsi="Verdana"/>
          <w:noProof/>
          <w:sz w:val="20"/>
          <w:szCs w:val="20"/>
        </w:rPr>
        <w:t>,</w:t>
      </w:r>
      <w:r>
        <w:rPr>
          <w:rFonts w:ascii="Verdana" w:hAnsi="Verdana"/>
          <w:b/>
          <w:noProof/>
          <w:sz w:val="20"/>
          <w:szCs w:val="20"/>
        </w:rPr>
        <w:t xml:space="preserve"> </w:t>
      </w:r>
      <w:r>
        <w:rPr>
          <w:rFonts w:ascii="Verdana" w:hAnsi="Verdana"/>
          <w:noProof/>
          <w:sz w:val="20"/>
          <w:szCs w:val="20"/>
        </w:rPr>
        <w:t>pode ser uma questão mais complexa.</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 xml:space="preserve">Não obstante, a diretiva também é aplicável a estas atividades. De facto, o TJUE esclareceu que as proibições que figuram no artigo 12.º, n.º 1, alíneas a) a c), da Diretiva </w:t>
      </w:r>
      <w:r>
        <w:rPr>
          <w:rFonts w:ascii="Verdana" w:hAnsi="Verdana"/>
          <w:i/>
          <w:iCs/>
          <w:noProof/>
          <w:sz w:val="20"/>
          <w:szCs w:val="20"/>
        </w:rPr>
        <w:t>Habitats</w:t>
      </w:r>
      <w:r>
        <w:rPr>
          <w:rFonts w:ascii="Verdana" w:hAnsi="Verdana"/>
          <w:noProof/>
          <w:sz w:val="20"/>
          <w:szCs w:val="20"/>
        </w:rPr>
        <w:t xml:space="preserve"> são suscetíveis de se aplicar a uma determinada atividade, como uma atividade de exploração florestal ou de ordenamento do território, cujo objetivo seja manifestamente diferente da captura ou abate, da perturbação de espécies animais ou da destruição ou recolha intencionais de ovos</w:t>
      </w:r>
      <w:r>
        <w:rPr>
          <w:rFonts w:ascii="Verdana" w:hAnsi="Verdana"/>
          <w:noProof/>
          <w:sz w:val="20"/>
          <w:szCs w:val="20"/>
          <w:vertAlign w:val="superscript"/>
        </w:rPr>
        <w:footnoteReference w:id="45"/>
      </w:r>
      <w:r>
        <w:rPr>
          <w:rFonts w:ascii="Verdana" w:hAnsi="Verdana"/>
          <w:noProof/>
          <w:sz w:val="20"/>
          <w:szCs w:val="20"/>
        </w:rPr>
        <w:t xml:space="preserve">. Por analogia, o mesmo é válido para a proibição que figura no artigo 12.º, n.º 1, alínea d), da Diretiva </w:t>
      </w:r>
      <w:r>
        <w:rPr>
          <w:rFonts w:ascii="Verdana" w:hAnsi="Verdana"/>
          <w:i/>
          <w:iCs/>
          <w:noProof/>
          <w:sz w:val="20"/>
          <w:szCs w:val="20"/>
        </w:rPr>
        <w:t>Habitats</w:t>
      </w:r>
      <w:r>
        <w:rPr>
          <w:rFonts w:ascii="Verdana" w:hAnsi="Verdana"/>
          <w:noProof/>
          <w:sz w:val="20"/>
          <w:szCs w:val="20"/>
        </w:rPr>
        <w:t>.</w:t>
      </w:r>
    </w:p>
    <w:p>
      <w:pPr>
        <w:jc w:val="both"/>
        <w:rPr>
          <w:rFonts w:ascii="Verdana" w:hAnsi="Verdana"/>
          <w:noProof/>
          <w:sz w:val="20"/>
        </w:rPr>
      </w:pPr>
      <w:r>
        <w:rPr>
          <w:rFonts w:ascii="Verdana" w:hAnsi="Verdana"/>
          <w:b/>
          <w:noProof/>
          <w:sz w:val="20"/>
          <w:szCs w:val="20"/>
        </w:rPr>
        <w:t>Por conseguinte, os Estados-Membros têm de assegurar que cumprem as suas obrigações em matéria de proteção das espécies constantes do anexo IV também no caso das atividades em curso</w:t>
      </w:r>
      <w:r>
        <w:rPr>
          <w:rFonts w:ascii="Verdana" w:hAnsi="Verdana"/>
          <w:noProof/>
          <w:sz w:val="20"/>
          <w:szCs w:val="20"/>
        </w:rPr>
        <w:t>. Isto não significa necessariamente que é preciso introduzir novas estruturas ou procedimentos de autorização a nível nacional. Muito provavelmente, os Estados-Membros terão em vigor procedimentos de planeamento, regulamentos ou códigos de boas práticas passíveis de serem adaptados de forma a incorporar as disposições do artigo 12.º. Não obstante, independentemente da abordagem escolhida com vista à aplicação dos requisitos do artigo 12.º às atividades em curso (criação de um novo mecanismo ou adaptação de mecanismos existentes), os Estados-Membros têm de assegurar que os requisitos em matéria de proteção rigorosa são cumpridos adequadamente. Uma vez que a agricultura, a silvicultura e a pesca são significativamente diferentes a este nível, cada uma destas atividades é analisada separadamente mais abaixo.</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(2-23)</w:t>
      </w:r>
      <w:r>
        <w:rPr>
          <w:rFonts w:ascii="Verdana" w:hAnsi="Verdana"/>
          <w:noProof/>
          <w:sz w:val="20"/>
          <w:szCs w:val="20"/>
        </w:rPr>
        <w:tab/>
        <w:t xml:space="preserve">No que se refere à </w:t>
      </w:r>
      <w:r>
        <w:rPr>
          <w:rFonts w:ascii="Verdana" w:hAnsi="Verdana"/>
          <w:b/>
          <w:noProof/>
          <w:sz w:val="20"/>
          <w:szCs w:val="20"/>
        </w:rPr>
        <w:t>agricultura</w:t>
      </w:r>
      <w:r>
        <w:rPr>
          <w:rFonts w:ascii="Verdana" w:hAnsi="Verdana"/>
          <w:noProof/>
          <w:sz w:val="20"/>
          <w:szCs w:val="20"/>
          <w:vertAlign w:val="superscript"/>
        </w:rPr>
        <w:footnoteReference w:id="46"/>
      </w:r>
      <w:r>
        <w:rPr>
          <w:rFonts w:ascii="Verdana" w:hAnsi="Verdana"/>
          <w:noProof/>
          <w:sz w:val="20"/>
          <w:szCs w:val="20"/>
        </w:rPr>
        <w:t xml:space="preserve">, vários Estados-Membros optaram por medidas de prevenção para garantir o cumprimento do artigo 12.º. Estas podem implicar, por exemplo, o desenvolvimento de </w:t>
      </w:r>
      <w:r>
        <w:rPr>
          <w:rFonts w:ascii="Verdana" w:hAnsi="Verdana"/>
          <w:b/>
          <w:noProof/>
          <w:sz w:val="20"/>
          <w:szCs w:val="20"/>
        </w:rPr>
        <w:t xml:space="preserve">orientações e códigos de conduta </w:t>
      </w:r>
      <w:r>
        <w:rPr>
          <w:rFonts w:ascii="Verdana" w:hAnsi="Verdana"/>
          <w:noProof/>
          <w:sz w:val="20"/>
          <w:szCs w:val="20"/>
        </w:rPr>
        <w:t xml:space="preserve">(ainda que não sejam juridicamente vinculativos) que sejam suficientemente pormenorizados e claros. Convém observar que, normalmente, as regras básicas dos métodos de exploração agrícola incluem a proteção de certas características da paisagem — tais como sebes, charcos, etc. — que podem também ser </w:t>
      </w:r>
      <w:r>
        <w:rPr>
          <w:rFonts w:ascii="Verdana" w:hAnsi="Verdana"/>
          <w:i/>
          <w:iCs/>
          <w:noProof/>
          <w:sz w:val="20"/>
          <w:szCs w:val="20"/>
        </w:rPr>
        <w:t>habitats</w:t>
      </w:r>
      <w:r>
        <w:rPr>
          <w:rFonts w:ascii="Verdana" w:hAnsi="Verdana"/>
          <w:noProof/>
          <w:sz w:val="20"/>
          <w:szCs w:val="20"/>
        </w:rPr>
        <w:t xml:space="preserve"> de espécies constantes do anexo IV. Porém, a variedade de espécies em questão é muito grande e, em alguns casos, os Estados-Membros consideraram adequado elaborar orientações mais pormenorizadas e específicas para certas espécies.</w:t>
      </w:r>
    </w:p>
    <w:p>
      <w:pPr>
        <w:spacing w:after="240"/>
        <w:jc w:val="both"/>
        <w:rPr>
          <w:rFonts w:ascii="Verdana" w:hAnsi="Verdana"/>
          <w:noProof/>
          <w:sz w:val="20"/>
          <w:szCs w:val="20"/>
        </w:rPr>
      </w:pPr>
      <w:r>
        <w:rPr>
          <w:rFonts w:ascii="Verdana" w:hAnsi="Verdana"/>
          <w:noProof/>
          <w:sz w:val="20"/>
          <w:szCs w:val="20"/>
        </w:rPr>
        <w:t xml:space="preserve">Não obstante, a diretiva exige que </w:t>
      </w:r>
      <w:r>
        <w:rPr>
          <w:rFonts w:ascii="Verdana" w:hAnsi="Verdana"/>
          <w:b/>
          <w:noProof/>
          <w:sz w:val="20"/>
          <w:szCs w:val="20"/>
        </w:rPr>
        <w:t>tais abordagens e ferramentas complementem, e não substituam, a proteção jurídica formal</w:t>
      </w:r>
      <w:r>
        <w:rPr>
          <w:rFonts w:ascii="Verdana" w:hAnsi="Verdana"/>
          <w:noProof/>
          <w:sz w:val="20"/>
          <w:szCs w:val="20"/>
        </w:rPr>
        <w:t xml:space="preserve">, ou seja, caso estas ferramentas (por exemplo, códigos de conduta, boas práticas) sejam ignoradas ou não sejam devidamente aplicadas, têm de estar em vigor procedimentos legais para executar eficazmente o </w:t>
      </w:r>
      <w:r>
        <w:rPr>
          <w:rFonts w:ascii="Verdana" w:hAnsi="Verdana"/>
          <w:bCs/>
          <w:noProof/>
          <w:sz w:val="20"/>
          <w:szCs w:val="20"/>
        </w:rPr>
        <w:t>sistema de proteção rigorosa das espécies previsto no artigo 12.º</w:t>
      </w:r>
      <w:r>
        <w:rPr>
          <w:rFonts w:ascii="Verdana" w:hAnsi="Verdana"/>
          <w:noProof/>
          <w:sz w:val="20"/>
          <w:szCs w:val="20"/>
        </w:rPr>
        <w:t>.</w:t>
      </w:r>
    </w:p>
    <w:p>
      <w:pPr>
        <w:autoSpaceDE w:val="0"/>
        <w:autoSpaceDN w:val="0"/>
        <w:adjustRightInd w:val="0"/>
        <w:spacing w:after="240"/>
        <w:jc w:val="both"/>
        <w:rPr>
          <w:rFonts w:ascii="Verdana" w:hAnsi="Verdana" w:cs="Arial"/>
          <w:bCs/>
          <w:noProof/>
          <w:sz w:val="20"/>
          <w:szCs w:val="20"/>
        </w:rPr>
      </w:pPr>
      <w:r>
        <w:rPr>
          <w:rFonts w:ascii="Verdana" w:hAnsi="Verdana"/>
          <w:bCs/>
          <w:noProof/>
          <w:sz w:val="20"/>
          <w:szCs w:val="20"/>
        </w:rPr>
        <w:t>(</w:t>
      </w:r>
      <w:r>
        <w:rPr>
          <w:rFonts w:ascii="Verdana" w:hAnsi="Verdana"/>
          <w:noProof/>
          <w:sz w:val="20"/>
          <w:szCs w:val="20"/>
        </w:rPr>
        <w:t>2-</w:t>
      </w:r>
      <w:r>
        <w:rPr>
          <w:rFonts w:ascii="Verdana" w:hAnsi="Verdana"/>
          <w:bCs/>
          <w:noProof/>
          <w:sz w:val="20"/>
          <w:szCs w:val="20"/>
        </w:rPr>
        <w:t>24)</w:t>
      </w:r>
      <w:r>
        <w:rPr>
          <w:rFonts w:ascii="Verdana" w:hAnsi="Verdana"/>
          <w:bCs/>
          <w:noProof/>
          <w:sz w:val="20"/>
          <w:szCs w:val="20"/>
        </w:rPr>
        <w:tab/>
        <w:t>Neste contexto, importa salientar que a presença de espécies protegidas em terras agrícolas é frequentemente consequência de práticas tradicionais de utilização dos solos e de exploração agrícola, normalmente de caráter extensivo. Nos casos em que as práticas de utilização dos solos apoiam claramente o estado de conservação de uma espécie em consideração, é evidente que a continuação de tais práticas deve ser incentivada. Para além dos requisitos previstos no artigo 12.º, n.º 1, é necessário vigiar e avaliar as capturas ou abates acidentais de espécies animais associadas a tais atividades em curso, em conformidade com o artigo 12.º, n.º 4.</w:t>
      </w:r>
    </w:p>
    <w:p>
      <w:pPr>
        <w:spacing w:after="240"/>
        <w:jc w:val="both"/>
        <w:rPr>
          <w:rFonts w:ascii="Verdana" w:hAnsi="Verdana"/>
          <w:noProof/>
          <w:sz w:val="20"/>
          <w:szCs w:val="20"/>
        </w:rPr>
      </w:pPr>
      <w:r>
        <w:rPr>
          <w:rFonts w:ascii="Verdana" w:hAnsi="Verdana"/>
          <w:noProof/>
          <w:sz w:val="20"/>
          <w:szCs w:val="20"/>
        </w:rPr>
        <w:t>(2-25)</w:t>
      </w:r>
      <w:r>
        <w:rPr>
          <w:rFonts w:ascii="Verdana" w:hAnsi="Verdana"/>
          <w:noProof/>
          <w:sz w:val="20"/>
          <w:szCs w:val="20"/>
        </w:rPr>
        <w:tab/>
        <w:t xml:space="preserve">A aplicação do artigo 12.º à </w:t>
      </w:r>
      <w:r>
        <w:rPr>
          <w:rFonts w:ascii="Verdana" w:hAnsi="Verdana"/>
          <w:b/>
          <w:noProof/>
          <w:sz w:val="20"/>
          <w:szCs w:val="20"/>
        </w:rPr>
        <w:t>silvicultura</w:t>
      </w:r>
      <w:r>
        <w:rPr>
          <w:rFonts w:ascii="Verdana" w:hAnsi="Verdana"/>
          <w:noProof/>
          <w:sz w:val="20"/>
          <w:szCs w:val="20"/>
        </w:rPr>
        <w:t xml:space="preserve"> é, em certos aspetos, mais complexa, na medida em que é mais provável que as árvores a abater sejam elas próprias também o </w:t>
      </w:r>
      <w:r>
        <w:rPr>
          <w:rFonts w:ascii="Verdana" w:hAnsi="Verdana"/>
          <w:i/>
          <w:iCs/>
          <w:noProof/>
          <w:sz w:val="20"/>
          <w:szCs w:val="20"/>
        </w:rPr>
        <w:t>habitat</w:t>
      </w:r>
      <w:r>
        <w:rPr>
          <w:rFonts w:ascii="Verdana" w:hAnsi="Verdana"/>
          <w:noProof/>
          <w:sz w:val="20"/>
          <w:szCs w:val="20"/>
        </w:rPr>
        <w:t xml:space="preserve"> (local de reprodução ou área de repouso) das espécies constantes do anexo IV em causa. As características específicas do setor, ou seja, ciclos de produção longos e, consequentemente, a necessidade de planeamento a longo prazo, agravam os desafios especiais da conservação de espécies nas florestas.</w:t>
      </w:r>
    </w:p>
    <w:p>
      <w:pPr>
        <w:spacing w:after="240"/>
        <w:jc w:val="both"/>
        <w:rPr>
          <w:rFonts w:ascii="Verdana" w:hAnsi="Verdana"/>
          <w:noProof/>
          <w:sz w:val="20"/>
          <w:szCs w:val="20"/>
        </w:rPr>
      </w:pPr>
      <w:r>
        <w:rPr>
          <w:rFonts w:ascii="Verdana" w:hAnsi="Verdana"/>
          <w:noProof/>
          <w:sz w:val="20"/>
          <w:szCs w:val="20"/>
        </w:rPr>
        <w:t>Na procura por práticas de gestão sustentável das florestas que sejam compatíveis com os requisitos em matéria de conservação, desenvolveram-se várias abordagens em diferentes Estados-Membros para fazer face ao problema. As abordagens existentes vão desde o planeamento florestal pormenorizado e a aprovação prévia de planos de gestão das florestas, ou de códigos de práticas gerais, até à notificação prévia de propostas de abate de árvores para permitir às autoridades ambientais intervir nos casos em que possam estar envolvidas populações conhecidas de espécies protegidas.</w:t>
      </w:r>
    </w:p>
    <w:p>
      <w:pPr>
        <w:spacing w:after="240"/>
        <w:jc w:val="both"/>
        <w:rPr>
          <w:rFonts w:ascii="Verdana" w:hAnsi="Verdana"/>
          <w:noProof/>
          <w:sz w:val="20"/>
          <w:szCs w:val="20"/>
        </w:rPr>
      </w:pPr>
      <w:r>
        <w:rPr>
          <w:rFonts w:ascii="Verdana" w:hAnsi="Verdana"/>
          <w:noProof/>
          <w:sz w:val="20"/>
          <w:szCs w:val="20"/>
        </w:rPr>
        <w:t>Como acontece no caso das práticas agrícolas, estas abordagens preventivas podem garantir a proteção da espécie em questão, desde que sejam comunicadas eficazmente e aplicadas de forma bem intencionada e com recursos suficientes. Os incentivos económicos podem ajudar a promover a aceitação deste tipo de abordagem, como acontece no caso dos regimes de certificação de florestas, que podem exigir o cumprimento de determinadas disposições em matéria de proteção do ambiente, incluindo a proteção da biodiversidade e das espécies. Como é evidente, as abordagens podem ter de ser adaptadas a fim de cumprirem os requisitos de proteção das espécies constantes do anexo IV. Porém, tais abordagens não constituem uma garantia absoluta, salvo nos casos em que é obrigatória a plena aprovação prévia de planos de gestão da floresta, pelo que (como indicado acima) têm de ser apoiadas por um regime de proteção jurídica passível de execução.</w:t>
      </w:r>
    </w:p>
    <w:p>
      <w:pPr>
        <w:spacing w:after="200"/>
        <w:jc w:val="both"/>
        <w:rPr>
          <w:rFonts w:ascii="Verdana" w:eastAsia="Calibri" w:hAnsi="Verdana" w:cs="Helvetica"/>
          <w:noProof/>
          <w:color w:val="1D2228"/>
          <w:sz w:val="20"/>
          <w:szCs w:val="20"/>
        </w:rPr>
      </w:pPr>
      <w:r>
        <w:rPr>
          <w:rFonts w:ascii="Verdana" w:hAnsi="Verdana"/>
          <w:noProof/>
          <w:color w:val="1D2228"/>
          <w:sz w:val="20"/>
          <w:szCs w:val="20"/>
        </w:rPr>
        <w:t xml:space="preserve">(2-26) </w:t>
      </w:r>
      <w:r>
        <w:rPr>
          <w:rFonts w:ascii="Verdana" w:hAnsi="Verdana"/>
          <w:b/>
          <w:noProof/>
          <w:color w:val="1D2228"/>
          <w:sz w:val="20"/>
          <w:szCs w:val="20"/>
        </w:rPr>
        <w:t>As medidas florestais também cumprirão o artigo 12.º se tiverem sido planeadas de forma a evitar antes de mais o surgimento de qualquer uma das situações especificadas no artigo 12.º</w:t>
      </w:r>
      <w:r>
        <w:rPr>
          <w:rFonts w:ascii="Verdana" w:hAnsi="Verdana"/>
          <w:noProof/>
          <w:color w:val="1D2228"/>
          <w:sz w:val="20"/>
          <w:szCs w:val="20"/>
        </w:rPr>
        <w:t>. Uma abordagem de prevenção adequada poderá evitar conflitos com as proibições previstas no artigo 12.º se excluir quaisquer práticas florestais prejudiciais quando as espécies estão na sua fase mais vulnerável, por exemplo, durante a reprodução. Fora da época de reprodução, as medidas exigidas pelo artigo 12.º devem ser identificadas caso a caso, com base nas necessidades ecológicas da espécie, idealmente no quadro de planos de gestão das florestas</w:t>
      </w:r>
      <w:r>
        <w:rPr>
          <w:rFonts w:ascii="Verdana" w:eastAsia="Calibri" w:hAnsi="Verdana" w:cs="Helvetica"/>
          <w:noProof/>
          <w:color w:val="1D2228"/>
          <w:sz w:val="20"/>
          <w:szCs w:val="20"/>
          <w:vertAlign w:val="superscript"/>
          <w:lang w:eastAsia="en-US"/>
        </w:rPr>
        <w:footnoteReference w:id="47"/>
      </w:r>
      <w:r>
        <w:rPr>
          <w:rFonts w:ascii="Verdana" w:hAnsi="Verdana"/>
          <w:noProof/>
          <w:color w:val="1D2228"/>
          <w:sz w:val="20"/>
          <w:szCs w:val="20"/>
        </w:rPr>
        <w:t xml:space="preserve"> e com vista a evitar uma eventual deterioração ou destruição dos locais de reprodução ou das áreas de repouso.</w:t>
      </w:r>
    </w:p>
    <w:p>
      <w:pPr>
        <w:spacing w:after="240"/>
        <w:jc w:val="both"/>
        <w:rPr>
          <w:rFonts w:ascii="Verdana" w:hAnsi="Verdana"/>
          <w:noProof/>
          <w:sz w:val="20"/>
          <w:szCs w:val="20"/>
        </w:rPr>
      </w:pPr>
      <w:r>
        <w:rPr>
          <w:rFonts w:ascii="Verdana" w:hAnsi="Verdana"/>
          <w:noProof/>
          <w:sz w:val="20"/>
          <w:szCs w:val="20"/>
        </w:rPr>
        <w:t xml:space="preserve">O TJUE esclareceu que as atividades de exploração florestal devem basear-se numa abordagem preventiva que tem em conta as necessidades de conservação das espécies em causa e ser planeadas e executadas de forma a não violar as proibições decorrentes do artigo 12.º, n.º 1, alíneas a) a c), da Diretiva </w:t>
      </w:r>
      <w:r>
        <w:rPr>
          <w:rFonts w:ascii="Verdana" w:hAnsi="Verdana"/>
          <w:i/>
          <w:iCs/>
          <w:noProof/>
          <w:sz w:val="20"/>
          <w:szCs w:val="20"/>
        </w:rPr>
        <w:t>Habitats</w:t>
      </w:r>
      <w:r>
        <w:rPr>
          <w:rFonts w:ascii="Verdana" w:hAnsi="Verdana"/>
          <w:noProof/>
          <w:sz w:val="20"/>
          <w:szCs w:val="20"/>
        </w:rPr>
        <w:t>, tomando em consideração, como resulta do artigo 2.º, n.º 3, da diretiva, as exigências económicas, sociais, culturais, regionais e locais</w:t>
      </w:r>
      <w:r>
        <w:rPr>
          <w:rFonts w:ascii="Verdana" w:hAnsi="Verdana"/>
          <w:noProof/>
          <w:sz w:val="20"/>
          <w:szCs w:val="20"/>
          <w:vertAlign w:val="superscript"/>
        </w:rPr>
        <w:footnoteReference w:id="48"/>
      </w:r>
      <w:r>
        <w:rPr>
          <w:rFonts w:ascii="Verdana" w:hAnsi="Verdana"/>
          <w:noProof/>
          <w:sz w:val="20"/>
          <w:szCs w:val="20"/>
        </w:rPr>
        <w:t xml:space="preserve">. Por analogia, o mesmo é válido para a proibição que figura no artigo 12.º, n.º 1, alínea d), da Diretiva </w:t>
      </w:r>
      <w:r>
        <w:rPr>
          <w:rFonts w:ascii="Verdana" w:hAnsi="Verdana"/>
          <w:i/>
          <w:iCs/>
          <w:noProof/>
          <w:sz w:val="20"/>
          <w:szCs w:val="20"/>
        </w:rPr>
        <w:t>Habitats</w:t>
      </w:r>
      <w:r>
        <w:rPr>
          <w:rFonts w:ascii="Verdana" w:hAnsi="Verdana"/>
          <w:noProof/>
          <w:sz w:val="20"/>
          <w:szCs w:val="20"/>
        </w:rPr>
        <w:t>.</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18"/>
        </w:rPr>
      </w:pPr>
      <w:r>
        <w:rPr>
          <w:rFonts w:ascii="Verdana" w:hAnsi="Verdana"/>
          <w:b/>
          <w:noProof/>
          <w:sz w:val="18"/>
          <w:szCs w:val="18"/>
        </w:rPr>
        <w:t xml:space="preserve">8 — Exemplo de boas práticas: conservação de morcegos nas florestas da Alemanha </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Cs/>
          <w:noProof/>
          <w:sz w:val="18"/>
          <w:szCs w:val="18"/>
        </w:rPr>
      </w:pPr>
      <w:r>
        <w:rPr>
          <w:rFonts w:ascii="Verdana" w:hAnsi="Verdana"/>
          <w:noProof/>
          <w:sz w:val="18"/>
          <w:szCs w:val="18"/>
        </w:rPr>
        <w:t>No ano 2000, a Associação Alemã para a Preservação da Paisagem (uma organização de cúpula para a colaboração entre utilizadores dos solos, como agricultores e silvicultores, bem como conservacionistas e políticos locais) levou a cabo um projeto de investigação e desenvolvimento sobre a ecologia dos morcegos nas florestas, com a participação de 50 peritos a nível nacional. As conclusões do projeto foram transformadas numa série de recomendações para gestores florestais, que foram publicadas pela Agência Federal para a Conservação da Natureza. Uma das recomendações, por exemplo, diz respeito à necessidade</w:t>
      </w:r>
      <w:r>
        <w:rPr>
          <w:rFonts w:ascii="Verdana" w:hAnsi="Verdana"/>
          <w:bCs/>
          <w:noProof/>
          <w:sz w:val="18"/>
          <w:szCs w:val="18"/>
        </w:rPr>
        <w:t xml:space="preserve"> de proporcionar um número suficiente de locais de empoleiramento para uma comunidade natural de morcegos, para a qual se recomenda que um povoamento florestal comercial com 120 anos tenha de proporcionar permanentemente 25 a 30 cavidades nas árvores por hectare de povoamento florestal adequado. Este valor equivale a uma densidade média de sete a dez árvores para empoleiramento por hectare.</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18"/>
        </w:rPr>
      </w:pPr>
      <w:r>
        <w:rPr>
          <w:rFonts w:ascii="Verdana" w:hAnsi="Verdana"/>
          <w:noProof/>
          <w:sz w:val="18"/>
          <w:szCs w:val="18"/>
        </w:rPr>
        <w:t>Desde então, várias regiões (Baviera, Berlim, Sarre, Schleswig-Holstein) recomendaram também, a título de boa prática, a conservação de até 10 árvores velhas por hectare.</w:t>
      </w:r>
    </w:p>
    <w:p>
      <w:pPr>
        <w:spacing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9 — Exemplo de boas práticas: proteção de morcegos em Castela e Leão, Espanha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 xml:space="preserve">O Governo regional de </w:t>
      </w:r>
      <w:r>
        <w:rPr>
          <w:rFonts w:ascii="Verdana" w:hAnsi="Verdana"/>
          <w:bCs/>
          <w:noProof/>
          <w:sz w:val="18"/>
          <w:szCs w:val="20"/>
        </w:rPr>
        <w:t>Castela e Leão</w:t>
      </w:r>
      <w:r>
        <w:rPr>
          <w:rFonts w:ascii="Verdana" w:hAnsi="Verdana"/>
          <w:noProof/>
          <w:sz w:val="18"/>
          <w:szCs w:val="20"/>
        </w:rPr>
        <w:t xml:space="preserve"> levou a cabo um projeto LIFE para a proteção de várias espécies de morcegos entre 1997 e 2000 (LIFE96 NAT/E/003081). Os principais resultados traduziram-se num inventário e na cartografia da distribuição de morcegos na região, bem como na instalação de 5 000 abrigos artificiais para morcegos da floresta e na integração da conservação do morcego noutras atividades socioeconómicas. No seguimento deste projeto, o Governo regional desenvolveu dois manuais: um para a conservação de espécies individuais e o segundo com a enumeração das medidas que têm de ser aplicadas para que a gestão florestal seja compatível com a conservação de aves e morcegos associados às florestas. Em 2011, foi adotado um segundo guia metodológico sobre o planeamento florestal em zonas Natura 2000.</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20"/>
        </w:rPr>
      </w:pPr>
      <w:r>
        <w:rPr>
          <w:rFonts w:ascii="Verdana" w:hAnsi="Verdana"/>
          <w:noProof/>
          <w:sz w:val="18"/>
          <w:szCs w:val="20"/>
        </w:rPr>
        <w:t>O manual de «gestão compatível» inclui medidas tais como:</w:t>
      </w:r>
    </w:p>
    <w:p>
      <w:pPr>
        <w:numPr>
          <w:ilvl w:val="0"/>
          <w:numId w:val="17"/>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Nas zonas florestais usadas como refúgio por algumas espécies de morcegos da floresta, é necessário deixar um ambiente de proteção mínimo de 15 hectares. Este deve incluir os grupos de árvores escolhidas pelos morcegos, que devem ser subsequentemente protegidas;</w:t>
      </w:r>
    </w:p>
    <w:p>
      <w:pPr>
        <w:numPr>
          <w:ilvl w:val="0"/>
          <w:numId w:val="17"/>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Nas zonas onde há provas da presença destas espécies, as árvores passíveis de serem ou de se tornarem potenciais abrigos para morcegos devem ser identificadas, marcadas e preservadas;</w:t>
      </w:r>
    </w:p>
    <w:p>
      <w:pPr>
        <w:numPr>
          <w:ilvl w:val="0"/>
          <w:numId w:val="17"/>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A presença de espécimes de morcego da floresta deve ser verificada antes das operações de marcação;</w:t>
      </w:r>
    </w:p>
    <w:p>
      <w:pPr>
        <w:numPr>
          <w:ilvl w:val="0"/>
          <w:numId w:val="17"/>
        </w:numPr>
        <w:pBdr>
          <w:top w:val="single" w:sz="4" w:space="1" w:color="auto"/>
          <w:left w:val="single" w:sz="4" w:space="4" w:color="auto"/>
          <w:bottom w:val="single" w:sz="4" w:space="1" w:color="auto"/>
          <w:right w:val="single" w:sz="4" w:space="4" w:color="auto"/>
        </w:pBdr>
        <w:shd w:val="clear" w:color="auto" w:fill="92D050"/>
        <w:spacing w:after="240"/>
        <w:ind w:left="538" w:hanging="538"/>
        <w:jc w:val="both"/>
        <w:rPr>
          <w:rFonts w:ascii="Verdana" w:hAnsi="Verdana"/>
          <w:noProof/>
          <w:sz w:val="18"/>
          <w:szCs w:val="20"/>
        </w:rPr>
      </w:pPr>
      <w:r>
        <w:rPr>
          <w:rFonts w:ascii="Verdana" w:hAnsi="Verdana"/>
          <w:noProof/>
          <w:sz w:val="18"/>
          <w:szCs w:val="20"/>
        </w:rPr>
        <w:t xml:space="preserve">O mosaico de floresta e </w:t>
      </w:r>
      <w:r>
        <w:rPr>
          <w:rFonts w:ascii="Verdana" w:hAnsi="Verdana"/>
          <w:i/>
          <w:iCs/>
          <w:noProof/>
          <w:sz w:val="18"/>
          <w:szCs w:val="20"/>
        </w:rPr>
        <w:t>habitats</w:t>
      </w:r>
      <w:r>
        <w:rPr>
          <w:rFonts w:ascii="Verdana" w:hAnsi="Verdana"/>
          <w:noProof/>
          <w:sz w:val="18"/>
          <w:szCs w:val="20"/>
        </w:rPr>
        <w:t xml:space="preserve"> associados deve ser mantido à escala da paisagem, tendo em conta que as florestas predominantemente caducifólias são mais adequadas para a conservação dos morcegos, bem como os grupos de árvores adultas de 10-15 hectares.</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 xml:space="preserve">Em 2015, foi adotado um despacho (despacho FYM/775/2015) que aprovou os planos de conservação para todos os sítios Natura 2000, bem como os planos para os respetivos tipos de </w:t>
      </w:r>
      <w:r>
        <w:rPr>
          <w:rFonts w:ascii="Verdana" w:hAnsi="Verdana"/>
          <w:i/>
          <w:iCs/>
          <w:noProof/>
          <w:sz w:val="18"/>
          <w:szCs w:val="20"/>
        </w:rPr>
        <w:t>habitats</w:t>
      </w:r>
      <w:r>
        <w:rPr>
          <w:rFonts w:ascii="Verdana" w:hAnsi="Verdana"/>
          <w:noProof/>
          <w:sz w:val="18"/>
          <w:szCs w:val="20"/>
        </w:rPr>
        <w:t xml:space="preserve"> e espécies, incluindo planos individualizados para cada espécie de morcego</w:t>
      </w:r>
      <w:r>
        <w:rPr>
          <w:rFonts w:ascii="Verdana" w:hAnsi="Verdana"/>
          <w:noProof/>
          <w:sz w:val="18"/>
          <w:szCs w:val="20"/>
          <w:vertAlign w:val="superscript"/>
        </w:rPr>
        <w:footnoteReference w:id="49"/>
      </w:r>
      <w:r>
        <w:rPr>
          <w:rFonts w:ascii="Verdana" w:hAnsi="Verdana"/>
          <w:noProof/>
          <w:sz w:val="18"/>
          <w:szCs w:val="20"/>
        </w:rPr>
        <w:t>.</w:t>
      </w:r>
    </w:p>
    <w:p>
      <w:pPr>
        <w:spacing w:after="240"/>
        <w:jc w:val="both"/>
        <w:rPr>
          <w:rFonts w:ascii="Verdana" w:hAnsi="Verdana" w:cs="Arial"/>
          <w:bCs/>
          <w:noProof/>
          <w:sz w:val="20"/>
          <w:szCs w:val="20"/>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
          <w:bCs/>
          <w:noProof/>
          <w:sz w:val="18"/>
          <w:szCs w:val="18"/>
        </w:rPr>
        <w:t>10 — Jurisprudência do TJUE: processo Skydda Skogen — abate de árvores</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Processos apensos C</w:t>
      </w:r>
      <w:r>
        <w:rPr>
          <w:rFonts w:ascii="Verdana" w:hAnsi="Verdana"/>
          <w:bCs/>
          <w:noProof/>
          <w:sz w:val="18"/>
          <w:szCs w:val="18"/>
        </w:rPr>
        <w:noBreakHyphen/>
        <w:t>473/19 e C</w:t>
      </w:r>
      <w:r>
        <w:rPr>
          <w:rFonts w:ascii="Verdana" w:hAnsi="Verdana"/>
          <w:bCs/>
          <w:noProof/>
          <w:sz w:val="18"/>
          <w:szCs w:val="18"/>
        </w:rPr>
        <w:noBreakHyphen/>
        <w:t>474/19</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Deu entrada na Direção Nacional das Florestas da Suécia uma notificação de abate numa zona florestal situada no município de Härryda. A zona florestal objeto da notificação é constituída pelo </w:t>
      </w:r>
      <w:r>
        <w:rPr>
          <w:rFonts w:ascii="Verdana" w:hAnsi="Verdana"/>
          <w:bCs/>
          <w:i/>
          <w:iCs/>
          <w:noProof/>
          <w:sz w:val="18"/>
          <w:szCs w:val="18"/>
        </w:rPr>
        <w:t>habitat</w:t>
      </w:r>
      <w:r>
        <w:rPr>
          <w:rFonts w:ascii="Verdana" w:hAnsi="Verdana"/>
          <w:bCs/>
          <w:noProof/>
          <w:sz w:val="18"/>
          <w:szCs w:val="18"/>
        </w:rPr>
        <w:t xml:space="preserve"> natural de várias espécies protegidas, nomeadamente de várias aves e da rã </w:t>
      </w:r>
      <w:r>
        <w:rPr>
          <w:rFonts w:ascii="Verdana" w:hAnsi="Verdana"/>
          <w:bCs/>
          <w:i/>
          <w:noProof/>
          <w:sz w:val="18"/>
          <w:szCs w:val="18"/>
        </w:rPr>
        <w:t>Rana arvalis</w:t>
      </w:r>
      <w:r>
        <w:rPr>
          <w:rFonts w:ascii="Verdana" w:hAnsi="Verdana"/>
          <w:bCs/>
          <w:noProof/>
          <w:sz w:val="18"/>
          <w:szCs w:val="18"/>
        </w:rPr>
        <w:t xml:space="preserve"> [espécie constante do anexo IV, alínea a), da Diretiva </w:t>
      </w:r>
      <w:r>
        <w:rPr>
          <w:rFonts w:ascii="Verdana" w:hAnsi="Verdana"/>
          <w:bCs/>
          <w:i/>
          <w:iCs/>
          <w:noProof/>
          <w:sz w:val="18"/>
          <w:szCs w:val="18"/>
        </w:rPr>
        <w:t>Habitats</w:t>
      </w:r>
      <w:r>
        <w:rPr>
          <w:rFonts w:ascii="Verdana" w:hAnsi="Verdana"/>
          <w:bCs/>
          <w:noProof/>
          <w:sz w:val="18"/>
          <w:szCs w:val="18"/>
        </w:rPr>
        <w:t>]. A atividade de exploração florestal prevista nessa zona teria como consequência a perturbação ou a morte de espécimes dessas espécies protegidas.</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A Direção Nacional das Florestas considerou que, desde que o seu parecer fosse seguido, a atividade não violaria as proibições previstas no artigo 12.º da Diretiva </w:t>
      </w:r>
      <w:r>
        <w:rPr>
          <w:rFonts w:ascii="Verdana" w:hAnsi="Verdana"/>
          <w:bCs/>
          <w:i/>
          <w:iCs/>
          <w:noProof/>
          <w:sz w:val="18"/>
          <w:szCs w:val="18"/>
        </w:rPr>
        <w:t>Habitats</w:t>
      </w:r>
      <w:r>
        <w:rPr>
          <w:rFonts w:ascii="Verdana" w:hAnsi="Verdana"/>
          <w:bCs/>
          <w:noProof/>
          <w:sz w:val="18"/>
          <w:szCs w:val="18"/>
        </w:rPr>
        <w:t>, transposta na portaria sueca relativa à proteção das espécies. Três associações no domínio da conservação pediram ao Governo Provincial, sem êxito, que atuasse contra a notificação de abate e o parecer da Direção Nacional das Florestas e, subsequentemente, intentaram uma ação junto do órgão jurisdicional de reenvio.</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Este decidiu suspender a instância e solicitou ao TJUE que se pronunciasse a título prejudicial sobre questões relativas à interpretação das Diretivas Aves e </w:t>
      </w:r>
      <w:r>
        <w:rPr>
          <w:rFonts w:ascii="Verdana" w:hAnsi="Verdana"/>
          <w:bCs/>
          <w:i/>
          <w:iCs/>
          <w:noProof/>
          <w:sz w:val="18"/>
          <w:szCs w:val="18"/>
        </w:rPr>
        <w:t>Habitats</w:t>
      </w:r>
      <w:r>
        <w:rPr>
          <w:rFonts w:ascii="Verdana" w:hAnsi="Verdana"/>
          <w:bCs/>
          <w:noProof/>
          <w:sz w:val="18"/>
          <w:szCs w:val="18"/>
        </w:rPr>
        <w:t xml:space="preserve">, nomeadamente do artigo 12.º da Diretiva </w:t>
      </w:r>
      <w:r>
        <w:rPr>
          <w:rFonts w:ascii="Verdana" w:hAnsi="Verdana"/>
          <w:bCs/>
          <w:i/>
          <w:iCs/>
          <w:noProof/>
          <w:sz w:val="18"/>
          <w:szCs w:val="18"/>
        </w:rPr>
        <w:t>Habitats</w:t>
      </w:r>
      <w:r>
        <w:rPr>
          <w:rFonts w:ascii="Verdana" w:hAnsi="Verdana"/>
          <w:bCs/>
          <w:noProof/>
          <w:sz w:val="18"/>
          <w:szCs w:val="18"/>
        </w:rPr>
        <w:t>:</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numPr>
          <w:ilvl w:val="0"/>
          <w:numId w:val="45"/>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Uma das questões perguntava, essencialmente, se os conceitos de «abate/perturbação/destruição intencionais» que figuram no artigo 12.º, n.º 1, alíneas a) a c), da Diretiva </w:t>
      </w:r>
      <w:r>
        <w:rPr>
          <w:rFonts w:ascii="Verdana" w:hAnsi="Verdana"/>
          <w:bCs/>
          <w:i/>
          <w:iCs/>
          <w:noProof/>
          <w:sz w:val="18"/>
          <w:szCs w:val="18"/>
        </w:rPr>
        <w:t>Habitats</w:t>
      </w:r>
      <w:r>
        <w:rPr>
          <w:rFonts w:ascii="Verdana" w:hAnsi="Verdana"/>
          <w:bCs/>
          <w:noProof/>
          <w:sz w:val="18"/>
          <w:szCs w:val="18"/>
        </w:rPr>
        <w:t xml:space="preserve"> devem ser interpretados de tal forma que, se o objetivo das medidas for manifestamente diferente do abate ou perturbação das espécies (por exemplo, medidas florestais ou de ordenamento do território), as proibições previstas no artigo 12.º só sejam aplicáveis caso exista um risco de que as mesmas causem danos ao estado de conservação das espécies em questão;</w:t>
      </w:r>
    </w:p>
    <w:p>
      <w:pPr>
        <w:numPr>
          <w:ilvl w:val="0"/>
          <w:numId w:val="45"/>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Outra questão perguntava essencialmente se a expressão «deterioração/destruição», relativa aos locais de reprodução dos animais, que figura no artigo 12.º, n.º 1, alínea d), deve ser interpretada de modo que a proibição seja aplicável apenas no caso de ser provável que o estado de conservação da espécie em causa ou o estado da sua população afetada localmente se deteriore.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Além disso, o órgão jurisdicional de reenvio perguntou se a proteção rigorosa prevista nas diretivas deixa de ser aplicável às espécies relativamente às quais tenha sido alcançado o objetivo da Diretiva </w:t>
      </w:r>
      <w:r>
        <w:rPr>
          <w:rFonts w:ascii="Verdana" w:hAnsi="Verdana"/>
          <w:bCs/>
          <w:i/>
          <w:iCs/>
          <w:noProof/>
          <w:sz w:val="18"/>
          <w:szCs w:val="18"/>
        </w:rPr>
        <w:t>Habitats</w:t>
      </w:r>
      <w:r>
        <w:rPr>
          <w:rFonts w:ascii="Verdana" w:hAnsi="Verdana"/>
          <w:bCs/>
          <w:noProof/>
          <w:sz w:val="18"/>
          <w:szCs w:val="18"/>
        </w:rPr>
        <w:t xml:space="preserve"> (estado de conservação favorável).</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Relativamente à interpretação do artigo 12.º da Diretiva </w:t>
      </w:r>
      <w:r>
        <w:rPr>
          <w:rFonts w:ascii="Verdana" w:hAnsi="Verdana"/>
          <w:bCs/>
          <w:i/>
          <w:iCs/>
          <w:noProof/>
          <w:sz w:val="18"/>
          <w:szCs w:val="18"/>
        </w:rPr>
        <w:t>Habitats</w:t>
      </w:r>
      <w:r>
        <w:rPr>
          <w:rFonts w:ascii="Verdana" w:hAnsi="Verdana"/>
          <w:bCs/>
          <w:noProof/>
          <w:sz w:val="18"/>
          <w:szCs w:val="18"/>
        </w:rPr>
        <w:t>, o TJUE respondeu o seguinte:</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As proibições previstas no artigo 12.º, n.º 1, alíneas a) a c) são aplicáveis a quaisquer medidas, nomeadamente às cujo objetivo seja manifestamente diferente do abate ou da perturbação de espécies animais;</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Estas proibições são aplicáveis ao nível dos espécimes individuais e não estão subordinadas à condição de ser provável que uma determinada atividade tenha um impacto negativo no estado de conservação da espécie animal em causa; </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A disposição do artigo 12.º, n.º 1, alínea d), que proíbe a deterioração ou destruição de locais de reprodução aplica-se independentemente do número de espécimes da espécie em causa presentes na zona em causa, e não pode estar subordinada ao risco de um impacto negativo no estado de conservação dessa espécie;</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A proteção rigorosa das espécies nos termos do artigo 12.º, n.º 1, alíneas a) a c), é aplicável a todas as espécies constantes do anexo IV, independentemente de terem ou não atingido um estado de conservação favorável.</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cs="Arial"/>
          <w:bCs/>
          <w:noProof/>
          <w:sz w:val="20"/>
          <w:szCs w:val="20"/>
        </w:rPr>
      </w:pPr>
    </w:p>
    <w:p>
      <w:pPr>
        <w:spacing w:after="240"/>
        <w:jc w:val="both"/>
        <w:rPr>
          <w:rFonts w:ascii="Verdana" w:hAnsi="Verdana" w:cs="Arial"/>
          <w:bCs/>
          <w:noProof/>
          <w:sz w:val="20"/>
          <w:szCs w:val="20"/>
        </w:rPr>
      </w:pPr>
    </w:p>
    <w:p>
      <w:pPr>
        <w:spacing w:after="240"/>
        <w:jc w:val="both"/>
        <w:rPr>
          <w:bCs/>
          <w:noProof/>
          <w:sz w:val="20"/>
          <w:szCs w:val="20"/>
        </w:rPr>
      </w:pPr>
      <w:r>
        <w:rPr>
          <w:rFonts w:ascii="Verdana" w:hAnsi="Verdana"/>
          <w:bCs/>
          <w:noProof/>
          <w:sz w:val="20"/>
          <w:szCs w:val="20"/>
        </w:rPr>
        <w:t>(</w:t>
      </w:r>
      <w:r>
        <w:rPr>
          <w:rFonts w:ascii="Verdana" w:hAnsi="Verdana"/>
          <w:noProof/>
          <w:sz w:val="20"/>
          <w:szCs w:val="20"/>
        </w:rPr>
        <w:t>2-</w:t>
      </w:r>
      <w:r>
        <w:rPr>
          <w:rFonts w:ascii="Verdana" w:hAnsi="Verdana"/>
          <w:bCs/>
          <w:noProof/>
          <w:sz w:val="20"/>
          <w:szCs w:val="20"/>
        </w:rPr>
        <w:t xml:space="preserve">27) Outro exemplo de atividades recorrentes é a </w:t>
      </w:r>
      <w:r>
        <w:rPr>
          <w:rFonts w:ascii="Verdana" w:hAnsi="Verdana"/>
          <w:b/>
          <w:bCs/>
          <w:noProof/>
          <w:sz w:val="20"/>
          <w:szCs w:val="20"/>
        </w:rPr>
        <w:t>manutenção de infraestruturas públicas</w:t>
      </w:r>
      <w:r>
        <w:rPr>
          <w:rFonts w:ascii="Verdana" w:hAnsi="Verdana"/>
          <w:bCs/>
          <w:noProof/>
          <w:sz w:val="20"/>
          <w:szCs w:val="20"/>
        </w:rPr>
        <w:t xml:space="preserve">. As medidas de manutenção podem ser concebidas de modo a ajudar a preservar e ligar </w:t>
      </w:r>
      <w:r>
        <w:rPr>
          <w:rFonts w:ascii="Verdana" w:hAnsi="Verdana"/>
          <w:bCs/>
          <w:i/>
          <w:iCs/>
          <w:noProof/>
          <w:sz w:val="20"/>
          <w:szCs w:val="20"/>
        </w:rPr>
        <w:t>habitats</w:t>
      </w:r>
      <w:r>
        <w:rPr>
          <w:rFonts w:ascii="Verdana" w:hAnsi="Verdana"/>
          <w:bCs/>
          <w:noProof/>
          <w:sz w:val="20"/>
          <w:szCs w:val="20"/>
        </w:rPr>
        <w:t xml:space="preserve"> para espécies sujeitas a proteção rigorosa, como o lagarto-ágil (</w:t>
      </w:r>
      <w:r>
        <w:rPr>
          <w:rFonts w:ascii="Verdana" w:hAnsi="Verdana"/>
          <w:bCs/>
          <w:i/>
          <w:noProof/>
          <w:sz w:val="20"/>
          <w:szCs w:val="20"/>
        </w:rPr>
        <w:t>Lacerta agilis</w:t>
      </w:r>
      <w:r>
        <w:rPr>
          <w:rFonts w:ascii="Verdana" w:hAnsi="Verdana"/>
          <w:bCs/>
          <w:noProof/>
          <w:sz w:val="20"/>
          <w:szCs w:val="20"/>
        </w:rPr>
        <w:t xml:space="preserve">) nas linhas de vias férreas (por exemplo, manutenção cuidadosa de vegetação na berma das estradas, do balastro das vias férreas e da vegetação ribeirinha). Os Estados-Membros podem elaborar orientações de boas práticas para tais medidas de manutenção, a fim de ajudar a garantir o cumprimento dos requisitos da Diretiva </w:t>
      </w:r>
      <w:r>
        <w:rPr>
          <w:rFonts w:ascii="Verdana" w:hAnsi="Verdana"/>
          <w:bCs/>
          <w:i/>
          <w:iCs/>
          <w:noProof/>
          <w:sz w:val="20"/>
          <w:szCs w:val="20"/>
        </w:rPr>
        <w:t>Habitats</w:t>
      </w:r>
      <w:r>
        <w:rPr>
          <w:rFonts w:ascii="Verdana" w:hAnsi="Verdana"/>
          <w:bCs/>
          <w:noProof/>
          <w:sz w:val="20"/>
          <w:szCs w:val="20"/>
        </w:rPr>
        <w:t>.</w:t>
      </w:r>
    </w:p>
    <w:p>
      <w:pPr>
        <w:spacing w:after="240"/>
        <w:jc w:val="both"/>
        <w:rPr>
          <w:rFonts w:ascii="Verdana" w:hAnsi="Verdana" w:cs="Arial"/>
          <w:b/>
          <w:bCs/>
          <w:noProof/>
          <w:sz w:val="20"/>
          <w:szCs w:val="20"/>
        </w:rPr>
      </w:pPr>
      <w:r>
        <w:rPr>
          <w:rFonts w:ascii="Verdana" w:hAnsi="Verdana"/>
          <w:bCs/>
          <w:noProof/>
          <w:sz w:val="20"/>
          <w:szCs w:val="20"/>
        </w:rPr>
        <w:t>(</w:t>
      </w:r>
      <w:r>
        <w:rPr>
          <w:rFonts w:ascii="Verdana" w:hAnsi="Verdana"/>
          <w:noProof/>
          <w:sz w:val="20"/>
          <w:szCs w:val="20"/>
        </w:rPr>
        <w:t>2-</w:t>
      </w:r>
      <w:r>
        <w:rPr>
          <w:rFonts w:ascii="Verdana" w:hAnsi="Verdana"/>
          <w:bCs/>
          <w:noProof/>
          <w:sz w:val="20"/>
          <w:szCs w:val="20"/>
        </w:rPr>
        <w:t xml:space="preserve">28) Os Estados-Membros </w:t>
      </w:r>
      <w:r>
        <w:rPr>
          <w:rFonts w:ascii="Verdana" w:hAnsi="Verdana"/>
          <w:b/>
          <w:bCs/>
          <w:noProof/>
          <w:sz w:val="20"/>
          <w:szCs w:val="20"/>
        </w:rPr>
        <w:t>também podem recorrer a medidas voluntárias</w:t>
      </w:r>
      <w:r>
        <w:rPr>
          <w:rFonts w:ascii="Verdana" w:hAnsi="Verdana"/>
          <w:bCs/>
          <w:noProof/>
          <w:sz w:val="20"/>
          <w:szCs w:val="20"/>
        </w:rPr>
        <w:t xml:space="preserve">, como contratos para serviços florestais-ambientais-climáticos e para a conservação das florestas ao abrigo da política agrícola comum, com vista a contribuir para a aplicação das disposições do artigo 12.º. Tais medidas têm o potencial de conjugar com êxito a abordagem preventiva com a gestão proativa (voluntária) de </w:t>
      </w:r>
      <w:r>
        <w:rPr>
          <w:rFonts w:ascii="Verdana" w:hAnsi="Verdana"/>
          <w:bCs/>
          <w:i/>
          <w:iCs/>
          <w:noProof/>
          <w:sz w:val="20"/>
          <w:szCs w:val="20"/>
        </w:rPr>
        <w:t>habitats</w:t>
      </w:r>
      <w:r>
        <w:rPr>
          <w:rFonts w:ascii="Verdana" w:hAnsi="Verdana"/>
          <w:bCs/>
          <w:noProof/>
          <w:sz w:val="20"/>
          <w:szCs w:val="20"/>
        </w:rPr>
        <w:t xml:space="preserve">. </w:t>
      </w:r>
      <w:r>
        <w:rPr>
          <w:rFonts w:ascii="Verdana" w:hAnsi="Verdana"/>
          <w:b/>
          <w:bCs/>
          <w:noProof/>
          <w:sz w:val="20"/>
          <w:szCs w:val="20"/>
        </w:rPr>
        <w:t>Não obstante, estas medidas só podem complementar, e não substituir, uma proteção jurídica formal.</w:t>
      </w:r>
    </w:p>
    <w:p>
      <w:pPr>
        <w:spacing w:after="240"/>
        <w:jc w:val="both"/>
        <w:rPr>
          <w:rFonts w:ascii="Verdana" w:hAnsi="Verdana" w:cs="Arial"/>
          <w:bCs/>
          <w:noProof/>
          <w:sz w:val="20"/>
          <w:szCs w:val="20"/>
        </w:rPr>
      </w:pPr>
      <w:r>
        <w:rPr>
          <w:rFonts w:ascii="Verdana" w:hAnsi="Verdana"/>
          <w:bCs/>
          <w:noProof/>
          <w:sz w:val="20"/>
          <w:szCs w:val="20"/>
        </w:rPr>
        <w:t xml:space="preserve">(2-29) A aplicação do artigo 12.º à </w:t>
      </w:r>
      <w:r>
        <w:rPr>
          <w:rFonts w:ascii="Verdana" w:hAnsi="Verdana"/>
          <w:b/>
          <w:bCs/>
          <w:noProof/>
          <w:sz w:val="20"/>
          <w:szCs w:val="20"/>
        </w:rPr>
        <w:t>pesca</w:t>
      </w:r>
      <w:r>
        <w:rPr>
          <w:rFonts w:ascii="Verdana" w:hAnsi="Verdana"/>
          <w:bCs/>
          <w:noProof/>
          <w:sz w:val="20"/>
          <w:szCs w:val="20"/>
        </w:rPr>
        <w:t xml:space="preserve"> implica a regulamentação das atividades de pesca para evitar efeitos negativos em espécies sujeitas a proteção rigorosa, como a deterioração dos seus locais de reprodução ou áreas de repouso, a captura ou abate intencionais dessas espécies ou a sua captura acidental nas artes de pesca. A aplicação das medidas de prevenção necessárias poderia ser conseguida através de instrumentos de planeamento, como os planos de gestão das pescas, ou através de licenças de pesca que incluam requisitos específicos. A fim de garantir uma proteção adequada e eficaz, devem basear-se num bom conhecimento dos riscos inerentes a certos tipos de artes de pesca. Além disso, é necessário prestar atenção específica às zonas onde há risco de interação que se pode traduzir em capturas acidentais.</w:t>
      </w:r>
    </w:p>
    <w:p>
      <w:pPr>
        <w:spacing w:after="240"/>
        <w:jc w:val="both"/>
        <w:rPr>
          <w:rFonts w:ascii="Verdana" w:hAnsi="Verdana"/>
          <w:noProof/>
          <w:sz w:val="20"/>
          <w:szCs w:val="20"/>
        </w:rPr>
      </w:pPr>
      <w:r>
        <w:rPr>
          <w:rFonts w:ascii="Verdana" w:hAnsi="Verdana"/>
          <w:bCs/>
          <w:noProof/>
          <w:sz w:val="20"/>
          <w:szCs w:val="20"/>
        </w:rPr>
        <w:t xml:space="preserve">Uma vez que </w:t>
      </w:r>
      <w:r>
        <w:rPr>
          <w:rFonts w:ascii="Verdana" w:hAnsi="Verdana"/>
          <w:noProof/>
          <w:sz w:val="20"/>
          <w:szCs w:val="20"/>
        </w:rPr>
        <w:t xml:space="preserve">a conservação de recursos biológicos marinhos é da competência exclusiva da </w:t>
      </w:r>
      <w:r>
        <w:rPr>
          <w:rFonts w:ascii="Verdana" w:hAnsi="Verdana"/>
          <w:bCs/>
          <w:noProof/>
          <w:sz w:val="20"/>
          <w:szCs w:val="20"/>
        </w:rPr>
        <w:t>União Europeia ao abrigo da política comum das pescas, a aplicação das medidas necessárias tem de ser feita através deste quadro estratégico</w:t>
      </w:r>
      <w:r>
        <w:rPr>
          <w:rFonts w:ascii="Verdana" w:hAnsi="Verdana"/>
          <w:noProof/>
          <w:sz w:val="20"/>
          <w:szCs w:val="20"/>
        </w:rPr>
        <w:t>. As regras básicas aplicáveis constam do Regulamento (UE) n.º 1380/2013, que aplica uma abordagem ecossistémica à gestão das pescas com vista a limitar os impactos ambientais e garantir a coerência com a legislação sobre o ambiente. Podem ser utilizadas diferentes ferramentas de gestão das pescas para aplicar as medidas de prevenção necessárias, como as previstas no «regulamento sobre as medidas técnicas» [Regulamento (UE) 2019/1241</w:t>
      </w:r>
      <w:r>
        <w:rPr>
          <w:rFonts w:ascii="Verdana" w:hAnsi="Verdana"/>
          <w:noProof/>
          <w:sz w:val="20"/>
          <w:szCs w:val="20"/>
          <w:vertAlign w:val="superscript"/>
        </w:rPr>
        <w:footnoteReference w:id="50"/>
      </w:r>
      <w:r>
        <w:rPr>
          <w:rFonts w:ascii="Verdana" w:hAnsi="Verdana"/>
          <w:noProof/>
          <w:sz w:val="20"/>
          <w:szCs w:val="20"/>
        </w:rPr>
        <w:t>].</w:t>
      </w:r>
    </w:p>
    <w:p>
      <w:pPr>
        <w:spacing w:after="240"/>
        <w:jc w:val="both"/>
        <w:rPr>
          <w:rFonts w:ascii="Verdana" w:hAnsi="Verdana" w:cs="Arial"/>
          <w:bCs/>
          <w:noProof/>
          <w:sz w:val="20"/>
          <w:szCs w:val="20"/>
        </w:rPr>
      </w:pPr>
      <w:r>
        <w:rPr>
          <w:rFonts w:ascii="Verdana" w:hAnsi="Verdana"/>
          <w:noProof/>
          <w:sz w:val="20"/>
          <w:szCs w:val="20"/>
        </w:rPr>
        <w:t>No quadro do processo de regionalização previsto por esse regulamento, os Estados-Membros têm de apresentar recomendações comuns à Comissão para a adoção de atos delegados que contenham as medidas necessárias.</w:t>
      </w:r>
      <w:r>
        <w:rPr>
          <w:noProof/>
        </w:rPr>
        <w:t xml:space="preserve"> </w:t>
      </w:r>
      <w:r>
        <w:rPr>
          <w:rFonts w:ascii="Verdana" w:hAnsi="Verdana"/>
          <w:bCs/>
          <w:noProof/>
          <w:sz w:val="20"/>
          <w:szCs w:val="20"/>
        </w:rPr>
        <w:t>Regra geral, os Estados-Membros podem aplicar as regras e medidas de prevenção necessárias às frotas de pesca que arvoram o seu pavilhão. No caso de outras frotas que pesquem no território marítimo dos Estados-Membros, as medidas têm de ser postas em prática através de atos delegados da Comissão. Nos termos do Regulamento n.º 1380/2013, os Estados</w:t>
      </w:r>
      <w:r>
        <w:rPr>
          <w:rFonts w:ascii="Verdana" w:hAnsi="Verdana"/>
          <w:bCs/>
          <w:noProof/>
          <w:sz w:val="20"/>
          <w:szCs w:val="20"/>
        </w:rPr>
        <w:noBreakHyphen/>
        <w:t>Membros podem adotar medidas de emergência aplicáveis a todos os navios em certas condições, a fim de atenuar uma ameaça grave a uma espécie. Também podem tomar medidas não discriminatórias na zona das 12 milhas marítimas calculadas a partir das suas linhas de base, aplicáveis a todos os navios em certas condições.</w:t>
      </w:r>
    </w:p>
    <w:p>
      <w:pPr>
        <w:spacing w:after="240"/>
        <w:jc w:val="both"/>
        <w:rPr>
          <w:rFonts w:ascii="Verdana" w:hAnsi="Verdana" w:cs="Arial"/>
          <w:bCs/>
          <w:noProof/>
          <w:sz w:val="20"/>
          <w:szCs w:val="20"/>
        </w:rPr>
      </w:pPr>
      <w:r>
        <w:rPr>
          <w:rFonts w:ascii="Verdana" w:hAnsi="Verdana"/>
          <w:noProof/>
          <w:sz w:val="20"/>
          <w:szCs w:val="20"/>
        </w:rPr>
        <w:t xml:space="preserve">Tendo em conta que a captura acessória constitui uma das principais pressões sobre as espécies protegidas marinhas, nomeadamente, de acordo com os conhecimentos atuais, sobre os cetáceos, as tartarugas e as aves marinhas, é muito importante que sejam adotadas e aplicadas medidas de prevenção eficazes dirigidas às atividades de pesca pertinentes. Os mecanismos disponíveis ao abrigo da </w:t>
      </w:r>
      <w:r>
        <w:rPr>
          <w:rFonts w:ascii="Verdana" w:hAnsi="Verdana"/>
          <w:bCs/>
          <w:noProof/>
          <w:sz w:val="20"/>
          <w:szCs w:val="20"/>
        </w:rPr>
        <w:t xml:space="preserve">política comum das pescas, e, mais especificamente, do regulamento sobre as medidas técnicas [Regulamento (UE) 2019/1241], devem ser utilizados para esse efeito. As medidas de prevenção podem, por exemplo, incluir modificações ou restrições a certos tipos de artes de pesca, a regulamentação espacial/temporal da atividade de pesca (por exemplo, proibição total da utilização de certas artes de pesca dentro de uma zona onde tais artes representam uma ameaça ao estado de conservação de espécies nessa zona, ou uma ameaça aos respetivos </w:t>
      </w:r>
      <w:r>
        <w:rPr>
          <w:rFonts w:ascii="Verdana" w:hAnsi="Verdana"/>
          <w:bCs/>
          <w:i/>
          <w:iCs/>
          <w:noProof/>
          <w:sz w:val="20"/>
          <w:szCs w:val="20"/>
        </w:rPr>
        <w:t>habitats</w:t>
      </w:r>
      <w:r>
        <w:rPr>
          <w:rFonts w:ascii="Verdana" w:hAnsi="Verdana"/>
          <w:bCs/>
          <w:noProof/>
          <w:sz w:val="20"/>
          <w:szCs w:val="20"/>
        </w:rPr>
        <w:t>) ou o desenvolvimento de artes alternativas.</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b/>
          <w:noProof/>
          <w:color w:val="0000FF"/>
          <w:sz w:val="18"/>
          <w:szCs w:val="18"/>
        </w:rPr>
        <w:t xml:space="preserve">11 — </w:t>
      </w:r>
      <w:r>
        <w:rPr>
          <w:rFonts w:ascii="Verdana" w:hAnsi="Verdana"/>
          <w:b/>
          <w:bCs/>
          <w:noProof/>
          <w:color w:val="0000FF"/>
          <w:sz w:val="18"/>
          <w:szCs w:val="18"/>
        </w:rPr>
        <w:t>Orientações complementares: Regulamento 2019/1241</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 xml:space="preserve">O Regulamento 2019/1241 («regulamento sobre as medidas técnicas»), que entrou em vigor em 2019, prevê, entre outras disposições, a adoção de medidas técnicas para evitar ou atenuar os impactos das artes de pesca nas espécies protegidas ao abrigo da Diretiva </w:t>
      </w:r>
      <w:r>
        <w:rPr>
          <w:rFonts w:ascii="Verdana" w:hAnsi="Verdana"/>
          <w:i/>
          <w:iCs/>
          <w:noProof/>
          <w:color w:val="0000FF"/>
          <w:sz w:val="18"/>
          <w:szCs w:val="18"/>
        </w:rPr>
        <w:t>Habitats</w:t>
      </w:r>
      <w:r>
        <w:rPr>
          <w:rFonts w:ascii="Verdana" w:hAnsi="Verdana"/>
          <w:noProof/>
          <w:color w:val="0000FF"/>
          <w:sz w:val="18"/>
          <w:szCs w:val="18"/>
        </w:rPr>
        <w:t xml:space="preserve"> e nos respetivos </w:t>
      </w:r>
      <w:r>
        <w:rPr>
          <w:rFonts w:ascii="Verdana" w:hAnsi="Verdana"/>
          <w:i/>
          <w:iCs/>
          <w:noProof/>
          <w:color w:val="0000FF"/>
          <w:sz w:val="18"/>
          <w:szCs w:val="18"/>
        </w:rPr>
        <w:t>habitats</w:t>
      </w:r>
      <w:r>
        <w:rPr>
          <w:rFonts w:ascii="Verdana" w:hAnsi="Verdana"/>
          <w:noProof/>
          <w:color w:val="0000FF"/>
          <w:sz w:val="18"/>
          <w:szCs w:val="18"/>
        </w:rPr>
        <w:t>. Especificamente, o regulamento:</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jc w:val="both"/>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proíbe certas artes de pesca e utilizações, como as redes de deriva com comprimento superior a 2,5 km que não sejam seletivas e que, por conseguinte, possam ser prejudiciais à vida marinha;</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jc w:val="both"/>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 xml:space="preserve">proíbe a captura, a manutenção a bordo, o transbordo ou o desembarque das espécies de peixes, moluscos e crustáceos constantes do anexo IV da Diretiva </w:t>
      </w:r>
      <w:r>
        <w:rPr>
          <w:rFonts w:ascii="Verdana" w:hAnsi="Verdana"/>
          <w:i/>
          <w:iCs/>
          <w:noProof/>
          <w:color w:val="0000FF"/>
          <w:sz w:val="18"/>
          <w:szCs w:val="18"/>
        </w:rPr>
        <w:t>Habitats</w:t>
      </w:r>
      <w:r>
        <w:rPr>
          <w:rFonts w:ascii="Verdana" w:hAnsi="Verdana"/>
          <w:noProof/>
          <w:color w:val="0000FF"/>
          <w:sz w:val="18"/>
          <w:szCs w:val="18"/>
        </w:rPr>
        <w:t>, exceto se forem concedidas derrogações nos termos do artigo 16.º da mesma diretiva. Se capturados acidentalmente, os espécimes não podem ser feridos e devem ser prontamente soltos no mar, exceto para permitir a investigação científica de espécimes mortos acidentalmente, desde que tal seja permitido em conformidade com o artigo 16.º da diretiva;</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jc w:val="both"/>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 xml:space="preserve">proíbe a captura, a manutenção a bordo, o transbordo ou o desembarque de mamíferos marinhos ou répteis marinhos constantes dos anexos II e IV da Diretiva </w:t>
      </w:r>
      <w:r>
        <w:rPr>
          <w:rFonts w:ascii="Verdana" w:hAnsi="Verdana"/>
          <w:i/>
          <w:iCs/>
          <w:noProof/>
          <w:color w:val="0000FF"/>
          <w:sz w:val="18"/>
          <w:szCs w:val="18"/>
        </w:rPr>
        <w:t>Habitats</w:t>
      </w:r>
      <w:r>
        <w:rPr>
          <w:rFonts w:ascii="Verdana" w:hAnsi="Verdana"/>
          <w:noProof/>
          <w:color w:val="0000FF"/>
          <w:sz w:val="18"/>
          <w:szCs w:val="18"/>
        </w:rPr>
        <w:t xml:space="preserve"> e de aves marinhas abrangidas pela Diretiva Aves. Quando capturados, os espécimes não podem ser feridos e devem ser prontamente soltos.</w:t>
      </w:r>
    </w:p>
    <w:p>
      <w:pPr>
        <w:pBdr>
          <w:top w:val="single" w:sz="4" w:space="1" w:color="auto"/>
          <w:left w:val="single" w:sz="4" w:space="4" w:color="auto"/>
          <w:bottom w:val="single" w:sz="4" w:space="1" w:color="auto"/>
          <w:right w:val="single" w:sz="4" w:space="4" w:color="auto"/>
        </w:pBdr>
        <w:shd w:val="clear" w:color="auto" w:fill="FFC000"/>
        <w:rPr>
          <w:rFonts w:ascii="Calibri" w:eastAsiaTheme="minorEastAsia" w:hAnsi="Calibri"/>
          <w:noProof/>
          <w:color w:val="0000FF"/>
          <w:sz w:val="22"/>
          <w:szCs w:val="22"/>
        </w:rPr>
      </w:pP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Além disso, com base nos melhores pareceres científicos disponíveis, os Estados-Membros podem estabelecer, para os navios que arvoram o seu pavilhão, medidas de atenuação ou restrições à utilização de determinadas artes de pesca. Essas medidas devem reduzir ao mínimo e, quando possível, eliminar as capturas das espécies protegidas na UE. Para efeitos de controlo, os Estados-Membros informam os outros Estados-Membros interessados sobre as disposições adotadas nos termos do n.º 4 do artigo 11.º. Os Estados-Membros disponibilizam ao público informações apropriadas sobre as medidas adotadas.</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p>
    <w:p>
      <w:pPr>
        <w:pBdr>
          <w:top w:val="single" w:sz="4" w:space="1" w:color="auto"/>
          <w:left w:val="single" w:sz="4" w:space="4" w:color="auto"/>
          <w:bottom w:val="single" w:sz="4" w:space="1" w:color="auto"/>
          <w:right w:val="single" w:sz="4" w:space="4" w:color="auto"/>
        </w:pBdr>
        <w:shd w:val="clear" w:color="auto" w:fill="FFC000"/>
        <w:jc w:val="both"/>
        <w:rPr>
          <w:rFonts w:ascii="Verdana" w:eastAsiaTheme="minorEastAsia" w:hAnsi="Verdana"/>
          <w:noProof/>
          <w:color w:val="000000"/>
          <w:sz w:val="18"/>
          <w:szCs w:val="18"/>
        </w:rPr>
      </w:pPr>
      <w:r>
        <w:rPr>
          <w:rFonts w:ascii="Verdana" w:hAnsi="Verdana"/>
          <w:noProof/>
          <w:color w:val="0000FF"/>
          <w:sz w:val="18"/>
          <w:szCs w:val="18"/>
        </w:rPr>
        <w:t>O anexo XIII enumera as medidas de atenuação aplicáveis, que incluem a utilização obrigatória de dispositivos acústicos de dissuasão ativos para navios de comprimento de fora a fora igual ou superior a 12 m em certos tipos de artes de pesca em áreas específicas definidas no anexo. Nestes casos, os Estados-Membros tomam as medidas necessárias para controlar e avaliar, por meio de estudos científicos ou de projetos-piloto, os efeitos, a prazo,</w:t>
      </w:r>
      <w:r>
        <w:rPr>
          <w:rFonts w:ascii="Verdana" w:hAnsi="Verdana"/>
          <w:noProof/>
          <w:color w:val="000000"/>
          <w:sz w:val="18"/>
          <w:szCs w:val="18"/>
        </w:rPr>
        <w:t xml:space="preserve"> da utilização dos dispositivos acústicos de dissuasão nas pescarias e zonas em questão. Os Estados-Membros com interesses diretos na gestão podem apresentar recomendações conjuntas com as medidas necessárias para alterar, completar, revogar ou derrogar as medidas constantes do anexo XIII, para serem adotadas pela Comissão sob a forma de atos delegados.</w:t>
      </w:r>
    </w:p>
    <w:p>
      <w:pPr>
        <w:pBdr>
          <w:top w:val="single" w:sz="4" w:space="1" w:color="auto"/>
          <w:left w:val="single" w:sz="4" w:space="4" w:color="auto"/>
          <w:bottom w:val="single" w:sz="4" w:space="1" w:color="auto"/>
          <w:right w:val="single" w:sz="4" w:space="4" w:color="auto"/>
        </w:pBdr>
        <w:shd w:val="clear" w:color="auto" w:fill="FFC000"/>
        <w:jc w:val="both"/>
        <w:rPr>
          <w:rFonts w:ascii="Verdana" w:eastAsiaTheme="minorEastAsia" w:hAnsi="Verdana"/>
          <w:noProof/>
          <w:color w:val="000000"/>
          <w:sz w:val="18"/>
          <w:szCs w:val="18"/>
          <w:lang w:eastAsia="en-US"/>
        </w:rPr>
      </w:pP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00"/>
          <w:sz w:val="22"/>
          <w:szCs w:val="22"/>
        </w:rPr>
      </w:pPr>
      <w:r>
        <w:rPr>
          <w:rFonts w:ascii="Verdana" w:hAnsi="Verdana"/>
          <w:noProof/>
          <w:color w:val="000000"/>
          <w:sz w:val="18"/>
          <w:szCs w:val="18"/>
        </w:rPr>
        <w:t xml:space="preserve">Relativamente aos </w:t>
      </w:r>
      <w:r>
        <w:rPr>
          <w:rFonts w:ascii="Verdana" w:hAnsi="Verdana"/>
          <w:i/>
          <w:iCs/>
          <w:noProof/>
          <w:color w:val="000000"/>
          <w:sz w:val="18"/>
          <w:szCs w:val="18"/>
        </w:rPr>
        <w:t>habitats</w:t>
      </w:r>
      <w:r>
        <w:rPr>
          <w:rFonts w:ascii="Verdana" w:hAnsi="Verdana"/>
          <w:noProof/>
          <w:color w:val="000000"/>
          <w:sz w:val="18"/>
          <w:szCs w:val="18"/>
        </w:rPr>
        <w:t xml:space="preserve"> das espécies protegidas, há várias zonas enumeradas no anexo II do regulamento onde certas pescas estão proibidas. Sempre que os melhores pareceres científicos recomendarem uma alteração nessa lista, a Comissão está habilitada a adotar atos delegados, em conformidade com as regras previstas no regulamento.</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00"/>
          <w:sz w:val="22"/>
          <w:szCs w:val="22"/>
        </w:rPr>
      </w:pPr>
    </w:p>
    <w:p>
      <w:pPr>
        <w:spacing w:after="240"/>
        <w:jc w:val="both"/>
        <w:rPr>
          <w:rFonts w:ascii="Calibri" w:eastAsiaTheme="minorEastAsia" w:hAnsi="Calibri"/>
          <w:noProof/>
          <w:color w:val="000000"/>
          <w:sz w:val="22"/>
          <w:szCs w:val="22"/>
        </w:rPr>
      </w:pPr>
    </w:p>
    <w:p>
      <w:pPr>
        <w:jc w:val="both"/>
        <w:rPr>
          <w:rFonts w:ascii="Verdana" w:hAnsi="Verdana" w:cs="Arial"/>
          <w:bCs/>
          <w:noProof/>
          <w:sz w:val="20"/>
          <w:szCs w:val="20"/>
        </w:rPr>
      </w:pPr>
      <w:r>
        <w:rPr>
          <w:rFonts w:ascii="Verdana" w:hAnsi="Verdana"/>
          <w:bCs/>
          <w:noProof/>
          <w:sz w:val="20"/>
          <w:szCs w:val="20"/>
        </w:rPr>
        <w:t>(</w:t>
      </w:r>
      <w:r>
        <w:rPr>
          <w:rFonts w:ascii="Verdana" w:hAnsi="Verdana"/>
          <w:noProof/>
          <w:sz w:val="20"/>
          <w:szCs w:val="20"/>
        </w:rPr>
        <w:t>2-30</w:t>
      </w:r>
      <w:r>
        <w:rPr>
          <w:rFonts w:ascii="Verdana" w:hAnsi="Verdana"/>
          <w:bCs/>
          <w:noProof/>
          <w:sz w:val="20"/>
          <w:szCs w:val="20"/>
        </w:rPr>
        <w:t>)</w:t>
      </w:r>
      <w:r>
        <w:rPr>
          <w:rFonts w:ascii="Verdana" w:hAnsi="Verdana"/>
          <w:bCs/>
          <w:noProof/>
          <w:sz w:val="20"/>
          <w:szCs w:val="20"/>
        </w:rPr>
        <w:tab/>
        <w:t>A conclusão global que se pode retirar da presente secção é que, idealmente, as atividades em curso devem ser realizadas de forma a evitar, antes de mais, o surgimento de conflitos com as disposições em matéria de proteção de espécies. Tal abordagem tem também a vantagem de potencialmente proteger a pessoa que realiza certa atividade (por exemplo, contra o exercício da ação penal), desde que essa pessoa cumpra estas medidas. Ferramentas como instrumentos de planeamento, sistemas de autorização prévia, códigos de conduta e informações práticas ou orientações são opções passíveis de serem utilizadas para este fim. Tais medidas devem:</w:t>
      </w:r>
    </w:p>
    <w:p>
      <w:pPr>
        <w:numPr>
          <w:ilvl w:val="0"/>
          <w:numId w:val="15"/>
        </w:numPr>
        <w:ind w:left="714" w:hanging="357"/>
        <w:jc w:val="both"/>
        <w:rPr>
          <w:rFonts w:ascii="Verdana" w:hAnsi="Verdana" w:cs="Arial"/>
          <w:bCs/>
          <w:noProof/>
          <w:sz w:val="20"/>
          <w:szCs w:val="20"/>
        </w:rPr>
      </w:pPr>
      <w:r>
        <w:rPr>
          <w:rFonts w:ascii="Verdana" w:hAnsi="Verdana"/>
          <w:bCs/>
          <w:noProof/>
          <w:sz w:val="20"/>
          <w:szCs w:val="20"/>
        </w:rPr>
        <w:t>Fazer parte das «medidas necessárias» previstas no artigo 12.º para «instituir e aplicar um regime eficaz de proteção rigorosa»;</w:t>
      </w:r>
    </w:p>
    <w:p>
      <w:pPr>
        <w:numPr>
          <w:ilvl w:val="0"/>
          <w:numId w:val="15"/>
        </w:numPr>
        <w:ind w:left="714" w:hanging="357"/>
        <w:jc w:val="both"/>
        <w:rPr>
          <w:rFonts w:ascii="Verdana" w:hAnsi="Verdana" w:cs="Arial"/>
          <w:bCs/>
          <w:noProof/>
          <w:sz w:val="20"/>
          <w:szCs w:val="20"/>
        </w:rPr>
      </w:pPr>
      <w:r>
        <w:rPr>
          <w:rFonts w:ascii="Verdana" w:hAnsi="Verdana"/>
          <w:bCs/>
          <w:noProof/>
          <w:sz w:val="20"/>
          <w:szCs w:val="20"/>
        </w:rPr>
        <w:t>Incorporar os requisitos de proteção rigorosa;</w:t>
      </w:r>
    </w:p>
    <w:p>
      <w:pPr>
        <w:numPr>
          <w:ilvl w:val="0"/>
          <w:numId w:val="15"/>
        </w:numPr>
        <w:ind w:left="714" w:hanging="357"/>
        <w:jc w:val="both"/>
        <w:rPr>
          <w:rFonts w:ascii="Verdana" w:hAnsi="Verdana" w:cs="Arial"/>
          <w:bCs/>
          <w:noProof/>
          <w:sz w:val="20"/>
          <w:szCs w:val="20"/>
        </w:rPr>
      </w:pPr>
      <w:r>
        <w:rPr>
          <w:rFonts w:ascii="Verdana" w:hAnsi="Verdana"/>
          <w:bCs/>
          <w:noProof/>
          <w:sz w:val="20"/>
          <w:szCs w:val="20"/>
        </w:rPr>
        <w:t>Garantir que eventuais ações nocivas têm plenamente em conta as necessidades de conservação da espécie ou população em questão e que são acompanhadas por um quadro jurídico para a proteção rigorosa que garanta a sua execução adequada pelas autoridades reguladoras em caso de incumprimento (cumprimento de aspetos relacionados com a segurança jurídica); e</w:t>
      </w:r>
    </w:p>
    <w:p>
      <w:pPr>
        <w:numPr>
          <w:ilvl w:val="0"/>
          <w:numId w:val="15"/>
        </w:numPr>
        <w:spacing w:after="240"/>
        <w:jc w:val="both"/>
        <w:rPr>
          <w:rFonts w:ascii="Verdana" w:hAnsi="Verdana" w:cs="Arial"/>
          <w:bCs/>
          <w:noProof/>
          <w:sz w:val="20"/>
          <w:szCs w:val="20"/>
        </w:rPr>
      </w:pPr>
      <w:r>
        <w:rPr>
          <w:rFonts w:ascii="Verdana" w:hAnsi="Verdana"/>
          <w:bCs/>
          <w:noProof/>
          <w:sz w:val="20"/>
          <w:szCs w:val="20"/>
        </w:rPr>
        <w:t>Ajudar a definir níveis adequados de vigilância (exigida ao abrigo do artigo 11.º da diretiva) e a forma como estes devem ser financiados.</w:t>
      </w:r>
    </w:p>
    <w:p>
      <w:pPr>
        <w:rPr>
          <w:rFonts w:ascii="Verdana" w:hAnsi="Verdana" w:cs="Arial"/>
          <w:bCs/>
          <w:noProof/>
          <w:sz w:val="20"/>
          <w:szCs w:val="20"/>
        </w:rPr>
      </w:pPr>
      <w:r>
        <w:rPr>
          <w:noProof/>
        </w:rPr>
        <w:br w:type="page"/>
      </w:r>
    </w:p>
    <w:p>
      <w:pPr>
        <w:pStyle w:val="h3"/>
        <w:rPr>
          <w:noProof/>
        </w:rPr>
      </w:pPr>
      <w:r>
        <w:rPr>
          <w:noProof/>
        </w:rPr>
        <w:t>2.3.</w:t>
      </w:r>
      <w:r>
        <w:rPr>
          <w:noProof/>
        </w:rPr>
        <w:tab/>
        <w:t>Disposições de proteção específicas ao abrigo do artigo 12.º</w:t>
      </w:r>
    </w:p>
    <w:p>
      <w:pPr>
        <w:pStyle w:val="h4"/>
        <w:rPr>
          <w:noProof/>
        </w:rPr>
      </w:pPr>
      <w:r>
        <w:rPr>
          <w:noProof/>
        </w:rPr>
        <w:t xml:space="preserve">2.3.1. </w:t>
      </w:r>
      <w:r>
        <w:rPr>
          <w:noProof/>
        </w:rPr>
        <w:tab/>
        <w:t>Captura ou abate intencionais de espécimes das espécies constantes do anexo IV, alínea a)</w:t>
      </w:r>
    </w:p>
    <w:p>
      <w:pPr>
        <w:pBdr>
          <w:top w:val="single" w:sz="8" w:space="1" w:color="000000"/>
          <w:left w:val="single" w:sz="8" w:space="4" w:color="000000"/>
          <w:bottom w:val="single" w:sz="8" w:space="1" w:color="000000"/>
          <w:right w:val="single" w:sz="8" w:space="4" w:color="000000"/>
        </w:pBdr>
        <w:shd w:val="clear" w:color="auto" w:fill="F3F3F3"/>
        <w:spacing w:after="360"/>
        <w:jc w:val="both"/>
        <w:rPr>
          <w:rFonts w:ascii="Verdana" w:hAnsi="Verdana"/>
          <w:i/>
          <w:noProof/>
          <w:sz w:val="20"/>
          <w:szCs w:val="20"/>
        </w:rPr>
      </w:pPr>
      <w:r>
        <w:rPr>
          <w:rFonts w:ascii="Verdana" w:hAnsi="Verdana"/>
          <w:i/>
          <w:noProof/>
          <w:sz w:val="20"/>
          <w:szCs w:val="20"/>
        </w:rPr>
        <w:t>O artigo 12.º, n.º 1, alínea a), proíbe todas as formas de captura ou abate intencionais de espécimes constantes do anexo IV, alínea a), capturados no meio natural. Obriga à aplicação de medidas claras, eficazes e bem acompanhadas a fim de evitar o abate ou captura intencionais. O fornecimento de boas informações e orientações por parte das autoridades competentes contribui para a aplicação prática destas disposições. O termo «intencionais» é interpretado pelo TJUE como indo além da intenção direta.</w:t>
      </w:r>
      <w:r>
        <w:rPr>
          <w:rFonts w:ascii="Verdana" w:hAnsi="Verdana"/>
          <w:b/>
          <w:i/>
          <w:noProof/>
          <w:sz w:val="20"/>
          <w:szCs w:val="20"/>
        </w:rPr>
        <w:t xml:space="preserve"> </w:t>
      </w:r>
      <w:r>
        <w:rPr>
          <w:rFonts w:ascii="Verdana" w:hAnsi="Verdana"/>
          <w:i/>
          <w:noProof/>
          <w:sz w:val="20"/>
          <w:szCs w:val="20"/>
        </w:rPr>
        <w:t>As ações «intencionais» devem ser entendidas como ações realizadas por uma pessoa ou um organismo que sabe que a sua ação, muito provavelmente, levará a uma agressão contra uma espécie, mas que tem intenção de realizar esta agressão ou, pelo menos, aceita conscientemente os resultados previsíveis da sua ação.</w:t>
      </w:r>
    </w:p>
    <w:p>
      <w:pPr>
        <w:spacing w:after="240"/>
        <w:jc w:val="both"/>
        <w:rPr>
          <w:rFonts w:ascii="Verdana" w:hAnsi="Verdana"/>
          <w:noProof/>
          <w:sz w:val="20"/>
          <w:szCs w:val="20"/>
        </w:rPr>
      </w:pPr>
      <w:r>
        <w:rPr>
          <w:rFonts w:ascii="Verdana" w:hAnsi="Verdana"/>
          <w:noProof/>
          <w:sz w:val="20"/>
          <w:szCs w:val="20"/>
        </w:rPr>
        <w:t>(2-31)</w:t>
      </w:r>
      <w:r>
        <w:rPr>
          <w:rFonts w:ascii="Verdana" w:hAnsi="Verdana"/>
          <w:noProof/>
          <w:sz w:val="20"/>
          <w:szCs w:val="20"/>
        </w:rPr>
        <w:tab/>
        <w:t>O artigo 12.º, n.º 1, alínea a), proíbe todas as formas de captura ou abate intencionais</w:t>
      </w:r>
      <w:r>
        <w:rPr>
          <w:rFonts w:ascii="Verdana" w:hAnsi="Verdana"/>
          <w:noProof/>
          <w:sz w:val="20"/>
          <w:szCs w:val="20"/>
          <w:vertAlign w:val="superscript"/>
        </w:rPr>
        <w:footnoteReference w:id="51"/>
      </w:r>
      <w:r>
        <w:rPr>
          <w:rFonts w:ascii="Verdana" w:hAnsi="Verdana"/>
          <w:noProof/>
          <w:sz w:val="20"/>
          <w:szCs w:val="20"/>
        </w:rPr>
        <w:t xml:space="preserve"> no meio natural de espécimes constantes do anexo IV, alínea a). Em conformidade com o artigo 12.º, n.º 3, esta proibição aplica-se a todas as fases da vida dos animais. Segundo o artigo 1.º, alínea m), «[e]spécime [é] qualquer animal ou planta, vivo ou morto, pertencente às espécies constantes do anexo IV e do anexo V da presente diretiva; qualquer parte ou produto derivado desse animal ou planta ou quaisquer outros produtos suscetíveis de serem identificados como partes ou produtos derivados de animais ou plantas das referidas espécies, segundo as indicações fornecidas pelo documento de acompanhamento, pela embalagem, por uma marca ou etiqueta ou por qualquer outro elemento».</w:t>
      </w:r>
    </w:p>
    <w:p>
      <w:pPr>
        <w:spacing w:after="240"/>
        <w:jc w:val="both"/>
        <w:rPr>
          <w:rFonts w:ascii="Verdana" w:hAnsi="Verdana"/>
          <w:noProof/>
          <w:sz w:val="20"/>
          <w:szCs w:val="20"/>
        </w:rPr>
      </w:pPr>
      <w:r>
        <w:rPr>
          <w:rFonts w:ascii="Verdana" w:hAnsi="Verdana"/>
          <w:noProof/>
          <w:sz w:val="20"/>
          <w:szCs w:val="20"/>
        </w:rPr>
        <w:t>(2-32)</w:t>
      </w:r>
      <w:r>
        <w:rPr>
          <w:rFonts w:ascii="Verdana" w:hAnsi="Verdana"/>
          <w:noProof/>
          <w:sz w:val="20"/>
          <w:szCs w:val="20"/>
        </w:rPr>
        <w:tab/>
        <w:t xml:space="preserve">No processo C-103/00, </w:t>
      </w:r>
      <w:r>
        <w:rPr>
          <w:rFonts w:ascii="Verdana" w:hAnsi="Verdana"/>
          <w:i/>
          <w:noProof/>
          <w:sz w:val="20"/>
          <w:szCs w:val="20"/>
        </w:rPr>
        <w:t>Caretta caretta</w:t>
      </w:r>
      <w:r>
        <w:rPr>
          <w:rFonts w:ascii="Verdana" w:hAnsi="Verdana"/>
          <w:noProof/>
          <w:sz w:val="20"/>
          <w:szCs w:val="20"/>
        </w:rPr>
        <w:t>, n.º 37, o Tribunal de Justiça fez referência ao elemento de intenção, observando o seguinte: «a circulação de motociclos nas praias de reprodução era proibida e que tinham sido colocados painéis que indicavam a existência de ninhos de tartarugas nas praias. Quanto à zona marítima de Gerakas e de Daphni, tinha sido classificada de zona de proteção absoluta, tendo sido sujeita a sinalização especial». Segundo o Tribunal de Justiça, o facto de, não obstante as informações disponibilizadas ao público sobre a necessidade de proteger estas zonas, as pessoas utilizarem motociclos na praia e de existirem gaivotas (a pedal) e pequenos barcos na zona marítima envolvente</w:t>
      </w:r>
      <w:r>
        <w:rPr>
          <w:rFonts w:ascii="Verdana" w:hAnsi="Verdana"/>
          <w:noProof/>
          <w:sz w:val="20"/>
          <w:szCs w:val="20"/>
          <w:vertAlign w:val="superscript"/>
        </w:rPr>
        <w:footnoteReference w:id="52"/>
      </w:r>
      <w:r>
        <w:rPr>
          <w:rFonts w:ascii="Verdana" w:hAnsi="Verdana"/>
          <w:noProof/>
          <w:sz w:val="20"/>
          <w:szCs w:val="20"/>
        </w:rPr>
        <w:t xml:space="preserve"> constituíam atos de perturbação intencional das tartarugas durante o período de reprodução, na aceção do artigo 12.º, n.º 1, alínea b). Por conseguinte, o Tribunal de Justiça «parece perfilhar a interpretação [do termo “intencional”] no sentido da consciência das consequências»</w:t>
      </w:r>
      <w:r>
        <w:rPr>
          <w:rFonts w:ascii="Verdana" w:hAnsi="Verdana"/>
          <w:noProof/>
          <w:sz w:val="20"/>
          <w:szCs w:val="20"/>
          <w:vertAlign w:val="superscript"/>
        </w:rPr>
        <w:footnoteReference w:id="5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(2-33)</w:t>
      </w:r>
      <w:r>
        <w:rPr>
          <w:rFonts w:ascii="Verdana" w:hAnsi="Verdana"/>
          <w:noProof/>
          <w:sz w:val="20"/>
          <w:szCs w:val="20"/>
        </w:rPr>
        <w:tab/>
        <w:t>No processo C-221/04</w:t>
      </w:r>
      <w:r>
        <w:rPr>
          <w:rFonts w:ascii="Verdana" w:hAnsi="Verdana"/>
          <w:noProof/>
          <w:sz w:val="20"/>
          <w:szCs w:val="20"/>
        </w:rPr>
        <w:footnoteReference w:id="54"/>
      </w:r>
      <w:r>
        <w:rPr>
          <w:rFonts w:ascii="Verdana" w:hAnsi="Verdana"/>
          <w:noProof/>
          <w:sz w:val="20"/>
          <w:szCs w:val="20"/>
        </w:rPr>
        <w:t>, a fundamentação do Tribunal de Justiça foi mais específica. Nesse caso, a Comissão intentou uma ação junto do Tribunal de Justiça porque, pelo facto de as autoridades de Castela e Leão permitirem a colocação de laços em diversos coutos privados de caça, Espanha não cumpriu o artigo 12.º, n.º 1, alínea a), no que se refere à proteção da lontra (</w:t>
      </w:r>
      <w:r>
        <w:rPr>
          <w:rFonts w:ascii="Verdana" w:hAnsi="Verdana"/>
          <w:i/>
          <w:noProof/>
          <w:sz w:val="20"/>
          <w:szCs w:val="20"/>
        </w:rPr>
        <w:t>Lutra lutra</w:t>
      </w:r>
      <w:r>
        <w:rPr>
          <w:rFonts w:ascii="Verdana" w:hAnsi="Verdana"/>
          <w:noProof/>
          <w:sz w:val="20"/>
          <w:szCs w:val="20"/>
        </w:rPr>
        <w:t xml:space="preserve">). O Tribunal de Justiça recordou as conclusões do processo </w:t>
      </w:r>
      <w:r>
        <w:rPr>
          <w:rFonts w:ascii="Verdana" w:hAnsi="Verdana"/>
          <w:i/>
          <w:noProof/>
          <w:sz w:val="20"/>
          <w:szCs w:val="20"/>
        </w:rPr>
        <w:t>Caretta caretta</w:t>
      </w:r>
      <w:r>
        <w:rPr>
          <w:rFonts w:ascii="Verdana" w:hAnsi="Verdana"/>
          <w:noProof/>
          <w:sz w:val="20"/>
          <w:szCs w:val="20"/>
        </w:rPr>
        <w:t xml:space="preserve"> e afirmou que «</w:t>
      </w:r>
      <w:r>
        <w:rPr>
          <w:rFonts w:ascii="Verdana" w:hAnsi="Verdana"/>
          <w:b/>
          <w:noProof/>
          <w:sz w:val="20"/>
          <w:szCs w:val="20"/>
        </w:rPr>
        <w:t>[para] que o requisito relativo ao caráter intencional previsto no artigo 12.º, n.º 1, alínea a), da diretiva esteja preenchido, deve demonstrar‑se que o autor do ato quis a captura ou o abate de um espécimen de uma espécie animal protegida ou, pelo menos, que aceitou a possibilidade dessa captura ou desse abate</w:t>
      </w:r>
      <w:r>
        <w:rPr>
          <w:rFonts w:ascii="Verdana" w:hAnsi="Verdana"/>
          <w:noProof/>
          <w:sz w:val="20"/>
          <w:szCs w:val="20"/>
        </w:rPr>
        <w:t>»</w:t>
      </w:r>
      <w:r>
        <w:rPr>
          <w:rFonts w:ascii="Verdana" w:hAnsi="Verdana"/>
          <w:noProof/>
          <w:sz w:val="20"/>
          <w:szCs w:val="20"/>
          <w:vertAlign w:val="superscript"/>
        </w:rPr>
        <w:footnoteReference w:id="55"/>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Este foi utilizado como um dos «elementos exigidos» pelo Tribunal de Justiça, que — naquele processo — considerou que a autorização controvertida se referia à caça à raposa, pelo que, em si mesma, não pretendia permitir a captura da lontra. Além disso, o Tribunal de Justiça realçou que a existência de lontras no couto de caça não tinha sido formalmente provada, pelo que também não tinha sido demonstrado que, ao emitir a autorização controvertida para a caça às raposas, as autoridades espanholas soubessem que criavam o risco de pôr a lontra em perigo. Assim, o Tribunal de Justiça, concluiu que os elementos exigidos — para determinar que a captura ou abate de um espécime pertencente a uma espécie animal protegida foi intencional — não se tinham verificado</w:t>
      </w:r>
      <w:r>
        <w:rPr>
          <w:rFonts w:ascii="Verdana" w:hAnsi="Verdana"/>
          <w:noProof/>
          <w:sz w:val="20"/>
          <w:szCs w:val="20"/>
          <w:vertAlign w:val="superscript"/>
        </w:rPr>
        <w:footnoteReference w:id="5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No processo C-340/10, o Tribunal de Justiça declarou que Chipre não cumpriu as obrigações que lhe incumbem por força do artigo 12.º, n.º 1, por ter tolerado atividades que comprometiam seriamente as características ecológicas do lago Paralimni, por não ter adotado as medidas de proteção necessárias para manter a população da espécie </w:t>
      </w:r>
      <w:r>
        <w:rPr>
          <w:rFonts w:ascii="Verdana" w:hAnsi="Verdana"/>
          <w:i/>
          <w:noProof/>
          <w:sz w:val="20"/>
          <w:szCs w:val="20"/>
        </w:rPr>
        <w:t>Natrix natrix cypriaca</w:t>
      </w:r>
      <w:r>
        <w:rPr>
          <w:rFonts w:ascii="Verdana" w:hAnsi="Verdana"/>
          <w:noProof/>
          <w:sz w:val="20"/>
          <w:szCs w:val="20"/>
        </w:rPr>
        <w:t xml:space="preserve"> (cobra-de-água-de-colar-cipriota) e por não ter adotado as medidas necessárias para instituir e aplicar um sistema de proteção rigorosa dessa espécie.</w:t>
      </w:r>
    </w:p>
    <w:p>
      <w:pPr>
        <w:spacing w:after="240"/>
        <w:jc w:val="both"/>
        <w:rPr>
          <w:rFonts w:ascii="Verdana" w:hAnsi="Verdana"/>
          <w:b/>
          <w:noProof/>
          <w:sz w:val="20"/>
          <w:szCs w:val="20"/>
        </w:rPr>
      </w:pPr>
      <w:r>
        <w:rPr>
          <w:rFonts w:ascii="Verdana" w:hAnsi="Verdana"/>
          <w:noProof/>
          <w:sz w:val="20"/>
          <w:szCs w:val="20"/>
        </w:rPr>
        <w:t>(2-34)</w:t>
      </w:r>
      <w:r>
        <w:rPr>
          <w:rFonts w:ascii="Verdana" w:hAnsi="Verdana"/>
          <w:noProof/>
          <w:sz w:val="20"/>
          <w:szCs w:val="20"/>
        </w:rPr>
        <w:tab/>
        <w:t>Com base na abordagem adotada pelo Tribunal de Justiça nos processos C</w:t>
      </w:r>
      <w:r>
        <w:rPr>
          <w:rFonts w:ascii="Verdana" w:hAnsi="Verdana"/>
          <w:noProof/>
          <w:sz w:val="20"/>
          <w:szCs w:val="20"/>
        </w:rPr>
        <w:noBreakHyphen/>
        <w:t>103/00 e C-221/04, deve entender-se as ações «intencionais» como ações realizadas por uma pessoa que está ciente de que tais ações levarão à captura ou ao abate de uma espécie constante do anexo IV, ou que aceita conscientemente a possibilidade de tal infração.</w:t>
      </w:r>
    </w:p>
    <w:p>
      <w:pPr>
        <w:spacing w:after="240"/>
        <w:jc w:val="both"/>
        <w:rPr>
          <w:rFonts w:ascii="Verdana" w:hAnsi="Verdana"/>
          <w:noProof/>
          <w:sz w:val="20"/>
          <w:szCs w:val="20"/>
        </w:rPr>
      </w:pPr>
      <w:r>
        <w:rPr>
          <w:rFonts w:ascii="Verdana" w:hAnsi="Verdana"/>
          <w:noProof/>
          <w:sz w:val="20"/>
          <w:szCs w:val="20"/>
        </w:rPr>
        <w:t xml:space="preserve">Por outras palavras, </w:t>
      </w:r>
      <w:r>
        <w:rPr>
          <w:rFonts w:ascii="Verdana" w:hAnsi="Verdana"/>
          <w:b/>
          <w:noProof/>
          <w:sz w:val="20"/>
          <w:szCs w:val="20"/>
        </w:rPr>
        <w:t>a disposição aplica-se não só a uma pessoa que tenha a plena intenção de capturar ou abater um espécime de uma espécie protegida, mas também a uma pessoa que seja suficientemente informada e que esteja consciente das consequências que a sua ação</w:t>
      </w:r>
      <w:r>
        <w:rPr>
          <w:b/>
          <w:noProof/>
        </w:rPr>
        <w:t xml:space="preserve"> </w:t>
      </w:r>
      <w:r>
        <w:rPr>
          <w:rFonts w:ascii="Verdana" w:hAnsi="Verdana"/>
          <w:b/>
          <w:noProof/>
          <w:sz w:val="20"/>
          <w:szCs w:val="20"/>
        </w:rPr>
        <w:t>muito provavelmente terá e, ainda assim, realiza a ação, o que conduz à captura ou abate de espécimes</w:t>
      </w:r>
      <w:r>
        <w:rPr>
          <w:rFonts w:ascii="Verdana" w:hAnsi="Verdana"/>
          <w:noProof/>
          <w:sz w:val="20"/>
          <w:szCs w:val="20"/>
        </w:rPr>
        <w:t xml:space="preserve"> (por exemplo, como um efeito secundário não pretendido mas aceite) (intenção condicional).</w:t>
      </w:r>
    </w:p>
    <w:p>
      <w:pPr>
        <w:spacing w:after="240"/>
        <w:jc w:val="both"/>
        <w:rPr>
          <w:rFonts w:ascii="Verdana" w:hAnsi="Verdana"/>
          <w:noProof/>
          <w:snapToGrid w:val="0"/>
          <w:sz w:val="20"/>
          <w:szCs w:val="20"/>
        </w:rPr>
      </w:pPr>
      <w:r>
        <w:rPr>
          <w:rFonts w:ascii="Verdana" w:hAnsi="Verdana"/>
          <w:noProof/>
          <w:sz w:val="20"/>
          <w:szCs w:val="20"/>
        </w:rPr>
        <w:t xml:space="preserve">As autoridades nacionais devem, recorrendo a todos os meios adequados, divulgar proativamente informações sobre a existência de espécies protegidas e sobre eventuais regras existentes para a sua proteção. </w:t>
      </w:r>
      <w:r>
        <w:rPr>
          <w:rFonts w:ascii="Verdana" w:hAnsi="Verdana"/>
          <w:noProof/>
          <w:snapToGrid w:val="0"/>
          <w:sz w:val="20"/>
          <w:szCs w:val="20"/>
        </w:rPr>
        <w:t xml:space="preserve">Os painéis de sinalização </w:t>
      </w:r>
      <w:r>
        <w:rPr>
          <w:rFonts w:ascii="Verdana" w:hAnsi="Verdana"/>
          <w:noProof/>
          <w:sz w:val="20"/>
          <w:szCs w:val="20"/>
        </w:rPr>
        <w:t>que indicavam a existência de ninhos de tartaruga nas praias</w:t>
      </w:r>
      <w:r>
        <w:rPr>
          <w:rFonts w:ascii="Verdana" w:hAnsi="Verdana"/>
          <w:i/>
          <w:noProof/>
          <w:sz w:val="20"/>
          <w:szCs w:val="20"/>
        </w:rPr>
        <w:t xml:space="preserve"> </w:t>
      </w:r>
      <w:r>
        <w:rPr>
          <w:rFonts w:ascii="Verdana" w:hAnsi="Verdana"/>
          <w:noProof/>
          <w:snapToGrid w:val="0"/>
          <w:sz w:val="20"/>
          <w:szCs w:val="20"/>
        </w:rPr>
        <w:t xml:space="preserve">no processo </w:t>
      </w:r>
      <w:r>
        <w:rPr>
          <w:rFonts w:ascii="Verdana" w:hAnsi="Verdana"/>
          <w:i/>
          <w:noProof/>
          <w:snapToGrid w:val="0"/>
          <w:sz w:val="20"/>
          <w:szCs w:val="20"/>
        </w:rPr>
        <w:t>Caretta caretta</w:t>
      </w:r>
      <w:r>
        <w:rPr>
          <w:rFonts w:ascii="Verdana" w:hAnsi="Verdana"/>
          <w:noProof/>
          <w:snapToGrid w:val="0"/>
          <w:sz w:val="20"/>
          <w:szCs w:val="20"/>
        </w:rPr>
        <w:t xml:space="preserve"> é um exemplo deste facto.</w:t>
      </w:r>
    </w:p>
    <w:p>
      <w:pPr>
        <w:spacing w:after="240"/>
        <w:jc w:val="both"/>
        <w:rPr>
          <w:noProof/>
          <w:snapToGrid w:val="0"/>
          <w:sz w:val="20"/>
          <w:szCs w:val="20"/>
        </w:rPr>
      </w:pPr>
      <w:r>
        <w:rPr>
          <w:rFonts w:ascii="Verdana" w:hAnsi="Verdana"/>
          <w:noProof/>
          <w:sz w:val="20"/>
          <w:szCs w:val="20"/>
        </w:rPr>
        <w:t>(2-35)</w:t>
      </w:r>
      <w:r>
        <w:rPr>
          <w:rFonts w:ascii="Verdana" w:hAnsi="Verdana"/>
          <w:noProof/>
          <w:sz w:val="20"/>
          <w:szCs w:val="20"/>
        </w:rPr>
        <w:tab/>
        <w:t>Esta necessidade de informação também é altamente pertinente para as espécies capturadas acidentalmente durante operações de pesca realizadas em infração às regras da pesca. A UE adotou determinadas regras para proteger os cetáceos contra a captura e o abate em artes de pesca. O Regulamento 2019/1241 proíbe determinados navios de utilizarem certos tipos de artes de pesca em áreas específicas sem a utilização simultânea de dispositivos acústicos de dissuasão ativos, que podem impedir as toninhas-comuns de se enredarem nas redes de pesca (ver também a secção 2.3.6). Nestes casos, os Estados-Membros têm não só de garantir que a utilização de dispositivos acústicos de dissuasão é efetivamente controlada e executada, mas também que os pescadores são integralmente informados desta obrigação.</w:t>
      </w:r>
    </w:p>
    <w:p>
      <w:pPr>
        <w:spacing w:after="240"/>
        <w:jc w:val="both"/>
        <w:rPr>
          <w:rFonts w:ascii="Verdana" w:hAnsi="Verdana"/>
          <w:noProof/>
          <w:sz w:val="20"/>
          <w:szCs w:val="20"/>
        </w:rPr>
      </w:pPr>
    </w:p>
    <w:p>
      <w:pPr>
        <w:spacing w:after="240"/>
        <w:jc w:val="both"/>
        <w:rPr>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b/>
          <w:noProof/>
          <w:sz w:val="18"/>
          <w:szCs w:val="20"/>
        </w:rPr>
      </w:pPr>
      <w:bookmarkStart w:id="3" w:name="_Toc400878390"/>
      <w:r>
        <w:rPr>
          <w:rFonts w:ascii="Verdana" w:hAnsi="Verdana"/>
          <w:b/>
          <w:noProof/>
          <w:sz w:val="18"/>
          <w:szCs w:val="20"/>
        </w:rPr>
        <w:t xml:space="preserve">12 — Exemplo de boas práticas: colaboração com pescadores para promover a recuperação da espécie </w:t>
      </w:r>
      <w:r>
        <w:rPr>
          <w:rFonts w:ascii="Verdana" w:hAnsi="Verdana"/>
          <w:b/>
          <w:i/>
          <w:noProof/>
          <w:sz w:val="18"/>
          <w:szCs w:val="20"/>
        </w:rPr>
        <w:t>Monachus monachus</w:t>
      </w:r>
      <w:r>
        <w:rPr>
          <w:rFonts w:ascii="Verdana" w:hAnsi="Verdana"/>
          <w:b/>
          <w:noProof/>
          <w:sz w:val="18"/>
          <w:szCs w:val="20"/>
        </w:rPr>
        <w:t xml:space="preserve"> na Grécia</w:t>
      </w:r>
      <w:bookmarkEnd w:id="3"/>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 xml:space="preserve">A foca-monge </w:t>
      </w:r>
      <w:r>
        <w:rPr>
          <w:rFonts w:ascii="Verdana" w:hAnsi="Verdana"/>
          <w:i/>
          <w:noProof/>
          <w:sz w:val="18"/>
          <w:szCs w:val="20"/>
        </w:rPr>
        <w:t>Monachus monachus</w:t>
      </w:r>
      <w:r>
        <w:rPr>
          <w:rFonts w:ascii="Verdana" w:hAnsi="Verdana"/>
          <w:noProof/>
          <w:sz w:val="18"/>
          <w:szCs w:val="20"/>
        </w:rPr>
        <w:t xml:space="preserve"> é uma espécie prioritária ao abrigo da Diretiva </w:t>
      </w:r>
      <w:r>
        <w:rPr>
          <w:rFonts w:ascii="Verdana" w:hAnsi="Verdana"/>
          <w:i/>
          <w:iCs/>
          <w:noProof/>
          <w:sz w:val="18"/>
          <w:szCs w:val="20"/>
        </w:rPr>
        <w:t>Habitats</w:t>
      </w:r>
      <w:r>
        <w:rPr>
          <w:rFonts w:ascii="Verdana" w:hAnsi="Verdana"/>
          <w:noProof/>
          <w:sz w:val="18"/>
          <w:szCs w:val="20"/>
        </w:rPr>
        <w:t xml:space="preserve"> e consta dos anexos II e IV. Nas duas últimas décadas, a Grécia teve em vigor um programa de conservação da espécie. O programa incluía medidas para o salvamento e a reabilitação de espécimes feridos, a criação de zonas protegidas e a gestão, o acompanhamento, a sensibilização do público, a educação ambiental e a criação de um quadro jurídico adequado. Um elemento fundamental destes esforços de conservação foi a colaboração com os pescadores.</w:t>
      </w: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A Sociedade Helénica para o Estudo e a Proteção da Foca-monge (MOm) pôs em prática uma série de medidas com vista a melhorar a relação frequentemente conflituosa entre os pescadores e as focas</w:t>
      </w:r>
      <w:r>
        <w:rPr>
          <w:rFonts w:ascii="Verdana" w:hAnsi="Verdana"/>
          <w:noProof/>
          <w:sz w:val="18"/>
          <w:szCs w:val="20"/>
        </w:rPr>
        <w:noBreakHyphen/>
        <w:t xml:space="preserve">monge. Em 2009, elaborou o documento </w:t>
      </w:r>
      <w:r>
        <w:rPr>
          <w:rFonts w:ascii="Verdana" w:hAnsi="Verdana"/>
          <w:i/>
          <w:noProof/>
          <w:sz w:val="18"/>
          <w:szCs w:val="20"/>
        </w:rPr>
        <w:t>Action Plan for the mitigation of the negative effects of monk seal-fisheries interactions in Greece</w:t>
      </w:r>
      <w:r>
        <w:rPr>
          <w:rFonts w:ascii="Verdana" w:hAnsi="Verdana"/>
          <w:noProof/>
          <w:sz w:val="18"/>
          <w:szCs w:val="20"/>
        </w:rPr>
        <w:t xml:space="preserve"> [Plano de Ação para a atenuação dos efeitos negativos das interações entre focas-monge e atividades de pesca na Grécia, que identifica múltiplas medidas legislativas, de gestão e técnicas que limitam os riscos para a espécie e protegem as suas fontes de alimentos. É muito importante o facto de estas medidas também limitarem os encargos financeiros para os pescadores resultantes dos prejuízos causados às suas artes de pesca e às suas capturas de peixe.</w:t>
      </w: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Foram realizados muitos estudos sobre as preferências alimentares da foca-monge, juntamente com estudos sobre pontos críticos identificados (ou seja, zonas com uma presença significativa de focas</w:t>
      </w:r>
      <w:r>
        <w:rPr>
          <w:rFonts w:ascii="Verdana" w:hAnsi="Verdana"/>
          <w:noProof/>
          <w:sz w:val="18"/>
          <w:szCs w:val="20"/>
        </w:rPr>
        <w:noBreakHyphen/>
        <w:t>monge) em termos da arqueação e da densidade dos navios de pesca, da utilização de artes de pesca e dos impactos na pesca. As empresas de pesca e outras partes interessadas, como a polícia marítima, departamentos de pesca e proprietários de explorações piscícolas, participaram diretamente nas ações de investigação. Os pescadores também receberam formação sobre o modo de agir quando as focas-monge ficam enredadas, tendo sido testados métodos de pesca experimentais em colaboração com os mesmos. Foi igualmente elaborada uma campanha de comunicação específica destinada ao setor das pescas</w:t>
      </w:r>
      <w:r>
        <w:rPr>
          <w:rFonts w:ascii="Verdana" w:hAnsi="Verdana"/>
          <w:noProof/>
          <w:sz w:val="18"/>
          <w:szCs w:val="20"/>
          <w:vertAlign w:val="superscript"/>
        </w:rPr>
        <w:footnoteReference w:id="57"/>
      </w:r>
      <w:r>
        <w:rPr>
          <w:rFonts w:ascii="Verdana" w:hAnsi="Verdana"/>
          <w:noProof/>
          <w:sz w:val="18"/>
          <w:szCs w:val="20"/>
        </w:rPr>
        <w:t>. Todas estas medidas conduziram a uma redução significativa do número de focas-monge capturadas ou abatidas acidentalmente por pescadores e a uma recuperação contínua da população de focas-monge na Grécia.</w:t>
      </w:r>
    </w:p>
    <w:p>
      <w:pPr>
        <w:jc w:val="both"/>
        <w:rPr>
          <w:rFonts w:ascii="Verdana" w:hAnsi="Verdana"/>
          <w:noProof/>
          <w:sz w:val="20"/>
          <w:szCs w:val="20"/>
        </w:rPr>
      </w:pPr>
    </w:p>
    <w:p>
      <w:pPr>
        <w:pStyle w:val="h4"/>
        <w:rPr>
          <w:noProof/>
        </w:rPr>
      </w:pPr>
      <w:r>
        <w:rPr>
          <w:noProof/>
        </w:rPr>
        <w:t xml:space="preserve">2.3.2. </w:t>
      </w:r>
      <w:r>
        <w:rPr>
          <w:noProof/>
        </w:rPr>
        <w:tab/>
        <w:t>Perturbação intencional das espécies constantes do anexo IV, alínea a), nomeadamente durante o período de reprodução, de dependência, de hibernação e de migração</w:t>
      </w:r>
    </w:p>
    <w:p>
      <w:pPr>
        <w:spacing w:after="240"/>
        <w:jc w:val="both"/>
        <w:rPr>
          <w:rFonts w:ascii="Verdana" w:hAnsi="Verdana"/>
          <w:noProof/>
          <w:sz w:val="20"/>
          <w:szCs w:val="20"/>
        </w:rPr>
      </w:pPr>
      <w:r>
        <w:rPr>
          <w:rFonts w:ascii="Verdana" w:hAnsi="Verdana"/>
          <w:noProof/>
          <w:sz w:val="20"/>
          <w:szCs w:val="20"/>
        </w:rPr>
        <w:t>(2-36)</w:t>
      </w:r>
      <w:r>
        <w:rPr>
          <w:rFonts w:ascii="Verdana" w:hAnsi="Verdana"/>
          <w:noProof/>
          <w:sz w:val="20"/>
          <w:szCs w:val="20"/>
        </w:rPr>
        <w:tab/>
        <w:t>O artigo 12.º, n.º 1, alínea b), proíbe a perturbação intencional das espécies constantes do anexo IV, nomeadamente durante o período de reprodução, de dependência, de hibernação e de migração, altura em que as espécies estão mais vulneráveis</w:t>
      </w:r>
      <w:r>
        <w:rPr>
          <w:rFonts w:ascii="Verdana" w:hAnsi="Verdana"/>
          <w:noProof/>
          <w:sz w:val="20"/>
          <w:szCs w:val="20"/>
          <w:vertAlign w:val="superscript"/>
        </w:rPr>
        <w:footnoteReference w:id="58"/>
      </w:r>
      <w:r>
        <w:rPr>
          <w:rFonts w:ascii="Verdana" w:hAnsi="Verdana"/>
          <w:noProof/>
          <w:sz w:val="20"/>
          <w:szCs w:val="20"/>
        </w:rPr>
        <w:t>. O artigo 12.º, n.º 3, determina que esta proibição se aplica a todas as fases da vida da espécie em causa.</w:t>
      </w:r>
    </w:p>
    <w:p>
      <w:pPr>
        <w:spacing w:after="240"/>
        <w:rPr>
          <w:rFonts w:ascii="Verdana" w:hAnsi="Verdana"/>
          <w:b/>
          <w:i/>
          <w:noProof/>
          <w:sz w:val="20"/>
          <w:szCs w:val="20"/>
        </w:rPr>
      </w:pPr>
      <w:r>
        <w:rPr>
          <w:rFonts w:ascii="Verdana" w:hAnsi="Verdana"/>
          <w:b/>
          <w:i/>
          <w:noProof/>
          <w:sz w:val="20"/>
          <w:szCs w:val="20"/>
        </w:rPr>
        <w:t>2.3.2.a) Perturbação intencional</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highlight w:val="yellow"/>
        </w:rPr>
      </w:pPr>
      <w:r>
        <w:rPr>
          <w:rFonts w:ascii="Verdana" w:hAnsi="Verdana"/>
          <w:i/>
          <w:noProof/>
          <w:sz w:val="20"/>
          <w:szCs w:val="20"/>
        </w:rPr>
        <w:t>Qualquer perturbação intencional passível de afetar as possibilidades de sobrevivência, o êxito da reprodução ou a capacidade reprodutiva de uma espécie protegida, ou que conduza a uma redução da zona ocupada ou a uma relocalização ou deslocação da espécie, deve ser considerada como uma «perturbação» nos termos do artigo 12.º.</w:t>
      </w:r>
    </w:p>
    <w:p>
      <w:pPr>
        <w:spacing w:after="240"/>
        <w:jc w:val="both"/>
        <w:rPr>
          <w:rFonts w:ascii="Verdana" w:hAnsi="Verdana"/>
          <w:noProof/>
          <w:sz w:val="20"/>
          <w:szCs w:val="20"/>
        </w:rPr>
      </w:pPr>
      <w:r>
        <w:rPr>
          <w:rFonts w:ascii="Verdana" w:hAnsi="Verdana"/>
          <w:noProof/>
          <w:sz w:val="20"/>
          <w:szCs w:val="20"/>
        </w:rPr>
        <w:t>(2-37)</w:t>
      </w:r>
      <w:r>
        <w:rPr>
          <w:rFonts w:ascii="Verdana" w:hAnsi="Verdana"/>
          <w:noProof/>
          <w:sz w:val="20"/>
          <w:szCs w:val="20"/>
        </w:rPr>
        <w:tab/>
        <w:t xml:space="preserve">Nem o artigo 12.º nem o artigo 1.º da Diretiva </w:t>
      </w:r>
      <w:r>
        <w:rPr>
          <w:rFonts w:ascii="Verdana" w:hAnsi="Verdana"/>
          <w:i/>
          <w:iCs/>
          <w:noProof/>
          <w:sz w:val="20"/>
          <w:szCs w:val="20"/>
        </w:rPr>
        <w:t>Habitats</w:t>
      </w:r>
      <w:r>
        <w:rPr>
          <w:rFonts w:ascii="Verdana" w:hAnsi="Verdana"/>
          <w:noProof/>
          <w:sz w:val="20"/>
          <w:szCs w:val="20"/>
        </w:rPr>
        <w:t xml:space="preserve"> contêm uma definição do termo «perturbação»</w:t>
      </w:r>
      <w:r>
        <w:rPr>
          <w:rFonts w:ascii="Verdana" w:hAnsi="Verdana"/>
          <w:noProof/>
          <w:sz w:val="20"/>
          <w:szCs w:val="20"/>
          <w:vertAlign w:val="superscript"/>
        </w:rPr>
        <w:footnoteReference w:id="59"/>
      </w:r>
      <w:r>
        <w:rPr>
          <w:rFonts w:ascii="Verdana" w:hAnsi="Verdana"/>
          <w:noProof/>
          <w:sz w:val="20"/>
          <w:szCs w:val="20"/>
        </w:rPr>
        <w:t>. A disposição não é explicitamente limitada a perturbações que tenham «um efeito significativo», como acontece no artigo 6.º, n.º 2, da diretiva, mas o âmbito da disposição tem de ser interpretado à luz do objetivo fundamental da diretiva.</w:t>
      </w:r>
    </w:p>
    <w:p>
      <w:pPr>
        <w:spacing w:after="240"/>
        <w:jc w:val="both"/>
        <w:rPr>
          <w:rFonts w:ascii="Verdana" w:hAnsi="Verdana"/>
          <w:noProof/>
          <w:sz w:val="20"/>
          <w:szCs w:val="20"/>
        </w:rPr>
      </w:pPr>
      <w:r>
        <w:rPr>
          <w:rFonts w:ascii="Verdana" w:hAnsi="Verdana"/>
          <w:noProof/>
          <w:sz w:val="20"/>
          <w:szCs w:val="20"/>
        </w:rPr>
        <w:t xml:space="preserve">Como já foi referido acima, a aplicação do regime de proteção previsto no artigo 12.º, n.º 1, alíneas a) a d), da Diretiva </w:t>
      </w:r>
      <w:r>
        <w:rPr>
          <w:rFonts w:ascii="Verdana" w:hAnsi="Verdana"/>
          <w:i/>
          <w:iCs/>
          <w:noProof/>
          <w:sz w:val="20"/>
          <w:szCs w:val="20"/>
        </w:rPr>
        <w:t>Habitats</w:t>
      </w:r>
      <w:r>
        <w:rPr>
          <w:noProof/>
        </w:rPr>
        <w:t xml:space="preserve"> </w:t>
      </w:r>
      <w:r>
        <w:rPr>
          <w:rFonts w:ascii="Verdana" w:hAnsi="Verdana"/>
          <w:noProof/>
          <w:sz w:val="20"/>
          <w:szCs w:val="20"/>
        </w:rPr>
        <w:t>«não está subordinada à condição de ser provável que uma determinada atividade tenha um impacto negativo no estado de conservação da espécie animal em causa»</w:t>
      </w:r>
      <w:r>
        <w:rPr>
          <w:rFonts w:ascii="Verdana" w:hAnsi="Verdana"/>
          <w:noProof/>
          <w:sz w:val="20"/>
          <w:szCs w:val="20"/>
          <w:vertAlign w:val="superscript"/>
        </w:rPr>
        <w:footnoteReference w:id="60"/>
      </w:r>
      <w:r>
        <w:rPr>
          <w:rFonts w:ascii="Verdana" w:hAnsi="Verdana"/>
          <w:noProof/>
          <w:sz w:val="20"/>
          <w:szCs w:val="20"/>
        </w:rPr>
        <w:t xml:space="preserve"> e «a proteção oferecida pela referida disposição não deixa de se aplicar às espécies que tenham alcançado um estado de conservação favorável»</w:t>
      </w:r>
      <w:r>
        <w:rPr>
          <w:rFonts w:ascii="Verdana" w:hAnsi="Verdana"/>
          <w:noProof/>
          <w:sz w:val="20"/>
          <w:szCs w:val="20"/>
          <w:vertAlign w:val="superscript"/>
        </w:rPr>
        <w:footnoteReference w:id="6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É evidente que </w:t>
      </w:r>
      <w:r>
        <w:rPr>
          <w:rFonts w:ascii="Verdana" w:hAnsi="Verdana"/>
          <w:b/>
          <w:noProof/>
          <w:sz w:val="20"/>
          <w:szCs w:val="20"/>
        </w:rPr>
        <w:t>qualquer atividade que perturbe intencionalmente uma espécie ao ponto de poder afetar as suas possibilidades de sobrevivência, o êxito da sua reprodução ou a sua capacidade reprodutiva, ou que conduza a uma redução da zona ocupada ou à relocalização ou deslocação da espécie, deve ser considerada uma «perturbação»</w:t>
      </w:r>
      <w:r>
        <w:rPr>
          <w:rFonts w:ascii="Verdana" w:hAnsi="Verdana"/>
          <w:noProof/>
          <w:sz w:val="20"/>
          <w:szCs w:val="20"/>
        </w:rPr>
        <w:t xml:space="preserve"> nos termos do artigo 12.º.</w:t>
      </w:r>
    </w:p>
    <w:p>
      <w:pPr>
        <w:spacing w:after="240"/>
        <w:jc w:val="both"/>
        <w:rPr>
          <w:rFonts w:ascii="Verdana" w:hAnsi="Verdana"/>
          <w:noProof/>
          <w:sz w:val="20"/>
          <w:szCs w:val="20"/>
        </w:rPr>
      </w:pPr>
      <w:r>
        <w:rPr>
          <w:rFonts w:ascii="Verdana" w:hAnsi="Verdana"/>
          <w:noProof/>
          <w:sz w:val="20"/>
          <w:szCs w:val="20"/>
        </w:rPr>
        <w:t>(2-38) Tendo em conta as suas histórias de vida específicas (nomeadamente a sua estratégia reprodutiva ou mobilidade) e as interações sociais frequentemente complexas de alguns animais, a perturbação de espécimes pode muitas vezes ter impacto nos níveis populacionais. Por exemplo, seria esse o caso se uma fêmea prenha fosse perturbada ou se uma cria fosse separada da mãe no caso de animais de grande porte, de longa vida e altamente móveis com uma baixa fecundidade, como os mamíferos marinhos.</w:t>
      </w:r>
    </w:p>
    <w:p>
      <w:pPr>
        <w:spacing w:after="240"/>
        <w:jc w:val="both"/>
        <w:rPr>
          <w:rFonts w:ascii="Verdana" w:hAnsi="Verdana"/>
          <w:noProof/>
          <w:sz w:val="20"/>
          <w:szCs w:val="20"/>
        </w:rPr>
      </w:pPr>
      <w:r>
        <w:rPr>
          <w:rFonts w:ascii="Verdana" w:hAnsi="Verdana"/>
          <w:noProof/>
          <w:sz w:val="20"/>
          <w:szCs w:val="20"/>
        </w:rPr>
        <w:t>(2-39) Regra geral, a intensidade, a duração e a frequência de repetição das perturbações são parâmetros importantes na avaliação do respetivo impacto sobre uma espécie. Diferentes espécies terão diferentes sensibilidades ou reações ao mesmo tipo de perturbação, e este aspeto deve ser tido em conta. Os fatores que causam perturbação a uma espécie podem não causar perturbação a outra. Além disso, a sensibilidade de um espécime de uma determinada espécie pode variar em função da estação ou de certos períodos do seu ciclo de vida (por exemplo, período de reprodução).</w:t>
      </w:r>
    </w:p>
    <w:p>
      <w:pPr>
        <w:spacing w:after="240"/>
        <w:jc w:val="both"/>
        <w:rPr>
          <w:rFonts w:ascii="Verdana" w:hAnsi="Verdana"/>
          <w:noProof/>
          <w:sz w:val="20"/>
          <w:szCs w:val="20"/>
        </w:rPr>
      </w:pPr>
      <w:r>
        <w:rPr>
          <w:rFonts w:ascii="Verdana" w:hAnsi="Verdana"/>
          <w:noProof/>
          <w:sz w:val="20"/>
          <w:szCs w:val="20"/>
        </w:rPr>
        <w:t>A artigo 12.º, n.º 1, alínea b), tem esta possibilidade em conta ao realçar que as perturbações intencionais devem ser proibidas, nomeadamente durante os períodos sensíveis de reprodução, dependência, hibernação e migração. Importa também ter em consideração que a perturbação (por exemplo, devido a ruído, fonte de luz) nem sempre afeta diretamente a integridade física de uma espécie. Pode, igualmente, ter um efeito negativo indireto na espécie (por exemplo, obrigando-a a gastar muita energia para fugir: os morcegos, por exemplo, quando são perturbados durante a hibernação, aquecem em consequência desse facto e fogem, pelo que é menos provável que sobrevivam ao inverno devido à grande perda de recursos energéticos).</w:t>
      </w:r>
    </w:p>
    <w:p>
      <w:pPr>
        <w:spacing w:after="240"/>
        <w:jc w:val="both"/>
        <w:rPr>
          <w:rFonts w:ascii="Verdana" w:hAnsi="Verdana"/>
          <w:noProof/>
          <w:sz w:val="20"/>
          <w:szCs w:val="20"/>
        </w:rPr>
      </w:pPr>
      <w:r>
        <w:rPr>
          <w:rFonts w:ascii="Verdana" w:hAnsi="Verdana"/>
          <w:noProof/>
          <w:sz w:val="20"/>
          <w:szCs w:val="20"/>
        </w:rPr>
        <w:t>(2-40)</w:t>
      </w:r>
      <w:r>
        <w:rPr>
          <w:rFonts w:ascii="Verdana" w:hAnsi="Verdana"/>
          <w:b/>
          <w:noProof/>
          <w:sz w:val="20"/>
          <w:szCs w:val="20"/>
        </w:rPr>
        <w:t xml:space="preserve"> Por conseguinte, é necessária uma abordagem caso a caso.</w:t>
      </w:r>
      <w:r>
        <w:rPr>
          <w:rFonts w:ascii="Verdana" w:hAnsi="Verdana"/>
          <w:noProof/>
          <w:sz w:val="20"/>
          <w:szCs w:val="20"/>
        </w:rPr>
        <w:t xml:space="preserve"> As autoridades competentes terão de refletir cuidadosamente sobre o nível de perturbação que deve ser considerado nocivo, tendo em conta as características específicas da espécie em questão e a situação, conforme explicado acima. Por exemplo, a perturbação repetida dos cetáceos por navios de observação de baleias pode conduzir a impactos significativos em espécimes individuais, com consequências negativas para a população local. Por outro lado, perturbações esporádicas sem qualquer impacto negativo provável no animal individual ou na população local, como, por exemplo, a ação de afugentar um lobo para o impedir de entrar num cercado com ovelhas e, dessa forma, prevenir prejuízos não deve ser considerada uma perturbação nos termos do artigo 12.º.</w:t>
      </w:r>
    </w:p>
    <w:p>
      <w:pPr>
        <w:spacing w:after="240"/>
        <w:jc w:val="both"/>
        <w:rPr>
          <w:rFonts w:ascii="Verdana" w:hAnsi="Verdana"/>
          <w:noProof/>
          <w:sz w:val="20"/>
          <w:szCs w:val="20"/>
        </w:rPr>
      </w:pPr>
      <w:r>
        <w:rPr>
          <w:rFonts w:ascii="Verdana" w:hAnsi="Verdana"/>
          <w:noProof/>
          <w:sz w:val="20"/>
          <w:szCs w:val="20"/>
        </w:rPr>
        <w:t xml:space="preserve">(2-41) Para ser abrangida pelo âmbito do artigo 12.º, n.º 1, alínea b), a perturbação também tem de ser «intencional» (consultar a definição de «intencional» na secção 2.3.1). No processo C-103/00, </w:t>
      </w:r>
      <w:r>
        <w:rPr>
          <w:rFonts w:ascii="Verdana" w:hAnsi="Verdana"/>
          <w:i/>
          <w:noProof/>
          <w:sz w:val="20"/>
          <w:szCs w:val="20"/>
        </w:rPr>
        <w:t>Caretta caretta</w:t>
      </w:r>
      <w:r>
        <w:rPr>
          <w:rFonts w:ascii="Verdana" w:hAnsi="Verdana"/>
          <w:noProof/>
          <w:sz w:val="20"/>
          <w:szCs w:val="20"/>
        </w:rPr>
        <w:t xml:space="preserve">, uma vez mais, o Tribunal de Justiça analisou cada uma das diversas atividades nas praias de reprodução, com vista a estabelecer uma ligação causal entre tais atividades e a perturbação da espécie. Verificou, antes de mais, que a condução de motociclos numa praia de reprodução da </w:t>
      </w:r>
      <w:r>
        <w:rPr>
          <w:rFonts w:ascii="Verdana" w:hAnsi="Verdana"/>
          <w:i/>
          <w:noProof/>
          <w:sz w:val="20"/>
          <w:szCs w:val="20"/>
        </w:rPr>
        <w:t>Caretta caretta</w:t>
      </w:r>
      <w:r>
        <w:rPr>
          <w:rFonts w:ascii="Verdana" w:hAnsi="Verdana"/>
          <w:noProof/>
          <w:sz w:val="20"/>
          <w:szCs w:val="20"/>
        </w:rPr>
        <w:t xml:space="preserve"> era suscetível de perturbar a espécie, principalmente devido à poluição sonora, nomeadamente durante a postura, a incubação e a eclosão dos ovos e quando as tartarugas recém-nascidas se deslocavam em direção ao mar. A presença de pequenas embarcações nas proximidades das praias de reprodução também constituía uma ameaça às vidas e ao bem-estar das tartarugas. Na opinião do Tribunal de Justiça, tal bastava para constituir atos de perturbação intencional da espécie em causa durante o período de reprodução, na aceção do artigo 12.º, n.º 1, alínea b), da diretiva.</w:t>
      </w:r>
    </w:p>
    <w:p>
      <w:pPr>
        <w:spacing w:after="240"/>
        <w:jc w:val="both"/>
        <w:rPr>
          <w:noProof/>
          <w:sz w:val="20"/>
          <w:szCs w:val="20"/>
        </w:rPr>
      </w:pP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b/>
          <w:noProof/>
          <w:sz w:val="18"/>
          <w:szCs w:val="20"/>
        </w:rPr>
      </w:pPr>
      <w:bookmarkStart w:id="4" w:name="_Toc526255283"/>
      <w:bookmarkStart w:id="5" w:name="_Toc400136232"/>
      <w:r>
        <w:rPr>
          <w:rFonts w:ascii="Verdana" w:hAnsi="Verdana"/>
          <w:b/>
          <w:noProof/>
          <w:sz w:val="18"/>
          <w:szCs w:val="20"/>
        </w:rPr>
        <w:t>13 — Jurisprudência do TJUE: perturbação da tartaruga-vulgar (</w:t>
      </w:r>
      <w:r>
        <w:rPr>
          <w:rFonts w:ascii="Verdana" w:hAnsi="Verdana"/>
          <w:b/>
          <w:i/>
          <w:noProof/>
          <w:sz w:val="18"/>
          <w:szCs w:val="20"/>
        </w:rPr>
        <w:t>Caretta caretta</w:t>
      </w:r>
      <w:r>
        <w:rPr>
          <w:rFonts w:ascii="Verdana" w:hAnsi="Verdana"/>
          <w:b/>
          <w:noProof/>
          <w:sz w:val="18"/>
          <w:szCs w:val="20"/>
        </w:rPr>
        <w:t>) na zona de Kyparissia</w:t>
      </w:r>
      <w:bookmarkEnd w:id="4"/>
      <w:bookmarkEnd w:id="5"/>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A tartaruga-vulgar (</w:t>
      </w:r>
      <w:r>
        <w:rPr>
          <w:rFonts w:ascii="Verdana" w:hAnsi="Verdana"/>
          <w:i/>
          <w:noProof/>
          <w:sz w:val="18"/>
          <w:szCs w:val="20"/>
        </w:rPr>
        <w:t>Caretta caretta</w:t>
      </w:r>
      <w:r>
        <w:rPr>
          <w:rFonts w:ascii="Verdana" w:hAnsi="Verdana"/>
          <w:noProof/>
          <w:sz w:val="18"/>
          <w:szCs w:val="20"/>
        </w:rPr>
        <w:t xml:space="preserve">) consta dos anexos II e IV da Diretiva </w:t>
      </w:r>
      <w:r>
        <w:rPr>
          <w:rFonts w:ascii="Verdana" w:hAnsi="Verdana"/>
          <w:i/>
          <w:iCs/>
          <w:noProof/>
          <w:sz w:val="18"/>
          <w:szCs w:val="20"/>
        </w:rPr>
        <w:t>Habitats</w:t>
      </w:r>
      <w:r>
        <w:rPr>
          <w:rFonts w:ascii="Verdana" w:hAnsi="Verdana"/>
          <w:noProof/>
          <w:sz w:val="18"/>
          <w:szCs w:val="20"/>
        </w:rPr>
        <w:t>, pelo que exige uma proteção rigorosa. O mar Mediterrâneo constitui um viveiro para juvenis, sendo também um local popular para adultos nos meses de primavera e de verão. A Grécia é o local de nidificação mais popular no Mediterrâneo, com mais de 3 000 ninhos por ano. O golfo de Laganas, em Zákynthos, alberga a maior zona de nidificação do Mediterrâneo, seguido pelo golfo de Kyparissia [um sítio Natura 2000 (GR2550005)], que beneficia de um sistema dunar bem preservado e de uma floresta costeira, mas é ameaçado por trabalhos de construção não controlados.</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Os dois processos no Tribunal de Justiça (C-103/00 e C-504/14) versaram sobre a aplicação do artigo 12.º, n.º 1, alíneas b) e d), com vista à instituição e aplicação de um sistema eficaz de proteção rigorosa da tartaruga-vulgar nessas zonas. O Tribunal de Justiça concluiu que a Grécia, ao não aplicar medidas adequadas para evitar a perturbação da espécie durante o seu período de reprodução e a deterioração ou destruição dos seus locais de reprodução, não cumpriu as obrigações que lhe incumbiam por força das disposições da diretiva.</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i/>
          <w:noProof/>
          <w:sz w:val="18"/>
          <w:szCs w:val="20"/>
        </w:rPr>
      </w:pPr>
      <w:r>
        <w:rPr>
          <w:rFonts w:ascii="Verdana" w:hAnsi="Verdana"/>
          <w:noProof/>
          <w:sz w:val="18"/>
          <w:szCs w:val="20"/>
        </w:rPr>
        <w:t>Na ausência de um quadro legislativo nacional integrado e coerente, incluindo a falta de um plano de gestão aprovado, o Tribunal de Justiça determinou que não é possível garantir a proteção rigorosa da tartaruga-vulgar e dos seus locais de reprodução. Não basta que um sistema de proteção rigorosa estabeleça um conjunto fragmentado de medidas isoladas que dizem respeito à proteção do ambiente em geral mas não se destinam a evitar, através de meios específicos, todas as perturbações intencionais da espécie em questão durante o período de reprodução e todas as atividades suscetíveis de causar a deterioração ou destruição dos seus locais de reprodução</w:t>
      </w:r>
      <w:r>
        <w:rPr>
          <w:rFonts w:ascii="Verdana" w:hAnsi="Verdana"/>
          <w:noProof/>
          <w:sz w:val="18"/>
          <w:szCs w:val="20"/>
          <w:vertAlign w:val="superscript"/>
        </w:rPr>
        <w:footnoteReference w:id="62"/>
      </w:r>
      <w:r>
        <w:rPr>
          <w:rFonts w:ascii="Verdana" w:hAnsi="Verdana"/>
          <w:noProof/>
          <w:sz w:val="18"/>
          <w:szCs w:val="20"/>
        </w:rPr>
        <w:t>.</w:t>
      </w:r>
    </w:p>
    <w:p>
      <w:pPr>
        <w:spacing w:after="240"/>
        <w:rPr>
          <w:rFonts w:ascii="Verdana" w:hAnsi="Verdana"/>
          <w:noProof/>
          <w:sz w:val="20"/>
          <w:szCs w:val="20"/>
        </w:rPr>
      </w:pPr>
    </w:p>
    <w:p>
      <w:pPr>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b/>
          <w:noProof/>
          <w:sz w:val="18"/>
          <w:szCs w:val="20"/>
        </w:rPr>
      </w:pPr>
      <w:r>
        <w:rPr>
          <w:rFonts w:ascii="Verdana" w:hAnsi="Verdana"/>
          <w:b/>
          <w:noProof/>
          <w:sz w:val="18"/>
          <w:szCs w:val="20"/>
        </w:rPr>
        <w:t>14 — Orientações complementares: fazer face aos impactos do ruído subaquático de origem antropogénica nos cetáceos</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As atividades suscetíveis de causarem perturbação de espécies marinhas sujeitas a proteção rigorosa, como os cetáceos, incluem a navegação ou os parques eólicos marinhos devido ao ruído contínuo e à sua construção, a exploração de petróleo e de gás, ou as atividades militares, devido ao seu ruído impulsivo. As consequências para os cetáceos vão desde a perturbação e a sobreposição aos sons usados na comunicação, até perdas auditivas de curta e longa duração, ferimentos físicos e até mesmo a morte. Conjugadas com os efeitos suplementares da tensão, da confusão e do pânico, podem ser devastadoras para animais isolados e para populações inteiras.</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No que se refere à navegação, os Estados-Membros podem considerar uma ampla variedade de medidas de prevenção, nomeadamente reduzir a velocidade dos navios ou desviar o tráfego. Relativamente às prospeções sísmicas com recurso a canhões de ar comprimido ou aos trabalhos de construção no mar com recurso a cravação de estacas, estas atividades normalmente requerem licenças. Por conseguinte, no caso destes planos e projetos, as medidas de prevenção necessárias podem ser propostas no contexto de avaliações do impacto ambiental ao abrigo das diretivas relativas à avaliação ambiental estratégica e à avaliação do impacto ambiental.</w:t>
      </w: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20"/>
          <w:highlight w:val="yellow"/>
        </w:rPr>
      </w:pPr>
      <w:r>
        <w:rPr>
          <w:rFonts w:ascii="Verdana" w:hAnsi="Verdana"/>
          <w:noProof/>
          <w:sz w:val="18"/>
          <w:szCs w:val="20"/>
        </w:rPr>
        <w:t>As dificuldades na definição de medidas de atenuação adequadas foram reconhecidas a nível internacional, tendo sido adotadas orientações metodológicas pertinentes, por exemplo através do ACCOBAMS</w:t>
      </w:r>
      <w:r>
        <w:rPr>
          <w:rStyle w:val="FootnoteReference"/>
          <w:rFonts w:ascii="Verdana" w:hAnsi="Verdana"/>
          <w:noProof/>
          <w:sz w:val="18"/>
          <w:szCs w:val="20"/>
        </w:rPr>
        <w:footnoteReference w:id="63"/>
      </w:r>
      <w:r>
        <w:rPr>
          <w:rFonts w:ascii="Verdana" w:hAnsi="Verdana"/>
          <w:noProof/>
          <w:sz w:val="18"/>
          <w:szCs w:val="20"/>
        </w:rPr>
        <w:t xml:space="preserve"> e do ASCOBANS</w:t>
      </w:r>
      <w:r>
        <w:rPr>
          <w:rStyle w:val="FootnoteReference"/>
          <w:rFonts w:ascii="Verdana" w:hAnsi="Verdana"/>
          <w:noProof/>
          <w:sz w:val="18"/>
          <w:szCs w:val="20"/>
        </w:rPr>
        <w:footnoteReference w:id="64"/>
      </w:r>
      <w:r>
        <w:rPr>
          <w:rFonts w:ascii="Verdana" w:hAnsi="Verdana"/>
          <w:noProof/>
          <w:sz w:val="18"/>
          <w:szCs w:val="20"/>
        </w:rPr>
        <w:t xml:space="preserve">, centradas nos cetáceos, ao passo que a Convenção sobre a Conservação das Espécies Migradoras Pertencentes à Fauna Selvagem publicou orientações para as avaliações do impacto ambiental de atividades marinhas produtoras de ruído. Estes documentos de orientação constituem um enquadramento muito útil para garantir o cumprimento das regras previstas na Diretiva </w:t>
      </w:r>
      <w:r>
        <w:rPr>
          <w:rFonts w:ascii="Verdana" w:hAnsi="Verdana"/>
          <w:i/>
          <w:iCs/>
          <w:noProof/>
          <w:sz w:val="18"/>
          <w:szCs w:val="20"/>
        </w:rPr>
        <w:t>Habitats</w:t>
      </w:r>
      <w:r>
        <w:rPr>
          <w:rFonts w:ascii="Verdana" w:hAnsi="Verdana"/>
          <w:noProof/>
          <w:sz w:val="18"/>
          <w:szCs w:val="20"/>
        </w:rPr>
        <w:t>. Porém, a sua aplicação deve ter sempre em conta os conhecimentos científicos e especializados mais recentes neste domínio e deve basear-se em considerações pormenorizadas de cada atividade e dos respetivos efeitos em determinadas espécies.</w:t>
      </w:r>
    </w:p>
    <w:p>
      <w:pPr>
        <w:spacing w:after="240"/>
        <w:rPr>
          <w:rFonts w:ascii="Verdana" w:hAnsi="Verdana"/>
          <w:b/>
          <w:i/>
          <w:noProof/>
          <w:sz w:val="20"/>
          <w:szCs w:val="20"/>
        </w:rPr>
      </w:pP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b/>
          <w:noProof/>
          <w:sz w:val="18"/>
          <w:szCs w:val="18"/>
        </w:rPr>
      </w:pPr>
      <w:r>
        <w:rPr>
          <w:rFonts w:ascii="Verdana" w:hAnsi="Verdana"/>
          <w:b/>
          <w:noProof/>
          <w:sz w:val="18"/>
          <w:szCs w:val="18"/>
        </w:rPr>
        <w:t>15 — Orientações complementares sobre a prospeção sísmica e o seu impacto potencial em mamíferos marinhos na Irlanda</w:t>
      </w: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18"/>
        </w:rPr>
      </w:pPr>
      <w:r>
        <w:rPr>
          <w:rFonts w:ascii="Verdana" w:hAnsi="Verdana"/>
          <w:noProof/>
          <w:sz w:val="18"/>
          <w:szCs w:val="18"/>
        </w:rPr>
        <w:t>A Irlanda desenvolveu um regime regulamentar e de gestão robusto para a prospeção sísmica, a fim de evitar impactos potencialmente significativos em todas as espécies de mamíferos marinhos, tanto dentro como fora de sítios Natura 2000. Em 2014, o Ministério das Artes, do Património e das Regiões de Expressão Gaélica (</w:t>
      </w:r>
      <w:r>
        <w:rPr>
          <w:rFonts w:ascii="Verdana" w:hAnsi="Verdana"/>
          <w:i/>
          <w:iCs/>
          <w:noProof/>
          <w:sz w:val="18"/>
          <w:szCs w:val="18"/>
        </w:rPr>
        <w:t>Department of Arts, Heritage and the Gaeltacht</w:t>
      </w:r>
      <w:r>
        <w:rPr>
          <w:rFonts w:ascii="Verdana" w:hAnsi="Verdana"/>
          <w:noProof/>
          <w:sz w:val="18"/>
          <w:szCs w:val="18"/>
        </w:rPr>
        <w:t>) publicou um documento de orientação completo sobre a gestão do risco para os mamíferos marinhos decorrente de fontes de ruído antropogénico nas águas irlandesas («Guidance to Manage the Risk to Marine Mammals from Man-made Sound Sources in Irish Waters»)</w:t>
      </w:r>
      <w:r>
        <w:rPr>
          <w:rStyle w:val="FootnoteReference"/>
          <w:rFonts w:ascii="Verdana" w:hAnsi="Verdana"/>
          <w:noProof/>
          <w:sz w:val="18"/>
          <w:szCs w:val="18"/>
          <w:lang w:val="en-US"/>
        </w:rPr>
        <w:footnoteReference w:id="65"/>
      </w:r>
      <w:r>
        <w:rPr>
          <w:rFonts w:ascii="Verdana" w:hAnsi="Verdana"/>
          <w:noProof/>
          <w:sz w:val="18"/>
          <w:szCs w:val="18"/>
        </w:rPr>
        <w:t>. O guia descreve os tipos de riscos possíveis (por exemplo, de atividades de dragagem, perfuração, cravação de estacas, prospeções geofísicas acústicas, explosões) e explica como proceder a uma avaliação do risco, recorrendo a exemplos concretos. Em seguida, descreve as respostas regulamentares que devem ser dadas (por exemplo, não autorização, autorização com condições, etc.).</w:t>
      </w: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18"/>
        </w:rPr>
      </w:pPr>
    </w:p>
    <w:p>
      <w:pPr>
        <w:spacing w:after="240"/>
        <w:rPr>
          <w:rFonts w:ascii="Verdana" w:hAnsi="Verdana"/>
          <w:b/>
          <w:i/>
          <w:noProof/>
          <w:sz w:val="20"/>
          <w:szCs w:val="20"/>
        </w:rPr>
      </w:pPr>
      <w:r>
        <w:rPr>
          <w:rFonts w:ascii="Verdana" w:hAnsi="Verdana"/>
          <w:b/>
          <w:i/>
          <w:noProof/>
          <w:sz w:val="20"/>
          <w:szCs w:val="20"/>
        </w:rPr>
        <w:tab/>
      </w:r>
    </w:p>
    <w:p>
      <w:pPr>
        <w:spacing w:after="240"/>
        <w:rPr>
          <w:rFonts w:ascii="Verdana" w:hAnsi="Verdana"/>
          <w:i/>
          <w:noProof/>
          <w:sz w:val="20"/>
          <w:szCs w:val="20"/>
        </w:rPr>
      </w:pPr>
      <w:r>
        <w:rPr>
          <w:rFonts w:ascii="Verdana" w:hAnsi="Verdana"/>
          <w:b/>
          <w:i/>
          <w:noProof/>
          <w:sz w:val="20"/>
          <w:szCs w:val="20"/>
        </w:rPr>
        <w:t xml:space="preserve">2.3.2.b) </w:t>
      </w:r>
      <w:r>
        <w:rPr>
          <w:rFonts w:ascii="Verdana" w:hAnsi="Verdana"/>
          <w:b/>
          <w:i/>
          <w:noProof/>
          <w:sz w:val="20"/>
          <w:szCs w:val="20"/>
        </w:rPr>
        <w:tab/>
        <w:t>Períodos de reprodução, de dependência, de hibernação e de migração</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Os períodos de reprodução, de dependência, de hibernação e de migração são considerados períodos especialmente sensíveis à perturbação. Estes períodos só podem ser definidos utilizando uma abordagem espécie a espécie, devido às diferenças ecológicas, biológicas e comportamentais entre as espécies.</w:t>
      </w:r>
    </w:p>
    <w:p>
      <w:pPr>
        <w:spacing w:after="240"/>
        <w:jc w:val="both"/>
        <w:rPr>
          <w:rFonts w:ascii="Verdana" w:hAnsi="Verdana"/>
          <w:noProof/>
          <w:sz w:val="20"/>
          <w:szCs w:val="20"/>
        </w:rPr>
      </w:pPr>
      <w:r>
        <w:rPr>
          <w:rFonts w:ascii="Verdana" w:hAnsi="Verdana"/>
          <w:noProof/>
          <w:sz w:val="20"/>
          <w:szCs w:val="20"/>
        </w:rPr>
        <w:t>(2-42)</w:t>
      </w:r>
      <w:r>
        <w:rPr>
          <w:rFonts w:ascii="Verdana" w:hAnsi="Verdana"/>
          <w:noProof/>
          <w:sz w:val="20"/>
          <w:szCs w:val="20"/>
        </w:rPr>
        <w:tab/>
        <w:t xml:space="preserve">Os períodos de reprodução, de dependência, de hibernação e de migração são considerados </w:t>
      </w:r>
      <w:r>
        <w:rPr>
          <w:rFonts w:ascii="Verdana" w:hAnsi="Verdana"/>
          <w:b/>
          <w:noProof/>
          <w:sz w:val="20"/>
          <w:szCs w:val="20"/>
        </w:rPr>
        <w:t>períodos especialmente sensíveis para uma espécie relativamente à sua perturbação</w:t>
      </w:r>
      <w:r>
        <w:rPr>
          <w:rFonts w:ascii="Verdana" w:hAnsi="Verdana"/>
          <w:noProof/>
          <w:sz w:val="20"/>
          <w:szCs w:val="20"/>
        </w:rPr>
        <w:t xml:space="preserve">. Porém, a Diretiva </w:t>
      </w:r>
      <w:r>
        <w:rPr>
          <w:rFonts w:ascii="Verdana" w:hAnsi="Verdana"/>
          <w:i/>
          <w:iCs/>
          <w:noProof/>
          <w:sz w:val="20"/>
          <w:szCs w:val="20"/>
        </w:rPr>
        <w:t>Habitats</w:t>
      </w:r>
      <w:r>
        <w:rPr>
          <w:rFonts w:ascii="Verdana" w:hAnsi="Verdana"/>
          <w:noProof/>
          <w:sz w:val="20"/>
          <w:szCs w:val="20"/>
        </w:rPr>
        <w:t xml:space="preserve"> não contém qualquer definição destes termos. Uma vez que o anexo IV, alínea a), da diretiva inclui uma variedade muito grande de espécies, que são muito diferentes do ponto de vista ecológico, biológico e comportamental, é necessário utilizar, uma vez mais, uma abordagem «espécie a espécie» na definição dos períodos de reprodução, de dependência, de hibernação e de migração (nos casos em que estes períodos sejam aplicáveis).</w:t>
      </w:r>
    </w:p>
    <w:p>
      <w:pPr>
        <w:spacing w:after="120"/>
        <w:jc w:val="both"/>
        <w:rPr>
          <w:rFonts w:ascii="Verdana" w:hAnsi="Verdana"/>
          <w:noProof/>
          <w:sz w:val="20"/>
          <w:szCs w:val="20"/>
        </w:rPr>
      </w:pPr>
      <w:r>
        <w:rPr>
          <w:rFonts w:ascii="Verdana" w:hAnsi="Verdana"/>
          <w:noProof/>
          <w:sz w:val="20"/>
          <w:szCs w:val="20"/>
        </w:rPr>
        <w:t>(2-43)</w:t>
      </w:r>
      <w:r>
        <w:rPr>
          <w:rFonts w:ascii="Verdana" w:hAnsi="Verdana"/>
          <w:noProof/>
          <w:sz w:val="20"/>
          <w:szCs w:val="20"/>
        </w:rPr>
        <w:tab/>
        <w:t>Para efeitos do artigo 12.º, devem aplicar-se as seguintes definições:</w:t>
      </w:r>
    </w:p>
    <w:p>
      <w:pPr>
        <w:spacing w:after="120"/>
        <w:ind w:left="284" w:hanging="284"/>
        <w:jc w:val="both"/>
        <w:rPr>
          <w:rFonts w:ascii="Verdana" w:hAnsi="Verdana"/>
          <w:noProof/>
          <w:sz w:val="20"/>
          <w:szCs w:val="20"/>
        </w:rPr>
      </w:pPr>
      <w:r>
        <w:rPr>
          <w:rFonts w:ascii="Verdana" w:hAnsi="Verdana"/>
          <w:i/>
          <w:noProof/>
          <w:sz w:val="20"/>
          <w:szCs w:val="20"/>
        </w:rPr>
        <w:t xml:space="preserve">— </w:t>
      </w:r>
      <w:r>
        <w:rPr>
          <w:rFonts w:ascii="Verdana" w:hAnsi="Verdana"/>
          <w:i/>
          <w:noProof/>
          <w:sz w:val="20"/>
          <w:szCs w:val="20"/>
          <w:u w:val="single"/>
        </w:rPr>
        <w:t>Período de reprodução e de dependência:</w:t>
      </w:r>
      <w:r>
        <w:rPr>
          <w:rFonts w:ascii="Verdana" w:hAnsi="Verdana"/>
          <w:i/>
          <w:noProof/>
          <w:sz w:val="20"/>
          <w:szCs w:val="20"/>
        </w:rPr>
        <w:t xml:space="preserve"> </w:t>
      </w:r>
      <w:r>
        <w:rPr>
          <w:rFonts w:ascii="Verdana" w:hAnsi="Verdana"/>
          <w:noProof/>
          <w:sz w:val="20"/>
          <w:szCs w:val="20"/>
        </w:rPr>
        <w:t>este período pode incluir (se for caso disso) o período de exibição nupcial, acasalamento, construção do ninho ou escolha do local de postura de ovos ou de parturição, parturição ou postura, ou produção de descendência nos casos em que a reprodução é assexuada, desenvolvimento e incubação do ovo e dependência de juvenis.</w:t>
      </w:r>
    </w:p>
    <w:p>
      <w:pPr>
        <w:spacing w:after="120"/>
        <w:ind w:left="284" w:hanging="284"/>
        <w:jc w:val="both"/>
        <w:rPr>
          <w:rFonts w:ascii="Verdana" w:hAnsi="Verdana"/>
          <w:noProof/>
          <w:sz w:val="20"/>
          <w:szCs w:val="20"/>
        </w:rPr>
      </w:pPr>
      <w:r>
        <w:rPr>
          <w:rFonts w:ascii="Verdana" w:hAnsi="Verdana"/>
          <w:i/>
          <w:noProof/>
          <w:sz w:val="20"/>
          <w:szCs w:val="20"/>
        </w:rPr>
        <w:t xml:space="preserve">— </w:t>
      </w:r>
      <w:r>
        <w:rPr>
          <w:rFonts w:ascii="Verdana" w:hAnsi="Verdana"/>
          <w:i/>
          <w:noProof/>
          <w:sz w:val="20"/>
          <w:szCs w:val="20"/>
          <w:u w:val="single"/>
        </w:rPr>
        <w:t>Período de hibernação:</w:t>
      </w:r>
      <w:r>
        <w:rPr>
          <w:rFonts w:ascii="Verdana" w:hAnsi="Verdana"/>
          <w:b/>
          <w:noProof/>
          <w:sz w:val="20"/>
          <w:szCs w:val="20"/>
        </w:rPr>
        <w:t xml:space="preserve"> </w:t>
      </w:r>
      <w:r>
        <w:rPr>
          <w:rFonts w:ascii="Verdana" w:hAnsi="Verdana"/>
          <w:noProof/>
          <w:sz w:val="20"/>
          <w:szCs w:val="20"/>
        </w:rPr>
        <w:t>a hibernação é um período de tempo em que um animal fica inativo e permanece num estado de sono, de torpor ou de repouso, normalmente durante o inverno. Habitualmente, este estado é acompanhado por uma diminuição da temperatura corporal e um abrandamento das frequências cardíaca e respiratória. A hibernação permite ao animal sobreviver em condições adversas, gastando menos energia do que se estivesse ativo (por exemplo, alguns morcegos, roedores, anfíbios ou répteis).</w:t>
      </w:r>
    </w:p>
    <w:p>
      <w:pPr>
        <w:spacing w:after="480"/>
        <w:ind w:left="284" w:hanging="284"/>
        <w:jc w:val="both"/>
        <w:rPr>
          <w:rFonts w:ascii="Verdana" w:hAnsi="Verdana" w:cs="Arial"/>
          <w:noProof/>
          <w:sz w:val="20"/>
          <w:szCs w:val="20"/>
        </w:rPr>
      </w:pPr>
      <w:r>
        <w:rPr>
          <w:rFonts w:ascii="Verdana" w:hAnsi="Verdana"/>
          <w:noProof/>
          <w:sz w:val="20"/>
          <w:szCs w:val="20"/>
        </w:rPr>
        <w:t xml:space="preserve">— </w:t>
      </w:r>
      <w:r>
        <w:rPr>
          <w:rFonts w:ascii="Verdana" w:hAnsi="Verdana"/>
          <w:i/>
          <w:noProof/>
          <w:sz w:val="20"/>
          <w:szCs w:val="20"/>
          <w:u w:val="single"/>
        </w:rPr>
        <w:t>Período de migração:</w:t>
      </w:r>
      <w:r>
        <w:rPr>
          <w:rFonts w:ascii="Verdana" w:hAnsi="Verdana"/>
          <w:b/>
          <w:noProof/>
          <w:sz w:val="20"/>
          <w:szCs w:val="20"/>
        </w:rPr>
        <w:t xml:space="preserve"> </w:t>
      </w:r>
      <w:r>
        <w:rPr>
          <w:rFonts w:ascii="Verdana" w:hAnsi="Verdana"/>
          <w:noProof/>
          <w:sz w:val="20"/>
          <w:szCs w:val="20"/>
        </w:rPr>
        <w:t>a migração é o movimento periódico de espécimes de uma zona para outra, sendo uma parte natural do seu ciclo de vida, normalmente em reação a mudanças de estação ou alterações nas fontes de alimentação.</w:t>
      </w:r>
    </w:p>
    <w:p>
      <w:pPr>
        <w:pStyle w:val="h4"/>
        <w:rPr>
          <w:noProof/>
        </w:rPr>
      </w:pPr>
      <w:r>
        <w:rPr>
          <w:noProof/>
        </w:rPr>
        <w:t xml:space="preserve">2.3.3. </w:t>
      </w:r>
      <w:r>
        <w:rPr>
          <w:noProof/>
        </w:rPr>
        <w:tab/>
        <w:t>Destruição ou recolha intencionais de ovos no meio natural</w:t>
      </w:r>
    </w:p>
    <w:p>
      <w:pPr>
        <w:spacing w:after="480"/>
        <w:jc w:val="both"/>
        <w:rPr>
          <w:rFonts w:ascii="Verdana" w:hAnsi="Verdana"/>
          <w:noProof/>
          <w:sz w:val="20"/>
          <w:szCs w:val="20"/>
        </w:rPr>
      </w:pPr>
      <w:r>
        <w:rPr>
          <w:rFonts w:ascii="Verdana" w:hAnsi="Verdana"/>
          <w:noProof/>
          <w:sz w:val="20"/>
          <w:szCs w:val="20"/>
        </w:rPr>
        <w:t>(2-44)</w:t>
      </w:r>
      <w:r>
        <w:rPr>
          <w:rFonts w:ascii="Verdana" w:hAnsi="Verdana"/>
          <w:noProof/>
          <w:sz w:val="20"/>
          <w:szCs w:val="20"/>
        </w:rPr>
        <w:tab/>
        <w:t>Nos termos do artigo 12.º, n.º 1, alínea c), é proibida a destruição ou a recolha intencionais de ovos no meio natural.</w:t>
      </w:r>
    </w:p>
    <w:p>
      <w:pPr>
        <w:pStyle w:val="h4"/>
        <w:rPr>
          <w:noProof/>
        </w:rPr>
      </w:pPr>
      <w:r>
        <w:rPr>
          <w:noProof/>
        </w:rPr>
        <w:t xml:space="preserve">2.3.4. </w:t>
      </w:r>
      <w:r>
        <w:rPr>
          <w:noProof/>
        </w:rPr>
        <w:tab/>
        <w:t>Deterioração ou destruição dos locais de reprodução ou áreas de repouso</w:t>
      </w:r>
    </w:p>
    <w:p>
      <w:pPr>
        <w:spacing w:after="240"/>
        <w:jc w:val="both"/>
        <w:rPr>
          <w:rFonts w:ascii="Verdana" w:hAnsi="Verdana"/>
          <w:noProof/>
          <w:sz w:val="20"/>
          <w:szCs w:val="20"/>
        </w:rPr>
      </w:pPr>
      <w:r>
        <w:rPr>
          <w:rFonts w:ascii="Verdana" w:hAnsi="Verdana"/>
          <w:noProof/>
          <w:sz w:val="20"/>
          <w:szCs w:val="20"/>
        </w:rPr>
        <w:t>(2-45)</w:t>
      </w:r>
      <w:r>
        <w:rPr>
          <w:rFonts w:ascii="Verdana" w:hAnsi="Verdana"/>
          <w:noProof/>
          <w:sz w:val="20"/>
          <w:szCs w:val="20"/>
        </w:rPr>
        <w:tab/>
        <w:t xml:space="preserve">O artigo 12.º, n.º 1, alínea d), é uma disposição autónoma. Contrariamente às outras proibições do artigo 12.º, não diz respeito diretamente aos espécimes, antes visa proteger elementos importantes dos seus </w:t>
      </w:r>
      <w:r>
        <w:rPr>
          <w:rFonts w:ascii="Verdana" w:hAnsi="Verdana"/>
          <w:i/>
          <w:iCs/>
          <w:noProof/>
          <w:sz w:val="20"/>
          <w:szCs w:val="20"/>
        </w:rPr>
        <w:t>habitats</w:t>
      </w:r>
      <w:r>
        <w:rPr>
          <w:rFonts w:ascii="Verdana" w:hAnsi="Verdana"/>
          <w:noProof/>
          <w:sz w:val="20"/>
          <w:szCs w:val="20"/>
        </w:rPr>
        <w:t>, na medida em que proíbe a deterioração ou a destruição dos locais de reprodução ou áreas de repouso. Além disso, enquanto as alíneas a), b) e c) do artigo 12.º, n.º 1, utilizam o termo «intencional», o mesmo não se verifica na alínea d).</w:t>
      </w:r>
    </w:p>
    <w:p>
      <w:pPr>
        <w:spacing w:after="240"/>
        <w:ind w:left="1440" w:hanging="1440"/>
        <w:jc w:val="both"/>
        <w:rPr>
          <w:rFonts w:ascii="Verdana" w:hAnsi="Verdana"/>
          <w:b/>
          <w:i/>
          <w:noProof/>
          <w:sz w:val="20"/>
          <w:szCs w:val="20"/>
        </w:rPr>
      </w:pPr>
      <w:r>
        <w:rPr>
          <w:rFonts w:ascii="Verdana" w:hAnsi="Verdana"/>
          <w:b/>
          <w:i/>
          <w:noProof/>
          <w:sz w:val="20"/>
          <w:szCs w:val="20"/>
        </w:rPr>
        <w:t xml:space="preserve">2.3.4.a) </w:t>
      </w:r>
      <w:r>
        <w:rPr>
          <w:rFonts w:ascii="Verdana" w:hAnsi="Verdana"/>
          <w:b/>
          <w:i/>
          <w:noProof/>
          <w:sz w:val="20"/>
          <w:szCs w:val="20"/>
        </w:rPr>
        <w:tab/>
        <w:t>Consequências da não inclusão da palavra «intencional» no artigo 12.º, n.º 1, alínea d)</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O facto de a palavra «intencional» não ser utilizada no artigo 12.º, n.º 1, alínea d), sublinha a importância das medidas de prevenção por parte dos Estados-Membros para evitar qualquer deterioração ou destruição dos locais de reprodução ou áreas de repouso passível de ser causada por seres humanos. Os casos de deterioração ou destruição resultantes de causas naturais (ou seja, que não decorrem diretamente de atividades humanas, como, por exemplo, catástrofes naturais), ou causados por acontecimentos imprevisíveis, não são abrangidos pelo âmbito do artigo 12.º, n.º 1, alínea d).</w:t>
      </w:r>
    </w:p>
    <w:p>
      <w:pPr>
        <w:spacing w:after="240"/>
        <w:jc w:val="both"/>
        <w:rPr>
          <w:rFonts w:ascii="Verdana" w:hAnsi="Verdana"/>
          <w:noProof/>
          <w:sz w:val="20"/>
          <w:szCs w:val="20"/>
        </w:rPr>
      </w:pPr>
      <w:r>
        <w:rPr>
          <w:rFonts w:ascii="Verdana" w:hAnsi="Verdana"/>
          <w:noProof/>
          <w:sz w:val="20"/>
          <w:szCs w:val="20"/>
        </w:rPr>
        <w:t>(2-46)</w:t>
      </w:r>
      <w:r>
        <w:rPr>
          <w:rFonts w:ascii="Verdana" w:hAnsi="Verdana"/>
          <w:noProof/>
          <w:sz w:val="20"/>
          <w:szCs w:val="20"/>
        </w:rPr>
        <w:tab/>
        <w:t>Ao abrigo do artigo 12.º, n.º 1, alíneas a) a c), só os atos intencionais são proibidos e têm de ser prevenidos, ao passo que, no caso da alínea d), não é condição essencial que exista um ato intencional</w:t>
      </w:r>
      <w:r>
        <w:rPr>
          <w:rFonts w:ascii="Verdana" w:hAnsi="Verdana"/>
          <w:noProof/>
          <w:sz w:val="20"/>
          <w:szCs w:val="20"/>
          <w:vertAlign w:val="superscript"/>
        </w:rPr>
        <w:footnoteReference w:id="66"/>
      </w:r>
      <w:r>
        <w:rPr>
          <w:rFonts w:ascii="Verdana" w:hAnsi="Verdana"/>
          <w:noProof/>
          <w:sz w:val="20"/>
          <w:szCs w:val="20"/>
        </w:rPr>
        <w:t xml:space="preserve">. </w:t>
      </w:r>
      <w:r>
        <w:rPr>
          <w:rFonts w:ascii="Verdana" w:hAnsi="Verdana"/>
          <w:b/>
          <w:noProof/>
          <w:sz w:val="20"/>
          <w:szCs w:val="20"/>
        </w:rPr>
        <w:t>O artigo 12.º, n.º 1, alínea d), exige a proibição de todos os atos que resultem na deterioração ou destruição dos locais de reprodução ou áreas de repouso, sejam eles intencionais ou não</w:t>
      </w:r>
      <w:r>
        <w:rPr>
          <w:rFonts w:ascii="Verdana" w:hAnsi="Verdana"/>
          <w:noProof/>
          <w:sz w:val="20"/>
          <w:szCs w:val="20"/>
          <w:vertAlign w:val="superscript"/>
        </w:rPr>
        <w:footnoteReference w:id="67"/>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O Tribunal de Justiça confirmou ainda o seguinte: «[ao] não limitar a proibição prevista no artigo 12.º, n.º 1, alínea d), da diretiva, aos atos intencionais, contrariamente ao que fez no que diz respeito aos atos referidos nas alíneas a) a c) do referido artigo, o legislador comunitário demonstrou a sua vontade de dar aos sítios de reprodução e às áreas de repouso uma maior proteção contra os atos que causem a sua deterioração ou a sua destruição. Dada a importância dos objetivos de proteção da biodiversidade que a diretiva pretende realizar, não é de modo algum desproporcionado que a proibição prevista na alínea d) do artigo 12.º, n.º 1, não seja limitada aos atos intencionais»</w:t>
      </w:r>
      <w:r>
        <w:rPr>
          <w:rFonts w:ascii="Verdana" w:hAnsi="Verdana"/>
          <w:noProof/>
          <w:sz w:val="20"/>
          <w:szCs w:val="20"/>
          <w:vertAlign w:val="superscript"/>
        </w:rPr>
        <w:footnoteReference w:id="68"/>
      </w:r>
      <w:r>
        <w:rPr>
          <w:rFonts w:ascii="Verdana" w:hAnsi="Verdana"/>
          <w:noProof/>
          <w:sz w:val="20"/>
          <w:szCs w:val="20"/>
        </w:rPr>
        <w:t>.</w:t>
      </w:r>
    </w:p>
    <w:p>
      <w:pPr>
        <w:spacing w:after="240"/>
        <w:jc w:val="both"/>
        <w:rPr>
          <w:rFonts w:ascii="Verdana" w:hAnsi="Verdana"/>
          <w:b/>
          <w:noProof/>
          <w:sz w:val="20"/>
          <w:szCs w:val="20"/>
        </w:rPr>
      </w:pPr>
      <w:r>
        <w:rPr>
          <w:rFonts w:ascii="Verdana" w:hAnsi="Verdana"/>
          <w:noProof/>
          <w:sz w:val="20"/>
          <w:szCs w:val="20"/>
        </w:rPr>
        <w:t>(2-47)</w:t>
      </w:r>
      <w:r>
        <w:rPr>
          <w:rFonts w:ascii="Verdana" w:hAnsi="Verdana"/>
          <w:noProof/>
          <w:sz w:val="20"/>
          <w:szCs w:val="20"/>
        </w:rPr>
        <w:tab/>
        <w:t>Em direito penal, é feita uma distinção entre atos intencionais ou deliberados e atos não intencionais. A palavra «intencional» também abrange situações em que o resultado não é diretamente pretendido, mas em que a pessoa deveria ter tido em conta as consequências que poderiam decorrer do ato. Tal indica claramente que, ao omitir a palavra «intencionais» na alínea d), se pretendia incluir também no âmbito desta disposição os atos não intencionais conducentes à deterioração ou destruição. Desta forma, introduz-se um atributo especial nesta disposição: qualquer deterioração ou destruição dos locais de reprodução ou áreas de repouso deve ser efetivamente proibida, ou seja, evitada.</w:t>
      </w:r>
    </w:p>
    <w:p>
      <w:pPr>
        <w:spacing w:after="240"/>
        <w:jc w:val="both"/>
        <w:rPr>
          <w:rFonts w:ascii="Verdana" w:hAnsi="Verdana"/>
          <w:noProof/>
          <w:sz w:val="20"/>
          <w:szCs w:val="20"/>
        </w:rPr>
      </w:pPr>
      <w:r>
        <w:rPr>
          <w:rFonts w:ascii="Verdana" w:hAnsi="Verdana"/>
          <w:noProof/>
          <w:sz w:val="20"/>
          <w:szCs w:val="20"/>
        </w:rPr>
        <w:t>(2-48)</w:t>
      </w:r>
      <w:r>
        <w:rPr>
          <w:rFonts w:ascii="Verdana" w:hAnsi="Verdana"/>
          <w:noProof/>
          <w:sz w:val="20"/>
          <w:szCs w:val="20"/>
        </w:rPr>
        <w:tab/>
        <w:t xml:space="preserve">Todavia, isto não significa que o artigo 12.º, n.º 1, alínea d), da diretiva exija medidas proativas de gestão de </w:t>
      </w:r>
      <w:r>
        <w:rPr>
          <w:rFonts w:ascii="Verdana" w:hAnsi="Verdana"/>
          <w:i/>
          <w:iCs/>
          <w:noProof/>
          <w:sz w:val="20"/>
          <w:szCs w:val="20"/>
        </w:rPr>
        <w:t>habitats</w:t>
      </w:r>
      <w:r>
        <w:rPr>
          <w:rFonts w:ascii="Verdana" w:hAnsi="Verdana"/>
          <w:noProof/>
          <w:sz w:val="20"/>
          <w:szCs w:val="20"/>
        </w:rPr>
        <w:t xml:space="preserve"> (por exemplo, gerir ativamente um prado para borboletas). Não obstante, para proteger os locais de reprodução ou áreas de repouso contra a deterioração ou destruição, não basta uma simples proibição num texto jurídico, devendo tal proibição ser apoiada por um mecanismo de execução adequado, incluindo medidas de prevenção. Ao abrigo de um sistema de proteção rigorosa, </w:t>
      </w:r>
      <w:r>
        <w:rPr>
          <w:rFonts w:ascii="Verdana" w:hAnsi="Verdana"/>
          <w:b/>
          <w:noProof/>
          <w:sz w:val="20"/>
          <w:szCs w:val="20"/>
        </w:rPr>
        <w:t>os Estados</w:t>
      </w:r>
      <w:r>
        <w:rPr>
          <w:rFonts w:ascii="Verdana" w:hAnsi="Verdana"/>
          <w:b/>
          <w:noProof/>
          <w:sz w:val="20"/>
          <w:szCs w:val="20"/>
        </w:rPr>
        <w:noBreakHyphen/>
        <w:t>Membros devem antecipar as ameaças que os sítios podem enfrentar em virtude da ação humana</w:t>
      </w:r>
      <w:r>
        <w:rPr>
          <w:rFonts w:ascii="Verdana" w:hAnsi="Verdana"/>
          <w:noProof/>
          <w:sz w:val="20"/>
          <w:szCs w:val="20"/>
        </w:rPr>
        <w:t xml:space="preserve"> e tomar medidas para garantir que os intervenientes suscetíveis de cometer uma infração (intencionalmente ou não) estão cientes da proibição em vigor e agem em conformidade.</w:t>
      </w:r>
    </w:p>
    <w:p>
      <w:pPr>
        <w:spacing w:after="240"/>
        <w:jc w:val="both"/>
        <w:rPr>
          <w:noProof/>
          <w:sz w:val="20"/>
          <w:szCs w:val="20"/>
        </w:rPr>
      </w:pPr>
      <w:r>
        <w:rPr>
          <w:rFonts w:ascii="Verdana" w:hAnsi="Verdana"/>
          <w:noProof/>
          <w:sz w:val="20"/>
          <w:szCs w:val="20"/>
        </w:rPr>
        <w:t xml:space="preserve">(2-49) No primeiro processo </w:t>
      </w:r>
      <w:r>
        <w:rPr>
          <w:rFonts w:ascii="Verdana" w:hAnsi="Verdana"/>
          <w:i/>
          <w:noProof/>
          <w:sz w:val="20"/>
          <w:szCs w:val="20"/>
        </w:rPr>
        <w:t>Caretta caretta</w:t>
      </w:r>
      <w:r>
        <w:rPr>
          <w:rFonts w:ascii="Verdana" w:hAnsi="Verdana"/>
          <w:noProof/>
          <w:sz w:val="20"/>
          <w:szCs w:val="20"/>
          <w:vertAlign w:val="superscript"/>
        </w:rPr>
        <w:footnoteReference w:id="69"/>
      </w:r>
      <w:r>
        <w:rPr>
          <w:rFonts w:ascii="Verdana" w:hAnsi="Verdana"/>
          <w:noProof/>
          <w:sz w:val="20"/>
          <w:szCs w:val="20"/>
        </w:rPr>
        <w:t>, o Tribunal de Justiça declarou que a existência de construções numa praia usada pela espécie para a reprodução era suscetível de causar uma deterioração ou uma destruição do local de reprodução na aceção do artigo 12.º, n.º 1, alínea d), da diretiva</w:t>
      </w:r>
      <w:r>
        <w:rPr>
          <w:rFonts w:ascii="Verdana" w:hAnsi="Verdana"/>
          <w:noProof/>
          <w:sz w:val="20"/>
          <w:szCs w:val="20"/>
          <w:vertAlign w:val="superscript"/>
        </w:rPr>
        <w:footnoteReference w:id="70"/>
      </w:r>
      <w:r>
        <w:rPr>
          <w:rFonts w:ascii="Verdana" w:hAnsi="Verdana"/>
          <w:noProof/>
          <w:sz w:val="20"/>
          <w:szCs w:val="20"/>
        </w:rPr>
        <w:t>. É significativo que o Tribunal de Justiça não tenha considerado necessário que essas construções fossem «ilegais». O simples facto de as construções terem sido erigidas no local e serem suscetíveis de causar deterioração e degradação foi o argumento primordial para o Tribunal de Justiça. Por conseguinte, a edificação de construções numa praia classificada como «zona de proteção absoluta» e que, em particular, tinha também «sido sujeita a sinalização especial» é suficiente para constituir uma infração do artigo 12.º, n.º 1, alínea d).</w:t>
      </w:r>
    </w:p>
    <w:p>
      <w:pPr>
        <w:spacing w:after="240"/>
        <w:jc w:val="both"/>
        <w:rPr>
          <w:rFonts w:ascii="Verdana" w:hAnsi="Verdana"/>
          <w:noProof/>
          <w:sz w:val="20"/>
          <w:szCs w:val="20"/>
        </w:rPr>
      </w:pPr>
      <w:r>
        <w:rPr>
          <w:rFonts w:ascii="Verdana" w:hAnsi="Verdana"/>
          <w:noProof/>
          <w:sz w:val="20"/>
          <w:szCs w:val="20"/>
        </w:rPr>
        <w:t xml:space="preserve">(2-50) O Tribunal de Justiça esclareceu também, no processo C-441/17 (relativo à proteção dos coleópteros saproxílicos constantes do anexo IV — </w:t>
      </w:r>
      <w:r>
        <w:rPr>
          <w:rFonts w:ascii="Verdana" w:hAnsi="Verdana"/>
          <w:i/>
          <w:noProof/>
          <w:sz w:val="20"/>
          <w:szCs w:val="20"/>
        </w:rPr>
        <w:t>Buprestis splendens, Cucujus cinnaberinus, Phryganophilus ruficollis e Pytho kolwensis</w:t>
      </w:r>
      <w:r>
        <w:rPr>
          <w:rFonts w:ascii="Verdana" w:hAnsi="Verdana"/>
          <w:noProof/>
          <w:sz w:val="20"/>
          <w:szCs w:val="20"/>
        </w:rPr>
        <w:t xml:space="preserve"> — na floresta de Białowieża, na Polónia)</w:t>
      </w:r>
      <w:r>
        <w:rPr>
          <w:rFonts w:ascii="Verdana" w:hAnsi="Verdana"/>
          <w:noProof/>
          <w:sz w:val="20"/>
          <w:szCs w:val="20"/>
          <w:vertAlign w:val="superscript"/>
        </w:rPr>
        <w:footnoteReference w:id="71"/>
      </w:r>
      <w:r>
        <w:rPr>
          <w:rFonts w:ascii="Verdana" w:hAnsi="Verdana"/>
          <w:noProof/>
          <w:sz w:val="20"/>
          <w:szCs w:val="20"/>
        </w:rPr>
        <w:t>,</w:t>
      </w:r>
      <w:r>
        <w:rPr>
          <w:rFonts w:ascii="Verdana" w:hAnsi="Verdana"/>
          <w:noProof/>
          <w:sz w:val="18"/>
          <w:szCs w:val="20"/>
        </w:rPr>
        <w:t xml:space="preserve"> </w:t>
      </w:r>
      <w:r>
        <w:rPr>
          <w:rFonts w:ascii="Verdana" w:hAnsi="Verdana"/>
          <w:noProof/>
          <w:sz w:val="20"/>
          <w:szCs w:val="20"/>
        </w:rPr>
        <w:t xml:space="preserve">que as proibições que constam do artigo 12.º da Diretiva </w:t>
      </w:r>
      <w:r>
        <w:rPr>
          <w:rFonts w:ascii="Verdana" w:hAnsi="Verdana"/>
          <w:i/>
          <w:iCs/>
          <w:noProof/>
          <w:sz w:val="20"/>
          <w:szCs w:val="20"/>
        </w:rPr>
        <w:t>Habitats</w:t>
      </w:r>
      <w:r>
        <w:rPr>
          <w:rFonts w:ascii="Verdana" w:hAnsi="Verdana"/>
          <w:noProof/>
          <w:sz w:val="20"/>
          <w:szCs w:val="20"/>
        </w:rPr>
        <w:t xml:space="preserve"> são aplicáveis, independentemente do número de espécimes das espécies abrangidas pela proteção rigorosa. Mais recentemente, o Tribunal de Justiça reiterou que «a aplicação do regime de proteção previsto no artigo 12.º, n.º 1, alínea d), dessa diretiva não está subordinada ao número de espécimes da espécie em causa»</w:t>
      </w:r>
      <w:r>
        <w:rPr>
          <w:rFonts w:ascii="Verdana" w:hAnsi="Verdana"/>
          <w:noProof/>
          <w:sz w:val="20"/>
          <w:szCs w:val="20"/>
          <w:vertAlign w:val="superscript"/>
        </w:rPr>
        <w:footnoteReference w:id="72"/>
      </w:r>
      <w:r>
        <w:rPr>
          <w:rFonts w:ascii="Verdana" w:hAnsi="Verdana"/>
          <w:noProof/>
          <w:sz w:val="20"/>
          <w:szCs w:val="20"/>
        </w:rPr>
        <w:t>. Por outras palavras, o facto de uma espécie poder ter uma forte presença num determinado local e de a sua sobrevivência na zona não estar ameaçada não diminui as obrigações de proteção rigorosa da espécie. Estes factos devem, em vez disso, ser tidos em conta no processo de derrogação. A situação oposta também é verdadeira, ou seja, o facto de uma zona constituir um local de reprodução ou uma área de repouso apenas para um ou poucos espécimes de uma espécie constante do anexo IV, alínea a), não diminui a obrigação de proteger esta zona contra ações que possam deteriorá-la ou destruí-la.</w:t>
      </w:r>
    </w:p>
    <w:p>
      <w:pPr>
        <w:spacing w:after="240"/>
        <w:jc w:val="both"/>
        <w:rPr>
          <w:rFonts w:ascii="Verdana" w:hAnsi="Verdana"/>
          <w:noProof/>
          <w:sz w:val="20"/>
          <w:szCs w:val="20"/>
        </w:rPr>
      </w:pPr>
      <w:r>
        <w:rPr>
          <w:rFonts w:ascii="Verdana" w:hAnsi="Verdana"/>
          <w:noProof/>
          <w:sz w:val="20"/>
          <w:szCs w:val="20"/>
        </w:rPr>
        <w:t>(2-51)</w:t>
      </w:r>
      <w:r>
        <w:rPr>
          <w:rFonts w:ascii="Verdana" w:hAnsi="Verdana"/>
          <w:noProof/>
          <w:sz w:val="20"/>
          <w:szCs w:val="20"/>
        </w:rPr>
        <w:tab/>
        <w:t xml:space="preserve">Por outro lado, haverá alturas em que a deterioração dos </w:t>
      </w:r>
      <w:r>
        <w:rPr>
          <w:rFonts w:ascii="Verdana" w:hAnsi="Verdana"/>
          <w:i/>
          <w:iCs/>
          <w:noProof/>
          <w:sz w:val="20"/>
          <w:szCs w:val="20"/>
        </w:rPr>
        <w:t>habitats</w:t>
      </w:r>
      <w:r>
        <w:rPr>
          <w:rFonts w:ascii="Verdana" w:hAnsi="Verdana"/>
          <w:noProof/>
          <w:sz w:val="20"/>
          <w:szCs w:val="20"/>
        </w:rPr>
        <w:t xml:space="preserve"> naturais ocorre naturalmente (incluindo através da sucessão natural após a cessação de determinado uso da terra, como a agricultura) ou é causada por acontecimentos imprevisíveis, de tal forma que o </w:t>
      </w:r>
      <w:r>
        <w:rPr>
          <w:rFonts w:ascii="Verdana" w:hAnsi="Verdana"/>
          <w:i/>
          <w:iCs/>
          <w:noProof/>
          <w:sz w:val="20"/>
          <w:szCs w:val="20"/>
        </w:rPr>
        <w:t>habitat</w:t>
      </w:r>
      <w:r>
        <w:rPr>
          <w:rFonts w:ascii="Verdana" w:hAnsi="Verdana"/>
          <w:noProof/>
          <w:sz w:val="20"/>
          <w:szCs w:val="20"/>
        </w:rPr>
        <w:t xml:space="preserve"> deixa de ser um local de reprodução ou área de repouso adequado para determinada espécie. Neste caso, em que não foi cometido nenhum ato para provocar a deterioração ou a destruição dos locais de reprodução ou áreas de repouso, mas em que tal aconteceu por causas naturais, o artigo 12.º, n.º 1, alínea d) não é aplicável</w:t>
      </w:r>
      <w:r>
        <w:rPr>
          <w:rFonts w:ascii="Verdana" w:hAnsi="Verdana"/>
          <w:noProof/>
          <w:sz w:val="20"/>
          <w:szCs w:val="20"/>
          <w:vertAlign w:val="superscript"/>
        </w:rPr>
        <w:footnoteReference w:id="73"/>
      </w:r>
      <w:r>
        <w:rPr>
          <w:rFonts w:ascii="Verdana" w:hAnsi="Verdana"/>
          <w:noProof/>
          <w:sz w:val="20"/>
          <w:szCs w:val="20"/>
        </w:rPr>
        <w:t>.</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b/>
          <w:noProof/>
          <w:sz w:val="18"/>
          <w:szCs w:val="18"/>
        </w:rPr>
      </w:pPr>
      <w:bookmarkStart w:id="6" w:name="_Toc526255286"/>
      <w:bookmarkStart w:id="7" w:name="_Toc400136235"/>
      <w:r>
        <w:rPr>
          <w:rFonts w:ascii="Verdana" w:hAnsi="Verdana"/>
          <w:b/>
          <w:noProof/>
          <w:sz w:val="18"/>
          <w:szCs w:val="18"/>
        </w:rPr>
        <w:t>16 — Jurisprudência do TJUE: não garantia da proteção rigorosa de certos coleópteros saproxílicos</w:t>
      </w:r>
      <w:bookmarkEnd w:id="6"/>
      <w:bookmarkEnd w:id="7"/>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O sítio Natura 2000 Puszcza Białowieska (PLC 200004, floresta de Białowieża) inclui o Parque Nacional Białowieża e as florestas de gestão de três distritos florestais (Białowieża, Browsk e Hajnówka). Trata-se de uma das florestas mistas e caducifólias naturais mais bem conservadas da Europa, caracterizada por grandes quantidades de árvores velhas e um grande volume de madeira morta. É um ponto crítico e único da biodiversidade e uma fonte importante de conhecimento científico, nomeadamente sobre processos ecológicos.</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Devido às constantes fases de propagação do escolitídeo (causadas, entre outros fatores, pela alteração das condições climáticas), o ministro do Ambiente da Polónia aprovou em 2016 uma alteração do plano de gestão florestal de 2012. Esta autorizava uma quase triplicação da exploração de madeira para o período entre 2012 e 2021 apenas no distrito florestal de Białowieża, e a realização de algumas atividades florestais em zonas vedadas às atividades económicas, como os cortes sanitários ou a regeneração artificial. Posteriormente, em 2017, o diretor</w:t>
      </w:r>
      <w:r>
        <w:rPr>
          <w:rFonts w:ascii="Verdana" w:hAnsi="Verdana"/>
          <w:noProof/>
          <w:sz w:val="18"/>
          <w:szCs w:val="18"/>
        </w:rPr>
        <w:noBreakHyphen/>
        <w:t>geral do Instituto das Florestas do Estado adotou, para os três distritos florestais de Białowieża, Browsk e Hajnówka, uma decisão relativa ao abate e à retirada de árvores afetadas pelo escolitídeo por razões de segurança pública e para reduzir o risco de incêndio em todas as classes de idade da floresta. Tiveram então início os trabalhos para retirar árvores secas e árvores colonizadas pelo escolitídeo nestes três distritos florestais, numa área de cerca de 34 000 hectares, enquanto no sítio Natura 2000 Puszcza Białowieska os trabalhos se estenderam por mais de 63 147 hectares.</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 xml:space="preserve">A Comissão Europeia considerou que as autoridades polacas não se tinham assegurado de que essas medidas de gestão florestal não causariam danos na integridade do sítio Natura 2000 Puszcza Białowieska. Por conseguinte, a Comissão intentou uma ação junto do Tribunal de Justiça em julho de 2017 para que fosse declarado que a Polónia não tinha cumprido as obrigações que lhe incumbiam por força do artigo 6.º, n.º 3, e do artigo 12.º, n.º 1, alíneas a) e d), da Diretiva </w:t>
      </w:r>
      <w:r>
        <w:rPr>
          <w:rFonts w:ascii="Verdana" w:hAnsi="Verdana"/>
          <w:i/>
          <w:iCs/>
          <w:noProof/>
          <w:sz w:val="18"/>
          <w:szCs w:val="18"/>
        </w:rPr>
        <w:t>Habitats</w:t>
      </w:r>
      <w:r>
        <w:rPr>
          <w:rFonts w:ascii="Verdana" w:hAnsi="Verdana"/>
          <w:noProof/>
          <w:sz w:val="18"/>
          <w:szCs w:val="18"/>
        </w:rPr>
        <w:t>. Na decisão de 17 de abril de 2018</w:t>
      </w:r>
      <w:r>
        <w:rPr>
          <w:rFonts w:ascii="Verdana" w:hAnsi="Verdana"/>
          <w:noProof/>
          <w:sz w:val="18"/>
          <w:szCs w:val="18"/>
          <w:vertAlign w:val="superscript"/>
        </w:rPr>
        <w:footnoteReference w:id="74"/>
      </w:r>
      <w:r>
        <w:rPr>
          <w:rFonts w:ascii="Verdana" w:hAnsi="Verdana"/>
          <w:noProof/>
          <w:sz w:val="18"/>
          <w:szCs w:val="18"/>
        </w:rPr>
        <w:t>, o TJUE declarou que não tinha sido feita uma «avaliação adequada» e que o Governo da Polónia não tinha cumprido as suas obrigações no sentido de proteger a floresta de Białowieża. O Tribunal de Justiça realçou ainda que existe uma controvérsia científica sobre os métodos mais adequados para travar a propagação do escolitídeo. Consequentemente, as autoridades polacas não deveriam ter aumentado a exploração de madeira, por falta de certeza científica quanto à inexistência de efeitos prejudiciais duradouros das operações de gestão florestal ativa na integridade da floresta de Białowieża e nas espécies protegidas (entre outras, os coleópteros saproxílicos).</w:t>
      </w:r>
    </w:p>
    <w:p>
      <w:pPr>
        <w:pBdr>
          <w:top w:val="single" w:sz="4" w:space="1" w:color="auto"/>
          <w:left w:val="single" w:sz="4" w:space="4" w:color="auto"/>
          <w:bottom w:val="single" w:sz="4" w:space="1" w:color="auto"/>
          <w:right w:val="single" w:sz="4" w:space="4" w:color="auto"/>
        </w:pBdr>
        <w:shd w:val="clear" w:color="auto" w:fill="FFFF99"/>
        <w:spacing w:after="480"/>
        <w:jc w:val="both"/>
        <w:rPr>
          <w:rFonts w:ascii="Verdana" w:hAnsi="Verdana"/>
          <w:noProof/>
          <w:sz w:val="18"/>
          <w:szCs w:val="18"/>
        </w:rPr>
      </w:pPr>
      <w:r>
        <w:rPr>
          <w:rFonts w:ascii="Verdana" w:hAnsi="Verdana"/>
          <w:noProof/>
          <w:sz w:val="18"/>
          <w:szCs w:val="18"/>
        </w:rPr>
        <w:t xml:space="preserve">O Tribunal de Justiça clarificou também que as proibições que constam do artigo 12.º da Diretiva </w:t>
      </w:r>
      <w:r>
        <w:rPr>
          <w:rFonts w:ascii="Verdana" w:hAnsi="Verdana"/>
          <w:i/>
          <w:iCs/>
          <w:noProof/>
          <w:sz w:val="18"/>
          <w:szCs w:val="18"/>
        </w:rPr>
        <w:t>Habitats</w:t>
      </w:r>
      <w:r>
        <w:rPr>
          <w:rFonts w:ascii="Verdana" w:hAnsi="Verdana"/>
          <w:noProof/>
          <w:sz w:val="18"/>
          <w:szCs w:val="18"/>
        </w:rPr>
        <w:t xml:space="preserve"> são aplicáveis independentemente do número de espécimes das espécies abrangidas pelo regime de proteção rigorosa. Por outras palavras, o facto de uma espécie poder ter uma forte presença num determinado local e de a sua sobrevivência na zona não estar ameaçada não dispensa as obrigações de proteção rigorosa da espécie. Estes factos devem, em vez disso, ser tidos em conta no processo de derrogação.</w:t>
      </w:r>
    </w:p>
    <w:p>
      <w:pPr>
        <w:spacing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b/>
          <w:bCs/>
          <w:noProof/>
          <w:sz w:val="18"/>
          <w:szCs w:val="18"/>
        </w:rPr>
        <w:t>17 — Exemplo de boas práticas: mapa de sensibilidade de aves e morcegos aos parques eólicos na Flandres (Bélgica)</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Os mapas de sensibilidade da vida selvagem são reconhecidos como uma ferramenta eficaz para identificar zonas onde o desenvolvimento das energias renováveis pode afetar comunidades sensíveis de plantas e animais selvagens e, por conseguinte, deve ser evitado. Podem ser utilizados para identificar, numa fase precoce do processo de planeamento, zonas que contêm comunidades ecológicas sensíveis às instalações de exploração de energia eólica. Normalmente, os mapas de sensibilidade da vida selvagem servem de base às decisões de planeamento estratégico durante a fase inicial de seleção do local do processo de desenvolvimento e, por conseguinte, visam funcionar à escala da paisagem, frequentemente com cobertura regional, nacional ou multinacional.</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O mapa de sensibilidade de aves e morcegos aos parques eólicos na Flandres tem por objetivo indicar as zonas onde a instalação de turbinas eólicas pode causar riscos para aves ou morcegos. Visa informar e orientar mais avaliações e planos estratégicos ao nível da instalação. Trata-se de um exemplo de um mapa de sensibilidade para várias espécies, que demonstra a forma como grupos diferentes podem ser avaliados numa única ferramenta.</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O mapa classifica a região em quatro categorias de risco elevado, médio e possível, bem como de baixo risco/ausência de dados. Inclui um mapa de vulnerabilidade para aves baseado no GIS, composto por vários mapas com informações sobre áreas importantes para as aves e rotas de migração. Os mapas de sensibilidade e as orientações que os acompanham são utilizados frequentemente nas decisões de localização na Flandres. Os promotores de projetos e as empresas de consultoria utilizam-nos no planeamento estratégico e como «ponto de partida» para avaliações de projeto mais pormenorizadas ao nível da instalação. As autoridades locais e regionais aplicam</w:t>
      </w:r>
      <w:r>
        <w:rPr>
          <w:rFonts w:ascii="Verdana" w:hAnsi="Verdana"/>
          <w:noProof/>
          <w:sz w:val="18"/>
          <w:szCs w:val="18"/>
        </w:rPr>
        <w:noBreakHyphen/>
        <w:t>nos para o mesmo efeito e para verificar se os promotores de projetos e as empresas de consultoria fizeram corretamente o seu trabalho.</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 xml:space="preserve">O mapa inclui também informações sobre os morcegos, mas difere dos mapas temáticos para as aves na medida em que se baseia na identificação de um </w:t>
      </w:r>
      <w:r>
        <w:rPr>
          <w:rFonts w:ascii="Verdana" w:hAnsi="Verdana"/>
          <w:i/>
          <w:iCs/>
          <w:noProof/>
          <w:sz w:val="18"/>
          <w:szCs w:val="18"/>
        </w:rPr>
        <w:t>habitat</w:t>
      </w:r>
      <w:r>
        <w:rPr>
          <w:rFonts w:ascii="Verdana" w:hAnsi="Verdana"/>
          <w:noProof/>
          <w:sz w:val="18"/>
          <w:szCs w:val="18"/>
        </w:rPr>
        <w:t xml:space="preserve"> adequado (recorrendo a fotografias aéreas e ao inventário de ocupação dos solos), que foi utilizado como indicador da existência de morcegos. Porém, importa notar que o nível de dados disponíveis sobre morcegos é muito inferior ao das aves. Consequentemente, deve ter-se especial cuidado ao interpretar as previsões de sensibilidade relativas aos morcegos.</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rPr>
          <w:rFonts w:ascii="Verdana" w:hAnsi="Verdana"/>
          <w:noProof/>
          <w:sz w:val="18"/>
          <w:szCs w:val="18"/>
        </w:rPr>
      </w:pPr>
      <w:r>
        <w:rPr>
          <w:rFonts w:ascii="Verdana" w:hAnsi="Verdana"/>
          <w:noProof/>
          <w:sz w:val="18"/>
          <w:szCs w:val="18"/>
        </w:rPr>
        <w:t xml:space="preserve">Fonte: Manual relativo à sensibilidade da vida selvagem </w:t>
      </w:r>
      <w:hyperlink r:id="rId16" w:history="1">
        <w:r>
          <w:rPr>
            <w:rFonts w:ascii="Verdana" w:hAnsi="Verdana"/>
            <w:noProof/>
            <w:color w:val="0000FF"/>
            <w:sz w:val="18"/>
            <w:szCs w:val="18"/>
            <w:u w:val="single"/>
          </w:rPr>
          <w:t>https://ec.europa.eu/environment/nature/natura2000/management/docs/wildlife%20manual%20final.pdf</w:t>
        </w:r>
      </w:hyperlink>
      <w:r>
        <w:rPr>
          <w:noProof/>
        </w:rPr>
        <w:t>.</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spacing w:after="240"/>
        <w:jc w:val="both"/>
        <w:rPr>
          <w:rFonts w:ascii="Verdana" w:hAnsi="Verdana"/>
          <w:noProof/>
          <w:sz w:val="20"/>
          <w:szCs w:val="20"/>
        </w:rPr>
      </w:pPr>
    </w:p>
    <w:p>
      <w:pPr>
        <w:spacing w:after="240"/>
        <w:jc w:val="both"/>
        <w:rPr>
          <w:rFonts w:ascii="Verdana" w:hAnsi="Verdana"/>
          <w:b/>
          <w:i/>
          <w:noProof/>
          <w:sz w:val="20"/>
          <w:szCs w:val="20"/>
        </w:rPr>
      </w:pPr>
      <w:r>
        <w:rPr>
          <w:rFonts w:ascii="Verdana" w:hAnsi="Verdana"/>
          <w:b/>
          <w:i/>
          <w:noProof/>
          <w:sz w:val="20"/>
          <w:szCs w:val="20"/>
        </w:rPr>
        <w:t xml:space="preserve">2.3.4.b) </w:t>
      </w:r>
      <w:r>
        <w:rPr>
          <w:rFonts w:ascii="Verdana" w:hAnsi="Verdana"/>
          <w:b/>
          <w:i/>
          <w:noProof/>
          <w:sz w:val="20"/>
          <w:szCs w:val="20"/>
        </w:rPr>
        <w:tab/>
        <w:t>Identificação de «locais de reprodução e áreas de repouso»</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noProof/>
          <w:sz w:val="20"/>
          <w:szCs w:val="20"/>
        </w:rPr>
      </w:pPr>
      <w:r>
        <w:rPr>
          <w:rFonts w:ascii="Verdana" w:hAnsi="Verdana"/>
          <w:i/>
          <w:noProof/>
          <w:sz w:val="20"/>
          <w:szCs w:val="20"/>
        </w:rPr>
        <w:t xml:space="preserve">Os locais de reprodução e áreas de repouso têm de ser rigorosamente protegidos porque são fundamentais para o ciclo de vida dos animais e elementos essenciais de todo o </w:t>
      </w:r>
      <w:r>
        <w:rPr>
          <w:rFonts w:ascii="Verdana" w:hAnsi="Verdana"/>
          <w:noProof/>
          <w:sz w:val="20"/>
          <w:szCs w:val="20"/>
        </w:rPr>
        <w:t>habitat</w:t>
      </w:r>
      <w:r>
        <w:rPr>
          <w:rFonts w:ascii="Verdana" w:hAnsi="Verdana"/>
          <w:i/>
          <w:noProof/>
          <w:sz w:val="20"/>
          <w:szCs w:val="20"/>
        </w:rPr>
        <w:t xml:space="preserve"> de uma espécie. Por conseguinte, o artigo 12.º, n.º 1, alínea d), deve ser entendido como tendo por objetivo salvaguardar a funcionalidade ecológica contínua de tais locais e áreas, garantindo que continuam a fornecer todos os elementos de que o animal necessita para repousar ou para se reproduzir com êxito. A proteção aplica-se todo o ano caso estes locais sejam utilizados regularmente.</w:t>
      </w:r>
    </w:p>
    <w:p>
      <w:pPr>
        <w:autoSpaceDE w:val="0"/>
        <w:autoSpaceDN w:val="0"/>
        <w:adjustRightInd w:val="0"/>
        <w:spacing w:after="240"/>
        <w:jc w:val="both"/>
        <w:rPr>
          <w:rFonts w:ascii="Verdana" w:hAnsi="Verdana" w:cs="Arial"/>
          <w:noProof/>
          <w:sz w:val="20"/>
          <w:szCs w:val="20"/>
        </w:rPr>
      </w:pPr>
      <w:r>
        <w:rPr>
          <w:rFonts w:ascii="Verdana" w:hAnsi="Verdana"/>
          <w:noProof/>
          <w:sz w:val="20"/>
          <w:szCs w:val="20"/>
        </w:rPr>
        <w:t>(2-52)</w:t>
      </w:r>
      <w:r>
        <w:rPr>
          <w:rFonts w:ascii="Verdana" w:hAnsi="Verdana"/>
          <w:noProof/>
          <w:sz w:val="20"/>
          <w:szCs w:val="20"/>
        </w:rPr>
        <w:tab/>
        <w:t xml:space="preserve">Face aos objetivos da diretiva, os locais de reprodução e as áreas de repouso precisam de proteção rigorosa porque são fundamentais para o ciclo de vida dos animais e são elementos muito importantes de todo o </w:t>
      </w:r>
      <w:r>
        <w:rPr>
          <w:rFonts w:ascii="Verdana" w:hAnsi="Verdana"/>
          <w:i/>
          <w:iCs/>
          <w:noProof/>
          <w:sz w:val="20"/>
          <w:szCs w:val="20"/>
        </w:rPr>
        <w:t>habitat</w:t>
      </w:r>
      <w:r>
        <w:rPr>
          <w:rFonts w:ascii="Verdana" w:hAnsi="Verdana"/>
          <w:noProof/>
          <w:sz w:val="20"/>
          <w:szCs w:val="20"/>
        </w:rPr>
        <w:t xml:space="preserve"> de uma espécie</w:t>
      </w:r>
      <w:r>
        <w:rPr>
          <w:rFonts w:ascii="Verdana" w:hAnsi="Verdana" w:cs="Verdana"/>
          <w:noProof/>
          <w:sz w:val="20"/>
          <w:szCs w:val="20"/>
          <w:vertAlign w:val="superscript"/>
        </w:rPr>
        <w:footnoteReference w:id="75"/>
      </w:r>
      <w:r>
        <w:rPr>
          <w:rFonts w:ascii="Verdana" w:hAnsi="Verdana"/>
          <w:noProof/>
          <w:sz w:val="20"/>
          <w:szCs w:val="20"/>
        </w:rPr>
        <w:t xml:space="preserve">, necessários para garantir a sua sobrevivência. A sua proteção está </w:t>
      </w:r>
      <w:r>
        <w:rPr>
          <w:rFonts w:ascii="Verdana" w:hAnsi="Verdana"/>
          <w:noProof/>
          <w:snapToGrid w:val="0"/>
          <w:sz w:val="20"/>
          <w:szCs w:val="20"/>
        </w:rPr>
        <w:t xml:space="preserve">diretamente ligada ao estado de conservação de uma espécie. </w:t>
      </w:r>
      <w:r>
        <w:rPr>
          <w:rFonts w:ascii="Verdana" w:hAnsi="Verdana"/>
          <w:b/>
          <w:noProof/>
          <w:sz w:val="20"/>
          <w:szCs w:val="20"/>
        </w:rPr>
        <w:t>Por conseguinte, deve entender-se a disposição do artigo 12.º, n.º 1, alínea d), como tendo por objetivo salvaguardar a funcionalidade ecológica</w:t>
      </w:r>
      <w:r>
        <w:rPr>
          <w:rFonts w:ascii="Verdana" w:hAnsi="Verdana"/>
          <w:noProof/>
          <w:sz w:val="20"/>
          <w:szCs w:val="20"/>
        </w:rPr>
        <w:t xml:space="preserve"> </w:t>
      </w:r>
      <w:r>
        <w:rPr>
          <w:rFonts w:ascii="Verdana" w:hAnsi="Verdana"/>
          <w:b/>
          <w:noProof/>
          <w:sz w:val="20"/>
          <w:szCs w:val="20"/>
        </w:rPr>
        <w:t>dos locais de reprodução e das áreas de repouso</w:t>
      </w:r>
      <w:r>
        <w:rPr>
          <w:rFonts w:ascii="Verdana" w:hAnsi="Verdana"/>
          <w:noProof/>
          <w:sz w:val="20"/>
          <w:szCs w:val="20"/>
        </w:rPr>
        <w:t>. Neste contexto, o artigo 12.º, n.º 1, alínea d), prevê que tais locais e áreas não sejam danificados nem destruídos por atividades humanas, para que possam continuar a fornecer todos os elementos de que um animal específico necessita para repousar ou se reproduzir com êxito.</w:t>
      </w:r>
    </w:p>
    <w:p>
      <w:pPr>
        <w:autoSpaceDE w:val="0"/>
        <w:autoSpaceDN w:val="0"/>
        <w:adjustRightInd w:val="0"/>
        <w:spacing w:after="240"/>
        <w:jc w:val="both"/>
        <w:rPr>
          <w:noProof/>
          <w:sz w:val="20"/>
          <w:szCs w:val="20"/>
        </w:rPr>
      </w:pPr>
      <w:r>
        <w:rPr>
          <w:rFonts w:ascii="Verdana" w:hAnsi="Verdana"/>
          <w:noProof/>
          <w:sz w:val="20"/>
          <w:szCs w:val="20"/>
        </w:rPr>
        <w:t xml:space="preserve">(2-53) No processo C-383/09, a advogada-geral Kokott interpretou «locais de reprodução e áreas de repouso» como sendo extensíveis não só às tocas, mas também aos </w:t>
      </w:r>
      <w:r>
        <w:rPr>
          <w:rFonts w:ascii="Verdana" w:hAnsi="Verdana"/>
          <w:i/>
          <w:iCs/>
          <w:noProof/>
          <w:sz w:val="20"/>
          <w:szCs w:val="20"/>
        </w:rPr>
        <w:t>habitats</w:t>
      </w:r>
      <w:r>
        <w:rPr>
          <w:rFonts w:ascii="Verdana" w:hAnsi="Verdana"/>
          <w:noProof/>
          <w:sz w:val="20"/>
          <w:szCs w:val="20"/>
        </w:rPr>
        <w:t xml:space="preserve"> circundantes. O Tribunal de Justiça considerou que não só a destruição direta de tocas, mas também os processos de urbanização e as alterações na estrutura vegetativa em zonas mais vastas não cumpriram as obrigações previstas no artigo 12.º, n.º 1, alínea d)</w:t>
      </w:r>
      <w:r>
        <w:rPr>
          <w:rFonts w:ascii="Verdana" w:hAnsi="Verdana" w:cs="Arial"/>
          <w:noProof/>
          <w:sz w:val="20"/>
          <w:szCs w:val="20"/>
          <w:vertAlign w:val="superscript"/>
        </w:rPr>
        <w:footnoteReference w:id="76"/>
      </w:r>
      <w:r>
        <w:rPr>
          <w:rFonts w:ascii="Verdana" w:hAnsi="Verdana"/>
          <w:noProof/>
          <w:sz w:val="20"/>
          <w:szCs w:val="20"/>
        </w:rPr>
        <w:t>.</w:t>
      </w:r>
    </w:p>
    <w:p>
      <w:pPr>
        <w:autoSpaceDE w:val="0"/>
        <w:autoSpaceDN w:val="0"/>
        <w:adjustRightInd w:val="0"/>
        <w:spacing w:after="240"/>
        <w:jc w:val="both"/>
        <w:rPr>
          <w:rFonts w:ascii="Verdana" w:hAnsi="Verdana"/>
          <w:noProof/>
          <w:sz w:val="20"/>
          <w:szCs w:val="20"/>
        </w:rPr>
      </w:pPr>
      <w:r>
        <w:rPr>
          <w:rFonts w:ascii="Verdana" w:hAnsi="Verdana"/>
          <w:noProof/>
          <w:sz w:val="20"/>
          <w:szCs w:val="20"/>
        </w:rPr>
        <w:t>(2-54) Por conseguinte, decorre do artigo 12.º, n.º 1, alínea d), que tais locais de reprodução e áreas de repouso também têm de ser protegidos quando são utilizados apenas ocasionalmente ou até quando são abandonados</w:t>
      </w:r>
      <w:r>
        <w:rPr>
          <w:rFonts w:ascii="Verdana" w:hAnsi="Verdana"/>
          <w:noProof/>
          <w:sz w:val="20"/>
          <w:szCs w:val="20"/>
          <w:vertAlign w:val="superscript"/>
        </w:rPr>
        <w:footnoteReference w:id="77"/>
      </w:r>
      <w:r>
        <w:rPr>
          <w:rFonts w:ascii="Verdana" w:hAnsi="Verdana"/>
          <w:noProof/>
          <w:sz w:val="20"/>
          <w:szCs w:val="20"/>
        </w:rPr>
        <w:t xml:space="preserve"> mas em que há uma probabilidade razoavelmente elevada de as espécies em causa voltarem a estes locais e áreas. Se, por exemplo, uma certa gruta for utilizada todos os anos por um determinado número de morcegos para a sua hibernação (porque a espécie tem o hábito de voltar todos os anos ao mesmo poleiro de inverno), a funcionalidade desta gruta enquanto local de hibernação deve ser protegida também durante o verão, para que os morcegos a possam reutilizar no inverno.</w:t>
      </w:r>
    </w:p>
    <w:p>
      <w:pPr>
        <w:spacing w:after="240"/>
        <w:jc w:val="both"/>
        <w:rPr>
          <w:rFonts w:ascii="Verdana" w:hAnsi="Verdana"/>
          <w:noProof/>
          <w:sz w:val="20"/>
          <w:szCs w:val="20"/>
        </w:rPr>
      </w:pPr>
      <w:r>
        <w:rPr>
          <w:rFonts w:ascii="Verdana" w:hAnsi="Verdana"/>
          <w:noProof/>
          <w:sz w:val="20"/>
          <w:szCs w:val="20"/>
        </w:rPr>
        <w:t>(2-55)</w:t>
      </w:r>
      <w:r>
        <w:rPr>
          <w:rFonts w:ascii="Verdana" w:hAnsi="Verdana"/>
          <w:noProof/>
          <w:sz w:val="20"/>
          <w:szCs w:val="20"/>
        </w:rPr>
        <w:tab/>
        <w:t>A identificação de critérios gerais para locais de reprodução e áreas de repouso é difícil, porque o anexo IV, alínea a), enumera espécies de muitos táxones com muitas estratégias de história de vida diferentes. Não é possível fornecer uma definição rígida de «local de reprodução» e de «áreas de repouso» aplicável a todos os táxones. Por conseguinte, qualquer interpretação dos termos «locais de reprodução» e «áreas de repouso» terá de ter esta variedade em conta e refletir as diferentes condições existentes. As definições gerais seguidamente indicadas visam dar alguma orientação a este respeito e baseiam-se no pressuposto de que os locais em questão podem ser identificados e razoavelmente delimitados. Destinam-se a ser utilizadas como uma lista de controlo de elementos a ter em conta, já que nem todos estes elementos serão aplicáveis a todas as espécies. Também permitem identificar lacunas do conhecimento relativo a certas espécies. As duas definições que se seguem são pormenorizadas em secções separadas embora, na prática, muitas vezes estejam interligadas e se sobreponham, pelo que poderão ser consideradas em conjunto.</w:t>
      </w:r>
    </w:p>
    <w:p>
      <w:pPr>
        <w:spacing w:after="240"/>
        <w:jc w:val="both"/>
        <w:rPr>
          <w:rFonts w:ascii="Verdana" w:hAnsi="Verdana"/>
          <w:noProof/>
          <w:sz w:val="20"/>
          <w:szCs w:val="20"/>
        </w:rPr>
      </w:pPr>
      <w:r>
        <w:rPr>
          <w:rFonts w:ascii="Verdana" w:hAnsi="Verdana"/>
          <w:noProof/>
          <w:sz w:val="20"/>
        </w:rPr>
        <w:t>(2-56)</w:t>
      </w:r>
      <w:r>
        <w:rPr>
          <w:rFonts w:ascii="Verdana" w:hAnsi="Verdana"/>
          <w:noProof/>
          <w:sz w:val="20"/>
        </w:rPr>
        <w:tab/>
        <w:t>P</w:t>
      </w:r>
      <w:r>
        <w:rPr>
          <w:rFonts w:ascii="Verdana" w:hAnsi="Verdana"/>
          <w:noProof/>
          <w:sz w:val="20"/>
          <w:szCs w:val="20"/>
        </w:rPr>
        <w:t>ara efeitos do artigo 12.º, devem aplicar-se as seguintes definições.</w:t>
      </w:r>
    </w:p>
    <w:p>
      <w:pPr>
        <w:pStyle w:val="ListParagraph"/>
        <w:numPr>
          <w:ilvl w:val="0"/>
          <w:numId w:val="37"/>
        </w:numPr>
        <w:spacing w:after="120"/>
        <w:rPr>
          <w:rFonts w:ascii="Verdana" w:hAnsi="Verdana"/>
          <w:i/>
          <w:noProof/>
          <w:u w:val="single"/>
        </w:rPr>
      </w:pPr>
      <w:r>
        <w:rPr>
          <w:rFonts w:ascii="Verdana" w:hAnsi="Verdana"/>
          <w:i/>
          <w:noProof/>
          <w:u w:val="single"/>
        </w:rPr>
        <w:t>Locais de reprodução</w:t>
      </w:r>
    </w:p>
    <w:p>
      <w:pPr>
        <w:spacing w:after="240"/>
        <w:jc w:val="both"/>
        <w:rPr>
          <w:rFonts w:ascii="Verdana" w:hAnsi="Verdana"/>
          <w:noProof/>
          <w:sz w:val="20"/>
          <w:szCs w:val="20"/>
        </w:rPr>
      </w:pPr>
      <w:r>
        <w:rPr>
          <w:rFonts w:ascii="Verdana" w:hAnsi="Verdana"/>
          <w:noProof/>
          <w:sz w:val="20"/>
          <w:szCs w:val="20"/>
        </w:rPr>
        <w:t>Entende-se por reprodução o acasalamento, a parturição de crias (incluindo a postura de ovos) ou a produção de descendência nos casos em que a reprodução é assexuada. Entende-se por local de reprodução as zonas necessárias para o acasalamento e a parturição, abrangendo também as proximidades do ninho ou local de parturição, quando a descendência é dependente de tais locais. Para algumas espécies, um local de reprodução inclui igualmente as estruturas associadas necessárias para definição e defesa do território. No caso das espécies de reprodução assexuada, entende-se por local de reprodução a zona necessária para a produção de descendência. Os locais de reprodução que são utilizados regularmente, seja ao longo do ano ou de um ano para o outro, têm de ser protegidos mesmo quando não estão ocupados.</w:t>
      </w:r>
    </w:p>
    <w:p>
      <w:pPr>
        <w:rPr>
          <w:rFonts w:ascii="Verdana" w:hAnsi="Verdana"/>
          <w:noProof/>
          <w:sz w:val="20"/>
          <w:szCs w:val="20"/>
        </w:rPr>
      </w:pPr>
      <w:r>
        <w:rPr>
          <w:rFonts w:ascii="Verdana" w:hAnsi="Verdana"/>
          <w:noProof/>
          <w:sz w:val="20"/>
          <w:szCs w:val="20"/>
        </w:rPr>
        <w:t>Por conseguinte, o local de reprodução pode incluir áreas necessárias para:</w:t>
      </w:r>
    </w:p>
    <w:p>
      <w:pPr>
        <w:numPr>
          <w:ilvl w:val="0"/>
          <w:numId w:val="10"/>
        </w:numPr>
        <w:rPr>
          <w:rFonts w:ascii="Verdana" w:hAnsi="Verdana"/>
          <w:noProof/>
          <w:sz w:val="20"/>
          <w:szCs w:val="20"/>
        </w:rPr>
      </w:pPr>
      <w:r>
        <w:rPr>
          <w:rFonts w:ascii="Verdana" w:hAnsi="Verdana"/>
          <w:noProof/>
          <w:sz w:val="20"/>
          <w:szCs w:val="20"/>
        </w:rPr>
        <w:t>Exibição nupcial;</w:t>
      </w:r>
    </w:p>
    <w:p>
      <w:pPr>
        <w:numPr>
          <w:ilvl w:val="0"/>
          <w:numId w:val="10"/>
        </w:numPr>
        <w:rPr>
          <w:rFonts w:ascii="Verdana" w:hAnsi="Verdana"/>
          <w:noProof/>
          <w:sz w:val="20"/>
          <w:szCs w:val="20"/>
        </w:rPr>
      </w:pPr>
      <w:r>
        <w:rPr>
          <w:rFonts w:ascii="Verdana" w:hAnsi="Verdana"/>
          <w:noProof/>
          <w:sz w:val="20"/>
          <w:szCs w:val="20"/>
        </w:rPr>
        <w:t>Acasalamento;</w:t>
      </w:r>
    </w:p>
    <w:p>
      <w:pPr>
        <w:numPr>
          <w:ilvl w:val="0"/>
          <w:numId w:val="10"/>
        </w:numPr>
        <w:rPr>
          <w:rFonts w:ascii="Verdana" w:hAnsi="Verdana"/>
          <w:noProof/>
          <w:sz w:val="20"/>
          <w:szCs w:val="20"/>
        </w:rPr>
      </w:pPr>
      <w:r>
        <w:rPr>
          <w:rFonts w:ascii="Verdana" w:hAnsi="Verdana"/>
          <w:noProof/>
          <w:sz w:val="20"/>
          <w:szCs w:val="20"/>
        </w:rPr>
        <w:t>Construção de ninho ou escolha de local de postura de ovos ou de parturição;</w:t>
      </w:r>
    </w:p>
    <w:p>
      <w:pPr>
        <w:numPr>
          <w:ilvl w:val="0"/>
          <w:numId w:val="10"/>
        </w:numPr>
        <w:rPr>
          <w:rFonts w:ascii="Verdana" w:hAnsi="Verdana"/>
          <w:noProof/>
          <w:sz w:val="20"/>
          <w:szCs w:val="20"/>
        </w:rPr>
      </w:pPr>
      <w:r>
        <w:rPr>
          <w:rFonts w:ascii="Verdana" w:hAnsi="Verdana"/>
          <w:noProof/>
          <w:sz w:val="20"/>
          <w:szCs w:val="20"/>
        </w:rPr>
        <w:t>Locais utilizados para efeitos de parturição ou postura de ovos ou produção de descendência nos casos em que a reprodução é assexuada;</w:t>
      </w:r>
    </w:p>
    <w:p>
      <w:pPr>
        <w:numPr>
          <w:ilvl w:val="0"/>
          <w:numId w:val="10"/>
        </w:numPr>
        <w:rPr>
          <w:rFonts w:ascii="Verdana" w:hAnsi="Verdana"/>
          <w:noProof/>
          <w:sz w:val="20"/>
          <w:szCs w:val="20"/>
        </w:rPr>
      </w:pPr>
      <w:r>
        <w:rPr>
          <w:rFonts w:ascii="Verdana" w:hAnsi="Verdana"/>
          <w:noProof/>
          <w:sz w:val="20"/>
          <w:szCs w:val="20"/>
        </w:rPr>
        <w:t>Locais de desenvolvimento e incubação de ovos;</w:t>
      </w:r>
    </w:p>
    <w:p>
      <w:pPr>
        <w:numPr>
          <w:ilvl w:val="0"/>
          <w:numId w:val="10"/>
        </w:numPr>
        <w:rPr>
          <w:rFonts w:ascii="Verdana" w:hAnsi="Verdana"/>
          <w:noProof/>
          <w:sz w:val="20"/>
          <w:szCs w:val="20"/>
        </w:rPr>
      </w:pPr>
      <w:r>
        <w:rPr>
          <w:rFonts w:ascii="Verdana" w:hAnsi="Verdana"/>
          <w:noProof/>
          <w:sz w:val="20"/>
          <w:szCs w:val="20"/>
        </w:rPr>
        <w:t>Ninhos ou locais de parturição quando ocupados por crias dependentes desse local; e</w:t>
      </w:r>
    </w:p>
    <w:p>
      <w:pPr>
        <w:numPr>
          <w:ilvl w:val="0"/>
          <w:numId w:val="10"/>
        </w:numPr>
        <w:rPr>
          <w:rFonts w:ascii="Verdana" w:hAnsi="Verdana"/>
          <w:noProof/>
          <w:sz w:val="20"/>
          <w:szCs w:val="20"/>
        </w:rPr>
      </w:pPr>
      <w:r>
        <w:rPr>
          <w:rFonts w:ascii="Verdana" w:hAnsi="Verdana"/>
          <w:i/>
          <w:iCs/>
          <w:noProof/>
          <w:sz w:val="20"/>
          <w:szCs w:val="20"/>
        </w:rPr>
        <w:t>Habitats</w:t>
      </w:r>
      <w:r>
        <w:rPr>
          <w:rFonts w:ascii="Verdana" w:hAnsi="Verdana"/>
          <w:noProof/>
          <w:sz w:val="20"/>
          <w:szCs w:val="20"/>
        </w:rPr>
        <w:t xml:space="preserve"> mais vastos que permitem o êxito da reprodução, incluindo locais de alimentação.</w:t>
      </w:r>
    </w:p>
    <w:p>
      <w:pPr>
        <w:rPr>
          <w:rFonts w:ascii="Verdana" w:hAnsi="Verdana"/>
          <w:noProof/>
          <w:sz w:val="20"/>
          <w:szCs w:val="20"/>
        </w:rPr>
      </w:pPr>
    </w:p>
    <w:p>
      <w:pPr>
        <w:pStyle w:val="BodyText3"/>
        <w:numPr>
          <w:ilvl w:val="0"/>
          <w:numId w:val="37"/>
        </w:numPr>
        <w:spacing w:after="240"/>
        <w:rPr>
          <w:rFonts w:ascii="Verdana" w:hAnsi="Verdana"/>
          <w:b w:val="0"/>
          <w:i/>
          <w:noProof/>
          <w:sz w:val="20"/>
          <w:u w:val="single"/>
        </w:rPr>
      </w:pPr>
      <w:r>
        <w:rPr>
          <w:rFonts w:ascii="Verdana" w:hAnsi="Verdana"/>
          <w:b w:val="0"/>
          <w:i/>
          <w:noProof/>
          <w:sz w:val="20"/>
          <w:u w:val="single"/>
        </w:rPr>
        <w:t>Áreas de repouso</w:t>
      </w:r>
    </w:p>
    <w:p>
      <w:pPr>
        <w:spacing w:after="240"/>
        <w:jc w:val="both"/>
        <w:rPr>
          <w:rFonts w:ascii="Verdana" w:hAnsi="Verdana"/>
          <w:noProof/>
          <w:sz w:val="20"/>
          <w:szCs w:val="20"/>
        </w:rPr>
      </w:pPr>
      <w:r>
        <w:rPr>
          <w:rFonts w:ascii="Verdana" w:hAnsi="Verdana"/>
          <w:noProof/>
          <w:sz w:val="20"/>
          <w:szCs w:val="20"/>
        </w:rPr>
        <w:t>Entende-se por áreas de repouso as áreas essenciais para manter um animal ou um grupo de animais quando não se encontram ativos. No caso das espécies que têm uma fase séssil, entende-se por área de repouso o local de fixação. As áreas de repouso incluem estruturas criadas pelos animais para funcionarem como áreas de repouso, tais como poleiros, tocas ou esconderijos. As áreas de repouso que são utilizadas regularmente, seja ao longo do ano ou de um ano para o outro, têm de ser protegidas mesmo quando não estão ocupadas.</w:t>
      </w:r>
    </w:p>
    <w:p>
      <w:pPr>
        <w:rPr>
          <w:rFonts w:ascii="Verdana" w:hAnsi="Verdana"/>
          <w:noProof/>
          <w:sz w:val="20"/>
          <w:szCs w:val="20"/>
        </w:rPr>
      </w:pPr>
      <w:r>
        <w:rPr>
          <w:rFonts w:ascii="Verdana" w:hAnsi="Verdana"/>
          <w:noProof/>
          <w:sz w:val="20"/>
          <w:szCs w:val="20"/>
        </w:rPr>
        <w:t xml:space="preserve">As áreas de repouso essenciais para a sobrevivência podem incluir uma ou mais estruturas e elementos de </w:t>
      </w:r>
      <w:r>
        <w:rPr>
          <w:rFonts w:ascii="Verdana" w:hAnsi="Verdana"/>
          <w:i/>
          <w:iCs/>
          <w:noProof/>
          <w:sz w:val="20"/>
          <w:szCs w:val="20"/>
        </w:rPr>
        <w:t>habitat</w:t>
      </w:r>
      <w:r>
        <w:rPr>
          <w:rFonts w:ascii="Verdana" w:hAnsi="Verdana"/>
          <w:noProof/>
          <w:sz w:val="20"/>
          <w:szCs w:val="20"/>
        </w:rPr>
        <w:t xml:space="preserve"> necessários para:</w:t>
      </w:r>
    </w:p>
    <w:p>
      <w:pPr>
        <w:numPr>
          <w:ilvl w:val="0"/>
          <w:numId w:val="11"/>
        </w:numPr>
        <w:tabs>
          <w:tab w:val="num" w:pos="720"/>
        </w:tabs>
        <w:ind w:hanging="648"/>
        <w:rPr>
          <w:rFonts w:ascii="Verdana" w:hAnsi="Verdana"/>
          <w:noProof/>
          <w:sz w:val="20"/>
          <w:szCs w:val="20"/>
        </w:rPr>
      </w:pPr>
      <w:r>
        <w:rPr>
          <w:rFonts w:ascii="Verdana" w:hAnsi="Verdana"/>
          <w:noProof/>
          <w:sz w:val="20"/>
          <w:szCs w:val="20"/>
        </w:rPr>
        <w:t xml:space="preserve">Comportamento termorregulador, por exemplo, </w:t>
      </w:r>
      <w:r>
        <w:rPr>
          <w:rFonts w:ascii="Verdana" w:hAnsi="Verdana"/>
          <w:i/>
          <w:noProof/>
          <w:sz w:val="20"/>
          <w:szCs w:val="20"/>
        </w:rPr>
        <w:t xml:space="preserve">Lacerta agilis </w:t>
      </w:r>
      <w:r>
        <w:rPr>
          <w:rFonts w:ascii="Verdana" w:hAnsi="Verdana"/>
          <w:noProof/>
          <w:sz w:val="20"/>
          <w:szCs w:val="20"/>
        </w:rPr>
        <w:t>(lagarto-ágil);</w:t>
      </w:r>
    </w:p>
    <w:p>
      <w:pPr>
        <w:numPr>
          <w:ilvl w:val="0"/>
          <w:numId w:val="11"/>
        </w:numPr>
        <w:tabs>
          <w:tab w:val="num" w:pos="720"/>
        </w:tabs>
        <w:ind w:hanging="648"/>
        <w:rPr>
          <w:rFonts w:ascii="Verdana" w:hAnsi="Verdana"/>
          <w:noProof/>
          <w:sz w:val="20"/>
          <w:szCs w:val="20"/>
        </w:rPr>
      </w:pPr>
      <w:r>
        <w:rPr>
          <w:rFonts w:ascii="Verdana" w:hAnsi="Verdana"/>
          <w:noProof/>
          <w:sz w:val="20"/>
          <w:szCs w:val="20"/>
        </w:rPr>
        <w:t xml:space="preserve">Repousar, dormir ou recuperar, por exemplo, poleiros de </w:t>
      </w:r>
      <w:r>
        <w:rPr>
          <w:rFonts w:ascii="Verdana" w:hAnsi="Verdana"/>
          <w:i/>
          <w:iCs/>
          <w:noProof/>
          <w:sz w:val="20"/>
          <w:szCs w:val="20"/>
        </w:rPr>
        <w:t>Nyctalus leisleri</w:t>
      </w:r>
      <w:r>
        <w:rPr>
          <w:rFonts w:ascii="Verdana" w:hAnsi="Verdana"/>
          <w:noProof/>
          <w:sz w:val="20"/>
          <w:szCs w:val="20"/>
        </w:rPr>
        <w:t xml:space="preserve"> (morcego-arborícola-pequeno);</w:t>
      </w:r>
    </w:p>
    <w:p>
      <w:pPr>
        <w:numPr>
          <w:ilvl w:val="0"/>
          <w:numId w:val="11"/>
        </w:numPr>
        <w:tabs>
          <w:tab w:val="num" w:pos="720"/>
        </w:tabs>
        <w:ind w:hanging="648"/>
        <w:rPr>
          <w:rFonts w:ascii="Verdana" w:hAnsi="Verdana"/>
          <w:noProof/>
          <w:sz w:val="20"/>
          <w:szCs w:val="20"/>
        </w:rPr>
      </w:pPr>
      <w:r>
        <w:rPr>
          <w:rFonts w:ascii="Verdana" w:hAnsi="Verdana"/>
          <w:noProof/>
          <w:sz w:val="20"/>
          <w:szCs w:val="20"/>
        </w:rPr>
        <w:t xml:space="preserve">Esconderijo, proteção ou refúgio, por exemplo, tocas de </w:t>
      </w:r>
      <w:r>
        <w:rPr>
          <w:rFonts w:ascii="Verdana" w:hAnsi="Verdana"/>
          <w:i/>
          <w:noProof/>
          <w:sz w:val="20"/>
          <w:szCs w:val="20"/>
        </w:rPr>
        <w:t>Macrothele calpeiana</w:t>
      </w:r>
      <w:r>
        <w:rPr>
          <w:rFonts w:ascii="Verdana" w:hAnsi="Verdana"/>
          <w:noProof/>
          <w:sz w:val="20"/>
          <w:szCs w:val="20"/>
        </w:rPr>
        <w:t>; e</w:t>
      </w:r>
    </w:p>
    <w:p>
      <w:pPr>
        <w:numPr>
          <w:ilvl w:val="0"/>
          <w:numId w:val="11"/>
        </w:numPr>
        <w:tabs>
          <w:tab w:val="num" w:pos="720"/>
        </w:tabs>
        <w:ind w:hanging="648"/>
        <w:rPr>
          <w:rFonts w:ascii="Verdana" w:hAnsi="Verdana"/>
          <w:noProof/>
          <w:sz w:val="20"/>
          <w:szCs w:val="20"/>
        </w:rPr>
      </w:pPr>
      <w:r>
        <w:rPr>
          <w:rFonts w:ascii="Verdana" w:hAnsi="Verdana"/>
          <w:noProof/>
          <w:sz w:val="20"/>
          <w:szCs w:val="20"/>
        </w:rPr>
        <w:t xml:space="preserve">Hibernação, por exemplo, dormitórios de morcegos e esconderijos de </w:t>
      </w:r>
      <w:r>
        <w:rPr>
          <w:rFonts w:ascii="Verdana" w:hAnsi="Verdana"/>
          <w:i/>
          <w:noProof/>
          <w:sz w:val="20"/>
          <w:szCs w:val="20"/>
        </w:rPr>
        <w:t>Muscardinus avellanarius</w:t>
      </w:r>
      <w:r>
        <w:rPr>
          <w:rFonts w:ascii="Verdana" w:hAnsi="Verdana"/>
          <w:noProof/>
          <w:sz w:val="20"/>
          <w:szCs w:val="20"/>
        </w:rPr>
        <w:t xml:space="preserve"> (arganaz-castanho).</w:t>
      </w:r>
    </w:p>
    <w:p>
      <w:pPr>
        <w:ind w:left="72"/>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(2-57)</w:t>
      </w:r>
      <w:r>
        <w:rPr>
          <w:rFonts w:ascii="Verdana" w:hAnsi="Verdana"/>
          <w:noProof/>
          <w:sz w:val="20"/>
          <w:szCs w:val="20"/>
        </w:rPr>
        <w:tab/>
      </w:r>
      <w:r>
        <w:rPr>
          <w:rFonts w:ascii="Verdana" w:hAnsi="Verdana"/>
          <w:b/>
          <w:noProof/>
          <w:sz w:val="20"/>
          <w:szCs w:val="20"/>
        </w:rPr>
        <w:t>Uma</w:t>
      </w:r>
      <w:r>
        <w:rPr>
          <w:rFonts w:ascii="Verdana" w:hAnsi="Verdana"/>
          <w:noProof/>
          <w:sz w:val="20"/>
          <w:szCs w:val="20"/>
        </w:rPr>
        <w:t xml:space="preserve"> </w:t>
      </w:r>
      <w:r>
        <w:rPr>
          <w:rFonts w:ascii="Verdana" w:hAnsi="Verdana"/>
          <w:b/>
          <w:noProof/>
          <w:sz w:val="20"/>
          <w:szCs w:val="20"/>
        </w:rPr>
        <w:t xml:space="preserve">aplicação adequada do artigo 12.º, n.º 1, alínea d), exige um bom conhecimento </w:t>
      </w:r>
      <w:r>
        <w:rPr>
          <w:rFonts w:ascii="Verdana" w:hAnsi="Verdana"/>
          <w:b/>
          <w:noProof/>
          <w:snapToGrid w:val="0"/>
          <w:sz w:val="20"/>
          <w:szCs w:val="20"/>
        </w:rPr>
        <w:t>da ecologia</w:t>
      </w:r>
      <w:r>
        <w:rPr>
          <w:rFonts w:ascii="Verdana" w:hAnsi="Verdana"/>
          <w:noProof/>
          <w:snapToGrid w:val="0"/>
          <w:sz w:val="20"/>
          <w:szCs w:val="20"/>
        </w:rPr>
        <w:t xml:space="preserve"> (biologia, </w:t>
      </w:r>
      <w:r>
        <w:rPr>
          <w:rFonts w:ascii="Verdana" w:hAnsi="Verdana"/>
          <w:i/>
          <w:iCs/>
          <w:noProof/>
          <w:snapToGrid w:val="0"/>
          <w:sz w:val="20"/>
          <w:szCs w:val="20"/>
        </w:rPr>
        <w:t>habitats</w:t>
      </w:r>
      <w:r>
        <w:rPr>
          <w:rFonts w:ascii="Verdana" w:hAnsi="Verdana"/>
          <w:noProof/>
          <w:snapToGrid w:val="0"/>
          <w:sz w:val="20"/>
          <w:szCs w:val="20"/>
        </w:rPr>
        <w:t>, dimensão da população, distribuição e dinâmica) e do comportamento das espécies (</w:t>
      </w:r>
      <w:r>
        <w:rPr>
          <w:rFonts w:ascii="Verdana" w:hAnsi="Verdana"/>
          <w:noProof/>
          <w:sz w:val="20"/>
          <w:szCs w:val="20"/>
        </w:rPr>
        <w:t xml:space="preserve">ciclo de vida, </w:t>
      </w:r>
      <w:r>
        <w:rPr>
          <w:rFonts w:ascii="Verdana" w:hAnsi="Verdana"/>
          <w:noProof/>
          <w:snapToGrid w:val="0"/>
          <w:sz w:val="20"/>
          <w:szCs w:val="20"/>
        </w:rPr>
        <w:t>organização, interação na espécie e entre espécies)</w:t>
      </w:r>
      <w:r>
        <w:rPr>
          <w:rFonts w:ascii="Verdana" w:hAnsi="Verdana"/>
          <w:noProof/>
          <w:sz w:val="20"/>
          <w:szCs w:val="20"/>
        </w:rPr>
        <w:t>.</w:t>
      </w:r>
    </w:p>
    <w:p>
      <w:pPr>
        <w:ind w:left="72"/>
        <w:rPr>
          <w:rFonts w:ascii="Verdana" w:hAnsi="Verdana"/>
          <w:noProof/>
          <w:sz w:val="20"/>
          <w:szCs w:val="20"/>
        </w:rPr>
      </w:pPr>
    </w:p>
    <w:p>
      <w:pPr>
        <w:ind w:left="72"/>
        <w:rPr>
          <w:rFonts w:ascii="Verdana" w:hAnsi="Verdana"/>
          <w:noProof/>
          <w:sz w:val="20"/>
          <w:szCs w:val="20"/>
        </w:rPr>
      </w:pPr>
    </w:p>
    <w:p>
      <w:pPr>
        <w:ind w:left="72"/>
        <w:rPr>
          <w:rFonts w:ascii="Verdana" w:hAnsi="Verdana"/>
          <w:noProof/>
          <w:sz w:val="20"/>
          <w:szCs w:val="20"/>
        </w:rPr>
      </w:pPr>
    </w:p>
    <w:p>
      <w:pPr>
        <w:spacing w:after="240"/>
        <w:rPr>
          <w:rFonts w:ascii="Verdana" w:hAnsi="Verdana"/>
          <w:b/>
          <w:noProof/>
          <w:sz w:val="20"/>
          <w:szCs w:val="20"/>
        </w:rPr>
      </w:pPr>
      <w:bookmarkStart w:id="8" w:name="_Toc100638349"/>
      <w:r>
        <w:rPr>
          <w:rFonts w:ascii="Verdana" w:hAnsi="Verdana"/>
          <w:b/>
          <w:noProof/>
          <w:sz w:val="20"/>
          <w:szCs w:val="20"/>
        </w:rPr>
        <w:t>Exemplos de locais de reprodução e áreas de repouso</w:t>
      </w:r>
      <w:bookmarkEnd w:id="8"/>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835"/>
        <w:gridCol w:w="5391"/>
      </w:tblGrid>
      <w:tr>
        <w:tc>
          <w:tcPr>
            <w:tcW w:w="1204" w:type="dxa"/>
            <w:tcBorders>
              <w:bottom w:val="single" w:sz="4" w:space="0" w:color="auto"/>
            </w:tcBorders>
            <w:shd w:val="clear" w:color="auto" w:fill="99CCFF"/>
          </w:tcPr>
          <w:p>
            <w:pPr>
              <w:rPr>
                <w:rFonts w:ascii="Verdana" w:hAnsi="Verdana"/>
                <w:noProof/>
                <w:sz w:val="20"/>
                <w:szCs w:val="20"/>
              </w:rPr>
            </w:pPr>
          </w:p>
          <w:p>
            <w:pPr>
              <w:rPr>
                <w:rFonts w:ascii="Verdana" w:hAnsi="Verdana"/>
                <w:noProof/>
                <w:sz w:val="20"/>
                <w:szCs w:val="20"/>
              </w:rPr>
            </w:pPr>
          </w:p>
        </w:tc>
        <w:tc>
          <w:tcPr>
            <w:tcW w:w="2835" w:type="dxa"/>
            <w:shd w:val="clear" w:color="auto" w:fill="99CCFF"/>
          </w:tcPr>
          <w:p>
            <w:pPr>
              <w:jc w:val="center"/>
              <w:rPr>
                <w:rFonts w:ascii="Verdana" w:hAnsi="Verdana"/>
                <w:b/>
                <w:noProof/>
                <w:sz w:val="18"/>
                <w:szCs w:val="18"/>
              </w:rPr>
            </w:pPr>
            <w:r>
              <w:rPr>
                <w:rFonts w:ascii="Verdana" w:hAnsi="Verdana"/>
                <w:b/>
                <w:noProof/>
                <w:sz w:val="18"/>
                <w:szCs w:val="18"/>
              </w:rPr>
              <w:t>Local de reprodução</w:t>
            </w:r>
          </w:p>
        </w:tc>
        <w:tc>
          <w:tcPr>
            <w:tcW w:w="5391" w:type="dxa"/>
            <w:shd w:val="clear" w:color="auto" w:fill="99CCFF"/>
          </w:tcPr>
          <w:p>
            <w:pPr>
              <w:jc w:val="center"/>
              <w:rPr>
                <w:rFonts w:ascii="Verdana" w:hAnsi="Verdana"/>
                <w:b/>
                <w:noProof/>
                <w:sz w:val="18"/>
                <w:szCs w:val="18"/>
              </w:rPr>
            </w:pPr>
            <w:r>
              <w:rPr>
                <w:rFonts w:ascii="Verdana" w:hAnsi="Verdana"/>
                <w:b/>
                <w:noProof/>
                <w:sz w:val="18"/>
                <w:szCs w:val="18"/>
              </w:rPr>
              <w:t>Área de repouso</w:t>
            </w:r>
          </w:p>
          <w:p>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Verdana" w:hAnsi="Verdana"/>
                <w:noProof/>
                <w:sz w:val="18"/>
                <w:szCs w:val="18"/>
                <w:lang w:val="en-GB"/>
              </w:rPr>
            </w:pPr>
          </w:p>
        </w:tc>
      </w:tr>
      <w:tr>
        <w:tc>
          <w:tcPr>
            <w:tcW w:w="1204" w:type="dxa"/>
            <w:shd w:val="clear" w:color="auto" w:fill="FFCC99"/>
          </w:tcPr>
          <w:p>
            <w:pPr>
              <w:rPr>
                <w:rFonts w:ascii="Verdana" w:hAnsi="Verdana"/>
                <w:b/>
                <w:i/>
                <w:noProof/>
                <w:sz w:val="18"/>
                <w:szCs w:val="20"/>
              </w:rPr>
            </w:pPr>
            <w:r>
              <w:rPr>
                <w:rFonts w:ascii="Verdana" w:hAnsi="Verdana"/>
                <w:b/>
                <w:i/>
                <w:noProof/>
                <w:sz w:val="18"/>
                <w:szCs w:val="20"/>
              </w:rPr>
              <w:t>Triturus cristatus</w:t>
            </w:r>
          </w:p>
          <w:p>
            <w:pPr>
              <w:rPr>
                <w:rFonts w:ascii="Verdana" w:hAnsi="Verdana"/>
                <w:noProof/>
                <w:sz w:val="18"/>
                <w:szCs w:val="20"/>
              </w:rPr>
            </w:pPr>
            <w:r>
              <w:rPr>
                <w:rFonts w:ascii="Verdana" w:hAnsi="Verdana"/>
                <w:noProof/>
                <w:sz w:val="18"/>
                <w:szCs w:val="20"/>
              </w:rPr>
              <w:t>(tritão-de-crista)</w:t>
            </w:r>
          </w:p>
          <w:p>
            <w:pPr>
              <w:rPr>
                <w:rFonts w:ascii="Verdana" w:hAnsi="Verdana"/>
                <w:i/>
                <w:noProof/>
                <w:sz w:val="18"/>
                <w:szCs w:val="20"/>
              </w:rPr>
            </w:pPr>
          </w:p>
        </w:tc>
        <w:tc>
          <w:tcPr>
            <w:tcW w:w="2835" w:type="dxa"/>
          </w:tcPr>
          <w:p>
            <w:pPr>
              <w:rPr>
                <w:rFonts w:ascii="Verdana" w:hAnsi="Verdana"/>
                <w:noProof/>
                <w:sz w:val="18"/>
                <w:szCs w:val="18"/>
              </w:rPr>
            </w:pPr>
            <w:r>
              <w:rPr>
                <w:rFonts w:ascii="Verdana" w:hAnsi="Verdana"/>
                <w:noProof/>
                <w:sz w:val="18"/>
                <w:szCs w:val="18"/>
              </w:rPr>
              <w:t>A lagoa utilizada para o acasalamento tem territórios individuais para os machos, onde ocorre a exibição nupcial e o acasalamento. Os ovos são postos individualmente em plantas emergentes e amadurecem ao longo de um período de 12 a 18 dias. As jovens larvas emergem e nadam livremente.</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Por conseguinte, a lagoa é o local de reprodução.</w:t>
            </w:r>
          </w:p>
          <w:p>
            <w:pPr>
              <w:rPr>
                <w:rFonts w:ascii="Verdana" w:hAnsi="Verdana"/>
                <w:noProof/>
                <w:sz w:val="18"/>
                <w:szCs w:val="18"/>
              </w:rPr>
            </w:pPr>
          </w:p>
        </w:tc>
        <w:tc>
          <w:tcPr>
            <w:tcW w:w="5391" w:type="dxa"/>
          </w:tcPr>
          <w:p>
            <w:pPr>
              <w:jc w:val="both"/>
              <w:rPr>
                <w:rFonts w:ascii="Verdana" w:hAnsi="Verdana"/>
                <w:noProof/>
                <w:sz w:val="18"/>
                <w:szCs w:val="18"/>
              </w:rPr>
            </w:pPr>
            <w:r>
              <w:rPr>
                <w:rFonts w:ascii="Verdana" w:hAnsi="Verdana"/>
                <w:noProof/>
                <w:sz w:val="18"/>
                <w:szCs w:val="18"/>
              </w:rPr>
              <w:t xml:space="preserve">Durante a fase terrestre da sua vida, o </w:t>
            </w:r>
            <w:r>
              <w:rPr>
                <w:rFonts w:ascii="Verdana" w:hAnsi="Verdana"/>
                <w:i/>
                <w:noProof/>
                <w:sz w:val="18"/>
                <w:szCs w:val="18"/>
              </w:rPr>
              <w:t>T. cristatus</w:t>
            </w:r>
            <w:r>
              <w:rPr>
                <w:rFonts w:ascii="Verdana" w:hAnsi="Verdana"/>
                <w:noProof/>
                <w:sz w:val="18"/>
                <w:szCs w:val="18"/>
              </w:rPr>
              <w:t xml:space="preserve"> recorre a refúgios, como pedras, poleiros nas árvores e troncos, para se esconder durante o dia. Nos períodos de hibernação (nas regiões frias) ou nos períodos de dormência de verão (nas regiões quentes) são utilizados refúgios semelhantes. Durante a fase aquática da sua vida, os adultos e as larvas utilizam a vegetação submersa e emergente como local de refúgio.</w:t>
            </w:r>
          </w:p>
          <w:p>
            <w:pPr>
              <w:rPr>
                <w:rFonts w:ascii="Verdana" w:hAnsi="Verdana"/>
                <w:noProof/>
                <w:sz w:val="18"/>
                <w:szCs w:val="18"/>
              </w:rPr>
            </w:pPr>
          </w:p>
          <w:p>
            <w:pPr>
              <w:jc w:val="both"/>
              <w:rPr>
                <w:rFonts w:ascii="Verdana" w:hAnsi="Verdana"/>
                <w:noProof/>
                <w:sz w:val="18"/>
                <w:szCs w:val="18"/>
              </w:rPr>
            </w:pPr>
            <w:r>
              <w:rPr>
                <w:rFonts w:ascii="Verdana" w:hAnsi="Verdana"/>
                <w:noProof/>
                <w:sz w:val="18"/>
                <w:szCs w:val="18"/>
              </w:rPr>
              <w:t xml:space="preserve">O </w:t>
            </w:r>
            <w:r>
              <w:rPr>
                <w:rFonts w:ascii="Verdana" w:hAnsi="Verdana"/>
                <w:i/>
                <w:noProof/>
                <w:sz w:val="18"/>
                <w:szCs w:val="18"/>
              </w:rPr>
              <w:t>T. cristatus</w:t>
            </w:r>
            <w:r>
              <w:rPr>
                <w:rFonts w:ascii="Verdana" w:hAnsi="Verdana"/>
                <w:noProof/>
                <w:sz w:val="18"/>
                <w:szCs w:val="18"/>
              </w:rPr>
              <w:t xml:space="preserve"> dispersa-se para charcos adjacentes. As populações saudáveis de </w:t>
            </w:r>
            <w:r>
              <w:rPr>
                <w:rFonts w:ascii="Verdana" w:hAnsi="Verdana"/>
                <w:i/>
                <w:noProof/>
                <w:sz w:val="18"/>
                <w:szCs w:val="18"/>
              </w:rPr>
              <w:t>T. cristatus</w:t>
            </w:r>
            <w:r>
              <w:rPr>
                <w:rFonts w:ascii="Verdana" w:hAnsi="Verdana"/>
                <w:noProof/>
                <w:sz w:val="18"/>
                <w:szCs w:val="18"/>
              </w:rPr>
              <w:t xml:space="preserve"> utilizam uma série de charcos e deslocam-se entre eles, dispersando-se por um </w:t>
            </w:r>
            <w:r>
              <w:rPr>
                <w:rFonts w:ascii="Verdana" w:hAnsi="Verdana"/>
                <w:i/>
                <w:iCs/>
                <w:noProof/>
                <w:sz w:val="18"/>
                <w:szCs w:val="18"/>
              </w:rPr>
              <w:t>habitat</w:t>
            </w:r>
            <w:r>
              <w:rPr>
                <w:rFonts w:ascii="Verdana" w:hAnsi="Verdana"/>
                <w:noProof/>
                <w:sz w:val="18"/>
                <w:szCs w:val="18"/>
              </w:rPr>
              <w:t xml:space="preserve"> terrestre interligado adequado. Os espécimes podem afastar-se até cerca de 1 km do charco onde nasceram.</w:t>
            </w:r>
          </w:p>
          <w:p>
            <w:pPr>
              <w:rPr>
                <w:rFonts w:ascii="Verdana" w:hAnsi="Verdana"/>
                <w:noProof/>
                <w:sz w:val="18"/>
                <w:szCs w:val="18"/>
              </w:rPr>
            </w:pPr>
          </w:p>
          <w:p>
            <w:pPr>
              <w:jc w:val="both"/>
              <w:rPr>
                <w:rFonts w:ascii="Verdana" w:hAnsi="Verdana"/>
                <w:noProof/>
                <w:sz w:val="18"/>
                <w:szCs w:val="18"/>
              </w:rPr>
            </w:pPr>
            <w:r>
              <w:rPr>
                <w:rFonts w:ascii="Verdana" w:hAnsi="Verdana"/>
                <w:noProof/>
                <w:sz w:val="18"/>
                <w:szCs w:val="18"/>
              </w:rPr>
              <w:t xml:space="preserve">Por conseguinte, as áreas de repouso do </w:t>
            </w:r>
            <w:r>
              <w:rPr>
                <w:rFonts w:ascii="Verdana" w:hAnsi="Verdana"/>
                <w:i/>
                <w:noProof/>
                <w:sz w:val="18"/>
                <w:szCs w:val="18"/>
              </w:rPr>
              <w:t>T. cristatus</w:t>
            </w:r>
            <w:r>
              <w:rPr>
                <w:rFonts w:ascii="Verdana" w:hAnsi="Verdana"/>
                <w:noProof/>
                <w:sz w:val="18"/>
                <w:szCs w:val="18"/>
              </w:rPr>
              <w:t xml:space="preserve"> são as lagoas que habitam e o </w:t>
            </w:r>
            <w:r>
              <w:rPr>
                <w:rFonts w:ascii="Verdana" w:hAnsi="Verdana"/>
                <w:i/>
                <w:iCs/>
                <w:noProof/>
                <w:sz w:val="18"/>
                <w:szCs w:val="18"/>
              </w:rPr>
              <w:t>habitat</w:t>
            </w:r>
            <w:r>
              <w:rPr>
                <w:rFonts w:ascii="Verdana" w:hAnsi="Verdana"/>
                <w:noProof/>
                <w:sz w:val="18"/>
                <w:szCs w:val="18"/>
              </w:rPr>
              <w:t xml:space="preserve"> terrestre adjacente que os sustenta durante a parte terrestre do seu ciclo de vida.</w:t>
            </w:r>
          </w:p>
          <w:p>
            <w:pPr>
              <w:rPr>
                <w:rFonts w:ascii="Verdana" w:hAnsi="Verdana"/>
                <w:noProof/>
                <w:sz w:val="18"/>
                <w:szCs w:val="18"/>
              </w:rPr>
            </w:pPr>
          </w:p>
        </w:tc>
      </w:tr>
      <w:tr>
        <w:tc>
          <w:tcPr>
            <w:tcW w:w="1204" w:type="dxa"/>
            <w:shd w:val="clear" w:color="auto" w:fill="FFCC99"/>
          </w:tcPr>
          <w:p>
            <w:pPr>
              <w:rPr>
                <w:rFonts w:ascii="Verdana" w:hAnsi="Verdana"/>
                <w:b/>
                <w:i/>
                <w:noProof/>
                <w:sz w:val="18"/>
                <w:szCs w:val="20"/>
              </w:rPr>
            </w:pPr>
            <w:r>
              <w:rPr>
                <w:rFonts w:ascii="Verdana" w:hAnsi="Verdana"/>
                <w:b/>
                <w:i/>
                <w:noProof/>
                <w:sz w:val="18"/>
                <w:szCs w:val="20"/>
              </w:rPr>
              <w:t>Nyctalus</w:t>
            </w:r>
          </w:p>
          <w:p>
            <w:pPr>
              <w:rPr>
                <w:rFonts w:ascii="Verdana" w:hAnsi="Verdana"/>
                <w:b/>
                <w:i/>
                <w:noProof/>
                <w:sz w:val="18"/>
                <w:szCs w:val="20"/>
              </w:rPr>
            </w:pPr>
            <w:r>
              <w:rPr>
                <w:rFonts w:ascii="Verdana" w:hAnsi="Verdana"/>
                <w:b/>
                <w:i/>
                <w:noProof/>
                <w:sz w:val="18"/>
                <w:szCs w:val="20"/>
              </w:rPr>
              <w:t>leisleri</w:t>
            </w:r>
          </w:p>
          <w:p>
            <w:pPr>
              <w:rPr>
                <w:rFonts w:ascii="Verdana" w:hAnsi="Verdana"/>
                <w:noProof/>
                <w:sz w:val="18"/>
                <w:szCs w:val="20"/>
              </w:rPr>
            </w:pPr>
            <w:r>
              <w:rPr>
                <w:rFonts w:ascii="Verdana" w:hAnsi="Verdana"/>
                <w:noProof/>
                <w:sz w:val="18"/>
                <w:szCs w:val="20"/>
              </w:rPr>
              <w:t>(morcego-arborícola-pequeno)</w:t>
            </w:r>
          </w:p>
        </w:tc>
        <w:tc>
          <w:tcPr>
            <w:tcW w:w="2835" w:type="dxa"/>
          </w:tcPr>
          <w:p>
            <w:pPr>
              <w:pStyle w:val="BodyText2"/>
              <w:rPr>
                <w:rFonts w:ascii="Verdana" w:hAnsi="Verdana"/>
                <w:b w:val="0"/>
                <w:noProof/>
                <w:sz w:val="18"/>
                <w:szCs w:val="18"/>
              </w:rPr>
            </w:pPr>
            <w:r>
              <w:rPr>
                <w:rFonts w:ascii="Verdana" w:hAnsi="Verdana"/>
                <w:b w:val="0"/>
                <w:noProof/>
                <w:sz w:val="18"/>
                <w:szCs w:val="18"/>
              </w:rPr>
              <w:t>Durante o período de reprodução, os machos vivem separadamente das fêmeas. Os machos estabelecem territórios de acasalamento em buracos nas árvores durante o outono. O acasalamento ocorre no final do outono e as fêmeas retardam a fertilização até à primavera. As crias nascem num poleiro maternidade e dependem da mãe até ao desmame no verão.</w:t>
            </w:r>
          </w:p>
          <w:p>
            <w:pPr>
              <w:pStyle w:val="BodyText2"/>
              <w:rPr>
                <w:rFonts w:ascii="Verdana" w:hAnsi="Verdana"/>
                <w:b w:val="0"/>
                <w:noProof/>
                <w:sz w:val="18"/>
                <w:szCs w:val="18"/>
              </w:rPr>
            </w:pPr>
          </w:p>
          <w:p>
            <w:pPr>
              <w:pStyle w:val="BodyText2"/>
              <w:rPr>
                <w:rFonts w:ascii="Verdana" w:hAnsi="Verdana"/>
                <w:b w:val="0"/>
                <w:noProof/>
                <w:sz w:val="18"/>
                <w:szCs w:val="18"/>
              </w:rPr>
            </w:pPr>
            <w:r>
              <w:rPr>
                <w:rFonts w:ascii="Verdana" w:hAnsi="Verdana"/>
                <w:b w:val="0"/>
                <w:noProof/>
                <w:sz w:val="18"/>
                <w:szCs w:val="18"/>
              </w:rPr>
              <w:t>Os territórios de reprodução e os poleiros maternidade são, por conseguinte, locais de reprodução. Esta aplicação estrita da definição omite os poleiros de hibernação de inverno, que são abrangidos pelo conceito de «áreas de repouso» do artigo 12.º, n.º 1, alínea d).</w:t>
            </w:r>
          </w:p>
          <w:p>
            <w:pPr>
              <w:rPr>
                <w:rFonts w:ascii="Verdana" w:hAnsi="Verdana"/>
                <w:noProof/>
                <w:sz w:val="18"/>
                <w:szCs w:val="18"/>
              </w:rPr>
            </w:pPr>
          </w:p>
        </w:tc>
        <w:tc>
          <w:tcPr>
            <w:tcW w:w="5391" w:type="dxa"/>
          </w:tcPr>
          <w:p>
            <w:pPr>
              <w:tabs>
                <w:tab w:val="num" w:pos="1008"/>
              </w:tabs>
              <w:spacing w:before="240" w:after="60"/>
              <w:ind w:left="1008" w:hanging="1008"/>
              <w:outlineLvl w:val="4"/>
              <w:rPr>
                <w:rFonts w:ascii="Verdana" w:hAnsi="Verdana"/>
                <w:noProof/>
                <w:sz w:val="18"/>
                <w:szCs w:val="18"/>
                <w:u w:val="single"/>
              </w:rPr>
            </w:pPr>
            <w:r>
              <w:rPr>
                <w:rFonts w:ascii="Verdana" w:hAnsi="Verdana"/>
                <w:noProof/>
                <w:sz w:val="18"/>
                <w:szCs w:val="18"/>
                <w:u w:val="single"/>
              </w:rPr>
              <w:t>Para hibernação</w:t>
            </w:r>
          </w:p>
          <w:p>
            <w:pPr>
              <w:jc w:val="both"/>
              <w:rPr>
                <w:rFonts w:ascii="Verdana" w:hAnsi="Verdana"/>
                <w:noProof/>
                <w:sz w:val="18"/>
                <w:szCs w:val="18"/>
              </w:rPr>
            </w:pPr>
            <w:r>
              <w:rPr>
                <w:rFonts w:ascii="Verdana" w:hAnsi="Verdana"/>
                <w:noProof/>
                <w:sz w:val="18"/>
                <w:szCs w:val="18"/>
              </w:rPr>
              <w:t xml:space="preserve">O </w:t>
            </w:r>
            <w:r>
              <w:rPr>
                <w:rFonts w:ascii="Verdana" w:hAnsi="Verdana"/>
                <w:i/>
                <w:noProof/>
                <w:sz w:val="18"/>
                <w:szCs w:val="18"/>
              </w:rPr>
              <w:t>N. leisleri</w:t>
            </w:r>
            <w:r>
              <w:rPr>
                <w:rFonts w:ascii="Verdana" w:hAnsi="Verdana"/>
                <w:noProof/>
                <w:sz w:val="18"/>
                <w:szCs w:val="18"/>
              </w:rPr>
              <w:t xml:space="preserve"> é principalmente um morcego arborícola que hiberna durante o inverno. No inverno, empoleiram-se em buracos nas árvores, construções e, ocasionalmente, grutas e túneis que proporcionam um microclima adequado. Também utilizam caixas poleiro artificiais. Foram encontrados poleiros em árvores de parques e zonas urbanas, bem como em florestas caducifólias e de coníferas. Estes poleiros têm de estar numa posição relativamente tranquila, na medida em que os morcegos despertados do seu torpor gastam reservas energéticas valiosas que não conseguem repor no inverno.</w:t>
            </w:r>
          </w:p>
          <w:p>
            <w:pPr>
              <w:rPr>
                <w:rFonts w:ascii="Verdana" w:hAnsi="Verdana"/>
                <w:noProof/>
                <w:sz w:val="18"/>
                <w:szCs w:val="18"/>
              </w:rPr>
            </w:pPr>
          </w:p>
          <w:p>
            <w:pPr>
              <w:jc w:val="both"/>
              <w:rPr>
                <w:rFonts w:ascii="Verdana" w:hAnsi="Verdana"/>
                <w:noProof/>
                <w:sz w:val="18"/>
                <w:szCs w:val="18"/>
              </w:rPr>
            </w:pPr>
            <w:r>
              <w:rPr>
                <w:rFonts w:ascii="Verdana" w:hAnsi="Verdana"/>
                <w:noProof/>
                <w:sz w:val="18"/>
                <w:szCs w:val="18"/>
              </w:rPr>
              <w:t>Os poleiros diurnos durante o período ativo (na primavera) também são essenciais para todas as espécies de morcegos, exigindo um local relativamente tranquilo durante o dia, também nas fendas e aberturas de árvores velhas e construções. Dependendo da sua localização, uma colónia pode utilizar alternadamente vários poleiros de verão, sendo os maiores utilizados como poleiros maternidade, ao passo que os machos se tornam solitários ou vivem em pequenos grupos.</w:t>
            </w:r>
          </w:p>
          <w:p>
            <w:pPr>
              <w:rPr>
                <w:rFonts w:ascii="Verdana" w:hAnsi="Verdana"/>
                <w:noProof/>
                <w:sz w:val="18"/>
                <w:szCs w:val="18"/>
              </w:rPr>
            </w:pPr>
          </w:p>
          <w:p>
            <w:pPr>
              <w:tabs>
                <w:tab w:val="num" w:pos="1008"/>
              </w:tabs>
              <w:spacing w:before="240" w:after="60"/>
              <w:ind w:left="1008" w:hanging="1008"/>
              <w:outlineLvl w:val="4"/>
              <w:rPr>
                <w:rFonts w:ascii="Verdana" w:hAnsi="Verdana"/>
                <w:noProof/>
                <w:sz w:val="18"/>
                <w:szCs w:val="18"/>
                <w:u w:val="single"/>
              </w:rPr>
            </w:pPr>
            <w:r>
              <w:rPr>
                <w:rFonts w:ascii="Verdana" w:hAnsi="Verdana"/>
                <w:noProof/>
                <w:sz w:val="18"/>
                <w:szCs w:val="18"/>
                <w:u w:val="single"/>
              </w:rPr>
              <w:t>Durante a migração</w:t>
            </w:r>
          </w:p>
          <w:p>
            <w:pPr>
              <w:jc w:val="both"/>
              <w:rPr>
                <w:rFonts w:ascii="Verdana" w:hAnsi="Verdana"/>
                <w:noProof/>
                <w:sz w:val="18"/>
                <w:szCs w:val="18"/>
              </w:rPr>
            </w:pPr>
            <w:r>
              <w:rPr>
                <w:rFonts w:ascii="Verdana" w:hAnsi="Verdana"/>
                <w:noProof/>
                <w:sz w:val="18"/>
                <w:szCs w:val="18"/>
              </w:rPr>
              <w:t xml:space="preserve">Sabe-se que o </w:t>
            </w:r>
            <w:r>
              <w:rPr>
                <w:rFonts w:ascii="Verdana" w:hAnsi="Verdana"/>
                <w:i/>
                <w:noProof/>
                <w:sz w:val="18"/>
                <w:szCs w:val="18"/>
              </w:rPr>
              <w:t>N. leisleri</w:t>
            </w:r>
            <w:r>
              <w:rPr>
                <w:rFonts w:ascii="Verdana" w:hAnsi="Verdana"/>
                <w:noProof/>
                <w:sz w:val="18"/>
                <w:szCs w:val="18"/>
              </w:rPr>
              <w:t xml:space="preserve"> migra em algumas partes da sua área de repartição na Europa: espécimes anilhados na Alemanha foram encontrados a passar o inverno em França e na Suíça (relatório nacional de 2003</w:t>
            </w:r>
            <w:r>
              <w:rPr>
                <w:rFonts w:ascii="Verdana" w:hAnsi="Verdana"/>
                <w:noProof/>
                <w:sz w:val="18"/>
                <w:szCs w:val="18"/>
                <w:vertAlign w:val="superscript"/>
              </w:rPr>
              <w:footnoteReference w:id="78"/>
            </w:r>
            <w:r>
              <w:rPr>
                <w:rFonts w:ascii="Verdana" w:hAnsi="Verdana"/>
                <w:noProof/>
                <w:sz w:val="18"/>
                <w:szCs w:val="18"/>
              </w:rPr>
              <w:t xml:space="preserve">). Desconhecem-se os padrões de migração exatos. Porém, outras populações parecem ser mais sedentárias, com poleiros maternidade e de inverno na mesma localização. Os poleiros utilizados pelo </w:t>
            </w:r>
            <w:r>
              <w:rPr>
                <w:rFonts w:ascii="Verdana" w:hAnsi="Verdana"/>
                <w:i/>
                <w:noProof/>
                <w:sz w:val="18"/>
                <w:szCs w:val="18"/>
              </w:rPr>
              <w:t>N. leisleri</w:t>
            </w:r>
            <w:r>
              <w:rPr>
                <w:rFonts w:ascii="Verdana" w:hAnsi="Verdana"/>
                <w:noProof/>
                <w:sz w:val="18"/>
                <w:szCs w:val="18"/>
              </w:rPr>
              <w:t xml:space="preserve"> para repousar durante o dia e para hibernar constituem áreas de repouso.</w:t>
            </w:r>
          </w:p>
          <w:p>
            <w:pPr>
              <w:rPr>
                <w:rFonts w:ascii="Verdana" w:hAnsi="Verdana"/>
                <w:noProof/>
                <w:sz w:val="18"/>
                <w:szCs w:val="18"/>
              </w:rPr>
            </w:pPr>
          </w:p>
        </w:tc>
      </w:tr>
    </w:tbl>
    <w:p>
      <w:pPr>
        <w:rPr>
          <w:noProof/>
        </w:rPr>
      </w:pPr>
    </w:p>
    <w:p>
      <w:pPr>
        <w:rPr>
          <w:noProof/>
        </w:rPr>
      </w:pPr>
    </w:p>
    <w:p>
      <w:pPr>
        <w:rPr>
          <w:noProof/>
        </w:rPr>
      </w:pPr>
    </w:p>
    <w:p>
      <w:pPr>
        <w:rPr>
          <w:noProof/>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3973"/>
      </w:tblGrid>
      <w:tr>
        <w:tc>
          <w:tcPr>
            <w:tcW w:w="1204" w:type="dxa"/>
            <w:tcBorders>
              <w:bottom w:val="single" w:sz="4" w:space="0" w:color="auto"/>
            </w:tcBorders>
            <w:shd w:val="clear" w:color="auto" w:fill="99CCFF"/>
          </w:tcPr>
          <w:p>
            <w:pPr>
              <w:rPr>
                <w:rFonts w:ascii="Verdana" w:hAnsi="Verdana"/>
                <w:noProof/>
                <w:sz w:val="20"/>
                <w:szCs w:val="20"/>
              </w:rPr>
            </w:pPr>
          </w:p>
          <w:p>
            <w:pPr>
              <w:rPr>
                <w:rFonts w:ascii="Verdana" w:hAnsi="Verdana"/>
                <w:noProof/>
                <w:sz w:val="20"/>
                <w:szCs w:val="20"/>
              </w:rPr>
            </w:pPr>
          </w:p>
        </w:tc>
        <w:tc>
          <w:tcPr>
            <w:tcW w:w="4253" w:type="dxa"/>
            <w:shd w:val="clear" w:color="auto" w:fill="99CCFF"/>
          </w:tcPr>
          <w:p>
            <w:pPr>
              <w:jc w:val="center"/>
              <w:rPr>
                <w:rFonts w:ascii="Verdana" w:hAnsi="Verdana"/>
                <w:b/>
                <w:noProof/>
                <w:sz w:val="18"/>
                <w:szCs w:val="18"/>
              </w:rPr>
            </w:pPr>
            <w:r>
              <w:rPr>
                <w:rFonts w:ascii="Verdana" w:hAnsi="Verdana"/>
                <w:b/>
                <w:noProof/>
                <w:sz w:val="18"/>
                <w:szCs w:val="18"/>
              </w:rPr>
              <w:t>Local de reprodução</w:t>
            </w:r>
          </w:p>
        </w:tc>
        <w:tc>
          <w:tcPr>
            <w:tcW w:w="3973" w:type="dxa"/>
            <w:shd w:val="clear" w:color="auto" w:fill="99CCFF"/>
          </w:tcPr>
          <w:p>
            <w:pPr>
              <w:jc w:val="center"/>
              <w:rPr>
                <w:rFonts w:ascii="Verdana" w:hAnsi="Verdana"/>
                <w:b/>
                <w:noProof/>
                <w:sz w:val="18"/>
                <w:szCs w:val="18"/>
              </w:rPr>
            </w:pPr>
            <w:r>
              <w:rPr>
                <w:rFonts w:ascii="Verdana" w:hAnsi="Verdana"/>
                <w:b/>
                <w:noProof/>
                <w:sz w:val="18"/>
                <w:szCs w:val="18"/>
              </w:rPr>
              <w:t>Área de repouso</w:t>
            </w:r>
          </w:p>
          <w:p>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Verdana" w:hAnsi="Verdana"/>
                <w:noProof/>
                <w:sz w:val="18"/>
                <w:szCs w:val="18"/>
                <w:lang w:val="en-GB"/>
              </w:rPr>
            </w:pPr>
          </w:p>
        </w:tc>
      </w:tr>
      <w:tr>
        <w:tc>
          <w:tcPr>
            <w:tcW w:w="1204" w:type="dxa"/>
          </w:tcPr>
          <w:p>
            <w:pPr>
              <w:rPr>
                <w:rFonts w:ascii="Verdana" w:hAnsi="Verdana"/>
                <w:b/>
                <w:i/>
                <w:noProof/>
                <w:sz w:val="18"/>
                <w:szCs w:val="20"/>
              </w:rPr>
            </w:pPr>
            <w:r>
              <w:rPr>
                <w:rFonts w:ascii="Verdana" w:hAnsi="Verdana"/>
                <w:b/>
                <w:i/>
                <w:noProof/>
                <w:sz w:val="18"/>
                <w:szCs w:val="20"/>
              </w:rPr>
              <w:t>Maculinea arion</w:t>
            </w:r>
          </w:p>
          <w:p>
            <w:pPr>
              <w:rPr>
                <w:rFonts w:ascii="Verdana" w:hAnsi="Verdana"/>
                <w:noProof/>
                <w:sz w:val="18"/>
                <w:szCs w:val="20"/>
              </w:rPr>
            </w:pPr>
            <w:r>
              <w:rPr>
                <w:rFonts w:ascii="Verdana" w:hAnsi="Verdana"/>
                <w:noProof/>
                <w:sz w:val="18"/>
                <w:szCs w:val="20"/>
              </w:rPr>
              <w:t>(borboleta-azul-do-tomilho)</w:t>
            </w:r>
          </w:p>
        </w:tc>
        <w:tc>
          <w:tcPr>
            <w:tcW w:w="4253" w:type="dxa"/>
          </w:tcPr>
          <w:p>
            <w:pPr>
              <w:jc w:val="both"/>
              <w:rPr>
                <w:rFonts w:ascii="Verdana" w:hAnsi="Verdana"/>
                <w:noProof/>
                <w:sz w:val="18"/>
                <w:szCs w:val="18"/>
              </w:rPr>
            </w:pPr>
            <w:r>
              <w:rPr>
                <w:rFonts w:ascii="Verdana" w:hAnsi="Verdana"/>
                <w:noProof/>
                <w:sz w:val="18"/>
                <w:szCs w:val="18"/>
              </w:rPr>
              <w:t xml:space="preserve">A </w:t>
            </w:r>
            <w:r>
              <w:rPr>
                <w:rFonts w:ascii="Verdana" w:hAnsi="Verdana"/>
                <w:i/>
                <w:noProof/>
                <w:sz w:val="18"/>
                <w:szCs w:val="18"/>
              </w:rPr>
              <w:t>M. arion</w:t>
            </w:r>
            <w:r>
              <w:rPr>
                <w:rFonts w:ascii="Verdana" w:hAnsi="Verdana"/>
                <w:noProof/>
                <w:sz w:val="18"/>
                <w:szCs w:val="18"/>
              </w:rPr>
              <w:t xml:space="preserve"> precisa de um local que contenha a planta de que se alimentam as suas larvas (espécies do género </w:t>
            </w:r>
            <w:r>
              <w:rPr>
                <w:rFonts w:ascii="Verdana" w:hAnsi="Verdana"/>
                <w:i/>
                <w:noProof/>
                <w:sz w:val="18"/>
                <w:szCs w:val="18"/>
              </w:rPr>
              <w:t>Thymus</w:t>
            </w:r>
            <w:r>
              <w:rPr>
                <w:rFonts w:ascii="Verdana" w:hAnsi="Verdana"/>
                <w:noProof/>
                <w:sz w:val="18"/>
                <w:szCs w:val="18"/>
              </w:rPr>
              <w:t xml:space="preserve">) e de um hospedeiro e fonte de alimento para as larvas (formigueiros de </w:t>
            </w:r>
            <w:r>
              <w:rPr>
                <w:rFonts w:ascii="Verdana" w:hAnsi="Verdana"/>
                <w:i/>
                <w:noProof/>
                <w:sz w:val="18"/>
                <w:szCs w:val="18"/>
              </w:rPr>
              <w:t>Myrmica</w:t>
            </w:r>
            <w:r>
              <w:rPr>
                <w:rFonts w:ascii="Verdana" w:hAnsi="Verdana"/>
                <w:noProof/>
                <w:sz w:val="18"/>
                <w:szCs w:val="18"/>
              </w:rPr>
              <w:t xml:space="preserve">) para completar o seu desenvolvimento. Os ovos são postos no botão de uma flor de </w:t>
            </w:r>
            <w:r>
              <w:rPr>
                <w:rFonts w:ascii="Verdana" w:hAnsi="Verdana"/>
                <w:i/>
                <w:noProof/>
                <w:sz w:val="18"/>
                <w:szCs w:val="18"/>
              </w:rPr>
              <w:t>Thymus</w:t>
            </w:r>
            <w:r>
              <w:rPr>
                <w:rFonts w:ascii="Verdana" w:hAnsi="Verdana"/>
                <w:noProof/>
                <w:sz w:val="18"/>
                <w:szCs w:val="18"/>
              </w:rPr>
              <w:t>, onde se alimentam e desenvolvem. A certa altura, a larva cai da planta e atrai uma formiga que a transporta para o formigueiro. A larva continua o seu desenvolvimento no formigueiro, alimentando-se de larvas de formiga. A transformação em pupa ocorre no formigueiro e os adultos surgem no início do verão.</w:t>
            </w:r>
          </w:p>
          <w:p>
            <w:pPr>
              <w:rPr>
                <w:rFonts w:ascii="Verdana" w:hAnsi="Verdana"/>
                <w:noProof/>
                <w:sz w:val="18"/>
                <w:szCs w:val="18"/>
              </w:rPr>
            </w:pPr>
          </w:p>
          <w:p>
            <w:pPr>
              <w:jc w:val="both"/>
              <w:rPr>
                <w:rFonts w:ascii="Verdana" w:hAnsi="Verdana"/>
                <w:noProof/>
                <w:sz w:val="18"/>
                <w:szCs w:val="18"/>
              </w:rPr>
            </w:pPr>
            <w:r>
              <w:rPr>
                <w:rFonts w:ascii="Verdana" w:hAnsi="Verdana"/>
                <w:noProof/>
                <w:sz w:val="18"/>
                <w:szCs w:val="18"/>
              </w:rPr>
              <w:t xml:space="preserve">O local de reprodução da </w:t>
            </w:r>
            <w:r>
              <w:rPr>
                <w:rFonts w:ascii="Verdana" w:hAnsi="Verdana"/>
                <w:i/>
                <w:noProof/>
                <w:sz w:val="18"/>
                <w:szCs w:val="18"/>
              </w:rPr>
              <w:t>M. arion</w:t>
            </w:r>
            <w:r>
              <w:rPr>
                <w:rFonts w:ascii="Verdana" w:hAnsi="Verdana"/>
                <w:noProof/>
                <w:sz w:val="18"/>
                <w:szCs w:val="18"/>
              </w:rPr>
              <w:t xml:space="preserve"> será um local com plantas do género </w:t>
            </w:r>
            <w:r>
              <w:rPr>
                <w:rFonts w:ascii="Verdana" w:hAnsi="Verdana"/>
                <w:i/>
                <w:noProof/>
                <w:sz w:val="18"/>
                <w:szCs w:val="18"/>
              </w:rPr>
              <w:t>Thymus</w:t>
            </w:r>
            <w:r>
              <w:rPr>
                <w:rFonts w:ascii="Verdana" w:hAnsi="Verdana"/>
                <w:noProof/>
                <w:sz w:val="18"/>
                <w:szCs w:val="18"/>
              </w:rPr>
              <w:t xml:space="preserve"> na proximidade do local de emergência dos adultos e do formigueiro de </w:t>
            </w:r>
            <w:r>
              <w:rPr>
                <w:rFonts w:ascii="Verdana" w:hAnsi="Verdana"/>
                <w:i/>
                <w:noProof/>
                <w:sz w:val="18"/>
                <w:szCs w:val="18"/>
              </w:rPr>
              <w:t>Myrmica</w:t>
            </w:r>
            <w:r>
              <w:rPr>
                <w:rFonts w:ascii="Verdana" w:hAnsi="Verdana"/>
                <w:noProof/>
                <w:sz w:val="18"/>
                <w:szCs w:val="18"/>
              </w:rPr>
              <w:t xml:space="preserve"> onde se desenvolvem as larvas e pupas.</w:t>
            </w:r>
          </w:p>
          <w:p>
            <w:pPr>
              <w:rPr>
                <w:rFonts w:ascii="Verdana" w:hAnsi="Verdana"/>
                <w:noProof/>
                <w:sz w:val="18"/>
                <w:szCs w:val="18"/>
              </w:rPr>
            </w:pPr>
          </w:p>
        </w:tc>
        <w:tc>
          <w:tcPr>
            <w:tcW w:w="3973" w:type="dxa"/>
          </w:tcPr>
          <w:p>
            <w:pPr>
              <w:jc w:val="both"/>
              <w:rPr>
                <w:rFonts w:ascii="Verdana" w:hAnsi="Verdana"/>
                <w:noProof/>
                <w:sz w:val="18"/>
                <w:szCs w:val="18"/>
              </w:rPr>
            </w:pPr>
            <w:r>
              <w:rPr>
                <w:rFonts w:ascii="Verdana" w:hAnsi="Verdana"/>
                <w:noProof/>
                <w:sz w:val="18"/>
                <w:szCs w:val="18"/>
              </w:rPr>
              <w:t>Esta espécie não tem áreas de repouso definidas para além das necessárias para o desenvolvimento das larvas e a sua transformação em pupas. Estas fases da vida são abrangidas pela definição de local de reprodução do lado esquerdo.</w:t>
            </w:r>
          </w:p>
          <w:p>
            <w:pPr>
              <w:rPr>
                <w:rFonts w:ascii="Verdana" w:hAnsi="Verdana"/>
                <w:noProof/>
                <w:sz w:val="18"/>
                <w:szCs w:val="18"/>
              </w:rPr>
            </w:pPr>
          </w:p>
        </w:tc>
      </w:tr>
      <w:tr>
        <w:tc>
          <w:tcPr>
            <w:tcW w:w="1204" w:type="dxa"/>
          </w:tcPr>
          <w:p>
            <w:pPr>
              <w:rPr>
                <w:rFonts w:ascii="Verdana" w:hAnsi="Verdana"/>
                <w:b/>
                <w:i/>
                <w:noProof/>
                <w:sz w:val="18"/>
                <w:szCs w:val="20"/>
              </w:rPr>
            </w:pPr>
            <w:r>
              <w:rPr>
                <w:rFonts w:ascii="Verdana" w:hAnsi="Verdana"/>
                <w:b/>
                <w:i/>
                <w:noProof/>
                <w:sz w:val="18"/>
                <w:szCs w:val="20"/>
              </w:rPr>
              <w:t>Osmoderma eremita</w:t>
            </w:r>
          </w:p>
          <w:p>
            <w:pPr>
              <w:rPr>
                <w:rFonts w:ascii="Verdana" w:hAnsi="Verdana"/>
                <w:noProof/>
                <w:sz w:val="18"/>
                <w:szCs w:val="20"/>
              </w:rPr>
            </w:pPr>
            <w:r>
              <w:rPr>
                <w:rFonts w:ascii="Verdana" w:hAnsi="Verdana"/>
                <w:noProof/>
                <w:sz w:val="18"/>
                <w:szCs w:val="20"/>
              </w:rPr>
              <w:t>(escaravelho-eremita)</w:t>
            </w:r>
          </w:p>
          <w:p>
            <w:pPr>
              <w:rPr>
                <w:rFonts w:ascii="Verdana" w:hAnsi="Verdana"/>
                <w:b/>
                <w:i/>
                <w:strike/>
                <w:noProof/>
                <w:sz w:val="18"/>
                <w:szCs w:val="20"/>
              </w:rPr>
            </w:pPr>
          </w:p>
        </w:tc>
        <w:tc>
          <w:tcPr>
            <w:tcW w:w="8226" w:type="dxa"/>
            <w:gridSpan w:val="2"/>
          </w:tcPr>
          <w:p>
            <w:pPr>
              <w:rPr>
                <w:rFonts w:ascii="Verdana" w:hAnsi="Verdana"/>
                <w:noProof/>
                <w:sz w:val="18"/>
                <w:szCs w:val="18"/>
              </w:rPr>
            </w:pPr>
            <w:r>
              <w:rPr>
                <w:rFonts w:ascii="Verdana" w:hAnsi="Verdana"/>
                <w:noProof/>
                <w:sz w:val="18"/>
                <w:szCs w:val="18"/>
              </w:rPr>
              <w:t xml:space="preserve">Para o </w:t>
            </w:r>
            <w:r>
              <w:rPr>
                <w:rFonts w:ascii="Verdana" w:hAnsi="Verdana"/>
                <w:i/>
                <w:noProof/>
                <w:sz w:val="18"/>
                <w:szCs w:val="18"/>
              </w:rPr>
              <w:t>O. eremita</w:t>
            </w:r>
            <w:r>
              <w:rPr>
                <w:rFonts w:ascii="Verdana" w:hAnsi="Verdana"/>
                <w:noProof/>
                <w:sz w:val="18"/>
                <w:szCs w:val="18"/>
              </w:rPr>
              <w:t>, a área de repouso e o local de reprodução são, na verdade, sinónimos.</w:t>
            </w:r>
          </w:p>
          <w:p>
            <w:pPr>
              <w:rPr>
                <w:rFonts w:ascii="Verdana" w:hAnsi="Verdana"/>
                <w:noProof/>
                <w:sz w:val="18"/>
                <w:szCs w:val="18"/>
              </w:rPr>
            </w:pPr>
          </w:p>
          <w:p>
            <w:pPr>
              <w:jc w:val="both"/>
              <w:rPr>
                <w:rFonts w:ascii="Verdana" w:hAnsi="Verdana"/>
                <w:noProof/>
                <w:sz w:val="18"/>
                <w:szCs w:val="18"/>
              </w:rPr>
            </w:pPr>
            <w:r>
              <w:rPr>
                <w:rFonts w:ascii="Verdana" w:hAnsi="Verdana"/>
                <w:noProof/>
                <w:sz w:val="18"/>
                <w:szCs w:val="18"/>
              </w:rPr>
              <w:t xml:space="preserve">Esta espécie saproxílica vive a maioria da sua vida nas cavidades repletas de podridão de árvores de folhas caducas adultas, normalmente de espécies do género </w:t>
            </w:r>
            <w:r>
              <w:rPr>
                <w:rFonts w:ascii="Verdana" w:hAnsi="Verdana"/>
                <w:i/>
                <w:noProof/>
                <w:sz w:val="18"/>
                <w:szCs w:val="18"/>
              </w:rPr>
              <w:t>Quercus</w:t>
            </w:r>
            <w:r>
              <w:rPr>
                <w:rFonts w:ascii="Verdana" w:hAnsi="Verdana"/>
                <w:noProof/>
                <w:sz w:val="18"/>
                <w:szCs w:val="18"/>
              </w:rPr>
              <w:t>. Uma grande parte dos espécimes não sai da árvore onde nasceu. O acasalamento ocorre dentro do substrato, e os ovos são depositados numa zona profunda desse substrato. O desenvolvimento do ovo para escaravelho demora vários anos. As pupas desenvolvem</w:t>
            </w:r>
            <w:r>
              <w:rPr>
                <w:rFonts w:ascii="Verdana" w:hAnsi="Verdana"/>
                <w:noProof/>
                <w:sz w:val="18"/>
                <w:szCs w:val="18"/>
              </w:rPr>
              <w:noBreakHyphen/>
              <w:t>se no outono; os adultos emergem no final da primavera ou no início do verão.</w:t>
            </w:r>
          </w:p>
          <w:p>
            <w:pPr>
              <w:rPr>
                <w:rFonts w:ascii="Verdana" w:hAnsi="Verdana"/>
                <w:noProof/>
                <w:sz w:val="18"/>
                <w:szCs w:val="18"/>
              </w:rPr>
            </w:pPr>
          </w:p>
          <w:p>
            <w:pPr>
              <w:jc w:val="both"/>
              <w:rPr>
                <w:rFonts w:ascii="Verdana" w:hAnsi="Verdana"/>
                <w:noProof/>
                <w:sz w:val="18"/>
                <w:szCs w:val="18"/>
              </w:rPr>
            </w:pPr>
            <w:r>
              <w:rPr>
                <w:rFonts w:ascii="Verdana" w:hAnsi="Verdana"/>
                <w:noProof/>
                <w:sz w:val="18"/>
                <w:szCs w:val="18"/>
              </w:rPr>
              <w:t xml:space="preserve">Uma série de árvores de folhas caducas adultas e substancialmente ocas, normalmente de espécies do género </w:t>
            </w:r>
            <w:r>
              <w:rPr>
                <w:rFonts w:ascii="Verdana" w:hAnsi="Verdana"/>
                <w:i/>
                <w:noProof/>
                <w:sz w:val="18"/>
                <w:szCs w:val="18"/>
              </w:rPr>
              <w:t>Quercus</w:t>
            </w:r>
            <w:r>
              <w:rPr>
                <w:rFonts w:ascii="Verdana" w:hAnsi="Verdana"/>
                <w:noProof/>
                <w:sz w:val="18"/>
                <w:szCs w:val="18"/>
              </w:rPr>
              <w:t xml:space="preserve">, com podridão interna, utilizadas pelo </w:t>
            </w:r>
            <w:r>
              <w:rPr>
                <w:rFonts w:ascii="Verdana" w:hAnsi="Verdana"/>
                <w:i/>
                <w:noProof/>
                <w:sz w:val="18"/>
                <w:szCs w:val="18"/>
              </w:rPr>
              <w:t>O. eremita</w:t>
            </w:r>
            <w:r>
              <w:rPr>
                <w:rFonts w:ascii="Verdana" w:hAnsi="Verdana"/>
                <w:noProof/>
                <w:sz w:val="18"/>
                <w:szCs w:val="18"/>
              </w:rPr>
              <w:t xml:space="preserve"> constitui a área de repouso desta espécie.</w:t>
            </w:r>
          </w:p>
          <w:p>
            <w:pPr>
              <w:rPr>
                <w:rFonts w:ascii="Verdana" w:hAnsi="Verdana"/>
                <w:strike/>
                <w:noProof/>
                <w:sz w:val="18"/>
                <w:szCs w:val="18"/>
              </w:rPr>
            </w:pPr>
          </w:p>
        </w:tc>
      </w:tr>
    </w:tbl>
    <w:p>
      <w:pPr>
        <w:spacing w:after="240"/>
        <w:rPr>
          <w:rFonts w:ascii="Verdana" w:hAnsi="Verdana"/>
          <w:b/>
          <w:noProof/>
          <w:color w:val="0000FF"/>
          <w:sz w:val="20"/>
          <w:szCs w:val="20"/>
        </w:rPr>
      </w:pPr>
    </w:p>
    <w:p>
      <w:pPr>
        <w:spacing w:after="240"/>
        <w:jc w:val="both"/>
        <w:rPr>
          <w:rFonts w:ascii="Verdana" w:hAnsi="Verdana"/>
          <w:noProof/>
          <w:sz w:val="20"/>
          <w:szCs w:val="20"/>
        </w:rPr>
      </w:pPr>
      <w:r>
        <w:rPr>
          <w:rFonts w:ascii="Verdana" w:hAnsi="Verdana"/>
          <w:noProof/>
          <w:sz w:val="20"/>
          <w:szCs w:val="20"/>
        </w:rPr>
        <w:t>(2-58)</w:t>
      </w:r>
      <w:r>
        <w:rPr>
          <w:rFonts w:ascii="Verdana" w:hAnsi="Verdana"/>
          <w:noProof/>
          <w:sz w:val="20"/>
          <w:szCs w:val="20"/>
        </w:rPr>
        <w:tab/>
        <w:t xml:space="preserve">O exemplo da espécie </w:t>
      </w:r>
      <w:r>
        <w:rPr>
          <w:rFonts w:ascii="Verdana" w:hAnsi="Verdana"/>
          <w:i/>
          <w:noProof/>
          <w:sz w:val="20"/>
          <w:szCs w:val="20"/>
        </w:rPr>
        <w:t>Triturus cristatus</w:t>
      </w:r>
      <w:r>
        <w:rPr>
          <w:rFonts w:ascii="Verdana" w:hAnsi="Verdana"/>
          <w:noProof/>
          <w:sz w:val="20"/>
          <w:szCs w:val="20"/>
        </w:rPr>
        <w:t xml:space="preserve"> (ver caixa acima) demonstra que, para algumas espécies com </w:t>
      </w:r>
      <w:r>
        <w:rPr>
          <w:rFonts w:ascii="Verdana" w:hAnsi="Verdana"/>
          <w:b/>
          <w:noProof/>
          <w:sz w:val="20"/>
          <w:szCs w:val="20"/>
        </w:rPr>
        <w:t>áreas de distribuição natural pequenas</w:t>
      </w:r>
      <w:r>
        <w:rPr>
          <w:rFonts w:ascii="Verdana" w:hAnsi="Verdana"/>
          <w:noProof/>
          <w:sz w:val="20"/>
          <w:szCs w:val="20"/>
        </w:rPr>
        <w:t>, os locais de reprodução e as áreas de repouso podem coincidir. Nestes casos, é importante proteger uma área funcionalmente viável e coerente para a espécie, que inclua simultaneamente as suas áreas de repouso e locais de reprodução, bem como outras áreas consideradas necessárias para manter a funcionalidade ecológica do local de reprodução e/ou da área de repouso. A definição da população «local» dessa espécie poderá ter um papel útil para a definição dessas áreas.</w:t>
      </w:r>
    </w:p>
    <w:p>
      <w:pPr>
        <w:spacing w:after="240"/>
        <w:jc w:val="both"/>
        <w:rPr>
          <w:rFonts w:ascii="Verdana" w:hAnsi="Verdana"/>
          <w:noProof/>
          <w:sz w:val="20"/>
          <w:szCs w:val="20"/>
        </w:rPr>
      </w:pPr>
      <w:r>
        <w:rPr>
          <w:rFonts w:ascii="Verdana" w:hAnsi="Verdana"/>
          <w:noProof/>
          <w:sz w:val="20"/>
          <w:szCs w:val="20"/>
        </w:rPr>
        <w:t>(2-59)</w:t>
      </w:r>
      <w:r>
        <w:rPr>
          <w:rFonts w:ascii="Verdana" w:hAnsi="Verdana"/>
          <w:noProof/>
          <w:sz w:val="20"/>
          <w:szCs w:val="20"/>
        </w:rPr>
        <w:tab/>
        <w:t xml:space="preserve">Importa igualmente considerar como lidar com uma </w:t>
      </w:r>
      <w:r>
        <w:rPr>
          <w:rFonts w:ascii="Verdana" w:hAnsi="Verdana"/>
          <w:b/>
          <w:noProof/>
          <w:sz w:val="20"/>
          <w:szCs w:val="20"/>
        </w:rPr>
        <w:t>espécie com uma vasta área de repartição</w:t>
      </w:r>
      <w:r>
        <w:rPr>
          <w:rFonts w:ascii="Verdana" w:hAnsi="Verdana"/>
          <w:noProof/>
          <w:sz w:val="20"/>
          <w:szCs w:val="20"/>
        </w:rPr>
        <w:t xml:space="preserve"> no contexto do artigo 12.º. O problema específico colocado pelas espécies com áreas de repartição vastas é já reconhecido no artigo 4.º, n.º 1, da diretiva. Neste caso, poderá ser aconselhável limitar a definição de local de reprodução e de área de repouso a uma localização que possa ser claramente delimitada: por exemplo, os poleiros para os morcegos, as cavernas de inverno para os ursos ou a toca de uma lontra,</w:t>
      </w:r>
      <w:r>
        <w:rPr>
          <w:noProof/>
        </w:rPr>
        <w:t xml:space="preserve"> </w:t>
      </w:r>
      <w:r>
        <w:rPr>
          <w:rFonts w:ascii="Verdana" w:hAnsi="Verdana"/>
          <w:noProof/>
          <w:sz w:val="20"/>
          <w:szCs w:val="20"/>
        </w:rPr>
        <w:t>ou outras zonas que possam ser claramente identificadas como importantes para a reprodução ou o repouso.</w:t>
      </w:r>
    </w:p>
    <w:p>
      <w:pPr>
        <w:spacing w:after="360"/>
        <w:jc w:val="both"/>
        <w:rPr>
          <w:rFonts w:ascii="Verdana" w:hAnsi="Verdana"/>
          <w:noProof/>
          <w:sz w:val="20"/>
          <w:szCs w:val="20"/>
        </w:rPr>
      </w:pPr>
      <w:r>
        <w:rPr>
          <w:rFonts w:ascii="Verdana" w:hAnsi="Verdana"/>
          <w:noProof/>
          <w:sz w:val="20"/>
          <w:szCs w:val="20"/>
        </w:rPr>
        <w:t>(2-60)</w:t>
      </w:r>
      <w:r>
        <w:rPr>
          <w:rFonts w:ascii="Verdana" w:hAnsi="Verdana"/>
          <w:noProof/>
          <w:sz w:val="20"/>
          <w:szCs w:val="20"/>
        </w:rPr>
        <w:tab/>
        <w:t xml:space="preserve">No processo </w:t>
      </w:r>
      <w:r>
        <w:rPr>
          <w:rFonts w:ascii="Verdana" w:hAnsi="Verdana"/>
          <w:i/>
          <w:noProof/>
          <w:sz w:val="20"/>
          <w:szCs w:val="20"/>
        </w:rPr>
        <w:t>Caretta caretta</w:t>
      </w:r>
      <w:r>
        <w:rPr>
          <w:rFonts w:ascii="Verdana" w:hAnsi="Verdana"/>
          <w:noProof/>
          <w:sz w:val="20"/>
          <w:szCs w:val="20"/>
        </w:rPr>
        <w:t xml:space="preserve">, o Tribunal de Justiça não facultou uma definição de locais de reprodução e áreas de repouso para as espécies, tendo seguido uma abordagem caso a caso/espécie a espécie. No processo em questão, o Tribunal de Justiça salientou a importância do golfo de Laganas como «uma região essencial para a reprodução da espécie protegida </w:t>
      </w:r>
      <w:r>
        <w:rPr>
          <w:rFonts w:ascii="Verdana" w:hAnsi="Verdana"/>
          <w:i/>
          <w:iCs/>
          <w:noProof/>
          <w:sz w:val="20"/>
          <w:szCs w:val="20"/>
        </w:rPr>
        <w:t>Caretta caretta</w:t>
      </w:r>
      <w:r>
        <w:rPr>
          <w:rFonts w:ascii="Verdana" w:hAnsi="Verdana"/>
          <w:noProof/>
          <w:sz w:val="20"/>
          <w:szCs w:val="20"/>
        </w:rPr>
        <w:t>»</w:t>
      </w:r>
      <w:r>
        <w:rPr>
          <w:rFonts w:ascii="Verdana" w:hAnsi="Verdana"/>
          <w:noProof/>
          <w:sz w:val="20"/>
          <w:szCs w:val="20"/>
          <w:vertAlign w:val="superscript"/>
        </w:rPr>
        <w:footnoteReference w:id="79"/>
      </w:r>
      <w:r>
        <w:rPr>
          <w:rFonts w:ascii="Verdana" w:hAnsi="Verdana"/>
          <w:noProof/>
          <w:sz w:val="20"/>
          <w:szCs w:val="20"/>
        </w:rPr>
        <w:t>. Esta zona continha os fatores físicos e biológicos essenciais para a reprodução da espécie (zona marinha e praias de nidificação). É difícil estabelecer uma definição geral de «locais de reprodução» e «áreas de repouso» devido à ampla variedade de diferenças nas características ecológicas das espécies. É necessário ter em conta os conhecimentos atualizados sobre a ecologia e o comportamento das espécies.</w:t>
      </w:r>
    </w:p>
    <w:p>
      <w:pPr>
        <w:spacing w:after="240"/>
        <w:jc w:val="both"/>
        <w:rPr>
          <w:rFonts w:ascii="Verdana" w:hAnsi="Verdana"/>
          <w:b/>
          <w:i/>
          <w:noProof/>
          <w:sz w:val="20"/>
          <w:szCs w:val="20"/>
        </w:rPr>
      </w:pPr>
      <w:r>
        <w:rPr>
          <w:rFonts w:ascii="Verdana" w:hAnsi="Verdana"/>
          <w:b/>
          <w:i/>
          <w:noProof/>
          <w:sz w:val="20"/>
          <w:szCs w:val="20"/>
        </w:rPr>
        <w:t>2.3.4.c) Conceito de «deterioração»</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i/>
          <w:noProof/>
          <w:sz w:val="20"/>
          <w:szCs w:val="20"/>
        </w:rPr>
      </w:pPr>
      <w:r>
        <w:rPr>
          <w:rFonts w:ascii="Verdana" w:hAnsi="Verdana"/>
          <w:i/>
          <w:noProof/>
          <w:sz w:val="20"/>
          <w:szCs w:val="20"/>
        </w:rPr>
        <w:t>Pode definir-se a deterioração como a degradação física que afeta um local de reprodução ou uma área de repouso. Contrariamente à destruição, tal degradação pode também ocorrer lenta e gradualmente e, dessa forma, reduzir a funcionalidade do local ou área. O artigo 12.º, n.º 1, alínea d), aplica-se se for possível estabelecer uma relação causa-efeito clara entre uma ou mais atividades de origem humana e a deterioração de um local de reprodução ou área de repouso.</w:t>
      </w:r>
    </w:p>
    <w:p>
      <w:pPr>
        <w:spacing w:after="240"/>
        <w:jc w:val="both"/>
        <w:rPr>
          <w:rFonts w:ascii="Verdana" w:hAnsi="Verdana"/>
          <w:noProof/>
          <w:sz w:val="20"/>
          <w:szCs w:val="20"/>
        </w:rPr>
      </w:pPr>
      <w:r>
        <w:rPr>
          <w:rFonts w:ascii="Verdana" w:hAnsi="Verdana"/>
          <w:noProof/>
          <w:sz w:val="20"/>
          <w:szCs w:val="20"/>
        </w:rPr>
        <w:t>(2-61)</w:t>
      </w:r>
      <w:r>
        <w:rPr>
          <w:rFonts w:ascii="Verdana" w:hAnsi="Verdana"/>
          <w:noProof/>
          <w:sz w:val="20"/>
          <w:szCs w:val="20"/>
        </w:rPr>
        <w:tab/>
        <w:t xml:space="preserve">Nem o artigo 12.º, n.º 1, alínea d), nem o artigo 1.º da Diretiva </w:t>
      </w:r>
      <w:r>
        <w:rPr>
          <w:rFonts w:ascii="Verdana" w:hAnsi="Verdana"/>
          <w:i/>
          <w:iCs/>
          <w:noProof/>
          <w:sz w:val="20"/>
          <w:szCs w:val="20"/>
        </w:rPr>
        <w:t>Habitats</w:t>
      </w:r>
      <w:r>
        <w:rPr>
          <w:rFonts w:ascii="Verdana" w:hAnsi="Verdana"/>
          <w:noProof/>
          <w:sz w:val="20"/>
          <w:szCs w:val="20"/>
        </w:rPr>
        <w:t xml:space="preserve"> contêm uma definição do conceito de «deterioração», embora este termo esteja também presente noutras disposições da diretiva (por exemplo, no artigo 6.º, n.º 2).</w:t>
      </w:r>
    </w:p>
    <w:p>
      <w:pPr>
        <w:spacing w:after="240"/>
        <w:jc w:val="both"/>
        <w:rPr>
          <w:rFonts w:ascii="Verdana" w:hAnsi="Verdana"/>
          <w:noProof/>
          <w:sz w:val="20"/>
          <w:szCs w:val="20"/>
        </w:rPr>
      </w:pPr>
      <w:r>
        <w:rPr>
          <w:rFonts w:ascii="Verdana" w:hAnsi="Verdana"/>
          <w:noProof/>
          <w:sz w:val="20"/>
          <w:szCs w:val="20"/>
        </w:rPr>
        <w:t>(2-62)</w:t>
      </w:r>
      <w:r>
        <w:rPr>
          <w:rFonts w:ascii="Verdana" w:hAnsi="Verdana"/>
          <w:noProof/>
          <w:sz w:val="20"/>
          <w:szCs w:val="20"/>
        </w:rPr>
        <w:tab/>
        <w:t xml:space="preserve">Regra geral, pode definir-se a deterioração como a degradação física que afeta um </w:t>
      </w:r>
      <w:r>
        <w:rPr>
          <w:rFonts w:ascii="Verdana" w:hAnsi="Verdana"/>
          <w:i/>
          <w:iCs/>
          <w:noProof/>
          <w:sz w:val="20"/>
          <w:szCs w:val="20"/>
        </w:rPr>
        <w:t>habitat</w:t>
      </w:r>
      <w:r>
        <w:rPr>
          <w:rFonts w:ascii="Verdana" w:hAnsi="Verdana"/>
          <w:noProof/>
          <w:sz w:val="20"/>
          <w:szCs w:val="20"/>
        </w:rPr>
        <w:t xml:space="preserve"> (neste caso, um local de reprodução ou uma área de repouso). Contrariamente à destruição, </w:t>
      </w:r>
      <w:r>
        <w:rPr>
          <w:rFonts w:ascii="Verdana" w:hAnsi="Verdana"/>
          <w:b/>
          <w:noProof/>
          <w:sz w:val="20"/>
          <w:szCs w:val="20"/>
        </w:rPr>
        <w:t>a degradação pode ocorrer lentamente e reduzir gradualmente a funcionalidade do local</w:t>
      </w:r>
      <w:r>
        <w:rPr>
          <w:rFonts w:ascii="Verdana" w:hAnsi="Verdana"/>
          <w:noProof/>
          <w:sz w:val="20"/>
          <w:szCs w:val="20"/>
        </w:rPr>
        <w:t xml:space="preserve"> ou área. Por conseguinte, a deterioração pode não levar imediatamente a uma perda de funcionalidade de um local ou área. Porém, afetaria negativamente a funcionalidade em termos da qualidade ou quantidade dos elementos ecológicos presentes e pode, ao longo de um período de tempo, levar à sua perda completa. Em virtude da ampla variedade de espécies constantes do anexo IV, alínea a), a avaliação da deterioração de um determinado local de reprodução ou área de repouso tem de ser realizada caso a caso.</w:t>
      </w:r>
    </w:p>
    <w:p>
      <w:pPr>
        <w:autoSpaceDE w:val="0"/>
        <w:autoSpaceDN w:val="0"/>
        <w:adjustRightInd w:val="0"/>
        <w:spacing w:after="240"/>
        <w:jc w:val="both"/>
        <w:rPr>
          <w:rFonts w:ascii="Verdana" w:hAnsi="Verdana" w:cs="Verdana"/>
          <w:noProof/>
          <w:sz w:val="20"/>
          <w:szCs w:val="20"/>
        </w:rPr>
      </w:pPr>
      <w:r>
        <w:rPr>
          <w:rFonts w:ascii="Verdana" w:hAnsi="Verdana"/>
          <w:noProof/>
          <w:sz w:val="20"/>
          <w:szCs w:val="20"/>
        </w:rPr>
        <w:t>(2-63)</w:t>
      </w:r>
      <w:r>
        <w:rPr>
          <w:rFonts w:ascii="Verdana" w:hAnsi="Verdana"/>
          <w:noProof/>
          <w:sz w:val="20"/>
          <w:szCs w:val="20"/>
        </w:rPr>
        <w:tab/>
        <w:t xml:space="preserve">Quando se tenta identificar e evitar as causas que conduzem à deterioração ou mesmo à perda de funcionalidade de reprodução ou repouso, importa estabelecer uma </w:t>
      </w:r>
      <w:r>
        <w:rPr>
          <w:rFonts w:ascii="Verdana" w:hAnsi="Verdana"/>
          <w:b/>
          <w:noProof/>
          <w:sz w:val="20"/>
          <w:szCs w:val="20"/>
        </w:rPr>
        <w:t>relação causa-efeito</w:t>
      </w:r>
      <w:r>
        <w:rPr>
          <w:rFonts w:ascii="Verdana" w:hAnsi="Verdana"/>
          <w:noProof/>
          <w:sz w:val="20"/>
          <w:szCs w:val="20"/>
        </w:rPr>
        <w:t xml:space="preserve"> clara entre uma ou mais atividades de origem humana e a deterioração ou destruição de um local de reprodução ou área de repouso. Como é evidente, as causas da deterioração podem estar situadas dentro ou fora, e eventualmente até a alguma distância, do local de reprodução ou área de repouso em análise. Tais causas e atividades têm de ser então controladas de forma a permitir evitar a deterioração e a destruição. Apenas uma perspetiva clara das causas permitirá às autoridades agir em conformidade e evitar a continuação ou futuros casos de deterioração ou destruição.</w:t>
      </w:r>
    </w:p>
    <w:p>
      <w:pPr>
        <w:autoSpaceDE w:val="0"/>
        <w:autoSpaceDN w:val="0"/>
        <w:adjustRightInd w:val="0"/>
        <w:spacing w:after="240"/>
        <w:jc w:val="both"/>
        <w:rPr>
          <w:rFonts w:ascii="Verdana" w:hAnsi="Verdana" w:cs="Verdana"/>
          <w:noProof/>
          <w:sz w:val="20"/>
          <w:szCs w:val="20"/>
        </w:rPr>
      </w:pPr>
      <w:r>
        <w:rPr>
          <w:rFonts w:ascii="Verdana" w:hAnsi="Verdana"/>
          <w:noProof/>
          <w:sz w:val="20"/>
          <w:szCs w:val="20"/>
        </w:rPr>
        <w:t xml:space="preserve">(2-64) Por conseguinte, a tolerância de atividades que degradam ou danificam, direta ou indiretamente, o </w:t>
      </w:r>
      <w:r>
        <w:rPr>
          <w:rFonts w:ascii="Verdana" w:hAnsi="Verdana"/>
          <w:i/>
          <w:iCs/>
          <w:noProof/>
          <w:sz w:val="20"/>
          <w:szCs w:val="20"/>
        </w:rPr>
        <w:t>habitat</w:t>
      </w:r>
      <w:r>
        <w:rPr>
          <w:rFonts w:ascii="Verdana" w:hAnsi="Verdana"/>
          <w:noProof/>
          <w:sz w:val="20"/>
          <w:szCs w:val="20"/>
        </w:rPr>
        <w:t xml:space="preserve"> de espécies protegidas pode constituir uma violação do artigo 12.º, n.º 1, como foi reconhecido pelo Tribunal de Justiça no processo C-340/10. Neste processo, o Tribunal de Justiça concluiu que a bombagem excessiva de água e outras atividades prejudiciais na proximidade do lago Paralimni eram suscetíveis de ter um impacto negativo considerável no </w:t>
      </w:r>
      <w:r>
        <w:rPr>
          <w:rFonts w:ascii="Verdana" w:hAnsi="Verdana"/>
          <w:i/>
          <w:iCs/>
          <w:noProof/>
          <w:sz w:val="20"/>
          <w:szCs w:val="20"/>
        </w:rPr>
        <w:t>habitat</w:t>
      </w:r>
      <w:r>
        <w:rPr>
          <w:rFonts w:ascii="Verdana" w:hAnsi="Verdana"/>
          <w:noProof/>
          <w:sz w:val="20"/>
          <w:szCs w:val="20"/>
        </w:rPr>
        <w:t xml:space="preserve"> da cobra-de-água-de-colar-cipriota e na conservação desta espécie, designadamente em anos de seca. Ao tolerar esse tipo de operações, Chipre não cumpriu as obrigações que lhe incumbem por força do artigo 12.º, n.º 1.</w:t>
      </w:r>
    </w:p>
    <w:p>
      <w:pPr>
        <w:spacing w:after="240"/>
        <w:jc w:val="both"/>
        <w:rPr>
          <w:rFonts w:ascii="Verdana" w:hAnsi="Verdana" w:cs="Verdana"/>
          <w:noProof/>
          <w:sz w:val="20"/>
          <w:szCs w:val="20"/>
        </w:rPr>
      </w:pPr>
      <w:r>
        <w:rPr>
          <w:rFonts w:ascii="Verdana" w:hAnsi="Verdana"/>
          <w:noProof/>
          <w:sz w:val="20"/>
          <w:szCs w:val="20"/>
        </w:rPr>
        <w:t>(2-65)</w:t>
      </w:r>
      <w:r>
        <w:rPr>
          <w:rFonts w:ascii="Verdana" w:hAnsi="Verdana"/>
          <w:noProof/>
          <w:sz w:val="20"/>
          <w:szCs w:val="20"/>
        </w:rPr>
        <w:tab/>
        <w:t>Para definir os limites do que pode ser considerado «deterioração», é indispensável fazer uma análise do artigo 12.º, n.º 1, alínea d), na sua totalidade. O artigo 12.º tem por finalidade introduzir um sistema de proteção rigorosa para as espécies constantes do anexo IV, alínea a). A proteção explícita de locais de reprodução e áreas de repouso para além da proteção das espécies como tal, sem a qualificação de «intencional», demonstra a importância conferida pela diretiva a estes locais. Esta proteção específica contra a deterioração ou destruição de locais de reprodução e áreas de repouso está obviamente associada à função essencial destes locais, que têm de continuar a fornecer todos os elementos de que um animal (ou grupo de animais) específico necessita para se reproduzir ou para repousar.</w:t>
      </w:r>
    </w:p>
    <w:p>
      <w:pPr>
        <w:autoSpaceDE w:val="0"/>
        <w:autoSpaceDN w:val="0"/>
        <w:adjustRightInd w:val="0"/>
        <w:jc w:val="both"/>
        <w:rPr>
          <w:rFonts w:ascii="Verdana" w:hAnsi="Verdana" w:cs="Verdana"/>
          <w:noProof/>
          <w:sz w:val="20"/>
          <w:szCs w:val="20"/>
        </w:rPr>
      </w:pPr>
      <w:r>
        <w:rPr>
          <w:rFonts w:ascii="Verdana" w:hAnsi="Verdana"/>
          <w:noProof/>
          <w:sz w:val="20"/>
          <w:szCs w:val="20"/>
        </w:rPr>
        <w:t>(2-66)</w:t>
      </w:r>
      <w:r>
        <w:rPr>
          <w:rFonts w:ascii="Verdana" w:hAnsi="Verdana"/>
          <w:noProof/>
          <w:sz w:val="20"/>
          <w:szCs w:val="20"/>
        </w:rPr>
        <w:tab/>
        <w:t xml:space="preserve">Exemplos de atividades que podem levar a </w:t>
      </w:r>
      <w:r>
        <w:rPr>
          <w:rFonts w:ascii="Verdana" w:hAnsi="Verdana"/>
          <w:b/>
          <w:noProof/>
          <w:sz w:val="20"/>
          <w:szCs w:val="20"/>
        </w:rPr>
        <w:t>deterioração</w:t>
      </w:r>
      <w:r>
        <w:rPr>
          <w:rFonts w:ascii="Verdana" w:hAnsi="Verdana"/>
          <w:noProof/>
          <w:sz w:val="20"/>
          <w:szCs w:val="20"/>
        </w:rPr>
        <w:t xml:space="preserve"> nos termos do artigo 12.º, n.º 1, alínea d):</w:t>
      </w:r>
    </w:p>
    <w:p>
      <w:pPr>
        <w:numPr>
          <w:ilvl w:val="0"/>
          <w:numId w:val="9"/>
        </w:numPr>
        <w:autoSpaceDE w:val="0"/>
        <w:autoSpaceDN w:val="0"/>
        <w:adjustRightInd w:val="0"/>
        <w:ind w:left="357" w:hanging="357"/>
        <w:jc w:val="both"/>
        <w:rPr>
          <w:rFonts w:ascii="Verdana" w:hAnsi="Verdana" w:cs="Verdana"/>
          <w:noProof/>
          <w:sz w:val="20"/>
          <w:szCs w:val="20"/>
        </w:rPr>
      </w:pPr>
      <w:r>
        <w:rPr>
          <w:rFonts w:ascii="Verdana" w:hAnsi="Verdana"/>
          <w:b/>
          <w:noProof/>
          <w:sz w:val="20"/>
          <w:szCs w:val="20"/>
        </w:rPr>
        <w:t>Enchimento</w:t>
      </w:r>
      <w:r>
        <w:rPr>
          <w:rFonts w:ascii="Verdana" w:hAnsi="Verdana"/>
          <w:noProof/>
          <w:sz w:val="20"/>
          <w:szCs w:val="20"/>
        </w:rPr>
        <w:t xml:space="preserve"> de partes dos </w:t>
      </w:r>
      <w:r>
        <w:rPr>
          <w:rFonts w:ascii="Verdana" w:hAnsi="Verdana"/>
          <w:b/>
          <w:noProof/>
          <w:sz w:val="20"/>
          <w:szCs w:val="20"/>
        </w:rPr>
        <w:t>locais de desova</w:t>
      </w:r>
      <w:r>
        <w:rPr>
          <w:rFonts w:ascii="Verdana" w:hAnsi="Verdana"/>
          <w:noProof/>
          <w:sz w:val="20"/>
          <w:szCs w:val="20"/>
        </w:rPr>
        <w:t xml:space="preserve"> do tritão-de-crista (</w:t>
      </w:r>
      <w:r>
        <w:rPr>
          <w:rFonts w:ascii="Verdana" w:hAnsi="Verdana"/>
          <w:i/>
          <w:noProof/>
          <w:sz w:val="20"/>
          <w:szCs w:val="20"/>
        </w:rPr>
        <w:t>Triturus cristatus</w:t>
      </w:r>
      <w:r>
        <w:rPr>
          <w:rFonts w:ascii="Verdana" w:hAnsi="Verdana"/>
          <w:noProof/>
          <w:sz w:val="20"/>
          <w:szCs w:val="20"/>
        </w:rPr>
        <w:t>) ou de outros anfíbios sujeitos a proteção rigorosa, reduzindo assim (resumidamente) a sua função enquanto locais de reprodução.</w:t>
      </w:r>
    </w:p>
    <w:p>
      <w:pPr>
        <w:numPr>
          <w:ilvl w:val="0"/>
          <w:numId w:val="9"/>
        </w:numPr>
        <w:autoSpaceDE w:val="0"/>
        <w:autoSpaceDN w:val="0"/>
        <w:adjustRightInd w:val="0"/>
        <w:ind w:left="357" w:hanging="357"/>
        <w:jc w:val="both"/>
        <w:rPr>
          <w:rFonts w:ascii="Verdana" w:hAnsi="Verdana" w:cs="Verdana"/>
          <w:noProof/>
          <w:sz w:val="20"/>
          <w:szCs w:val="20"/>
        </w:rPr>
      </w:pPr>
      <w:r>
        <w:rPr>
          <w:rFonts w:ascii="Verdana" w:hAnsi="Verdana"/>
          <w:b/>
          <w:noProof/>
          <w:sz w:val="20"/>
          <w:szCs w:val="20"/>
        </w:rPr>
        <w:t>Deterioração</w:t>
      </w:r>
      <w:r>
        <w:rPr>
          <w:rFonts w:ascii="Verdana" w:hAnsi="Verdana"/>
          <w:noProof/>
          <w:sz w:val="20"/>
          <w:szCs w:val="20"/>
        </w:rPr>
        <w:t xml:space="preserve"> da função de partes de uma </w:t>
      </w:r>
      <w:r>
        <w:rPr>
          <w:rFonts w:ascii="Verdana" w:hAnsi="Verdana"/>
          <w:b/>
          <w:noProof/>
          <w:sz w:val="20"/>
          <w:szCs w:val="20"/>
        </w:rPr>
        <w:t>toca de hámster</w:t>
      </w:r>
      <w:r>
        <w:rPr>
          <w:rFonts w:ascii="Verdana" w:hAnsi="Verdana"/>
          <w:noProof/>
          <w:sz w:val="20"/>
          <w:szCs w:val="20"/>
        </w:rPr>
        <w:t xml:space="preserve"> enquanto local de reprodução e área de repouso, causada pela lavoura profunda.</w:t>
      </w:r>
    </w:p>
    <w:p>
      <w:pPr>
        <w:numPr>
          <w:ilvl w:val="0"/>
          <w:numId w:val="9"/>
        </w:numPr>
        <w:autoSpaceDE w:val="0"/>
        <w:autoSpaceDN w:val="0"/>
        <w:adjustRightInd w:val="0"/>
        <w:jc w:val="both"/>
        <w:rPr>
          <w:rFonts w:ascii="Verdana" w:hAnsi="Verdana" w:cs="Verdana"/>
          <w:noProof/>
          <w:sz w:val="20"/>
          <w:szCs w:val="20"/>
        </w:rPr>
      </w:pPr>
      <w:r>
        <w:rPr>
          <w:rFonts w:ascii="Verdana" w:hAnsi="Verdana"/>
          <w:b/>
          <w:noProof/>
          <w:sz w:val="20"/>
          <w:szCs w:val="20"/>
        </w:rPr>
        <w:t>Obras de engenharia</w:t>
      </w:r>
      <w:r>
        <w:rPr>
          <w:rFonts w:ascii="Verdana" w:hAnsi="Verdana"/>
          <w:noProof/>
          <w:sz w:val="20"/>
          <w:szCs w:val="20"/>
        </w:rPr>
        <w:t xml:space="preserve"> ao longo de um trecho de </w:t>
      </w:r>
      <w:r>
        <w:rPr>
          <w:rFonts w:ascii="Verdana" w:hAnsi="Verdana"/>
          <w:b/>
          <w:noProof/>
          <w:sz w:val="20"/>
          <w:szCs w:val="20"/>
        </w:rPr>
        <w:t>rio</w:t>
      </w:r>
      <w:r>
        <w:rPr>
          <w:rFonts w:ascii="Verdana" w:hAnsi="Verdana"/>
          <w:noProof/>
          <w:sz w:val="20"/>
          <w:szCs w:val="20"/>
        </w:rPr>
        <w:t xml:space="preserve"> que é local de reprodução e repouso do esturjão-comum (</w:t>
      </w:r>
      <w:r>
        <w:rPr>
          <w:rFonts w:ascii="Verdana" w:hAnsi="Verdana"/>
          <w:i/>
          <w:noProof/>
          <w:sz w:val="20"/>
          <w:szCs w:val="20"/>
        </w:rPr>
        <w:t xml:space="preserve">Acipenser sturio) </w:t>
      </w:r>
      <w:r>
        <w:rPr>
          <w:rFonts w:ascii="Verdana" w:hAnsi="Verdana"/>
          <w:noProof/>
          <w:sz w:val="20"/>
          <w:szCs w:val="20"/>
        </w:rPr>
        <w:t>ou de outros peixes sujeitos a proteção rigorosa.</w:t>
      </w:r>
    </w:p>
    <w:p>
      <w:pPr>
        <w:numPr>
          <w:ilvl w:val="0"/>
          <w:numId w:val="9"/>
        </w:numPr>
        <w:autoSpaceDE w:val="0"/>
        <w:autoSpaceDN w:val="0"/>
        <w:adjustRightInd w:val="0"/>
        <w:ind w:left="357" w:hanging="357"/>
        <w:jc w:val="both"/>
        <w:rPr>
          <w:rFonts w:ascii="Verdana" w:hAnsi="Verdana" w:cs="Verdana"/>
          <w:noProof/>
          <w:sz w:val="20"/>
          <w:szCs w:val="20"/>
        </w:rPr>
      </w:pPr>
      <w:r>
        <w:rPr>
          <w:rFonts w:ascii="Verdana" w:hAnsi="Verdana"/>
          <w:b/>
          <w:noProof/>
          <w:sz w:val="20"/>
          <w:szCs w:val="20"/>
        </w:rPr>
        <w:t>Drenagem de terras</w:t>
      </w:r>
      <w:r>
        <w:rPr>
          <w:rFonts w:ascii="Verdana" w:hAnsi="Verdana"/>
          <w:noProof/>
          <w:sz w:val="20"/>
          <w:szCs w:val="20"/>
        </w:rPr>
        <w:t xml:space="preserve"> ou outras atividades causadoras de alterações na hidrologia que comprometem gravemente as características ecológicas do </w:t>
      </w:r>
      <w:r>
        <w:rPr>
          <w:rFonts w:ascii="Verdana" w:hAnsi="Verdana"/>
          <w:i/>
          <w:iCs/>
          <w:noProof/>
          <w:sz w:val="20"/>
          <w:szCs w:val="20"/>
        </w:rPr>
        <w:t>habitat</w:t>
      </w:r>
      <w:r>
        <w:rPr>
          <w:rFonts w:ascii="Verdana" w:hAnsi="Verdana"/>
          <w:noProof/>
          <w:sz w:val="20"/>
          <w:szCs w:val="20"/>
        </w:rPr>
        <w:t xml:space="preserve"> e influenciam a população de </w:t>
      </w:r>
      <w:r>
        <w:rPr>
          <w:rFonts w:ascii="Verdana" w:hAnsi="Verdana"/>
          <w:i/>
          <w:noProof/>
          <w:sz w:val="20"/>
          <w:szCs w:val="20"/>
        </w:rPr>
        <w:t>Natrix natrix cypriaca</w:t>
      </w:r>
      <w:r>
        <w:rPr>
          <w:rFonts w:ascii="Verdana" w:hAnsi="Verdana"/>
          <w:noProof/>
          <w:sz w:val="20"/>
          <w:szCs w:val="20"/>
        </w:rPr>
        <w:t xml:space="preserve"> (cobra-de-água-de-colar-cipriota, ver secção 2.33).</w:t>
      </w:r>
    </w:p>
    <w:p>
      <w:pPr>
        <w:numPr>
          <w:ilvl w:val="0"/>
          <w:numId w:val="9"/>
        </w:numPr>
        <w:autoSpaceDE w:val="0"/>
        <w:autoSpaceDN w:val="0"/>
        <w:adjustRightInd w:val="0"/>
        <w:jc w:val="both"/>
        <w:rPr>
          <w:rFonts w:ascii="Verdana" w:hAnsi="Verdana" w:cs="Verdana"/>
          <w:noProof/>
          <w:sz w:val="20"/>
          <w:szCs w:val="20"/>
        </w:rPr>
      </w:pPr>
      <w:r>
        <w:rPr>
          <w:rFonts w:ascii="Verdana" w:hAnsi="Verdana"/>
          <w:b/>
          <w:noProof/>
          <w:sz w:val="20"/>
          <w:szCs w:val="20"/>
        </w:rPr>
        <w:t>Abate/remoção de árvores mortas ou moribundas</w:t>
      </w:r>
      <w:r>
        <w:rPr>
          <w:rFonts w:ascii="Verdana" w:hAnsi="Verdana"/>
          <w:noProof/>
          <w:sz w:val="20"/>
          <w:szCs w:val="20"/>
        </w:rPr>
        <w:t xml:space="preserve"> que constituem </w:t>
      </w:r>
      <w:r>
        <w:rPr>
          <w:rFonts w:ascii="Verdana" w:hAnsi="Verdana"/>
          <w:i/>
          <w:iCs/>
          <w:noProof/>
          <w:sz w:val="20"/>
          <w:szCs w:val="20"/>
        </w:rPr>
        <w:t>habitats</w:t>
      </w:r>
      <w:r>
        <w:rPr>
          <w:rFonts w:ascii="Verdana" w:hAnsi="Verdana"/>
          <w:noProof/>
          <w:sz w:val="20"/>
          <w:szCs w:val="20"/>
        </w:rPr>
        <w:t xml:space="preserve"> importantes para certas espécies rigorosamente protegidas de coleópteros saproxílicos constantes do anexo IV</w:t>
      </w:r>
      <w:r>
        <w:rPr>
          <w:rFonts w:ascii="Verdana" w:hAnsi="Verdana" w:cs="Verdana"/>
          <w:noProof/>
          <w:sz w:val="20"/>
          <w:szCs w:val="20"/>
          <w:vertAlign w:val="superscript"/>
        </w:rPr>
        <w:footnoteReference w:id="80"/>
      </w:r>
      <w:r>
        <w:rPr>
          <w:rFonts w:ascii="Verdana" w:hAnsi="Verdana"/>
          <w:noProof/>
          <w:sz w:val="20"/>
          <w:szCs w:val="20"/>
        </w:rPr>
        <w:t xml:space="preserve"> (</w:t>
      </w:r>
      <w:r>
        <w:rPr>
          <w:rFonts w:ascii="Verdana" w:hAnsi="Verdana"/>
          <w:i/>
          <w:noProof/>
          <w:sz w:val="20"/>
          <w:szCs w:val="20"/>
        </w:rPr>
        <w:t xml:space="preserve">Buprestis splendens, Cucujus cinnaberinus, Phryganophilus ruficollis </w:t>
      </w:r>
      <w:r>
        <w:rPr>
          <w:rFonts w:ascii="Verdana" w:hAnsi="Verdana"/>
          <w:noProof/>
          <w:sz w:val="20"/>
          <w:szCs w:val="20"/>
        </w:rPr>
        <w:t>e</w:t>
      </w:r>
      <w:r>
        <w:rPr>
          <w:rFonts w:ascii="Verdana" w:hAnsi="Verdana"/>
          <w:i/>
          <w:noProof/>
          <w:sz w:val="20"/>
          <w:szCs w:val="20"/>
        </w:rPr>
        <w:t xml:space="preserve"> Pytho kolwensis</w:t>
      </w:r>
      <w:r>
        <w:rPr>
          <w:rFonts w:ascii="Verdana" w:hAnsi="Verdana"/>
          <w:noProof/>
          <w:sz w:val="20"/>
          <w:szCs w:val="20"/>
        </w:rPr>
        <w:t>).</w:t>
      </w:r>
    </w:p>
    <w:p>
      <w:pPr>
        <w:numPr>
          <w:ilvl w:val="0"/>
          <w:numId w:val="9"/>
        </w:numPr>
        <w:autoSpaceDE w:val="0"/>
        <w:autoSpaceDN w:val="0"/>
        <w:adjustRightInd w:val="0"/>
        <w:spacing w:after="240"/>
        <w:jc w:val="both"/>
        <w:rPr>
          <w:rFonts w:ascii="Verdana" w:hAnsi="Verdana" w:cs="Verdana"/>
          <w:noProof/>
          <w:sz w:val="20"/>
          <w:szCs w:val="20"/>
        </w:rPr>
      </w:pPr>
      <w:r>
        <w:rPr>
          <w:rFonts w:ascii="Verdana" w:hAnsi="Verdana"/>
          <w:noProof/>
          <w:sz w:val="20"/>
          <w:szCs w:val="20"/>
        </w:rPr>
        <w:t xml:space="preserve">Construção de habitações, estâncias turísticas, estradas e outras </w:t>
      </w:r>
      <w:r>
        <w:rPr>
          <w:rFonts w:ascii="Verdana" w:hAnsi="Verdana"/>
          <w:b/>
          <w:noProof/>
          <w:sz w:val="20"/>
          <w:szCs w:val="20"/>
        </w:rPr>
        <w:t>infraestruturas</w:t>
      </w:r>
      <w:r>
        <w:rPr>
          <w:rFonts w:ascii="Verdana" w:hAnsi="Verdana"/>
          <w:noProof/>
          <w:sz w:val="20"/>
          <w:szCs w:val="20"/>
        </w:rPr>
        <w:t xml:space="preserve">, bem como </w:t>
      </w:r>
      <w:r>
        <w:rPr>
          <w:rFonts w:ascii="Verdana" w:hAnsi="Verdana"/>
          <w:b/>
          <w:noProof/>
          <w:sz w:val="20"/>
          <w:szCs w:val="20"/>
        </w:rPr>
        <w:t>poluição luminosa</w:t>
      </w:r>
      <w:r>
        <w:rPr>
          <w:rFonts w:ascii="Verdana" w:hAnsi="Verdana"/>
          <w:noProof/>
          <w:sz w:val="20"/>
          <w:szCs w:val="20"/>
        </w:rPr>
        <w:t xml:space="preserve"> ou atividades de </w:t>
      </w:r>
      <w:r>
        <w:rPr>
          <w:rFonts w:ascii="Verdana" w:hAnsi="Verdana"/>
          <w:b/>
          <w:noProof/>
          <w:sz w:val="20"/>
          <w:szCs w:val="20"/>
        </w:rPr>
        <w:t>pesca</w:t>
      </w:r>
      <w:r>
        <w:rPr>
          <w:rFonts w:ascii="Verdana" w:hAnsi="Verdana"/>
          <w:noProof/>
          <w:sz w:val="20"/>
          <w:szCs w:val="20"/>
        </w:rPr>
        <w:t>, nos locais de reprodução da tartaruga-vulgar (</w:t>
      </w:r>
      <w:r>
        <w:rPr>
          <w:rFonts w:ascii="Verdana" w:hAnsi="Verdana"/>
          <w:i/>
          <w:noProof/>
          <w:sz w:val="20"/>
          <w:szCs w:val="20"/>
        </w:rPr>
        <w:t>Caretta caretta)</w:t>
      </w:r>
      <w:r>
        <w:rPr>
          <w:rFonts w:ascii="Verdana" w:hAnsi="Verdana"/>
          <w:noProof/>
          <w:sz w:val="20"/>
          <w:szCs w:val="20"/>
        </w:rPr>
        <w:t xml:space="preserve"> ou na sua envolvente</w:t>
      </w:r>
      <w:r>
        <w:rPr>
          <w:rFonts w:ascii="Verdana" w:hAnsi="Verdana" w:cs="Verdana"/>
          <w:noProof/>
          <w:sz w:val="20"/>
          <w:szCs w:val="20"/>
          <w:vertAlign w:val="superscript"/>
        </w:rPr>
        <w:footnoteReference w:id="81"/>
      </w:r>
      <w:r>
        <w:rPr>
          <w:rFonts w:ascii="Verdana" w:hAnsi="Verdana"/>
          <w:noProof/>
          <w:sz w:val="20"/>
          <w:szCs w:val="20"/>
        </w:rPr>
        <w:t>.</w:t>
      </w: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b/>
          <w:noProof/>
          <w:sz w:val="18"/>
          <w:szCs w:val="18"/>
        </w:rPr>
        <w:t>18 —</w:t>
      </w:r>
      <w:r>
        <w:rPr>
          <w:rFonts w:ascii="Verdana" w:hAnsi="Verdana"/>
          <w:noProof/>
          <w:sz w:val="18"/>
          <w:szCs w:val="18"/>
        </w:rPr>
        <w:t xml:space="preserve"> </w:t>
      </w:r>
      <w:r>
        <w:rPr>
          <w:rFonts w:ascii="Verdana" w:hAnsi="Verdana"/>
          <w:b/>
          <w:bCs/>
          <w:noProof/>
          <w:sz w:val="18"/>
          <w:szCs w:val="18"/>
        </w:rPr>
        <w:t>Exemplo de boas práticas:</w:t>
      </w:r>
      <w:r>
        <w:rPr>
          <w:rFonts w:ascii="Verdana" w:hAnsi="Verdana"/>
          <w:noProof/>
          <w:sz w:val="18"/>
          <w:szCs w:val="18"/>
        </w:rPr>
        <w:t xml:space="preserve"> </w:t>
      </w:r>
      <w:r>
        <w:rPr>
          <w:rFonts w:ascii="Verdana" w:hAnsi="Verdana"/>
          <w:b/>
          <w:bCs/>
          <w:noProof/>
          <w:sz w:val="18"/>
          <w:szCs w:val="18"/>
        </w:rPr>
        <w:t xml:space="preserve">programa estratégico para o esturjão no Danúbio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O esturjão é um elemento importante do património natural da bacia do Danúbio e do mar Negro, constituindo um </w:t>
      </w:r>
      <w:r>
        <w:rPr>
          <w:rFonts w:ascii="Verdana" w:hAnsi="Verdana"/>
          <w:b/>
          <w:bCs/>
          <w:noProof/>
          <w:sz w:val="18"/>
          <w:szCs w:val="18"/>
        </w:rPr>
        <w:t xml:space="preserve">excelente indicador da boa qualidade da água e dos </w:t>
      </w:r>
      <w:r>
        <w:rPr>
          <w:rFonts w:ascii="Verdana" w:hAnsi="Verdana"/>
          <w:b/>
          <w:bCs/>
          <w:i/>
          <w:iCs/>
          <w:noProof/>
          <w:sz w:val="18"/>
          <w:szCs w:val="18"/>
        </w:rPr>
        <w:t>habitats</w:t>
      </w:r>
      <w:r>
        <w:rPr>
          <w:rFonts w:ascii="Verdana" w:hAnsi="Verdana"/>
          <w:noProof/>
          <w:sz w:val="18"/>
          <w:szCs w:val="18"/>
        </w:rPr>
        <w:t xml:space="preserve">. Atualmente, quatro das suas seis espécies estão em perigo crítico, uma é considerada vulnerável e a outra está extinta. Todas </w:t>
      </w:r>
      <w:r>
        <w:rPr>
          <w:rFonts w:ascii="Verdana" w:hAnsi="Verdana"/>
          <w:b/>
          <w:bCs/>
          <w:noProof/>
          <w:sz w:val="18"/>
          <w:szCs w:val="18"/>
        </w:rPr>
        <w:t>gozam de proteção ao abrigo da Diretiva </w:t>
      </w:r>
      <w:r>
        <w:rPr>
          <w:rFonts w:ascii="Verdana" w:hAnsi="Verdana"/>
          <w:b/>
          <w:bCs/>
          <w:i/>
          <w:iCs/>
          <w:noProof/>
          <w:sz w:val="18"/>
          <w:szCs w:val="18"/>
        </w:rPr>
        <w:t>Habitats</w:t>
      </w:r>
      <w:r>
        <w:rPr>
          <w:rFonts w:ascii="Verdana" w:hAnsi="Verdana"/>
          <w:b/>
          <w:bCs/>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Em junho de 2011, a Estratégia da UE para a Região do Danúbio estabeleceu como um dos seus objetivos (objetivo PA6) «</w:t>
      </w:r>
      <w:r>
        <w:rPr>
          <w:rFonts w:ascii="Verdana" w:hAnsi="Verdana"/>
          <w:i/>
          <w:iCs/>
          <w:noProof/>
          <w:sz w:val="18"/>
          <w:szCs w:val="18"/>
        </w:rPr>
        <w:t>fixar populações viáveis de espécies de esturjão do Danúbio e outras espécies indígenas de peixe até 2020</w:t>
      </w:r>
      <w:r>
        <w:rPr>
          <w:rFonts w:ascii="Verdana" w:hAnsi="Verdana"/>
          <w:noProof/>
          <w:sz w:val="18"/>
          <w:szCs w:val="18"/>
        </w:rPr>
        <w:t>».</w:t>
      </w:r>
      <w:r>
        <w:rPr>
          <w:rFonts w:ascii="Verdana" w:hAnsi="Verdana"/>
          <w:i/>
          <w:iCs/>
          <w:noProof/>
          <w:sz w:val="18"/>
          <w:szCs w:val="18"/>
        </w:rPr>
        <w:t xml:space="preserve"> </w:t>
      </w:r>
      <w:r>
        <w:rPr>
          <w:rFonts w:ascii="Verdana" w:hAnsi="Verdana"/>
          <w:noProof/>
          <w:sz w:val="18"/>
          <w:szCs w:val="18"/>
        </w:rPr>
        <w:t xml:space="preserve">No ano seguinte, em janeiro de 2012, foi criado um </w:t>
      </w:r>
      <w:r>
        <w:rPr>
          <w:rFonts w:ascii="Verdana" w:hAnsi="Verdana"/>
          <w:b/>
          <w:bCs/>
          <w:noProof/>
          <w:sz w:val="18"/>
          <w:szCs w:val="18"/>
        </w:rPr>
        <w:t>grupo de missão para o esturjão do Danúbio</w:t>
      </w:r>
      <w:r>
        <w:rPr>
          <w:rFonts w:ascii="Verdana" w:hAnsi="Verdana"/>
          <w:noProof/>
          <w:sz w:val="18"/>
          <w:szCs w:val="18"/>
        </w:rPr>
        <w:t xml:space="preserve">, com o intuito de definir a forma de trabalhar em conjunto para a realização deste objetivo. O grupo juntou especialistas no esturjão, delegados de ONG e representantes da Comissão Internacional para a Proteção do Rio Danúbio, da Estratégia para a Região do Danúbio e dos governos nacionais.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Uma das primeiras ações do grupo de missão foi elaborar o programa Esturjão 2020, destinado a enquadrar uma ação concertada. A execução do </w:t>
      </w:r>
      <w:r>
        <w:rPr>
          <w:rFonts w:ascii="Verdana" w:hAnsi="Verdana"/>
          <w:bCs/>
          <w:noProof/>
          <w:sz w:val="18"/>
          <w:szCs w:val="18"/>
        </w:rPr>
        <w:t>programa</w:t>
      </w:r>
      <w:r>
        <w:rPr>
          <w:rFonts w:ascii="Verdana" w:hAnsi="Verdana"/>
          <w:b/>
          <w:bCs/>
          <w:noProof/>
          <w:sz w:val="18"/>
          <w:szCs w:val="18"/>
        </w:rPr>
        <w:t xml:space="preserve"> </w:t>
      </w:r>
      <w:r>
        <w:rPr>
          <w:rFonts w:ascii="Verdana" w:hAnsi="Verdana"/>
          <w:bCs/>
          <w:noProof/>
          <w:sz w:val="18"/>
          <w:szCs w:val="18"/>
        </w:rPr>
        <w:t xml:space="preserve">exigiu o </w:t>
      </w:r>
      <w:r>
        <w:rPr>
          <w:rFonts w:ascii="Verdana" w:hAnsi="Verdana"/>
          <w:noProof/>
          <w:sz w:val="18"/>
          <w:szCs w:val="18"/>
        </w:rPr>
        <w:t xml:space="preserve">empenhamento e uma cooperação complexa entre governos, decisores, comunidades locais, partes interessadas, cientistas e ONG.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O plano de gestão da bacia hidrográfica do Danúbio (PGBHD), com o programa de medidas afim, constitui um instrumento óbvio para avançar com as medidas propostas no âmbito do programa Esturjão 2020. O segundo projeto de PGBHD, atualizado em 2015, estabelece como uma das suas perspetivas e objetivos de gestão assegurar «</w:t>
      </w:r>
      <w:r>
        <w:rPr>
          <w:rFonts w:ascii="Verdana" w:hAnsi="Verdana"/>
          <w:i/>
          <w:iCs/>
          <w:noProof/>
          <w:sz w:val="18"/>
          <w:szCs w:val="18"/>
        </w:rPr>
        <w:t>que as barreiras antropogénicas e os défices de</w:t>
      </w:r>
      <w:r>
        <w:rPr>
          <w:rFonts w:ascii="Verdana" w:hAnsi="Verdana"/>
          <w:noProof/>
          <w:sz w:val="18"/>
          <w:szCs w:val="18"/>
        </w:rPr>
        <w:t xml:space="preserve"> habitats </w:t>
      </w:r>
      <w:r>
        <w:rPr>
          <w:rFonts w:ascii="Verdana" w:hAnsi="Verdana"/>
          <w:i/>
          <w:iCs/>
          <w:noProof/>
          <w:sz w:val="18"/>
          <w:szCs w:val="18"/>
        </w:rPr>
        <w:t xml:space="preserve">deixem de obstar à migração e à desova dos peixes e que as espécies de esturjão e as outras espécies migratórias especificadas consigam aceder ao Danúbio e aos respetivos afluentes. As espécies de esturjão e as outras espécies migratórias especificadas devem estar representadas com populações autossuficientes na região hidrográfica do rio Danúbio (RHRD), de acordo com a sua distribuição histórica».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Foram identificadas várias medidas para alcançar este objetivo de gestão, entre as quais se destacam: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bCs/>
          <w:noProof/>
          <w:sz w:val="18"/>
          <w:szCs w:val="18"/>
        </w:rPr>
        <w:t xml:space="preserve">Estabelecer o número e a localização dos dispositivos de auxílio à migração </w:t>
      </w:r>
      <w:r>
        <w:rPr>
          <w:rFonts w:ascii="Verdana" w:hAnsi="Verdana"/>
          <w:noProof/>
          <w:sz w:val="18"/>
          <w:szCs w:val="18"/>
        </w:rPr>
        <w:t xml:space="preserve">dos peixes e de outras medidas para concretizar ou melhorar a continuidade do rio, a aplicar até 2021 por cada país.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Indicar os locais de aplicação e o alcance das medidas destinadas a melhorar a morfologia do rio através do restabelecimento, da conservação e de melhorias, a aplicar até 2021 por cada país.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bCs/>
          <w:noProof/>
          <w:sz w:val="18"/>
          <w:szCs w:val="18"/>
        </w:rPr>
        <w:t xml:space="preserve">Suspender a construção de novos obstáculos à migração dos peixes </w:t>
      </w:r>
      <w:r>
        <w:rPr>
          <w:rFonts w:ascii="Verdana" w:hAnsi="Verdana"/>
          <w:noProof/>
          <w:sz w:val="18"/>
          <w:szCs w:val="18"/>
        </w:rPr>
        <w:t xml:space="preserve">impostas por novos projetos de infraestruturas. Os novos obstáculos que sejam inevitáveis têm de incorporar as medidas de atenuação necessárias, tais como ajudas à migração dos peixes ou outras medidas adequadas, logo na fase de projeto.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bCs/>
          <w:noProof/>
          <w:sz w:val="18"/>
          <w:szCs w:val="18"/>
        </w:rPr>
        <w:t xml:space="preserve">Preencher as lacunas de conhecimentos </w:t>
      </w:r>
      <w:r>
        <w:rPr>
          <w:rFonts w:ascii="Verdana" w:hAnsi="Verdana"/>
          <w:noProof/>
          <w:sz w:val="18"/>
          <w:szCs w:val="18"/>
        </w:rPr>
        <w:t xml:space="preserve">relacionados com a possibilidade de o esturjão e as outras espécies migratórias especificadas migrarem para montante e jusante através das barragens «Iron Gate I &amp; II», nomeadamente com a realização de levantamentos nos </w:t>
      </w:r>
      <w:r>
        <w:rPr>
          <w:rFonts w:ascii="Verdana" w:hAnsi="Verdana"/>
          <w:i/>
          <w:iCs/>
          <w:noProof/>
          <w:sz w:val="18"/>
          <w:szCs w:val="18"/>
        </w:rPr>
        <w:t>habitats</w:t>
      </w:r>
      <w:r>
        <w:rPr>
          <w:rFonts w:ascii="Verdana" w:hAnsi="Verdana"/>
          <w:noProof/>
          <w:sz w:val="18"/>
          <w:szCs w:val="18"/>
        </w:rPr>
        <w:t xml:space="preserve">.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Se os resultados destes levantamentos forem positivos, deverão ser aplicadas medidas adequadas e deverá ser realizado um estudo de viabilidade sobre a barragem de Gabčíkovo e o curso superior do Danúbio.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Segundo o PGBHD, até 2021, serão construídos </w:t>
      </w:r>
      <w:r>
        <w:rPr>
          <w:rFonts w:ascii="Verdana" w:hAnsi="Verdana"/>
          <w:b/>
          <w:bCs/>
          <w:noProof/>
          <w:sz w:val="18"/>
          <w:szCs w:val="18"/>
        </w:rPr>
        <w:t xml:space="preserve">140 dispositivos de auxílio à migração dos peixes </w:t>
      </w:r>
      <w:r>
        <w:rPr>
          <w:rFonts w:ascii="Verdana" w:hAnsi="Verdana"/>
          <w:noProof/>
          <w:sz w:val="18"/>
          <w:szCs w:val="18"/>
        </w:rPr>
        <w:t xml:space="preserve">na bacia hidrográfica (dos quais 120 foram já construídos desde o primeiro PGBHD). Estes dispositivos devem assegurar a migração de todas as espécies piscícolas, incluindo o esturjão, independentemente da classe etária, utilizando as melhores técnicas disponíveis. Após 2021, está prevista a aplicação de </w:t>
      </w:r>
      <w:r>
        <w:rPr>
          <w:rFonts w:ascii="Verdana" w:hAnsi="Verdana"/>
          <w:b/>
          <w:bCs/>
          <w:noProof/>
          <w:sz w:val="18"/>
          <w:szCs w:val="18"/>
        </w:rPr>
        <w:t xml:space="preserve">mais cerca de 330 medidas para suprimir as interrupções à continuidade do rio </w:t>
      </w:r>
      <w:r>
        <w:rPr>
          <w:rFonts w:ascii="Verdana" w:hAnsi="Verdana"/>
          <w:noProof/>
          <w:sz w:val="18"/>
          <w:szCs w:val="18"/>
        </w:rPr>
        <w:t xml:space="preserve">(artigo 4.º, n.º 4, da DQA). http://www.dstf.eu </w:t>
      </w:r>
    </w:p>
    <w:p>
      <w:pPr>
        <w:spacing w:after="240"/>
        <w:jc w:val="both"/>
        <w:rPr>
          <w:rFonts w:ascii="Verdana" w:hAnsi="Verdana"/>
          <w:noProof/>
          <w:sz w:val="20"/>
          <w:szCs w:val="20"/>
        </w:rPr>
      </w:pPr>
    </w:p>
    <w:p>
      <w:pPr>
        <w:spacing w:after="240"/>
        <w:jc w:val="both"/>
        <w:rPr>
          <w:rFonts w:ascii="Verdana" w:hAnsi="Verdana"/>
          <w:i/>
          <w:noProof/>
          <w:sz w:val="20"/>
          <w:szCs w:val="20"/>
        </w:rPr>
      </w:pPr>
      <w:r>
        <w:rPr>
          <w:rFonts w:ascii="Verdana" w:hAnsi="Verdana"/>
          <w:b/>
          <w:i/>
          <w:noProof/>
          <w:sz w:val="20"/>
          <w:szCs w:val="20"/>
        </w:rPr>
        <w:t xml:space="preserve">2.3.4.d) </w:t>
      </w:r>
      <w:r>
        <w:rPr>
          <w:rFonts w:ascii="Verdana" w:hAnsi="Verdana"/>
          <w:b/>
          <w:bCs/>
          <w:i/>
          <w:noProof/>
          <w:sz w:val="20"/>
          <w:szCs w:val="20"/>
        </w:rPr>
        <w:t>Medidas para assegurar a funcionalidade ecológica contínua dos locais de reprodução ou áreas de repouso</w:t>
      </w:r>
    </w:p>
    <w:p>
      <w:pPr>
        <w:pStyle w:val="BodyText3"/>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b w:val="0"/>
          <w:i/>
          <w:noProof/>
          <w:sz w:val="20"/>
        </w:rPr>
      </w:pPr>
      <w:r>
        <w:rPr>
          <w:rFonts w:ascii="Verdana" w:hAnsi="Verdana"/>
          <w:b w:val="0"/>
          <w:i/>
          <w:noProof/>
          <w:sz w:val="20"/>
        </w:rPr>
        <w:t>As medidas que asseguram a funcionalidade ecológica contínua de um local de reprodução ou área de repouso no caso de projetos com um possível impacto nesses locais ou áreas têm de ter o caráter de medidas de atenuação (ou seja, medidas para reduzir ao mínimo ou mesmo anular o impacto negativo). Podem igualmente incluir medidas que melhoram ou gerem ativamente um determinado local de reprodução ou área de repouso, de tal forma que este não sofra — em momento algum — uma redução ou perda de funcionalidade ecológica. Desde que esta condição prévia seja satisfeita e que tais processos sejam controlados e acompanhados pelas autoridades competentes, não há necessidade de recorrer ao artigo 16.º.</w:t>
      </w:r>
    </w:p>
    <w:p>
      <w:pPr>
        <w:pStyle w:val="BodyText3"/>
        <w:spacing w:after="240"/>
        <w:jc w:val="both"/>
        <w:rPr>
          <w:rFonts w:ascii="Verdana" w:hAnsi="Verdana"/>
          <w:b w:val="0"/>
          <w:noProof/>
          <w:sz w:val="20"/>
        </w:rPr>
      </w:pPr>
      <w:r>
        <w:rPr>
          <w:rFonts w:ascii="Verdana" w:hAnsi="Verdana"/>
          <w:b w:val="0"/>
          <w:noProof/>
          <w:sz w:val="20"/>
        </w:rPr>
        <w:t xml:space="preserve">(2-67) </w:t>
      </w:r>
      <w:r>
        <w:rPr>
          <w:rFonts w:ascii="Verdana" w:hAnsi="Verdana"/>
          <w:noProof/>
          <w:sz w:val="20"/>
        </w:rPr>
        <w:t xml:space="preserve">As medidas utilizadas para assegurar a funcionalidade ecológica contínua </w:t>
      </w:r>
      <w:r>
        <w:rPr>
          <w:rFonts w:ascii="Verdana" w:hAnsi="Verdana"/>
          <w:b w:val="0"/>
          <w:noProof/>
          <w:sz w:val="20"/>
        </w:rPr>
        <w:t xml:space="preserve">(a seguir designadas por «medidas FEC») </w:t>
      </w:r>
      <w:r>
        <w:rPr>
          <w:rFonts w:ascii="Verdana" w:hAnsi="Verdana"/>
          <w:noProof/>
          <w:sz w:val="20"/>
        </w:rPr>
        <w:t>são medidas de prevenção que visam reduzir ao mínimo ou mesmo eliminar o impacto negativo de uma atividade nos locais de reprodução ou áreas de repouso</w:t>
      </w:r>
      <w:r>
        <w:rPr>
          <w:rFonts w:ascii="Verdana" w:hAnsi="Verdana"/>
          <w:b w:val="0"/>
          <w:noProof/>
          <w:sz w:val="20"/>
        </w:rPr>
        <w:t xml:space="preserve"> de espécies protegidas. Todavia, também podem ir mais longe e incluir ações que </w:t>
      </w:r>
      <w:r>
        <w:rPr>
          <w:rFonts w:ascii="Verdana" w:hAnsi="Verdana"/>
          <w:noProof/>
          <w:sz w:val="20"/>
        </w:rPr>
        <w:t>melhorem ativamente</w:t>
      </w:r>
      <w:r>
        <w:rPr>
          <w:rFonts w:ascii="Verdana" w:hAnsi="Verdana"/>
          <w:b w:val="0"/>
          <w:noProof/>
          <w:sz w:val="20"/>
        </w:rPr>
        <w:t xml:space="preserve"> um determinado local de reprodução ou área de repouso para que o mesmo não sofra — em momento algum — uma redução ou perda de funcionalidade ecológica. Estas ações podem incluir, por exemplo, ampliar o local ou criar novos </w:t>
      </w:r>
      <w:r>
        <w:rPr>
          <w:rFonts w:ascii="Verdana" w:hAnsi="Verdana"/>
          <w:b w:val="0"/>
          <w:i/>
          <w:iCs/>
          <w:noProof/>
          <w:sz w:val="20"/>
        </w:rPr>
        <w:t>habitats</w:t>
      </w:r>
      <w:r>
        <w:rPr>
          <w:rFonts w:ascii="Verdana" w:hAnsi="Verdana"/>
          <w:b w:val="0"/>
          <w:noProof/>
          <w:sz w:val="20"/>
        </w:rPr>
        <w:t xml:space="preserve"> num local de reprodução ou área de repouso, ou numa relação funcional direta com estes, a fim de manter a respetiva funcionalidade. Como é evidente, a manutenção ou melhoria da funcionalidade ecológica associada a tais medidas para a espécie em questão teriam de ser claramente demonstradas.</w:t>
      </w:r>
    </w:p>
    <w:p>
      <w:pPr>
        <w:pStyle w:val="BodyText3"/>
        <w:spacing w:after="240"/>
        <w:jc w:val="both"/>
        <w:rPr>
          <w:rFonts w:ascii="Verdana" w:hAnsi="Verdana"/>
          <w:b w:val="0"/>
          <w:noProof/>
          <w:sz w:val="20"/>
        </w:rPr>
      </w:pPr>
      <w:r>
        <w:rPr>
          <w:rFonts w:ascii="Verdana" w:hAnsi="Verdana"/>
          <w:b w:val="0"/>
          <w:noProof/>
          <w:sz w:val="20"/>
        </w:rPr>
        <w:t>(2-68)</w:t>
      </w:r>
      <w:r>
        <w:rPr>
          <w:rFonts w:ascii="Verdana" w:hAnsi="Verdana"/>
          <w:b w:val="0"/>
          <w:noProof/>
          <w:sz w:val="20"/>
        </w:rPr>
        <w:tab/>
        <w:t>Tais medidas só podem ser utilizadas em situações em que esteja em vigor um regime de autorizações ou de planeamento com procedimentos formais e em que as autoridades competentes possam avaliar se as medidas tomadas para preservar a funcionalidade de «reprodução» ou de «repouso» de um local são suficientes. As medidas FEC podem ser uma opção quando uma atividade é suscetível de afetar apenas partes de um local de reprodução ou área de repouso. Se o local de reprodução ou área de repouso, em consequência das medidas FEC, mantiver</w:t>
      </w:r>
      <w:r>
        <w:rPr>
          <w:rFonts w:ascii="Verdana" w:hAnsi="Verdana"/>
          <w:noProof/>
          <w:sz w:val="20"/>
        </w:rPr>
        <w:t xml:space="preserve"> </w:t>
      </w:r>
      <w:r>
        <w:rPr>
          <w:rFonts w:ascii="Verdana" w:hAnsi="Verdana"/>
          <w:b w:val="0"/>
          <w:noProof/>
          <w:sz w:val="20"/>
        </w:rPr>
        <w:t>pelo menos um tamanho igual (ou maior) e uma qualidade igual (ou melhor) para a espécie em questão, não haverá deterioração da função, qualidade ou integridade do local. É fundamental que a funcionalidade ecológica contínua do local seja mantida ou melhorada. Por conseguinte, é importante controlar a eficácia das medidas FEC.</w:t>
      </w:r>
    </w:p>
    <w:p>
      <w:pPr>
        <w:pStyle w:val="BodyText3"/>
        <w:spacing w:after="240"/>
        <w:jc w:val="both"/>
        <w:rPr>
          <w:rFonts w:ascii="Verdana" w:hAnsi="Verdana"/>
          <w:b w:val="0"/>
          <w:noProof/>
          <w:sz w:val="20"/>
        </w:rPr>
      </w:pPr>
      <w:r>
        <w:rPr>
          <w:rFonts w:ascii="Verdana" w:hAnsi="Verdana"/>
          <w:b w:val="0"/>
          <w:noProof/>
          <w:sz w:val="20"/>
        </w:rPr>
        <w:t>(2-69)</w:t>
      </w:r>
      <w:r>
        <w:rPr>
          <w:rFonts w:ascii="Verdana" w:hAnsi="Verdana"/>
          <w:b w:val="0"/>
          <w:noProof/>
          <w:sz w:val="20"/>
        </w:rPr>
        <w:tab/>
        <w:t xml:space="preserve">De acordo com o princípio da precaução, se as medidas propostas (por exemplo, pelo promotor no contexto de um projeto) não garantirem a funcionalidade ecológica contínua de um local, não devem ser consideradas conformes com o artigo 12.º, n.º 1, alínea d). A fim de cumprir o artigo 12.º, n.º 1, alínea d), </w:t>
      </w:r>
      <w:r>
        <w:rPr>
          <w:rFonts w:ascii="Verdana" w:hAnsi="Verdana"/>
          <w:noProof/>
          <w:sz w:val="20"/>
        </w:rPr>
        <w:t>tem de existir um elevado nível de certeza de que as medidas são suficientes para evitar qualquer deterioração ou destruição</w:t>
      </w:r>
      <w:r>
        <w:rPr>
          <w:rFonts w:ascii="Verdana" w:hAnsi="Verdana"/>
          <w:b w:val="0"/>
          <w:noProof/>
          <w:sz w:val="20"/>
        </w:rPr>
        <w:t xml:space="preserve"> e as medidas devem estar efetivamente em vigor na altura e na forma adequadas, de forma a evitar qualquer deterioração ou destruição. A avaliação da probabilidade de êxito tem de ser realizada com base em informações objetivas e à luz das características e das condições ambientais específicas do local em questão.</w:t>
      </w:r>
    </w:p>
    <w:p>
      <w:pPr>
        <w:pStyle w:val="BodyText3"/>
        <w:spacing w:after="240"/>
        <w:jc w:val="both"/>
        <w:rPr>
          <w:rFonts w:ascii="Verdana" w:hAnsi="Verdana"/>
          <w:b w:val="0"/>
          <w:noProof/>
          <w:sz w:val="20"/>
        </w:rPr>
      </w:pPr>
      <w:r>
        <w:rPr>
          <w:rFonts w:ascii="Verdana" w:hAnsi="Verdana"/>
          <w:b w:val="0"/>
          <w:noProof/>
          <w:sz w:val="20"/>
        </w:rPr>
        <w:t xml:space="preserve">(2-70) As medidas FEC adequadas que assegurem que não haverá qualquer deterioração da função, qualidade ou integridade do local terão um impacto global positivo relativamente à proteção das espécies em causa. </w:t>
      </w:r>
    </w:p>
    <w:p>
      <w:pPr>
        <w:pStyle w:val="BodyText3"/>
        <w:spacing w:after="240"/>
        <w:jc w:val="both"/>
        <w:rPr>
          <w:rFonts w:ascii="Verdana" w:hAnsi="Verdana"/>
          <w:b w:val="0"/>
          <w:noProof/>
          <w:sz w:val="20"/>
        </w:rPr>
      </w:pPr>
      <w:r>
        <w:rPr>
          <w:rFonts w:ascii="Verdana" w:hAnsi="Verdana"/>
          <w:b w:val="0"/>
          <w:noProof/>
          <w:sz w:val="20"/>
        </w:rPr>
        <w:t>(2-71)</w:t>
      </w:r>
      <w:r>
        <w:rPr>
          <w:rFonts w:ascii="Verdana" w:hAnsi="Verdana"/>
          <w:b w:val="0"/>
          <w:noProof/>
          <w:sz w:val="20"/>
        </w:rPr>
        <w:tab/>
        <w:t xml:space="preserve">As medidas FEC podem fazer parte integrante das especificações de uma atividade ou de um projeto; podem igualmente fazer parte das medidas de prevenção ao abrigo de um sistema de proteção rigorosa com vista a dar cumprimento ao artigo 12.º, n.º 1, alínea d). </w:t>
      </w:r>
    </w:p>
    <w:p>
      <w:pPr>
        <w:pStyle w:val="BodyText3"/>
        <w:spacing w:after="240"/>
        <w:jc w:val="both"/>
        <w:rPr>
          <w:rFonts w:ascii="Verdana" w:hAnsi="Verdana"/>
          <w:b w:val="0"/>
          <w:noProof/>
          <w:sz w:val="20"/>
        </w:rPr>
      </w:pPr>
      <w:r>
        <w:rPr>
          <w:rFonts w:ascii="Verdana" w:hAnsi="Verdana"/>
          <w:b w:val="0"/>
          <w:noProof/>
          <w:sz w:val="20"/>
        </w:rPr>
        <w:t>(2-72)</w:t>
      </w:r>
      <w:r>
        <w:rPr>
          <w:rFonts w:ascii="Verdana" w:hAnsi="Verdana"/>
          <w:b w:val="0"/>
          <w:noProof/>
          <w:sz w:val="20"/>
        </w:rPr>
        <w:tab/>
        <w:t>Com base na definição de locais de reprodução e áreas de repouso (ver secção 2.3.4.b), a abordagem descrita acima afigura-se especialmente pertinente quando se trata de animais com áreas de distribuição natural pequenas, onde os locais de reprodução ou áreas de repouso são delimitados enquanto «unidades funcionais» (ou seja, é utilizada a abordagem mais vasta). Neste caso, importa sublinhar que cada Estado-Membro tem de ser coerente na sua definição de locais de reprodução e áreas de repouso para uma determinada espécie e, consequentemente, na aplicação da sua proteção em todo o seu território.</w:t>
      </w:r>
    </w:p>
    <w:p>
      <w:pPr>
        <w:spacing w:after="240"/>
        <w:jc w:val="both"/>
        <w:rPr>
          <w:rFonts w:ascii="Verdana" w:hAnsi="Verdana" w:cs="Verdana"/>
          <w:noProof/>
          <w:sz w:val="20"/>
          <w:szCs w:val="20"/>
        </w:rPr>
      </w:pPr>
      <w:r>
        <w:rPr>
          <w:rFonts w:ascii="Verdana" w:hAnsi="Verdana"/>
          <w:noProof/>
          <w:sz w:val="20"/>
          <w:szCs w:val="20"/>
        </w:rPr>
        <w:t>(2-73)</w:t>
      </w:r>
      <w:r>
        <w:rPr>
          <w:rFonts w:ascii="Verdana" w:hAnsi="Verdana"/>
          <w:noProof/>
          <w:sz w:val="20"/>
          <w:szCs w:val="20"/>
        </w:rPr>
        <w:tab/>
      </w:r>
      <w:r>
        <w:rPr>
          <w:rFonts w:ascii="Verdana" w:hAnsi="Verdana"/>
          <w:b/>
          <w:noProof/>
          <w:sz w:val="20"/>
          <w:szCs w:val="20"/>
        </w:rPr>
        <w:t>As medidas FEC são diferentes das medidas compensatórias</w:t>
      </w:r>
      <w:r>
        <w:rPr>
          <w:rFonts w:ascii="Verdana" w:hAnsi="Verdana"/>
          <w:b/>
          <w:iCs/>
          <w:noProof/>
          <w:sz w:val="20"/>
          <w:szCs w:val="20"/>
        </w:rPr>
        <w:t xml:space="preserve"> em sentido estrito </w:t>
      </w:r>
      <w:r>
        <w:rPr>
          <w:rFonts w:ascii="Verdana" w:hAnsi="Verdana"/>
          <w:iCs/>
          <w:noProof/>
          <w:sz w:val="20"/>
          <w:szCs w:val="20"/>
        </w:rPr>
        <w:t xml:space="preserve">(incluindo as medidas compensatórias ao abrigo do artigo 6.º, n.º 4, da Diretiva </w:t>
      </w:r>
      <w:r>
        <w:rPr>
          <w:rFonts w:ascii="Verdana" w:hAnsi="Verdana"/>
          <w:i/>
          <w:iCs/>
          <w:noProof/>
          <w:sz w:val="20"/>
          <w:szCs w:val="20"/>
        </w:rPr>
        <w:t>Habitats</w:t>
      </w:r>
      <w:r>
        <w:rPr>
          <w:rFonts w:ascii="Verdana" w:hAnsi="Verdana"/>
          <w:iCs/>
          <w:noProof/>
          <w:sz w:val="20"/>
          <w:szCs w:val="20"/>
        </w:rPr>
        <w:t>)</w:t>
      </w:r>
      <w:r>
        <w:rPr>
          <w:rFonts w:ascii="Verdana" w:hAnsi="Verdana"/>
          <w:i/>
          <w:iCs/>
          <w:noProof/>
          <w:sz w:val="20"/>
          <w:szCs w:val="20"/>
        </w:rPr>
        <w:t>.</w:t>
      </w:r>
      <w:r>
        <w:rPr>
          <w:rFonts w:ascii="Verdana" w:hAnsi="Verdana"/>
          <w:b/>
          <w:i/>
          <w:iCs/>
          <w:noProof/>
          <w:sz w:val="20"/>
          <w:szCs w:val="20"/>
        </w:rPr>
        <w:t xml:space="preserve"> </w:t>
      </w:r>
      <w:r>
        <w:rPr>
          <w:rFonts w:ascii="Verdana" w:hAnsi="Verdana"/>
          <w:noProof/>
          <w:sz w:val="20"/>
          <w:szCs w:val="20"/>
        </w:rPr>
        <w:t>As medidas compensatórias visam compensar efeitos negativos específicos numa espécie</w:t>
      </w:r>
      <w:r>
        <w:rPr>
          <w:rFonts w:ascii="Verdana" w:hAnsi="Verdana"/>
          <w:bCs/>
          <w:noProof/>
          <w:sz w:val="20"/>
          <w:szCs w:val="20"/>
        </w:rPr>
        <w:t xml:space="preserve"> e, nesse sentido, dão a entender que há, ou houve, uma deterioração ou destruição de um local de reprodução ou área de repouso. O mesmo não se verifica com as medidas FEC, que asseguram que a funcionalidade ecológica contínua do local de reprodução ou área de repouso permanece intacta (em termos quantitativos e qualitativos) após a atividade ter ocorrido. Nos casos em que</w:t>
      </w:r>
      <w:r>
        <w:rPr>
          <w:rFonts w:ascii="Verdana" w:hAnsi="Verdana"/>
          <w:noProof/>
          <w:sz w:val="20"/>
          <w:szCs w:val="20"/>
        </w:rPr>
        <w:t xml:space="preserve"> há deterioração ou destruição de um local de reprodução ou área de reprodução, é sempre necessária uma derrogação ao abrigo do artigo 16.º, caso as condições estabelecidas nesse artigo sejam cumpridas. A secção 3.2.3.b analisa a utilização de medidas compensatórias ao abrigo do artigo 16.º.</w:t>
      </w:r>
    </w:p>
    <w:p>
      <w:pPr>
        <w:jc w:val="both"/>
        <w:rPr>
          <w:noProof/>
          <w:sz w:val="20"/>
          <w:szCs w:val="20"/>
        </w:rPr>
      </w:pPr>
    </w:p>
    <w:p>
      <w:pPr>
        <w:pStyle w:val="h4"/>
        <w:rPr>
          <w:noProof/>
        </w:rPr>
      </w:pPr>
      <w:r>
        <w:rPr>
          <w:noProof/>
        </w:rPr>
        <w:t>2.3.5.</w:t>
      </w:r>
      <w:r>
        <w:rPr>
          <w:noProof/>
        </w:rPr>
        <w:tab/>
        <w:t>Detenção, transporte, venda ou troca e oferta para fins de venda ou de troca de espécimes capturados no meio natural</w:t>
      </w:r>
    </w:p>
    <w:p>
      <w:pPr>
        <w:pStyle w:val="BodyText3"/>
        <w:pBdr>
          <w:top w:val="single" w:sz="8" w:space="1" w:color="000000"/>
          <w:left w:val="single" w:sz="8" w:space="4" w:color="000000"/>
          <w:bottom w:val="single" w:sz="8" w:space="1" w:color="000000"/>
          <w:right w:val="single" w:sz="8" w:space="4" w:color="000000"/>
        </w:pBdr>
        <w:shd w:val="clear" w:color="auto" w:fill="E6E6E6"/>
        <w:spacing w:after="240"/>
        <w:jc w:val="both"/>
        <w:rPr>
          <w:b w:val="0"/>
          <w:i/>
          <w:noProof/>
          <w:sz w:val="20"/>
        </w:rPr>
      </w:pPr>
      <w:r>
        <w:rPr>
          <w:rFonts w:ascii="Verdana" w:hAnsi="Verdana"/>
          <w:b w:val="0"/>
          <w:i/>
          <w:noProof/>
          <w:sz w:val="20"/>
        </w:rPr>
        <w:t>As proibições previstas no artigo 12.º, n.º 2, aplicam-se a todas as fases da vida das espécies constantes do anexo IV, alínea a).</w:t>
      </w:r>
    </w:p>
    <w:p>
      <w:pPr>
        <w:spacing w:after="360"/>
        <w:jc w:val="both"/>
        <w:rPr>
          <w:rFonts w:ascii="Verdana" w:hAnsi="Verdana" w:cs="Verdana"/>
          <w:noProof/>
          <w:sz w:val="18"/>
          <w:szCs w:val="20"/>
        </w:rPr>
      </w:pPr>
      <w:r>
        <w:rPr>
          <w:rFonts w:ascii="Verdana" w:hAnsi="Verdana"/>
          <w:noProof/>
          <w:sz w:val="20"/>
          <w:szCs w:val="20"/>
        </w:rPr>
        <w:t>(2-74)</w:t>
      </w:r>
      <w:r>
        <w:rPr>
          <w:rFonts w:ascii="Verdana" w:hAnsi="Verdana"/>
          <w:noProof/>
          <w:sz w:val="20"/>
          <w:szCs w:val="20"/>
        </w:rPr>
        <w:tab/>
        <w:t>Relativamente às espécies constantes do anexo IV, alínea a), o artigo 12.º, n.º 2, estabelece o seguinte: «os Estados-[M]embros proibirão a detenção, o transporte, o comércio ou a troca e a oferta para fins de venda ou de troca de espécimes capturados no meio natural, com exceção dos espécimes colhidos legalmente antes da entrada em vigor da presente diretiva». O artigo 12.º, n.º 3, estipula que as proibições previstas no artigo 12.º, n.º 1, alíneas a) e b), e no artigo 12.º, n.º 2, se aplicam a todas as fases da vida das espécies constantes do anexo IV, alínea a).</w:t>
      </w:r>
    </w:p>
    <w:p>
      <w:pPr>
        <w:pStyle w:val="h4"/>
        <w:ind w:left="993" w:hanging="993"/>
        <w:rPr>
          <w:noProof/>
        </w:rPr>
      </w:pPr>
      <w:r>
        <w:rPr>
          <w:noProof/>
        </w:rPr>
        <w:t>2.3.6.</w:t>
      </w:r>
      <w:r>
        <w:rPr>
          <w:noProof/>
        </w:rPr>
        <w:tab/>
        <w:t>Sistema de vigilância permanente das capturas ou abates acidentais das espécies constantes do anexo IV, alínea a)</w:t>
      </w:r>
    </w:p>
    <w:p>
      <w:pPr>
        <w:pStyle w:val="BodyText3"/>
        <w:pBdr>
          <w:top w:val="single" w:sz="8" w:space="1" w:color="000000"/>
          <w:left w:val="single" w:sz="8" w:space="4" w:color="000000"/>
          <w:bottom w:val="single" w:sz="8" w:space="1" w:color="000000"/>
          <w:right w:val="single" w:sz="8" w:space="4" w:color="000000"/>
        </w:pBdr>
        <w:shd w:val="clear" w:color="auto" w:fill="E6E6E6"/>
        <w:spacing w:after="240"/>
        <w:jc w:val="both"/>
        <w:rPr>
          <w:b w:val="0"/>
          <w:i/>
          <w:noProof/>
          <w:sz w:val="20"/>
        </w:rPr>
      </w:pPr>
      <w:r>
        <w:rPr>
          <w:rFonts w:ascii="Verdana" w:hAnsi="Verdana"/>
          <w:b w:val="0"/>
          <w:i/>
          <w:noProof/>
          <w:sz w:val="20"/>
        </w:rPr>
        <w:t>O artigo 12.º, n.º 4, obriga os Estados-Membros a instituírem um sistema de vigilância permanente das capturas e abates acidentais e a realizarem subsequentes investigações ou tomarem medidas de conservação com vista a garantir que as capturas e os abates acidentais não tenham um impacto negativo importante nas espécies em questão.</w:t>
      </w:r>
    </w:p>
    <w:p>
      <w:pPr>
        <w:spacing w:after="240"/>
        <w:jc w:val="both"/>
        <w:rPr>
          <w:rFonts w:ascii="Verdana" w:hAnsi="Verdana"/>
          <w:noProof/>
          <w:sz w:val="20"/>
          <w:szCs w:val="20"/>
        </w:rPr>
      </w:pPr>
      <w:r>
        <w:rPr>
          <w:rFonts w:ascii="Verdana" w:hAnsi="Verdana"/>
          <w:noProof/>
          <w:sz w:val="20"/>
          <w:szCs w:val="20"/>
        </w:rPr>
        <w:t xml:space="preserve">(2-75) O artigo 12.º, n.º 4, obriga à instituição de um sistema de vigilância permanente das capturas ou abates acidentais das espécies da fauna enumeradas no anexo IV, alínea a). </w:t>
      </w:r>
      <w:r>
        <w:rPr>
          <w:rFonts w:ascii="Verdana" w:hAnsi="Verdana"/>
          <w:b/>
          <w:noProof/>
          <w:sz w:val="20"/>
          <w:szCs w:val="20"/>
        </w:rPr>
        <w:t>O sistema de vigilância permanente tem de ser suficientemente robusto para poder obter dados fiáveis sobre o impacto de todas as atividades que possam implicar um risco de captura ou abate acidental das espécies em questão.</w:t>
      </w:r>
      <w:r>
        <w:rPr>
          <w:rFonts w:ascii="Verdana" w:hAnsi="Verdana"/>
          <w:noProof/>
          <w:sz w:val="20"/>
          <w:szCs w:val="20"/>
        </w:rPr>
        <w:t xml:space="preserve"> As informações recolhidas têm de poder dar uma estimativa fiável das capturas e abates acidentais que, aliada aos resultados da vigilância do respetivo estado de conservação, possa conduzir a uma decisão informada sobre se são necessárias medidas de conservação para garantir que não haja um impacto negativo importante na espécie em questão.</w:t>
      </w:r>
    </w:p>
    <w:p>
      <w:pPr>
        <w:spacing w:after="240"/>
        <w:jc w:val="both"/>
        <w:rPr>
          <w:rFonts w:ascii="Verdana" w:hAnsi="Verdana"/>
          <w:noProof/>
          <w:snapToGrid w:val="0"/>
          <w:sz w:val="20"/>
          <w:szCs w:val="20"/>
        </w:rPr>
      </w:pPr>
      <w:r>
        <w:rPr>
          <w:rFonts w:ascii="Verdana" w:hAnsi="Verdana"/>
          <w:noProof/>
          <w:snapToGrid w:val="0"/>
          <w:sz w:val="20"/>
          <w:szCs w:val="20"/>
        </w:rPr>
        <w:t>São exemplos disto a vigilância da captura acessória de cetáceos ou tartarugas</w:t>
      </w:r>
      <w:r>
        <w:rPr>
          <w:rFonts w:ascii="Verdana" w:hAnsi="Verdana"/>
          <w:noProof/>
          <w:snapToGrid w:val="0"/>
          <w:sz w:val="20"/>
          <w:szCs w:val="20"/>
        </w:rPr>
        <w:noBreakHyphen/>
        <w:t>marinhas nas artes de pesca, ou o seu abate em colisões com navios, a vigilância das mortes de morcegos nas proximidades de turbinas eólicas e a vigilância dos atropelamentos de animais (por exemplo, anfíbios durante as migrações na primavera). No processo C-308/08, o Tribunal de Justiça abordou a questão da aplicação do artigo 12.º, n.º 4, relativamente ao lince-ibérico (</w:t>
      </w:r>
      <w:r>
        <w:rPr>
          <w:rFonts w:ascii="Verdana" w:hAnsi="Verdana"/>
          <w:i/>
          <w:noProof/>
          <w:snapToGrid w:val="0"/>
          <w:sz w:val="20"/>
          <w:szCs w:val="20"/>
        </w:rPr>
        <w:t>Lynx pardinus</w:t>
      </w:r>
      <w:r>
        <w:rPr>
          <w:rFonts w:ascii="Verdana" w:hAnsi="Verdana"/>
          <w:noProof/>
          <w:snapToGrid w:val="0"/>
          <w:sz w:val="20"/>
          <w:szCs w:val="20"/>
        </w:rPr>
        <w:t>) na Andaluzia e constatou a existência de um sistema de vigilância dos abates acidentais de linces-ibéricos associados à circulação rodoviária (ver caixa abaixo).</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b/>
          <w:noProof/>
          <w:sz w:val="18"/>
          <w:szCs w:val="20"/>
        </w:rPr>
      </w:pPr>
      <w:r>
        <w:rPr>
          <w:rFonts w:ascii="Verdana" w:hAnsi="Verdana"/>
          <w:b/>
          <w:noProof/>
          <w:sz w:val="18"/>
          <w:szCs w:val="20"/>
        </w:rPr>
        <w:t>19 — Exemplo de boas práticas: beneficiação de uma estrada que atravessa o território do lince-ibérico</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noProof/>
          <w:sz w:val="18"/>
          <w:szCs w:val="18"/>
        </w:rPr>
      </w:pPr>
      <w:r>
        <w:rPr>
          <w:rFonts w:ascii="Verdana" w:hAnsi="Verdana"/>
          <w:noProof/>
          <w:sz w:val="18"/>
          <w:szCs w:val="20"/>
        </w:rPr>
        <w:t>O lince-ibérico (</w:t>
      </w:r>
      <w:r>
        <w:rPr>
          <w:rFonts w:ascii="Verdana" w:hAnsi="Verdana"/>
          <w:i/>
          <w:noProof/>
          <w:sz w:val="18"/>
          <w:szCs w:val="20"/>
        </w:rPr>
        <w:t>Lynx pardinus</w:t>
      </w:r>
      <w:r>
        <w:rPr>
          <w:rFonts w:ascii="Verdana" w:hAnsi="Verdana"/>
          <w:noProof/>
          <w:sz w:val="18"/>
          <w:szCs w:val="20"/>
        </w:rPr>
        <w:t xml:space="preserve">) é a espécie de felino mais ameaçada do mundo. Alimenta-se quase exclusivamente do coelho-bravo, o que torna a espécie ainda mais vulnerável devido às suas exigências ecológicas estritas. O lince-ibérico é uma espécie em perigo devido a uma conjugação de ameaças: </w:t>
      </w:r>
      <w:r>
        <w:rPr>
          <w:rFonts w:ascii="Verdana" w:hAnsi="Verdana"/>
          <w:bCs/>
          <w:noProof/>
          <w:sz w:val="18"/>
          <w:szCs w:val="20"/>
        </w:rPr>
        <w:t>base alimentar em decréscimo</w:t>
      </w:r>
      <w:r>
        <w:rPr>
          <w:rFonts w:ascii="Verdana" w:hAnsi="Verdana"/>
          <w:noProof/>
          <w:sz w:val="18"/>
          <w:szCs w:val="20"/>
        </w:rPr>
        <w:t xml:space="preserve"> (epidemias, como a da mixomatose e a da doença hemorrágica, afetaram as populações de coelhos ao longo dos anos), </w:t>
      </w:r>
      <w:r>
        <w:rPr>
          <w:rFonts w:ascii="Verdana" w:hAnsi="Verdana"/>
          <w:bCs/>
          <w:noProof/>
          <w:sz w:val="18"/>
          <w:szCs w:val="20"/>
        </w:rPr>
        <w:t xml:space="preserve">colisões com veículos (devido à fragmentação do seu </w:t>
      </w:r>
      <w:r>
        <w:rPr>
          <w:rFonts w:ascii="Verdana" w:hAnsi="Verdana"/>
          <w:bCs/>
          <w:i/>
          <w:iCs/>
          <w:noProof/>
          <w:sz w:val="18"/>
          <w:szCs w:val="20"/>
        </w:rPr>
        <w:t>habitat</w:t>
      </w:r>
      <w:r>
        <w:rPr>
          <w:rFonts w:ascii="Verdana" w:hAnsi="Verdana"/>
          <w:bCs/>
          <w:noProof/>
          <w:sz w:val="18"/>
          <w:szCs w:val="20"/>
        </w:rPr>
        <w:t xml:space="preserve"> por muitas estradas rurais), perda e </w:t>
      </w:r>
      <w:r>
        <w:rPr>
          <w:rFonts w:ascii="Verdana" w:hAnsi="Verdana"/>
          <w:bCs/>
          <w:noProof/>
          <w:sz w:val="18"/>
          <w:szCs w:val="18"/>
        </w:rPr>
        <w:t>degradação</w:t>
      </w:r>
      <w:r>
        <w:rPr>
          <w:rFonts w:ascii="Verdana" w:hAnsi="Verdana"/>
          <w:noProof/>
          <w:sz w:val="18"/>
          <w:szCs w:val="18"/>
        </w:rPr>
        <w:t xml:space="preserve"> do </w:t>
      </w:r>
      <w:r>
        <w:rPr>
          <w:rFonts w:ascii="Verdana" w:hAnsi="Verdana"/>
          <w:i/>
          <w:iCs/>
          <w:noProof/>
          <w:sz w:val="18"/>
          <w:szCs w:val="18"/>
        </w:rPr>
        <w:t>habitat</w:t>
      </w:r>
      <w:r>
        <w:rPr>
          <w:rFonts w:ascii="Verdana" w:hAnsi="Verdana"/>
          <w:noProof/>
          <w:sz w:val="18"/>
          <w:szCs w:val="18"/>
        </w:rPr>
        <w:t xml:space="preserve"> (construção de novas infraestruturas, como estradas, barragens, caminhos de ferro e outras atividades humanas) e abate ilegal (historicamente, a espécie era considerada simultaneamente um troféu de caça atrativo e um animal daninho). Na entrada no séc. XXI, o lince-ibérico estava em vias de extinção, com apenas cerca de 100 espécimes que sobreviviam em duas subpopulações isoladas na Andaluzia (Espanha) e em certas partes de Portugal. Em 2019, este número tinha aumentado para mais de 600 espécimes adultos em oito subpopulações cada vez mais entreligadas entre si.</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noProof/>
          <w:sz w:val="18"/>
          <w:szCs w:val="18"/>
        </w:rPr>
      </w:pPr>
      <w:r>
        <w:rPr>
          <w:rFonts w:ascii="Verdana" w:hAnsi="Verdana"/>
          <w:noProof/>
          <w:sz w:val="18"/>
          <w:szCs w:val="18"/>
        </w:rPr>
        <w:t>No âmbito do programa LIFE, a União Europeia apoiou significativamente a recuperação desta espécie, cuja população melhorou visivelmente ao longo da última década. No âmbito do projeto LIFE Iberlince</w:t>
      </w:r>
      <w:r>
        <w:rPr>
          <w:rFonts w:ascii="Verdana" w:hAnsi="Verdana"/>
          <w:noProof/>
          <w:sz w:val="18"/>
          <w:szCs w:val="18"/>
          <w:vertAlign w:val="superscript"/>
        </w:rPr>
        <w:footnoteReference w:id="82"/>
      </w:r>
      <w:r>
        <w:rPr>
          <w:rFonts w:ascii="Verdana" w:hAnsi="Verdana"/>
          <w:noProof/>
          <w:sz w:val="18"/>
          <w:szCs w:val="18"/>
        </w:rPr>
        <w:t>, as autoridades espanholas desenvolveram uma série de ações com vista a melhorar as ligações entre os diferentes núcleos da população e a reduzir em 30 % a taxa de mortalidade do lince-ibérico associada à colisão com veículos. As ações executadas neste contexto incluíram a construção e adaptação de passagens para a fauna, vedações de exclusão em pontos específicos, sinalização e determinação de limites de velocidade. O Ministério espanhol das Obras Públicas e dos Transportes, autoridade competente para a segurança rodoviária, tornou-se beneficiário associado deste projeto LIFE, a fim de promover a execução de ações para reduzir o risco de colisões. Poderão ser necessários novos esforços e medidas para garantir que o abate acidental causado por colisões rodoviárias e outras causas de mortalidade não naturais sejam devidamente abordadas e que são evitados impactos importantes na população de lince-ibérico.</w:t>
      </w:r>
    </w:p>
    <w:p>
      <w:pPr>
        <w:spacing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b/>
          <w:noProof/>
          <w:sz w:val="18"/>
          <w:szCs w:val="18"/>
        </w:rPr>
      </w:pPr>
      <w:r>
        <w:rPr>
          <w:rFonts w:ascii="Verdana" w:hAnsi="Verdana"/>
          <w:b/>
          <w:noProof/>
          <w:sz w:val="18"/>
          <w:szCs w:val="18"/>
        </w:rPr>
        <w:t>20 — Exemplo de boas práticas: projeto LIFE SAFE CROSSING — prevenção de colisões entre animais e veículos</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O projeto LIFE SAFE-CROSSING visa pôr em prática ações para reduzir o impacto das estradas em algumas espécies prioritárias em quatro países europeus: o urso-pardo-marsicano (</w:t>
      </w:r>
      <w:r>
        <w:rPr>
          <w:rFonts w:ascii="Verdana" w:hAnsi="Verdana"/>
          <w:i/>
          <w:iCs/>
          <w:noProof/>
          <w:sz w:val="18"/>
          <w:szCs w:val="18"/>
        </w:rPr>
        <w:t>Ursus arctos marsicanus</w:t>
      </w:r>
      <w:r>
        <w:rPr>
          <w:rFonts w:ascii="Verdana" w:hAnsi="Verdana"/>
          <w:noProof/>
          <w:sz w:val="18"/>
          <w:szCs w:val="18"/>
        </w:rPr>
        <w:t>) e o lobo (</w:t>
      </w:r>
      <w:r>
        <w:rPr>
          <w:rFonts w:ascii="Verdana" w:hAnsi="Verdana"/>
          <w:i/>
          <w:iCs/>
          <w:noProof/>
          <w:sz w:val="18"/>
          <w:szCs w:val="18"/>
        </w:rPr>
        <w:t>Canis lupus</w:t>
      </w:r>
      <w:r>
        <w:rPr>
          <w:rFonts w:ascii="Verdana" w:hAnsi="Verdana"/>
          <w:noProof/>
          <w:sz w:val="18"/>
          <w:szCs w:val="18"/>
        </w:rPr>
        <w:t>) em Itália, o lince-ibérico (</w:t>
      </w:r>
      <w:r>
        <w:rPr>
          <w:rFonts w:ascii="Verdana" w:hAnsi="Verdana"/>
          <w:i/>
          <w:iCs/>
          <w:noProof/>
          <w:sz w:val="18"/>
          <w:szCs w:val="18"/>
        </w:rPr>
        <w:t>Lynx pardinus</w:t>
      </w:r>
      <w:r>
        <w:rPr>
          <w:rFonts w:ascii="Verdana" w:hAnsi="Verdana"/>
          <w:noProof/>
          <w:sz w:val="18"/>
          <w:szCs w:val="18"/>
        </w:rPr>
        <w:t>) em Espanha e o urso</w:t>
      </w:r>
      <w:r>
        <w:rPr>
          <w:rFonts w:ascii="Verdana" w:hAnsi="Verdana"/>
          <w:noProof/>
          <w:sz w:val="18"/>
          <w:szCs w:val="18"/>
        </w:rPr>
        <w:noBreakHyphen/>
        <w:t>pardo (</w:t>
      </w:r>
      <w:r>
        <w:rPr>
          <w:rFonts w:ascii="Verdana" w:hAnsi="Verdana"/>
          <w:i/>
          <w:iCs/>
          <w:noProof/>
          <w:sz w:val="18"/>
          <w:szCs w:val="18"/>
        </w:rPr>
        <w:t>Ursus arctos</w:t>
      </w:r>
      <w:r>
        <w:rPr>
          <w:rFonts w:ascii="Verdana" w:hAnsi="Verdana"/>
          <w:noProof/>
          <w:sz w:val="18"/>
          <w:szCs w:val="18"/>
        </w:rPr>
        <w:t>) na Grécia e na Roménia.</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Estas espécies são gravemente ameaçadas pelas infraestruturas rodoviárias, tanto devido à mortalidade direta como devido ao efeito de barreira. A fim de atenuar estes efeitos, o projeto basear-se-á na experiência obtida num projeto LIFE anterior, o projeto LIFE STRADE, no decurso do qual foi instalada com êxito uma ferramenta inovadora para a prevenção de colisões entre animais e veículos em 17 locais no centro de Itália. Verificou-se igualmente que uma das principais causas dos atropelamentos de animais é o reduzido nível de sensibilização e atenção dos condutores face ao risco de colisões com animais selvagens.</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cr/>
      </w:r>
      <w:r>
        <w:rPr>
          <w:rFonts w:ascii="Verdana" w:hAnsi="Verdana"/>
          <w:noProof/>
          <w:sz w:val="18"/>
          <w:szCs w:val="18"/>
        </w:rPr>
        <w:br/>
        <w:t>Por conseguinte, o projeto LIFE SAFE-CROSSING tem os seguintes objetivos:</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 xml:space="preserve">Demonstrar a utilização dos inovadores sistemas de prevenção de </w:t>
      </w:r>
      <w:hyperlink r:id="rId17" w:tgtFrame="_blank" w:history="1">
        <w:r>
          <w:rPr>
            <w:rFonts w:ascii="Verdana" w:hAnsi="Verdana"/>
            <w:noProof/>
            <w:color w:val="0000FF"/>
            <w:sz w:val="18"/>
            <w:szCs w:val="18"/>
            <w:u w:val="single"/>
          </w:rPr>
          <w:t>colisões entre animais e veículos</w:t>
        </w:r>
      </w:hyperlink>
      <w:r>
        <w:rPr>
          <w:rFonts w:ascii="Verdana" w:hAnsi="Verdana"/>
          <w:noProof/>
          <w:sz w:val="18"/>
          <w:szCs w:val="18"/>
        </w:rPr>
        <w:t> (AVC PS, do inglês «Animal-Vehicle Collision Prevention Systems»);</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Reduzir o risco de colisões rodoviárias com a espécie-alvo;</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Melhorar as ligações e favorecer a movimentação das populações-alvo;</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Aumentar a atenção dos condutores nas zonas do projeto para o risco de colisão com as espécies-alvo.</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O projeto conta com a participação de 13 parceiros: ONG, empresas privadas e organismos públicos. A participação da província de Terni assegurará a transferência de conhecimentos especializados do projeto LIFE STRADE para as novas zonas.</w:t>
      </w:r>
      <w:r>
        <w:rPr>
          <w:rFonts w:ascii="Verdana" w:hAnsi="Verdana"/>
          <w:noProof/>
          <w:sz w:val="18"/>
          <w:szCs w:val="18"/>
        </w:rPr>
        <w:cr/>
      </w:r>
      <w:r>
        <w:rPr>
          <w:rFonts w:ascii="Verdana" w:hAnsi="Verdana"/>
          <w:noProof/>
          <w:sz w:val="18"/>
          <w:szCs w:val="18"/>
        </w:rPr>
        <w:br/>
        <w:t>A zona do projeto SAFE-CROSSING inclui 29 sítios Natura 2000 (SIC). Ao reduzir a mortalidade direta e a fragmentação causada pelas estradas, o projeto contribuirá para melhorar a biodiversidade nos sítios Natura 2000, bem como a interligação entre os sítios. A normalização dos métodos e práticas e as atividades de divulgação promoverão a reprodução das boas práticas noutras zonas. Por fim, o esforço intenso de sensibilização durante o projeto também aumentará o conhecimento das comunidades locais e dos turistas sobre a rede Natura 2000.</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https://life.safe-crossing.eu/</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20"/>
          <w:szCs w:val="20"/>
        </w:rPr>
      </w:pPr>
      <w:r>
        <w:rPr>
          <w:rFonts w:ascii="Verdana" w:hAnsi="Verdana"/>
          <w:i/>
          <w:iCs/>
          <w:noProof/>
          <w:sz w:val="18"/>
          <w:szCs w:val="18"/>
        </w:rPr>
        <w:t>(</w:t>
      </w:r>
      <w:hyperlink r:id="rId18" w:history="1">
        <w:r>
          <w:rPr>
            <w:rFonts w:ascii="Verdana" w:hAnsi="Verdana"/>
            <w:i/>
            <w:iCs/>
            <w:noProof/>
            <w:color w:val="0000FF"/>
            <w:sz w:val="18"/>
            <w:szCs w:val="18"/>
            <w:u w:val="single"/>
          </w:rPr>
          <w:t>http://www.lifestrade.it/index.php/en/</w:t>
        </w:r>
      </w:hyperlink>
      <w:r>
        <w:rPr>
          <w:rFonts w:ascii="Verdana" w:hAnsi="Verdana"/>
          <w:i/>
          <w:iCs/>
          <w:noProof/>
          <w:sz w:val="18"/>
          <w:szCs w:val="18"/>
        </w:rPr>
        <w:t>)</w:t>
      </w:r>
      <w:r>
        <w:rPr>
          <w:rFonts w:ascii="Verdana" w:hAnsi="Verdana"/>
          <w:noProof/>
          <w:sz w:val="18"/>
          <w:szCs w:val="18"/>
        </w:rPr>
        <w:t> (LIFE11BIO/IT/072)</w:t>
      </w:r>
    </w:p>
    <w:p>
      <w:pPr>
        <w:spacing w:after="24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 xml:space="preserve">(2-76) A </w:t>
      </w:r>
      <w:r>
        <w:rPr>
          <w:rFonts w:ascii="Verdana" w:hAnsi="Verdana"/>
          <w:b/>
          <w:noProof/>
          <w:sz w:val="20"/>
          <w:szCs w:val="20"/>
        </w:rPr>
        <w:t>vigilância sistemática e a recolha de dados fiáveis</w:t>
      </w:r>
      <w:r>
        <w:rPr>
          <w:rFonts w:ascii="Verdana" w:hAnsi="Verdana"/>
          <w:noProof/>
          <w:sz w:val="20"/>
          <w:szCs w:val="20"/>
        </w:rPr>
        <w:t xml:space="preserve"> sobre as capturas e os abates acidentais são um requisito prévio essencial para a aplicação de medidas de conservação eficazes. Por exemplo, relativamente às capturas acessórias nas artes de pesca, o sistema de vigilância pode basear-se em dados recolhidos pelos Estados-Membros ao abrigo do quadro para a recolha de dados sobre as pescas</w:t>
      </w:r>
      <w:r>
        <w:rPr>
          <w:rFonts w:ascii="Verdana" w:hAnsi="Verdana"/>
          <w:noProof/>
          <w:sz w:val="20"/>
          <w:szCs w:val="20"/>
          <w:vertAlign w:val="superscript"/>
        </w:rPr>
        <w:footnoteReference w:id="83"/>
      </w:r>
      <w:r>
        <w:rPr>
          <w:rFonts w:ascii="Verdana" w:hAnsi="Verdana"/>
          <w:noProof/>
          <w:sz w:val="20"/>
          <w:szCs w:val="20"/>
        </w:rPr>
        <w:t>. O Regulamento 2017/1004 estabelece regras para a recolha, gestão e utilização de dados biológicos, ambientais, técnicos e socioeconómicos relacionados com o setor das pescas, contribuindo para os objetivos da política comum das pescas e da legislação sobre o ambiente. As tecnologias de controlo modernas, como as ferramentas de controlo eletrónico à distância (REM, do inglês «remote electronic monitoring») com circuitos fechados de televisão e sensores integrados, têm muito potencial. Os desenvolvimentos recentes em matéria de inteligência artificial podem facilitar a análise eletrónica de grandes volumes de dados REM. Estas ferramentas de controlo constituem um meio rentável e viável para as autoridades vigiarem e notificarem capturas acidentais de espécies sensíveis. Estas ferramentas REM estão a ser cada vez mais utilizadas por todo o mundo como solução para vários problemas de controlo das pescas, em situações em que é necessária uma vigilância contínua com uma boa relação custo-eficácia para a recolha de dados e para efeitos de controlo e fiscalização.</w:t>
      </w:r>
    </w:p>
    <w:p>
      <w:pPr>
        <w:spacing w:after="240"/>
        <w:jc w:val="both"/>
        <w:rPr>
          <w:rFonts w:ascii="Verdana" w:hAnsi="Verdana"/>
          <w:noProof/>
          <w:sz w:val="20"/>
          <w:szCs w:val="20"/>
        </w:rPr>
      </w:pPr>
      <w:r>
        <w:rPr>
          <w:rFonts w:ascii="Verdana" w:hAnsi="Verdana"/>
          <w:noProof/>
          <w:sz w:val="20"/>
          <w:szCs w:val="20"/>
        </w:rPr>
        <w:t>Os Estados-Membros são obrigados a estabelecer planos de trabalho nacionais em conformidade com o programa plurianual da UE para a recolha de dados. O programa para o período 2020-2021 foi adotado através da Decisão Delegada (UE) 2019/910 da Comissão e da Decisão de Execução (UE) 2019/909 da Comissão. O programa inclui a obrigação de recolher dados sobre as capturas acessórias de todas as aves, mamíferos, répteis e peixes protegidos ao abrigo da legislação da União Europeia e de acordos internacionais. É necessário recolher dados para todos os tipos de pescas e navios, durante viagens de observadores científicos em navios de pesca ou pelos próprios pescadores através dos diários de bordo.</w:t>
      </w:r>
    </w:p>
    <w:p>
      <w:pPr>
        <w:spacing w:after="240"/>
        <w:jc w:val="both"/>
        <w:rPr>
          <w:rFonts w:ascii="Verdana" w:hAnsi="Verdana"/>
          <w:noProof/>
          <w:sz w:val="20"/>
          <w:szCs w:val="20"/>
        </w:rPr>
      </w:pPr>
      <w:r>
        <w:rPr>
          <w:rFonts w:ascii="Verdana" w:hAnsi="Verdana"/>
          <w:noProof/>
          <w:sz w:val="20"/>
          <w:szCs w:val="20"/>
        </w:rPr>
        <w:t>Nos casos em que os dados recolhidos durante viagens de observação não fornecem informações suficientes sobre capturas acessórias para as necessidades dos utilizadores finais, os Estados-Membros têm de pôr em prática outras metodologias como,</w:t>
      </w:r>
      <w:r>
        <w:rPr>
          <w:noProof/>
        </w:rPr>
        <w:t xml:space="preserve"> </w:t>
      </w:r>
      <w:r>
        <w:rPr>
          <w:rFonts w:ascii="Verdana" w:hAnsi="Verdana"/>
          <w:noProof/>
          <w:sz w:val="20"/>
          <w:szCs w:val="20"/>
        </w:rPr>
        <w:t>por exemplo, a utilização de controlo eletrónico à distância (REM) através de câmaras dos navios que registam a alagem das artes de pesca e a captura. Os métodos e a qualidade da recolha de dados têm de ser adequados às finalidades a que se destinam e devem seguir as boas práticas e as metodologias pertinentes recomendadas por organismos científicos competentes. Devem abranger uma proporção suficiente da frota, a fim de fornecerem uma estimativa fiável das capturas acessórias. A recolha de dados sobre capturas acessórias de espécies protegidas e sensíveis ao abrigo dos regulamentos e diretivas pertinentes e a aplicação de medidas de conservação adequadas requerem uma cooperação intersetorial e interinstitucional estreita, a aplicação de regras e o apoio adequado de e para pescadores.</w:t>
      </w:r>
    </w:p>
    <w:p>
      <w:pPr>
        <w:spacing w:after="240"/>
        <w:jc w:val="both"/>
        <w:rPr>
          <w:rFonts w:ascii="Verdana" w:hAnsi="Verdana"/>
          <w:noProof/>
          <w:sz w:val="20"/>
          <w:szCs w:val="20"/>
        </w:rPr>
      </w:pPr>
      <w:r>
        <w:rPr>
          <w:rFonts w:ascii="Verdana" w:hAnsi="Verdana"/>
          <w:noProof/>
          <w:sz w:val="20"/>
          <w:szCs w:val="20"/>
        </w:rPr>
        <w:t xml:space="preserve">(2-77) </w:t>
      </w:r>
      <w:r>
        <w:rPr>
          <w:rFonts w:ascii="Verdana" w:hAnsi="Verdana"/>
          <w:b/>
          <w:noProof/>
          <w:sz w:val="20"/>
          <w:szCs w:val="20"/>
        </w:rPr>
        <w:t>Relativamente às espécies com áreas de repartição vastas, como os cetáceos que evoluem entre as águas territoriais de vários Estados-Membros, a cooperação com outros países na área de repartição natural da espécie é essencial</w:t>
      </w:r>
      <w:r>
        <w:rPr>
          <w:rFonts w:ascii="Verdana" w:hAnsi="Verdana"/>
          <w:noProof/>
          <w:sz w:val="20"/>
          <w:szCs w:val="20"/>
        </w:rPr>
        <w:t xml:space="preserve">, uma vez que a vigilância e as medidas dizem respeito a navios de pesca de países diferentes. Por conseguinte, vale a pena realçar que as obrigações previstas no artigo 12.º são uma responsabilidade partilhada dos Estados-Membros. Esta perspetiva é apoiada pela redação das disposições acima referidas e pelo objetivo supranacional da diretiva, que consiste em proteger as espécies e os </w:t>
      </w:r>
      <w:r>
        <w:rPr>
          <w:rFonts w:ascii="Verdana" w:hAnsi="Verdana"/>
          <w:i/>
          <w:iCs/>
          <w:noProof/>
          <w:sz w:val="20"/>
          <w:szCs w:val="20"/>
        </w:rPr>
        <w:t>habitats</w:t>
      </w:r>
      <w:r>
        <w:rPr>
          <w:rFonts w:ascii="Verdana" w:hAnsi="Verdana"/>
          <w:noProof/>
          <w:sz w:val="20"/>
          <w:szCs w:val="20"/>
        </w:rPr>
        <w:t xml:space="preserve"> de interesse comunitário em toda a sua área de repartição natural, bem como pelo dever de cooperação leal consagrado pelo Tratado da União Europeia. Por conseguinte, embora a responsabilidade principal de aplicação do artigo 12.º incumba aos Estados-Membros que albergam a espécie, os outros Estados-Membros têm de cooperar caso tal cooperação seja necessária para cumprirem os respetivos deveres jurídicos. Tal aplica</w:t>
      </w:r>
      <w:r>
        <w:rPr>
          <w:rFonts w:ascii="Verdana" w:hAnsi="Verdana"/>
          <w:noProof/>
          <w:sz w:val="20"/>
          <w:szCs w:val="20"/>
        </w:rPr>
        <w:noBreakHyphen/>
        <w:t>se tanto à vigilância como à aplicação de medidas de conservação.</w:t>
      </w:r>
    </w:p>
    <w:p>
      <w:pPr>
        <w:spacing w:after="240"/>
        <w:jc w:val="both"/>
        <w:rPr>
          <w:rFonts w:ascii="Verdana" w:hAnsi="Verdana"/>
          <w:noProof/>
          <w:sz w:val="20"/>
          <w:szCs w:val="20"/>
        </w:rPr>
      </w:pPr>
      <w:r>
        <w:rPr>
          <w:rFonts w:ascii="Verdana" w:hAnsi="Verdana"/>
          <w:noProof/>
          <w:sz w:val="20"/>
          <w:szCs w:val="20"/>
        </w:rPr>
        <w:t xml:space="preserve">(2-78) Com base nas informações recolhidas através do sistema de vigilância, os Estados‑Membros têm de proceder a subsequentes investigações ou medidas de conservação </w:t>
      </w:r>
      <w:r>
        <w:rPr>
          <w:rFonts w:ascii="Verdana" w:hAnsi="Verdana"/>
          <w:b/>
          <w:noProof/>
          <w:sz w:val="20"/>
          <w:szCs w:val="20"/>
        </w:rPr>
        <w:t>com vista a garantir que as capturas ou abates acidentais não tenham um impacto negativo importante nas espécies em questão</w:t>
      </w:r>
      <w:r>
        <w:rPr>
          <w:rFonts w:ascii="Verdana" w:hAnsi="Verdana"/>
          <w:noProof/>
          <w:sz w:val="20"/>
          <w:szCs w:val="20"/>
        </w:rPr>
        <w:t>. Por conseguinte, é também essencial que disponham de informações fiáveis sobre a população, a área de repartição e o estado de conservação da espécie, o que exige a aplicação plena da vigilância exigida nos termos do artigo 11.º da diretiva.</w:t>
      </w:r>
    </w:p>
    <w:p>
      <w:pPr>
        <w:spacing w:after="240"/>
        <w:jc w:val="both"/>
        <w:rPr>
          <w:rFonts w:ascii="Verdana" w:hAnsi="Verdana"/>
          <w:noProof/>
          <w:sz w:val="20"/>
          <w:szCs w:val="20"/>
          <w:highlight w:val="yellow"/>
        </w:rPr>
      </w:pPr>
      <w:r>
        <w:rPr>
          <w:rFonts w:ascii="Verdana" w:hAnsi="Verdana"/>
          <w:noProof/>
          <w:sz w:val="20"/>
          <w:szCs w:val="20"/>
        </w:rPr>
        <w:t>(2-79) Embora o artigo 12.º, n.º 4, não defina o que se entende por «impacte negativo importante»</w:t>
      </w:r>
      <w:r>
        <w:rPr>
          <w:rFonts w:ascii="Verdana" w:hAnsi="Verdana"/>
          <w:noProof/>
          <w:sz w:val="20"/>
          <w:szCs w:val="20"/>
          <w:vertAlign w:val="superscript"/>
        </w:rPr>
        <w:footnoteReference w:id="84"/>
      </w:r>
      <w:r>
        <w:rPr>
          <w:rFonts w:ascii="Verdana" w:hAnsi="Verdana"/>
          <w:noProof/>
          <w:sz w:val="20"/>
          <w:szCs w:val="20"/>
        </w:rPr>
        <w:t xml:space="preserve">, pode considerar-se que este implica um exame pormenorizado do efeito das capturas e abates acidentais no estado de subpopulações e populações de espécies e, por fim, na concretização ou manutenção do respetivo estado de conservação favorável. A importância do impacto terá de ser avaliada caso a caso, tendo em conta a história de vida da espécie, a magnitude e duração do impacto negativo e o estado de conservação e a tendência da espécie em questão. A título de exemplo, o impacto pode ser considerado importante se uma espécie estiver num estado de conservação desfavorável e houver uma nova redução dos números devido a capturas e abates acidentais, nomeadamente se estes afetarem as perspetivas de recuperação no futuro. O impacto também deve ser avaliado como importante se houver um número regular e significativo de animais capturados ou abatidos acidentalmente, que poderia afetar uma subpopulação ou população local da espécie em questão. </w:t>
      </w:r>
      <w:r>
        <w:rPr>
          <w:rFonts w:ascii="Verdana" w:hAnsi="Verdana"/>
          <w:b/>
          <w:noProof/>
          <w:sz w:val="20"/>
          <w:szCs w:val="20"/>
        </w:rPr>
        <w:t>Em caso de ausência de dados sobre o estado de conservação e/ou o nível efetivo de capturas e abates acidentais, deve aplicar-se o princípio da precaução.</w:t>
      </w:r>
    </w:p>
    <w:p>
      <w:pPr>
        <w:spacing w:after="240"/>
        <w:jc w:val="both"/>
        <w:rPr>
          <w:rFonts w:ascii="Verdana" w:hAnsi="Verdana"/>
          <w:noProof/>
          <w:sz w:val="20"/>
          <w:szCs w:val="20"/>
        </w:rPr>
      </w:pPr>
      <w:r>
        <w:rPr>
          <w:rFonts w:ascii="Verdana" w:hAnsi="Verdana"/>
          <w:noProof/>
          <w:sz w:val="20"/>
          <w:szCs w:val="20"/>
        </w:rPr>
        <w:t>(2-80) Outra atividade suscetível de causar o abate acidental de espécies marinhas sujeitas a proteção rigorosa é o tráfego marítimo, nomeadamente devido às colisões entre animais e navios (colisões com navios). Os Estados-Membros poderiam considerar uma ampla variedade de medidas de prevenção, nomeadamente reduzir a velocidade dos navios ou desviar o tráfego. Regra geral, estas medidas terão de ser aplicadas ao abrigo das regras da Organização Marítima Internacional (OMI). Dependendo do âmbito das medidas propostas e do seu impacto no tráfego marítimo regular, e em conformidade com a Diretiva 2002/59/CE, poderá ser necessário, para o efeito, um pedido da UE à OMI.</w:t>
      </w:r>
    </w:p>
    <w:p>
      <w:pPr>
        <w:spacing w:after="240"/>
        <w:jc w:val="both"/>
        <w:rPr>
          <w:rFonts w:ascii="Verdana" w:hAnsi="Verdana"/>
          <w:noProof/>
          <w:sz w:val="20"/>
          <w:szCs w:val="20"/>
        </w:rPr>
      </w:pPr>
      <w:r>
        <w:rPr>
          <w:rFonts w:ascii="Verdana" w:hAnsi="Verdana"/>
          <w:noProof/>
          <w:sz w:val="20"/>
          <w:szCs w:val="20"/>
        </w:rPr>
        <w:t>(2-81) Algumas atividades militares, nomeadamente a utilização de sonares ativos no ambiente marinho ou a imersão ou destruição de munições não deflagradas, podem causar o abate de espécies sensíveis, como os cetáceos. As atividades militares não estão isentas das disposições do artigo 12.º, pelo que as marinhas de vários Estados-Membros desenvolveram iniciativas políticas para a utilização de sonares militares, tendo em conta a necessidade de reduzir ao mínimo eventuais impactos ambientais. Por exemplo, é possível designar zonas de precaução onde a utilização de tais sonares seja limitada. Simultaneamente, deve respeitar-se a legislação internacional existente, principalmente no âmbito da Convenção das Nações Unidas sobre o Direito do Mar, que prevê disposições específicas em relação a determinados direitos e obrigações dos navios de guerra.</w:t>
      </w:r>
    </w:p>
    <w:p>
      <w:pPr>
        <w:autoSpaceDE w:val="0"/>
        <w:autoSpaceDN w:val="0"/>
        <w:adjustRightInd w:val="0"/>
        <w:spacing w:after="240"/>
        <w:jc w:val="both"/>
        <w:rPr>
          <w:rFonts w:ascii="Verdana" w:hAnsi="Verdana"/>
          <w:noProof/>
          <w:sz w:val="20"/>
          <w:szCs w:val="20"/>
        </w:rPr>
      </w:pPr>
    </w:p>
    <w:p>
      <w:pPr>
        <w:spacing w:after="240"/>
        <w:jc w:val="both"/>
        <w:rPr>
          <w:rFonts w:ascii="Verdana" w:hAnsi="Verdana"/>
          <w:noProof/>
          <w:sz w:val="20"/>
          <w:szCs w:val="20"/>
        </w:rPr>
      </w:pPr>
    </w:p>
    <w:p>
      <w:pPr>
        <w:rPr>
          <w:rFonts w:ascii="Verdana" w:hAnsi="Verdana"/>
          <w:noProof/>
          <w:sz w:val="20"/>
          <w:szCs w:val="20"/>
        </w:rPr>
      </w:pPr>
      <w:r>
        <w:rPr>
          <w:noProof/>
        </w:rPr>
        <w:br w:type="page"/>
      </w:r>
    </w:p>
    <w:p>
      <w:pPr>
        <w:pStyle w:val="h2"/>
        <w:rPr>
          <w:noProof/>
        </w:rPr>
      </w:pPr>
      <w:r>
        <w:rPr>
          <w:noProof/>
        </w:rPr>
        <w:t>3. ARTIGO 16.º</w:t>
      </w:r>
    </w:p>
    <w:tbl>
      <w:tblPr>
        <w:tblW w:w="9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468"/>
      </w:tblGrid>
      <w:tr>
        <w:tc>
          <w:tcPr>
            <w:tcW w:w="9468" w:type="dxa"/>
            <w:tcBorders>
              <w:bottom w:val="single" w:sz="12" w:space="0" w:color="000000"/>
            </w:tcBorders>
            <w:shd w:val="clear" w:color="auto" w:fill="3366FF"/>
          </w:tcPr>
          <w:p>
            <w:pPr>
              <w:spacing w:after="240"/>
              <w:jc w:val="both"/>
              <w:rPr>
                <w:rFonts w:ascii="Verdana" w:hAnsi="Verdana"/>
                <w:b/>
                <w:noProof/>
                <w:color w:val="FFFFFF" w:themeColor="background1"/>
              </w:rPr>
            </w:pPr>
            <w:r>
              <w:rPr>
                <w:rFonts w:ascii="Verdana" w:hAnsi="Verdana"/>
                <w:b/>
                <w:noProof/>
                <w:color w:val="FFFFFF" w:themeColor="background1"/>
              </w:rPr>
              <w:t>Texto do artigo 16.º</w:t>
            </w:r>
          </w:p>
        </w:tc>
      </w:tr>
      <w:tr>
        <w:tc>
          <w:tcPr>
            <w:tcW w:w="9468" w:type="dxa"/>
            <w:shd w:val="clear" w:color="auto" w:fill="BEF4FF"/>
          </w:tcPr>
          <w:p>
            <w:pPr>
              <w:spacing w:before="120" w:after="240"/>
              <w:rPr>
                <w:rFonts w:ascii="Verdana" w:hAnsi="Verdana"/>
                <w:i/>
                <w:noProof/>
                <w:sz w:val="20"/>
                <w:szCs w:val="20"/>
              </w:rPr>
            </w:pPr>
            <w:r>
              <w:rPr>
                <w:rFonts w:ascii="Verdana" w:hAnsi="Verdana"/>
                <w:i/>
                <w:noProof/>
                <w:sz w:val="20"/>
                <w:szCs w:val="20"/>
              </w:rPr>
              <w:t>1. Desde que não exista outra solução satisfatória e que a derrogação não prejudique a manutenção das populações da espécie em causa na sua área de repartição natural, num estado de conservação favorável, os Estados-membros poderão derrogar o disposto nos artigos 12.º, 13.º e 14.º e nas alíneas a) e b) do artigo 15.º:</w:t>
            </w:r>
          </w:p>
          <w:p>
            <w:pPr>
              <w:spacing w:after="240"/>
              <w:ind w:left="426" w:hanging="426"/>
              <w:rPr>
                <w:rFonts w:ascii="Verdana" w:hAnsi="Verdana"/>
                <w:i/>
                <w:noProof/>
                <w:sz w:val="20"/>
                <w:szCs w:val="20"/>
              </w:rPr>
            </w:pPr>
            <w:r>
              <w:rPr>
                <w:rFonts w:ascii="Verdana" w:hAnsi="Verdana"/>
                <w:i/>
                <w:noProof/>
                <w:sz w:val="20"/>
                <w:szCs w:val="20"/>
              </w:rPr>
              <w:t xml:space="preserve">a) No interesse da proteção da fauna e da flora selvagens e da conservação dos </w:t>
            </w:r>
            <w:r>
              <w:rPr>
                <w:rFonts w:ascii="Verdana" w:hAnsi="Verdana"/>
                <w:noProof/>
                <w:sz w:val="20"/>
                <w:szCs w:val="20"/>
              </w:rPr>
              <w:t>habitats</w:t>
            </w:r>
            <w:r>
              <w:rPr>
                <w:rFonts w:ascii="Verdana" w:hAnsi="Verdana"/>
                <w:i/>
                <w:noProof/>
                <w:sz w:val="20"/>
                <w:szCs w:val="20"/>
              </w:rPr>
              <w:t xml:space="preserve"> naturais;</w:t>
            </w:r>
          </w:p>
          <w:p>
            <w:pPr>
              <w:spacing w:after="240"/>
              <w:ind w:left="426" w:hanging="426"/>
              <w:rPr>
                <w:rFonts w:ascii="Verdana" w:hAnsi="Verdana"/>
                <w:i/>
                <w:noProof/>
                <w:sz w:val="20"/>
                <w:szCs w:val="20"/>
              </w:rPr>
            </w:pPr>
            <w:r>
              <w:rPr>
                <w:rFonts w:ascii="Verdana" w:hAnsi="Verdana"/>
                <w:i/>
                <w:noProof/>
                <w:sz w:val="20"/>
                <w:szCs w:val="20"/>
              </w:rPr>
              <w:t>b) Para evitar prejuízos sérios, nomeadamente às culturas, à criação de gado, às florestas, às zonas de pesca e às águas e a outras formas de propriedade;</w:t>
            </w:r>
          </w:p>
          <w:p>
            <w:pPr>
              <w:spacing w:after="240"/>
              <w:ind w:left="426" w:hanging="426"/>
              <w:rPr>
                <w:rFonts w:ascii="Verdana" w:hAnsi="Verdana"/>
                <w:i/>
                <w:noProof/>
                <w:sz w:val="20"/>
                <w:szCs w:val="20"/>
              </w:rPr>
            </w:pPr>
            <w:r>
              <w:rPr>
                <w:rFonts w:ascii="Verdana" w:hAnsi="Verdana"/>
                <w:i/>
                <w:noProof/>
                <w:sz w:val="20"/>
                <w:szCs w:val="20"/>
              </w:rPr>
              <w:t>c) No interesse da saúde e da segurança públicas ou por outras razões imperativas ou de interesse público prioritário, incluindo razões de caráter social ou económico e a consequências benéficas de importância primordial para o ambiente;</w:t>
            </w:r>
          </w:p>
          <w:p>
            <w:pPr>
              <w:spacing w:after="240"/>
              <w:ind w:left="426" w:hanging="426"/>
              <w:rPr>
                <w:rFonts w:ascii="Verdana" w:hAnsi="Verdana"/>
                <w:i/>
                <w:noProof/>
                <w:sz w:val="20"/>
                <w:szCs w:val="20"/>
              </w:rPr>
            </w:pPr>
            <w:r>
              <w:rPr>
                <w:rFonts w:ascii="Verdana" w:hAnsi="Verdana"/>
                <w:i/>
                <w:noProof/>
                <w:sz w:val="20"/>
                <w:szCs w:val="20"/>
              </w:rPr>
              <w:t>d) Para fins de investigação e de educação, de repovoamento e de reintrodução dessas espécies e para as operações de reprodução necessárias a esses fins, incluindo a reprodução artificial das plantas;</w:t>
            </w:r>
          </w:p>
          <w:p>
            <w:pPr>
              <w:spacing w:after="240"/>
              <w:ind w:left="426" w:hanging="426"/>
              <w:rPr>
                <w:rFonts w:ascii="Verdana" w:hAnsi="Verdana"/>
                <w:i/>
                <w:noProof/>
                <w:sz w:val="20"/>
                <w:szCs w:val="20"/>
              </w:rPr>
            </w:pPr>
            <w:r>
              <w:rPr>
                <w:rFonts w:ascii="Verdana" w:hAnsi="Verdana"/>
                <w:i/>
                <w:noProof/>
                <w:sz w:val="20"/>
                <w:szCs w:val="20"/>
              </w:rPr>
              <w:t>e) Para permitir, em condições estritamente controladas e de uma forma seletiva e numa dimensão limitada, a captura ou detenção de um número limitado especificado pelas autoridades nacionais competentes de determinados espécimes das espécies constantes do anexo IV.</w:t>
            </w:r>
          </w:p>
          <w:p>
            <w:pPr>
              <w:spacing w:after="240"/>
              <w:rPr>
                <w:rFonts w:ascii="Verdana" w:hAnsi="Verdana"/>
                <w:i/>
                <w:noProof/>
                <w:sz w:val="20"/>
                <w:szCs w:val="20"/>
              </w:rPr>
            </w:pPr>
            <w:r>
              <w:rPr>
                <w:rFonts w:ascii="Verdana" w:hAnsi="Verdana"/>
                <w:i/>
                <w:noProof/>
                <w:sz w:val="20"/>
                <w:szCs w:val="20"/>
              </w:rPr>
              <w:t>2. De dois em dois anos, os Estados-membros apresentarão à Comissão um relatório, conforme ao modelo elaborado pelo comité, sobre as derrogações efetuadas ao abrigo do n.º 1. A Comissão comunicará o seu parecer sobre essas derrogações num prazo máximo de doze meses a contar de receção do relatório e informará desse facto o comité.</w:t>
            </w:r>
          </w:p>
          <w:p>
            <w:pPr>
              <w:spacing w:after="240"/>
              <w:rPr>
                <w:rFonts w:ascii="Verdana" w:hAnsi="Verdana"/>
                <w:b/>
                <w:noProof/>
                <w:sz w:val="20"/>
                <w:szCs w:val="20"/>
              </w:rPr>
            </w:pPr>
            <w:r>
              <w:rPr>
                <w:rFonts w:ascii="Verdana" w:hAnsi="Verdana"/>
                <w:i/>
                <w:noProof/>
                <w:sz w:val="20"/>
                <w:szCs w:val="20"/>
              </w:rPr>
              <w:t>3. Os relatórios devem mencionar: a) As espécies que são objeto das derrogações e o motivo da derrogação, incluindo a natureza do risco e, eventualmente, a indicação das soluções alternativas não adotadas e dos dados científicos utilizados; b) Os meios, instalações ou métodos autorizados de captura ou de abate de espécies animais e as razões da sua utilização; c) As circunstâncias de tempo e de local em que essas derrogações são concedidas; d) A autoridade habilitada a declarar e a controlar se se encontram reunidas as condições exigidas e a decidir quais os meios, instalações ou métodos que podem ser utilizados, em que limites e por que serviços, e ainda quais as pessoas incumbidas da execução; e) As medidas de controlo aplicadas e os resultados obtidos.</w:t>
            </w:r>
          </w:p>
        </w:tc>
      </w:tr>
    </w:tbl>
    <w:p>
      <w:pPr>
        <w:spacing w:after="120"/>
        <w:jc w:val="both"/>
        <w:rPr>
          <w:rFonts w:ascii="Verdana" w:hAnsi="Verdana"/>
          <w:b/>
          <w:noProof/>
          <w:sz w:val="20"/>
          <w:szCs w:val="20"/>
        </w:rPr>
      </w:pPr>
    </w:p>
    <w:p>
      <w:pPr>
        <w:spacing w:after="240"/>
        <w:jc w:val="both"/>
        <w:rPr>
          <w:rFonts w:ascii="Verdana" w:hAnsi="Verdana"/>
          <w:noProof/>
          <w:sz w:val="20"/>
        </w:rPr>
      </w:pPr>
      <w:r>
        <w:rPr>
          <w:rFonts w:ascii="Verdana" w:hAnsi="Verdana"/>
          <w:noProof/>
          <w:sz w:val="20"/>
          <w:szCs w:val="20"/>
        </w:rPr>
        <w:t xml:space="preserve">(3-1) </w:t>
      </w:r>
      <w:r>
        <w:rPr>
          <w:rFonts w:ascii="Verdana" w:hAnsi="Verdana"/>
          <w:noProof/>
          <w:sz w:val="20"/>
          <w:szCs w:val="20"/>
        </w:rPr>
        <w:tab/>
        <w:t>O artigo 16.º da diretiva prevê a possibilidade de derrogações, inclusive do sistema de proteção rigorosa das espécies animais instituído ao abrigo do artigo 12.º.</w:t>
      </w:r>
    </w:p>
    <w:p>
      <w:pPr>
        <w:spacing w:after="240"/>
        <w:jc w:val="both"/>
        <w:rPr>
          <w:rFonts w:ascii="Verdana" w:hAnsi="Verdana"/>
          <w:noProof/>
          <w:sz w:val="20"/>
          <w:szCs w:val="20"/>
        </w:rPr>
      </w:pPr>
      <w:r>
        <w:rPr>
          <w:rFonts w:ascii="Verdana" w:hAnsi="Verdana"/>
          <w:noProof/>
          <w:sz w:val="20"/>
          <w:szCs w:val="20"/>
        </w:rPr>
        <w:t>(3-2)</w:t>
      </w:r>
      <w:r>
        <w:rPr>
          <w:rFonts w:ascii="Verdana" w:hAnsi="Verdana"/>
          <w:noProof/>
          <w:sz w:val="20"/>
          <w:szCs w:val="20"/>
        </w:rPr>
        <w:tab/>
        <w:t>Nos termos do artigo 16.º, o âmbito para a derrogação das restrições e proibições previstas no artigo 12.º é limitado. As derrogações têm não só de ser justificadas em relação ao objetivo global da diretiva, mas também estão sujeitas a três condições específicas (ver ponto 3.2).</w:t>
      </w:r>
    </w:p>
    <w:p>
      <w:pPr>
        <w:spacing w:after="360"/>
        <w:jc w:val="both"/>
        <w:rPr>
          <w:rFonts w:ascii="Verdana" w:hAnsi="Verdana"/>
          <w:noProof/>
          <w:sz w:val="20"/>
          <w:szCs w:val="20"/>
        </w:rPr>
      </w:pPr>
      <w:r>
        <w:rPr>
          <w:rFonts w:ascii="Verdana" w:hAnsi="Verdana"/>
          <w:noProof/>
          <w:sz w:val="20"/>
          <w:szCs w:val="20"/>
        </w:rPr>
        <w:t>(3-3)</w:t>
      </w:r>
      <w:r>
        <w:rPr>
          <w:rFonts w:ascii="Verdana" w:hAnsi="Verdana"/>
          <w:noProof/>
          <w:sz w:val="20"/>
          <w:szCs w:val="20"/>
        </w:rPr>
        <w:tab/>
        <w:t xml:space="preserve">O incumprimento de qualquer uma destas condições torna a derrogação inválida. As autoridades dos Estados-Membros têm, por conseguinte, de examinar cuidadosamente todos os requisitos gerais e específicos </w:t>
      </w:r>
      <w:r>
        <w:rPr>
          <w:rFonts w:ascii="Verdana" w:hAnsi="Verdana"/>
          <w:noProof/>
          <w:sz w:val="20"/>
          <w:szCs w:val="20"/>
          <w:u w:val="single"/>
        </w:rPr>
        <w:t>antes</w:t>
      </w:r>
      <w:r>
        <w:rPr>
          <w:rFonts w:ascii="Verdana" w:hAnsi="Verdana"/>
          <w:noProof/>
          <w:sz w:val="20"/>
          <w:szCs w:val="20"/>
        </w:rPr>
        <w:t xml:space="preserve"> de concederem uma derrogação.</w:t>
      </w:r>
    </w:p>
    <w:p>
      <w:pPr>
        <w:spacing w:after="360"/>
        <w:jc w:val="both"/>
        <w:rPr>
          <w:rFonts w:ascii="Verdana" w:hAnsi="Verdana"/>
          <w:noProof/>
          <w:sz w:val="20"/>
          <w:szCs w:val="20"/>
        </w:rPr>
      </w:pPr>
    </w:p>
    <w:p>
      <w:pPr>
        <w:pStyle w:val="h3"/>
        <w:rPr>
          <w:noProof/>
        </w:rPr>
      </w:pPr>
      <w:r>
        <w:rPr>
          <w:noProof/>
        </w:rPr>
        <w:t xml:space="preserve">3.1. </w:t>
      </w:r>
      <w:r>
        <w:rPr>
          <w:noProof/>
        </w:rPr>
        <w:tab/>
      </w:r>
      <w:r>
        <w:rPr>
          <w:noProof/>
        </w:rPr>
        <w:tab/>
        <w:t>Considerações jurídicas gerais</w:t>
      </w:r>
    </w:p>
    <w:p>
      <w:pPr>
        <w:pStyle w:val="h4"/>
        <w:rPr>
          <w:noProof/>
        </w:rPr>
      </w:pPr>
      <w:r>
        <w:rPr>
          <w:noProof/>
        </w:rPr>
        <w:t xml:space="preserve">3.1.1. </w:t>
      </w:r>
      <w:r>
        <w:rPr>
          <w:noProof/>
        </w:rPr>
        <w:tab/>
        <w:t>Obrigação de garantir a transposição plena, clara e precisa do artigo 16.º</w:t>
      </w:r>
    </w:p>
    <w:p>
      <w:pPr>
        <w:pBdr>
          <w:top w:val="single" w:sz="8" w:space="1" w:color="000000"/>
          <w:left w:val="single" w:sz="8" w:space="4" w:color="000000"/>
          <w:bottom w:val="single" w:sz="8" w:space="1" w:color="000000"/>
          <w:right w:val="single" w:sz="8" w:space="4" w:color="000000"/>
        </w:pBdr>
        <w:shd w:val="clear" w:color="auto" w:fill="F3F3F3"/>
        <w:tabs>
          <w:tab w:val="left" w:pos="5760"/>
        </w:tabs>
        <w:spacing w:after="240"/>
        <w:jc w:val="both"/>
        <w:rPr>
          <w:rFonts w:ascii="Verdana" w:hAnsi="Verdana"/>
          <w:i/>
          <w:noProof/>
          <w:sz w:val="20"/>
          <w:szCs w:val="20"/>
        </w:rPr>
      </w:pPr>
      <w:r>
        <w:rPr>
          <w:rFonts w:ascii="Verdana" w:hAnsi="Verdana"/>
          <w:i/>
          <w:noProof/>
          <w:sz w:val="20"/>
          <w:szCs w:val="20"/>
        </w:rPr>
        <w:t>O artigo 16.º tem de ser transposto de forma integral e formal, com caráter obrigatório incontestável. Os critérios a cumprir antes da concessão da derrogação têm de estar reproduzidos em disposições nacionais específicas. As medidas de transposição nacionais têm de garantir a plena aplicação do artigo 16.º, sem modificar os respetivos termos, aplicar seletivamente as suas disposições ou acrescentar tipos de derrogações não previstos na diretiva. Disposições administrativas, por si sós, não são suficientes.</w:t>
      </w:r>
    </w:p>
    <w:p>
      <w:pPr>
        <w:spacing w:after="240"/>
        <w:jc w:val="both"/>
        <w:rPr>
          <w:rFonts w:ascii="Verdana" w:hAnsi="Verdana"/>
          <w:noProof/>
          <w:sz w:val="20"/>
          <w:szCs w:val="20"/>
        </w:rPr>
      </w:pPr>
      <w:r>
        <w:rPr>
          <w:rFonts w:ascii="Verdana" w:hAnsi="Verdana"/>
          <w:noProof/>
          <w:sz w:val="20"/>
          <w:szCs w:val="20"/>
        </w:rPr>
        <w:t>(3-4)</w:t>
      </w:r>
      <w:r>
        <w:rPr>
          <w:rFonts w:ascii="Verdana" w:hAnsi="Verdana"/>
          <w:noProof/>
          <w:sz w:val="20"/>
          <w:szCs w:val="20"/>
        </w:rPr>
        <w:tab/>
        <w:t>A transposição do artigo 16.º para o direito nacional tem de garantir a aplicação das disposições em matéria de derrogações por parte das autoridades competentes. Importa referir que uma diretiva é vinculativa quanto ao resultado a alcançar, mas deixa aos Estados-Membros a escolha da forma de alcançar esse resultado. Todavia, o Tribunal de Justiça estabeleceu limites a esta margem de manobra. Por conseguinte, a transposição nacional do sistema de derrogações previsto no artigo 16.º tem de cumprir todos os princípios jurídicos básicos do direito da UE e uma série de requisitos, como se explica abaixo.</w:t>
      </w:r>
    </w:p>
    <w:p>
      <w:pPr>
        <w:spacing w:after="240"/>
        <w:jc w:val="both"/>
        <w:rPr>
          <w:rFonts w:ascii="Verdana" w:hAnsi="Verdana"/>
          <w:noProof/>
          <w:sz w:val="20"/>
          <w:szCs w:val="20"/>
        </w:rPr>
      </w:pPr>
      <w:r>
        <w:rPr>
          <w:rFonts w:ascii="Verdana" w:hAnsi="Verdana"/>
          <w:noProof/>
          <w:sz w:val="20"/>
          <w:szCs w:val="20"/>
        </w:rPr>
        <w:t>(3-5)</w:t>
      </w:r>
      <w:r>
        <w:rPr>
          <w:rFonts w:ascii="Verdana" w:hAnsi="Verdana"/>
          <w:noProof/>
          <w:sz w:val="20"/>
          <w:szCs w:val="20"/>
        </w:rPr>
        <w:tab/>
        <w:t>Segundo a jurisprudência do TJUE</w:t>
      </w:r>
      <w:r>
        <w:rPr>
          <w:rStyle w:val="FootnoteReference"/>
          <w:rFonts w:ascii="Verdana" w:hAnsi="Verdana"/>
          <w:noProof/>
          <w:sz w:val="20"/>
          <w:szCs w:val="20"/>
        </w:rPr>
        <w:footnoteReference w:id="85"/>
      </w:r>
      <w:r>
        <w:rPr>
          <w:rFonts w:ascii="Verdana" w:hAnsi="Verdana"/>
          <w:noProof/>
          <w:sz w:val="20"/>
          <w:szCs w:val="20"/>
        </w:rPr>
        <w:t>, «</w:t>
      </w:r>
      <w:r>
        <w:rPr>
          <w:rFonts w:ascii="Verdana" w:hAnsi="Verdana"/>
          <w:b/>
          <w:noProof/>
          <w:sz w:val="20"/>
          <w:szCs w:val="20"/>
        </w:rPr>
        <w:t>a transposição para o direito interno de uma diretiva</w:t>
      </w:r>
      <w:r>
        <w:rPr>
          <w:rFonts w:ascii="Verdana" w:hAnsi="Verdana"/>
          <w:noProof/>
          <w:sz w:val="20"/>
          <w:szCs w:val="20"/>
        </w:rPr>
        <w:t xml:space="preserve"> não exige obrigatoriamente que as suas disposições sejam formal e textualmente retomadas numa disposição legal expressa e específica, bastando, em função do seu conteúdo, um contexto jurídico genérico, desde que efetivamente </w:t>
      </w:r>
      <w:r>
        <w:rPr>
          <w:rFonts w:ascii="Verdana" w:hAnsi="Verdana"/>
          <w:b/>
          <w:noProof/>
          <w:sz w:val="20"/>
          <w:szCs w:val="20"/>
        </w:rPr>
        <w:t>garanta a plena aplicação da diretiva de forma suficientemente clara e precisa</w:t>
      </w:r>
      <w:r>
        <w:rPr>
          <w:rFonts w:ascii="Verdana" w:hAnsi="Verdana"/>
          <w:noProof/>
          <w:sz w:val="20"/>
          <w:szCs w:val="20"/>
        </w:rPr>
        <w:t>.» Por si sós, as disposições administrativas, por natureza modificáveis pelas autoridades e desprovidas de publicidade adequada, não podem ser consideradas cumprimento válido das obrigações dos Estados-Membros resultantes do TFUE e da diretiva</w:t>
      </w:r>
      <w:r>
        <w:rPr>
          <w:rFonts w:ascii="Verdana" w:hAnsi="Verdana"/>
          <w:noProof/>
          <w:sz w:val="20"/>
          <w:szCs w:val="20"/>
          <w:vertAlign w:val="superscript"/>
        </w:rPr>
        <w:footnoteReference w:id="8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(3-6) Como tal, a aplicação dos requisitos previstos no artigo 16.º, na prática, não substitui a transposição formal. No processo C-46/11, o Tribunal de Justiça confirmou que a aplicação correta das disposições de uma diretiva não pode, por si só, conferir a clareza e a precisão necessárias para satisfazer o princípio da segurança jurídica. Além disso, </w:t>
      </w:r>
      <w:r>
        <w:rPr>
          <w:rFonts w:ascii="Verdana" w:hAnsi="Verdana"/>
          <w:b/>
          <w:noProof/>
          <w:sz w:val="20"/>
          <w:szCs w:val="20"/>
        </w:rPr>
        <w:t>as práticas administrativas por si sós não podem ser consideradas cumprimento da obrigação dos Estados-Membros de transpor a diretiva</w:t>
      </w:r>
      <w:r>
        <w:rPr>
          <w:rFonts w:ascii="Verdana" w:hAnsi="Verdana"/>
          <w:b/>
          <w:noProof/>
          <w:sz w:val="20"/>
          <w:szCs w:val="20"/>
          <w:vertAlign w:val="superscript"/>
        </w:rPr>
        <w:footnoteReference w:id="87"/>
      </w:r>
      <w:r>
        <w:rPr>
          <w:rFonts w:ascii="Verdana" w:hAnsi="Verdana"/>
          <w:b/>
          <w:noProof/>
          <w:sz w:val="20"/>
          <w:szCs w:val="20"/>
        </w:rPr>
        <w:t xml:space="preserve"> para o direito nacional.</w:t>
      </w:r>
    </w:p>
    <w:p>
      <w:pPr>
        <w:spacing w:after="240"/>
        <w:jc w:val="both"/>
        <w:rPr>
          <w:rFonts w:ascii="Verdana" w:hAnsi="Verdana"/>
          <w:noProof/>
          <w:sz w:val="20"/>
          <w:szCs w:val="20"/>
        </w:rPr>
      </w:pPr>
      <w:r>
        <w:rPr>
          <w:rFonts w:ascii="Verdana" w:hAnsi="Verdana"/>
          <w:noProof/>
          <w:sz w:val="20"/>
          <w:szCs w:val="20"/>
        </w:rPr>
        <w:t>(3-7)</w:t>
      </w:r>
      <w:r>
        <w:rPr>
          <w:rFonts w:ascii="Verdana" w:hAnsi="Verdana"/>
          <w:noProof/>
          <w:sz w:val="20"/>
          <w:szCs w:val="20"/>
        </w:rPr>
        <w:tab/>
        <w:t xml:space="preserve">Além disso, as </w:t>
      </w:r>
      <w:r>
        <w:rPr>
          <w:rFonts w:ascii="Verdana" w:hAnsi="Verdana"/>
          <w:b/>
          <w:noProof/>
          <w:sz w:val="20"/>
          <w:szCs w:val="20"/>
        </w:rPr>
        <w:t>disposições das diretivas devem ser aplicadas com caráter obrigatório incontestável</w:t>
      </w:r>
      <w:r>
        <w:rPr>
          <w:rFonts w:ascii="Verdana" w:hAnsi="Verdana"/>
          <w:noProof/>
          <w:sz w:val="20"/>
          <w:szCs w:val="20"/>
        </w:rPr>
        <w:t>, com a especificidade, precisão e clareza necessárias, a fim de ser satisfeita a exigência da segurança jurídica</w:t>
      </w:r>
      <w:r>
        <w:rPr>
          <w:rFonts w:ascii="Verdana" w:hAnsi="Verdana"/>
          <w:noProof/>
          <w:sz w:val="20"/>
          <w:szCs w:val="20"/>
          <w:vertAlign w:val="superscript"/>
        </w:rPr>
        <w:footnoteReference w:id="88"/>
      </w:r>
      <w:r>
        <w:rPr>
          <w:rFonts w:ascii="Verdana" w:hAnsi="Verdana"/>
          <w:noProof/>
          <w:sz w:val="20"/>
          <w:szCs w:val="20"/>
        </w:rPr>
        <w:t>. O Tribunal de Justiça foi mais explícito no processo C-339/87, tendo afirmado que «os critérios com base nos quais os Estados-[M]embros podem derrogar as proibições impostas pela diretiva devem ser retomad[o]s em disposições nacionais específicas, dado que a exatidão da transposição tem uma importância especial, num caso como aquele em que a gestão do património comum é confiada, em relação ao seu território, aos respetivos Estados-[M]embros</w:t>
      </w:r>
      <w:r>
        <w:rPr>
          <w:rFonts w:ascii="Verdana" w:hAnsi="Verdana"/>
          <w:i/>
          <w:noProof/>
          <w:sz w:val="20"/>
          <w:szCs w:val="20"/>
        </w:rPr>
        <w:t>».</w:t>
      </w:r>
      <w:r>
        <w:rPr>
          <w:rFonts w:ascii="Verdana" w:hAnsi="Verdana"/>
          <w:noProof/>
          <w:sz w:val="20"/>
          <w:szCs w:val="20"/>
        </w:rPr>
        <w:t xml:space="preserve"> No acórdão de 20 de outubro de 2005, o Tribunal de Justiça aplicou esta jurisprudência à Diretiva </w:t>
      </w:r>
      <w:r>
        <w:rPr>
          <w:rFonts w:ascii="Verdana" w:hAnsi="Verdana"/>
          <w:i/>
          <w:iCs/>
          <w:noProof/>
          <w:sz w:val="20"/>
          <w:szCs w:val="20"/>
        </w:rPr>
        <w:t>Habitats</w:t>
      </w:r>
      <w:r>
        <w:rPr>
          <w:rFonts w:ascii="Verdana" w:hAnsi="Verdana"/>
          <w:noProof/>
          <w:sz w:val="20"/>
          <w:szCs w:val="20"/>
        </w:rPr>
        <w:t xml:space="preserve"> e observou que «no âmbito da [D]iretiva </w:t>
      </w:r>
      <w:r>
        <w:rPr>
          <w:rFonts w:ascii="Verdana" w:hAnsi="Verdana"/>
          <w:i/>
          <w:iCs/>
          <w:noProof/>
          <w:sz w:val="20"/>
          <w:szCs w:val="20"/>
        </w:rPr>
        <w:t>[H]abitats</w:t>
      </w:r>
      <w:r>
        <w:rPr>
          <w:rFonts w:ascii="Verdana" w:hAnsi="Verdana"/>
          <w:noProof/>
          <w:sz w:val="20"/>
          <w:szCs w:val="20"/>
        </w:rPr>
        <w:t>, que contém regras complexas e técnicas no domínio do direito do ambiente, os Estados‑Membros estão especialmente obrigados a garantir que as respetivas legislações destinadas a assegurar a transposição dessa diretiva sejam claras e precisas»</w:t>
      </w:r>
      <w:r>
        <w:rPr>
          <w:rFonts w:ascii="Verdana" w:hAnsi="Verdana"/>
          <w:noProof/>
          <w:sz w:val="20"/>
          <w:szCs w:val="20"/>
          <w:vertAlign w:val="superscript"/>
        </w:rPr>
        <w:footnoteReference w:id="8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(3-8)</w:t>
      </w:r>
      <w:r>
        <w:rPr>
          <w:rFonts w:ascii="Verdana" w:hAnsi="Verdana"/>
          <w:noProof/>
          <w:sz w:val="20"/>
          <w:szCs w:val="20"/>
        </w:rPr>
        <w:tab/>
        <w:t xml:space="preserve">Tal como determinou o Tribunal de Justiça, relativamente ao artigo 16.º da Diretiva </w:t>
      </w:r>
      <w:r>
        <w:rPr>
          <w:rFonts w:ascii="Verdana" w:hAnsi="Verdana"/>
          <w:i/>
          <w:iCs/>
          <w:noProof/>
          <w:sz w:val="20"/>
          <w:szCs w:val="20"/>
        </w:rPr>
        <w:t>Habitats</w:t>
      </w:r>
      <w:r>
        <w:rPr>
          <w:rFonts w:ascii="Verdana" w:hAnsi="Verdana"/>
          <w:noProof/>
          <w:sz w:val="20"/>
          <w:szCs w:val="20"/>
        </w:rPr>
        <w:t xml:space="preserve">, as condições em que os Estados‑Membros podem derrogar as proibições contidas na diretiva devem constar de disposições de direito nacional claras e precisas. Ao fazê-lo, há que interpretar restritivamente o artigo 16.° da Diretiva </w:t>
      </w:r>
      <w:r>
        <w:rPr>
          <w:rFonts w:ascii="Verdana" w:hAnsi="Verdana"/>
          <w:i/>
          <w:iCs/>
          <w:noProof/>
          <w:sz w:val="20"/>
          <w:szCs w:val="20"/>
        </w:rPr>
        <w:t>Habitats</w:t>
      </w:r>
      <w:r>
        <w:rPr>
          <w:rFonts w:ascii="Verdana" w:hAnsi="Verdana"/>
          <w:noProof/>
          <w:sz w:val="20"/>
          <w:szCs w:val="20"/>
        </w:rPr>
        <w:t>, uma vez que o mesmo define de forma precisa as situações em que os Estados‑Membros podem derrogar o disposto nos artigos 12.º a 15.º da diretiva</w:t>
      </w:r>
      <w:r>
        <w:rPr>
          <w:rFonts w:ascii="Verdana" w:hAnsi="Verdana"/>
          <w:noProof/>
          <w:sz w:val="20"/>
          <w:szCs w:val="20"/>
          <w:vertAlign w:val="superscript"/>
        </w:rPr>
        <w:footnoteReference w:id="90"/>
      </w:r>
      <w:r>
        <w:rPr>
          <w:rFonts w:ascii="Verdana" w:hAnsi="Verdana"/>
          <w:noProof/>
          <w:sz w:val="20"/>
          <w:szCs w:val="20"/>
        </w:rPr>
        <w:t>. O Tribunal de Justiça reiterou esta posição no processo C-46/11</w:t>
      </w:r>
      <w:r>
        <w:rPr>
          <w:rFonts w:ascii="Verdana" w:hAnsi="Verdana"/>
          <w:noProof/>
          <w:sz w:val="20"/>
          <w:szCs w:val="20"/>
        </w:rPr>
        <w:footnoteReference w:id="9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(3-9) Na transposição do artigo 16.º, os Estados-Membros têm de seguir o significado dos termos e conceitos utilizados pela diretiva, a fim de garantir a uniformidade na sua interpretação e aplicação</w:t>
      </w:r>
      <w:r>
        <w:rPr>
          <w:rFonts w:ascii="Verdana" w:hAnsi="Verdana"/>
          <w:noProof/>
          <w:sz w:val="20"/>
          <w:szCs w:val="20"/>
          <w:vertAlign w:val="superscript"/>
        </w:rPr>
        <w:footnoteReference w:id="92"/>
      </w:r>
      <w:r>
        <w:rPr>
          <w:rFonts w:ascii="Verdana" w:hAnsi="Verdana"/>
          <w:noProof/>
          <w:sz w:val="20"/>
          <w:szCs w:val="20"/>
        </w:rPr>
        <w:t xml:space="preserve">. Tal implica também que as medidas de transposição nacionais </w:t>
      </w:r>
      <w:r>
        <w:rPr>
          <w:rFonts w:ascii="Verdana" w:hAnsi="Verdana"/>
          <w:b/>
          <w:noProof/>
          <w:sz w:val="20"/>
          <w:szCs w:val="20"/>
        </w:rPr>
        <w:t>garantam a plena aplicação da diretiva sem modificar os respetivos termos e sem acrescentar condições ou derrogações suplementares não previstas na diretiva</w:t>
      </w:r>
      <w:r>
        <w:rPr>
          <w:rFonts w:ascii="Verdana" w:hAnsi="Verdana"/>
          <w:noProof/>
          <w:sz w:val="20"/>
          <w:szCs w:val="20"/>
          <w:vertAlign w:val="superscript"/>
        </w:rPr>
        <w:footnoteReference w:id="93"/>
      </w:r>
      <w:r>
        <w:rPr>
          <w:rFonts w:ascii="Verdana" w:hAnsi="Verdana"/>
          <w:noProof/>
          <w:sz w:val="20"/>
          <w:szCs w:val="20"/>
        </w:rPr>
        <w:t>. Por exemplo, no processo C-6/04</w:t>
      </w:r>
      <w:r>
        <w:rPr>
          <w:rFonts w:ascii="Verdana" w:hAnsi="Verdana"/>
          <w:i/>
          <w:noProof/>
          <w:sz w:val="20"/>
          <w:szCs w:val="20"/>
        </w:rPr>
        <w:footnoteReference w:id="94"/>
      </w:r>
      <w:r>
        <w:rPr>
          <w:rFonts w:ascii="Verdana" w:hAnsi="Verdana"/>
          <w:noProof/>
          <w:sz w:val="20"/>
          <w:szCs w:val="20"/>
        </w:rPr>
        <w:t xml:space="preserve">, o Tribunal de Justiça considerou que uma derrogação que autoriza atos que conduzem ao abate de espécies protegidas e à deterioração ou à destruição das suas áreas de reprodução e de repouso, desde que tais atos sejam legais e não possam ser razoavelmente evitados, «é contrária tanto ao espírito e à finalidade da [D]iretiva </w:t>
      </w:r>
      <w:r>
        <w:rPr>
          <w:rFonts w:ascii="Verdana" w:hAnsi="Verdana"/>
          <w:i/>
          <w:iCs/>
          <w:noProof/>
          <w:sz w:val="20"/>
          <w:szCs w:val="20"/>
        </w:rPr>
        <w:t>[H]abitats</w:t>
      </w:r>
      <w:r>
        <w:rPr>
          <w:rFonts w:ascii="Verdana" w:hAnsi="Verdana"/>
          <w:noProof/>
          <w:sz w:val="20"/>
          <w:szCs w:val="20"/>
        </w:rPr>
        <w:t xml:space="preserve"> como à letra do seu artigo 16.º».</w:t>
      </w:r>
    </w:p>
    <w:p>
      <w:pPr>
        <w:spacing w:after="240"/>
        <w:jc w:val="both"/>
        <w:rPr>
          <w:rFonts w:ascii="Verdana" w:hAnsi="Verdana"/>
          <w:noProof/>
          <w:sz w:val="20"/>
          <w:szCs w:val="20"/>
        </w:rPr>
      </w:pPr>
      <w:r>
        <w:rPr>
          <w:rFonts w:ascii="Verdana" w:hAnsi="Verdana"/>
          <w:noProof/>
          <w:sz w:val="20"/>
          <w:szCs w:val="20"/>
        </w:rPr>
        <w:t>No processo C-183/05</w:t>
      </w:r>
      <w:r>
        <w:rPr>
          <w:rFonts w:ascii="Verdana" w:hAnsi="Verdana"/>
          <w:noProof/>
          <w:sz w:val="20"/>
          <w:szCs w:val="20"/>
        </w:rPr>
        <w:footnoteReference w:id="95"/>
      </w:r>
      <w:r>
        <w:rPr>
          <w:rFonts w:ascii="Verdana" w:hAnsi="Verdana"/>
          <w:noProof/>
          <w:sz w:val="20"/>
          <w:szCs w:val="20"/>
        </w:rPr>
        <w:t>, o Tribunal de Justiça considerou que o regime de derrogações previsto pela regulamentação irlandesa [«section 23(7)(b)» do «Wildlife Act»] era incompatível com os artigos 12.º e 16.º da Diretiva. Nos termos da regulamentação irlandesa, os atos não intencionais que perturbem ou destruam os locais de reprodução ou as áreas de repouso das espécies selvagens não constituem uma infração. Segundo o Tribunal de Justiça, não só esta disposição não cumpre as exigências do artigo 12.º, n.º 1, alínea d), da diretiva, que proíbe tais atos, sejam eles intencionais ou não, como também ultrapassa o previsto no artigo 16.º da diretiva, que prevê de modo exaustivo as condições em que as derrogações podem ser concedidas.</w:t>
      </w:r>
    </w:p>
    <w:p>
      <w:pPr>
        <w:spacing w:after="240"/>
        <w:jc w:val="both"/>
        <w:rPr>
          <w:rFonts w:ascii="Verdana" w:hAnsi="Verdana"/>
          <w:noProof/>
          <w:sz w:val="20"/>
          <w:szCs w:val="20"/>
        </w:rPr>
      </w:pPr>
      <w:r>
        <w:rPr>
          <w:rFonts w:ascii="Verdana" w:hAnsi="Verdana"/>
          <w:noProof/>
          <w:sz w:val="20"/>
          <w:szCs w:val="20"/>
        </w:rPr>
        <w:t>(3-10)</w:t>
      </w:r>
      <w:r>
        <w:rPr>
          <w:rFonts w:ascii="Verdana" w:hAnsi="Verdana"/>
          <w:noProof/>
          <w:sz w:val="20"/>
          <w:szCs w:val="20"/>
        </w:rPr>
        <w:tab/>
      </w:r>
      <w:r>
        <w:rPr>
          <w:rFonts w:ascii="Verdana" w:hAnsi="Verdana"/>
          <w:b/>
          <w:noProof/>
          <w:sz w:val="20"/>
          <w:szCs w:val="20"/>
        </w:rPr>
        <w:t>As disposições nacionais têm de garantir que todas as condições previstas no artigo 16.º são transpostas de forma rigorosa e exaustiva, sem que apenas algumas das disposições sejam aplicadas de forma seletiva</w:t>
      </w:r>
      <w:r>
        <w:rPr>
          <w:rFonts w:ascii="Verdana" w:hAnsi="Verdana"/>
          <w:noProof/>
          <w:sz w:val="20"/>
          <w:szCs w:val="20"/>
        </w:rPr>
        <w:t>. No processo C-98/03</w:t>
      </w:r>
      <w:r>
        <w:rPr>
          <w:rFonts w:ascii="Verdana" w:hAnsi="Verdana"/>
          <w:noProof/>
          <w:sz w:val="20"/>
          <w:szCs w:val="20"/>
        </w:rPr>
        <w:footnoteReference w:id="96"/>
      </w:r>
      <w:r>
        <w:rPr>
          <w:rFonts w:ascii="Verdana" w:hAnsi="Verdana"/>
          <w:noProof/>
          <w:sz w:val="20"/>
          <w:szCs w:val="20"/>
        </w:rPr>
        <w:t>, o Tribunal de Justiça considerou que a regulamentação alemã (§ 43, n.º 4, da lei federal relativa à proteção da natureza e à preservação da paisagem) não era compatível com o artigo 16.º, na medida em que não sujeitava a concessão de derrogações a todos os requisitos previstos nesse artigo.</w:t>
      </w:r>
    </w:p>
    <w:p>
      <w:pPr>
        <w:spacing w:after="240"/>
        <w:jc w:val="both"/>
        <w:rPr>
          <w:rFonts w:ascii="Verdana" w:hAnsi="Verdana"/>
          <w:noProof/>
          <w:sz w:val="20"/>
          <w:szCs w:val="20"/>
        </w:rPr>
      </w:pPr>
      <w:r>
        <w:rPr>
          <w:rFonts w:ascii="Verdana" w:hAnsi="Verdana"/>
          <w:noProof/>
          <w:sz w:val="20"/>
          <w:szCs w:val="20"/>
        </w:rPr>
        <w:t>No processo C-508/04</w:t>
      </w:r>
      <w:r>
        <w:rPr>
          <w:rFonts w:ascii="Verdana" w:hAnsi="Verdana"/>
          <w:noProof/>
          <w:sz w:val="20"/>
          <w:szCs w:val="20"/>
        </w:rPr>
        <w:footnoteReference w:id="97"/>
      </w:r>
      <w:r>
        <w:rPr>
          <w:rFonts w:ascii="Verdana" w:hAnsi="Verdana"/>
          <w:noProof/>
          <w:sz w:val="20"/>
          <w:szCs w:val="20"/>
        </w:rPr>
        <w:t>, o Tribunal de Justiça esclareceu que «disposições nacionais que sujeitam a concessão de derrogações às proibições estabelecidas nos artigos 12.º a 14.º e 15.º, alíneas a) e b), da diretiva, não a todos os critérios e condições constantes do seu artigo 16.º mas, de maneira incompleta, a certos elementos deste, não podem constituir um regime conforme a este último artigo». No processo C-46/11, o Tribunal de Justiça considerou que a regulamentação polaca não era compatível com o artigo 16.º na medida em que não sujeitava a concessão de derrogações a todos os critérios e requisitos previstos nesse artigo.</w:t>
      </w:r>
    </w:p>
    <w:p>
      <w:pPr>
        <w:pStyle w:val="h4"/>
        <w:rPr>
          <w:noProof/>
        </w:rPr>
      </w:pPr>
      <w:r>
        <w:rPr>
          <w:noProof/>
        </w:rPr>
        <w:t xml:space="preserve">3.1.2. </w:t>
      </w:r>
      <w:r>
        <w:rPr>
          <w:noProof/>
        </w:rPr>
        <w:tab/>
        <w:t>Aplicação global adequada das derrogações</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As derrogações previstas no artigo 16.º têm de ser uma solução em último recurso. As disposições relativas às derrogações têm de ser interpretadas de forma restrita: têm de abranger requisitos precisos e situações específicas. Cabe aos Estados-Membros assegurar que o efeito conjugado de todas as derrogações concedidas no respetivo território não produz efeitos contrários aos objetivos da diretiva.</w:t>
      </w:r>
    </w:p>
    <w:p>
      <w:pPr>
        <w:jc w:val="both"/>
        <w:rPr>
          <w:rFonts w:ascii="Verdana" w:hAnsi="Verdana"/>
          <w:noProof/>
          <w:sz w:val="20"/>
          <w:szCs w:val="20"/>
        </w:rPr>
      </w:pPr>
      <w:r>
        <w:rPr>
          <w:rFonts w:ascii="Verdana" w:hAnsi="Verdana"/>
          <w:noProof/>
          <w:sz w:val="20"/>
          <w:szCs w:val="20"/>
        </w:rPr>
        <w:t>(3-11) A concessão das derrogações previstas no artigo 16.º tem de ser uma solução em último recurso</w:t>
      </w:r>
      <w:r>
        <w:rPr>
          <w:rFonts w:ascii="Verdana" w:hAnsi="Verdana"/>
          <w:noProof/>
          <w:sz w:val="20"/>
          <w:szCs w:val="20"/>
          <w:vertAlign w:val="superscript"/>
        </w:rPr>
        <w:footnoteReference w:id="98"/>
      </w:r>
      <w:r>
        <w:rPr>
          <w:rFonts w:ascii="Verdana" w:hAnsi="Verdana"/>
          <w:noProof/>
          <w:sz w:val="20"/>
          <w:szCs w:val="20"/>
        </w:rPr>
        <w:t xml:space="preserve">. As autoridades nacionais responsáveis pela concessão de derrogações têm de ter em conta que </w:t>
      </w:r>
      <w:r>
        <w:rPr>
          <w:rFonts w:ascii="Verdana" w:hAnsi="Verdana"/>
          <w:b/>
          <w:noProof/>
          <w:sz w:val="20"/>
          <w:szCs w:val="20"/>
        </w:rPr>
        <w:t>as derrogações têm de ser interpretadas e aplicadas de forma restrita, para evitar comprometer o objetivo global e as principais disposições da diretiva</w:t>
      </w:r>
      <w:r>
        <w:rPr>
          <w:rFonts w:ascii="Verdana" w:hAnsi="Verdana"/>
          <w:noProof/>
          <w:sz w:val="20"/>
          <w:szCs w:val="20"/>
          <w:vertAlign w:val="superscript"/>
        </w:rPr>
        <w:footnoteReference w:id="99"/>
      </w:r>
      <w:r>
        <w:rPr>
          <w:rFonts w:ascii="Verdana" w:hAnsi="Verdana"/>
          <w:noProof/>
          <w:sz w:val="20"/>
          <w:szCs w:val="20"/>
        </w:rPr>
        <w:t>. No processo C-6/04, o Tribunal de Justiça deixou claro que este princípio é também aplicável no contexto do artigo 16.º</w:t>
      </w:r>
      <w:r>
        <w:rPr>
          <w:rFonts w:ascii="Verdana" w:hAnsi="Verdana"/>
          <w:noProof/>
          <w:sz w:val="20"/>
          <w:szCs w:val="20"/>
          <w:vertAlign w:val="superscript"/>
        </w:rPr>
        <w:footnoteReference w:id="100"/>
      </w:r>
      <w:r>
        <w:rPr>
          <w:rFonts w:ascii="Verdana" w:hAnsi="Verdana"/>
          <w:noProof/>
          <w:sz w:val="20"/>
          <w:szCs w:val="20"/>
        </w:rPr>
        <w:t xml:space="preserve">. No processo C-674/17, o TJUE decidiu que «uma derrogação baseada no artigo 16.º, n.º 1, da Diretiva </w:t>
      </w:r>
      <w:r>
        <w:rPr>
          <w:rFonts w:ascii="Verdana" w:hAnsi="Verdana"/>
          <w:i/>
          <w:iCs/>
          <w:noProof/>
          <w:sz w:val="20"/>
          <w:szCs w:val="20"/>
        </w:rPr>
        <w:t>Habitats</w:t>
      </w:r>
      <w:r>
        <w:rPr>
          <w:rFonts w:ascii="Verdana" w:hAnsi="Verdana"/>
          <w:noProof/>
          <w:sz w:val="20"/>
          <w:szCs w:val="20"/>
        </w:rPr>
        <w:t xml:space="preserve"> só pode constituir uma aplicação concreta e pontual para responder a exigências precisas e a situações específicas»</w:t>
      </w:r>
      <w:r>
        <w:rPr>
          <w:rFonts w:ascii="Verdana" w:hAnsi="Verdana"/>
          <w:noProof/>
          <w:sz w:val="20"/>
          <w:szCs w:val="20"/>
          <w:vertAlign w:val="superscript"/>
        </w:rPr>
        <w:footnoteReference w:id="101"/>
      </w:r>
      <w:r>
        <w:rPr>
          <w:rFonts w:ascii="Verdana" w:hAnsi="Verdana"/>
          <w:noProof/>
          <w:sz w:val="20"/>
          <w:szCs w:val="20"/>
        </w:rPr>
        <w:t>.</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(3-12)</w:t>
      </w:r>
      <w:r>
        <w:rPr>
          <w:rFonts w:ascii="Verdana" w:hAnsi="Verdana"/>
          <w:noProof/>
          <w:sz w:val="20"/>
          <w:szCs w:val="20"/>
        </w:rPr>
        <w:tab/>
        <w:t xml:space="preserve">Relativamente às medidas a tomar ao abrigo do artigo 12.º da Diretiva </w:t>
      </w:r>
      <w:r>
        <w:rPr>
          <w:rFonts w:ascii="Verdana" w:hAnsi="Verdana"/>
          <w:i/>
          <w:iCs/>
          <w:noProof/>
          <w:sz w:val="20"/>
          <w:szCs w:val="20"/>
        </w:rPr>
        <w:t>Habitats</w:t>
      </w:r>
      <w:r>
        <w:rPr>
          <w:rFonts w:ascii="Verdana" w:hAnsi="Verdana"/>
          <w:noProof/>
          <w:sz w:val="20"/>
          <w:szCs w:val="20"/>
        </w:rPr>
        <w:t>, foi sublinhada a necessidade de aplicar medidas adequadas e eficazes, de forma suficiente e verificável. A mesma abordagem pode ser aplicada ao regime de derrogações. Se for utilizada corretamente, esta abordagem assegura que a concessão de derrogações não é contrária ao objetivo da diretiva</w:t>
      </w:r>
      <w:r>
        <w:rPr>
          <w:rFonts w:ascii="Verdana" w:hAnsi="Verdana"/>
          <w:noProof/>
          <w:sz w:val="20"/>
          <w:szCs w:val="20"/>
          <w:vertAlign w:val="superscript"/>
        </w:rPr>
        <w:footnoteReference w:id="102"/>
      </w:r>
      <w:r>
        <w:rPr>
          <w:rFonts w:ascii="Verdana" w:hAnsi="Verdana"/>
          <w:noProof/>
          <w:sz w:val="20"/>
          <w:szCs w:val="20"/>
        </w:rPr>
        <w:t xml:space="preserve">. No processo C-6/04, o Tribunal de Justiça observou que «os artigos 12.º, 13.º e 16.º da [D]iretiva </w:t>
      </w:r>
      <w:r>
        <w:rPr>
          <w:rFonts w:ascii="Verdana" w:hAnsi="Verdana"/>
          <w:i/>
          <w:iCs/>
          <w:noProof/>
          <w:sz w:val="20"/>
          <w:szCs w:val="20"/>
        </w:rPr>
        <w:t>[H]abitats</w:t>
      </w:r>
      <w:r>
        <w:rPr>
          <w:rFonts w:ascii="Verdana" w:hAnsi="Verdana"/>
          <w:noProof/>
          <w:sz w:val="20"/>
          <w:szCs w:val="20"/>
        </w:rPr>
        <w:t xml:space="preserve"> formam um conjunto coerente de normas que pretendem assegurar a proteção das populações das espécies em causa, pelo que qualquer derrogação que seja incompatível com esta diretiva viola tanto as proibições constantes dos artigos 12.º ou 13.º desta última como a regra segundo a qual as derrogações podem ser concedidas nos termos do seu artigo 16.º».</w:t>
      </w:r>
    </w:p>
    <w:p>
      <w:pPr>
        <w:spacing w:after="240"/>
        <w:jc w:val="both"/>
        <w:rPr>
          <w:rFonts w:ascii="Verdana" w:hAnsi="Verdana"/>
          <w:noProof/>
          <w:sz w:val="20"/>
          <w:szCs w:val="20"/>
        </w:rPr>
      </w:pPr>
      <w:r>
        <w:rPr>
          <w:rFonts w:ascii="Verdana" w:hAnsi="Verdana"/>
          <w:noProof/>
          <w:sz w:val="20"/>
          <w:szCs w:val="20"/>
        </w:rPr>
        <w:t>De um modo geral, a gravidade de qualquer uma das condições ou «testes» aumentará em função da gravidade do potencial impacto da derrogação numa espécie ou população.</w:t>
      </w:r>
    </w:p>
    <w:p>
      <w:pPr>
        <w:spacing w:after="240"/>
        <w:jc w:val="both"/>
        <w:rPr>
          <w:rFonts w:ascii="Verdana" w:hAnsi="Verdana"/>
          <w:noProof/>
          <w:sz w:val="20"/>
          <w:szCs w:val="20"/>
        </w:rPr>
      </w:pPr>
      <w:r>
        <w:rPr>
          <w:rFonts w:ascii="Verdana" w:hAnsi="Verdana"/>
          <w:noProof/>
          <w:sz w:val="20"/>
          <w:szCs w:val="20"/>
        </w:rPr>
        <w:t>(3-13)</w:t>
      </w:r>
      <w:r>
        <w:rPr>
          <w:rFonts w:ascii="Verdana" w:hAnsi="Verdana"/>
          <w:noProof/>
          <w:sz w:val="20"/>
          <w:szCs w:val="20"/>
        </w:rPr>
        <w:tab/>
        <w:t xml:space="preserve">A concessão de uma derrogação pressupõe que as autoridades nacionais competentes asseguraram que foram cumpridas todas as condições previstas no artigo 16.º. </w:t>
      </w:r>
      <w:r>
        <w:rPr>
          <w:rFonts w:ascii="Verdana" w:hAnsi="Verdana"/>
          <w:b/>
          <w:noProof/>
          <w:sz w:val="20"/>
          <w:szCs w:val="20"/>
        </w:rPr>
        <w:t>Os Estados-Membros também têm de garantir que os efeitos cumulativos das derrogações não produzem impactos que sejam contrários aos objetivos do artigo 12.º e da diretiva no seu todo</w:t>
      </w:r>
      <w:r>
        <w:rPr>
          <w:rStyle w:val="FootnoteReference"/>
          <w:rFonts w:ascii="Verdana" w:hAnsi="Verdana"/>
          <w:b/>
          <w:noProof/>
          <w:sz w:val="20"/>
          <w:szCs w:val="20"/>
        </w:rPr>
        <w:footnoteReference w:id="10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(3-14) Por conseguinte, o recurso às derrogações é frequentemente mais bem gerido no âmbito de um quadro nacional de conservação que garanta que, globalmente, os impactos cumulativos das derrogações numa determinada espécie não são prejudiciais à manutenção da espécie num estado de conservação favorável a nível nacional e/ou biogeográfico num Estado-Membro. De qualquer forma, os Estados-Membros têm de </w:t>
      </w:r>
      <w:r>
        <w:rPr>
          <w:rFonts w:ascii="Verdana" w:hAnsi="Verdana"/>
          <w:b/>
          <w:noProof/>
          <w:sz w:val="20"/>
          <w:szCs w:val="20"/>
        </w:rPr>
        <w:t>ter uma</w:t>
      </w:r>
      <w:r>
        <w:rPr>
          <w:rFonts w:ascii="Verdana" w:hAnsi="Verdana"/>
          <w:noProof/>
          <w:sz w:val="20"/>
          <w:szCs w:val="20"/>
        </w:rPr>
        <w:t xml:space="preserve"> </w:t>
      </w:r>
      <w:r>
        <w:rPr>
          <w:rFonts w:ascii="Verdana" w:hAnsi="Verdana"/>
          <w:b/>
          <w:noProof/>
          <w:sz w:val="20"/>
          <w:szCs w:val="20"/>
        </w:rPr>
        <w:t>perspetiva geral e fiscalizar a utilização de derrogações</w:t>
      </w:r>
      <w:r>
        <w:rPr>
          <w:rFonts w:ascii="Verdana" w:hAnsi="Verdana"/>
          <w:noProof/>
          <w:sz w:val="20"/>
          <w:szCs w:val="20"/>
        </w:rPr>
        <w:t xml:space="preserve"> a nível nacional (e, se necessário, também uma perspetiva geral além-fronteiras no caso das populações transfronteiriças). Tal poderá exigir, dependendo da estrutura organizacional num Estado-Membro, que as autoridades regionais ou locais analisem os efeitos das derrogações para além dos respetivos territórios.</w:t>
      </w:r>
    </w:p>
    <w:p>
      <w:pPr>
        <w:spacing w:after="360"/>
        <w:jc w:val="both"/>
        <w:rPr>
          <w:rFonts w:ascii="Verdana" w:hAnsi="Verdana"/>
          <w:noProof/>
          <w:sz w:val="20"/>
          <w:szCs w:val="20"/>
        </w:rPr>
      </w:pPr>
      <w:r>
        <w:rPr>
          <w:rFonts w:ascii="Verdana" w:hAnsi="Verdana"/>
          <w:noProof/>
          <w:sz w:val="20"/>
          <w:szCs w:val="20"/>
        </w:rPr>
        <w:t xml:space="preserve">O processo C-342/05 contém um exemplo do modo como a autoridade nacional pode enquadrar a utilização de derrogações concedidas no seu território. Neste processo, o Tribunal de Justiça esclarece que «[r]elativamente à circunstância de as decisões de concessão de licenças de caça ao lobo estarem igualmente sujeitas a um limite máximo regional de espécimes que podem ser abatidos em cada distrito de proteção dos animais de caça, não pode ser considerada contrária ao artigo 16.º, n.º 1, da [D]iretiva </w:t>
      </w:r>
      <w:r>
        <w:rPr>
          <w:rFonts w:ascii="Verdana" w:hAnsi="Verdana"/>
          <w:i/>
          <w:iCs/>
          <w:noProof/>
          <w:sz w:val="20"/>
          <w:szCs w:val="20"/>
        </w:rPr>
        <w:t>[H]abitats</w:t>
      </w:r>
      <w:r>
        <w:rPr>
          <w:rFonts w:ascii="Verdana" w:hAnsi="Verdana"/>
          <w:noProof/>
          <w:sz w:val="20"/>
          <w:szCs w:val="20"/>
        </w:rPr>
        <w:t xml:space="preserve">. Com efeito, esse limite, que é fixado em função da quantidade de espécimes que pode ser suprimida sem que seja posta em perigo a espécie em causa, constitui apenas […] o quadro dentro do qual os distritos de proteção dos animais de caça podem emitir licenças de caça, </w:t>
      </w:r>
      <w:r>
        <w:rPr>
          <w:rFonts w:ascii="Verdana" w:hAnsi="Verdana"/>
          <w:b/>
          <w:noProof/>
          <w:sz w:val="20"/>
          <w:szCs w:val="20"/>
        </w:rPr>
        <w:t xml:space="preserve">quando, além disso, as condições enunciadas no artigo 16.º, n.º 1, da [D]iretiva </w:t>
      </w:r>
      <w:r>
        <w:rPr>
          <w:rFonts w:ascii="Verdana" w:hAnsi="Verdana"/>
          <w:b/>
          <w:i/>
          <w:iCs/>
          <w:noProof/>
          <w:sz w:val="20"/>
          <w:szCs w:val="20"/>
        </w:rPr>
        <w:t>[H]abitats</w:t>
      </w:r>
      <w:r>
        <w:rPr>
          <w:rFonts w:ascii="Verdana" w:hAnsi="Verdana"/>
          <w:b/>
          <w:noProof/>
          <w:sz w:val="20"/>
          <w:szCs w:val="20"/>
        </w:rPr>
        <w:t xml:space="preserve"> estejam preenchidas</w:t>
      </w:r>
      <w:r>
        <w:rPr>
          <w:rFonts w:ascii="Verdana" w:hAnsi="Verdana"/>
          <w:noProof/>
          <w:sz w:val="20"/>
          <w:szCs w:val="20"/>
        </w:rPr>
        <w:t>».</w:t>
      </w:r>
      <w:r>
        <w:rPr>
          <w:rFonts w:ascii="Verdana" w:hAnsi="Verdana"/>
          <w:noProof/>
          <w:sz w:val="20"/>
          <w:szCs w:val="20"/>
          <w:vertAlign w:val="superscript"/>
        </w:rPr>
        <w:footnoteReference w:id="104"/>
      </w:r>
      <w:r>
        <w:rPr>
          <w:rFonts w:ascii="Verdana" w:hAnsi="Verdana"/>
          <w:noProof/>
          <w:sz w:val="20"/>
          <w:szCs w:val="20"/>
        </w:rPr>
        <w:t xml:space="preserve"> Por outras palavras, é possível definir um limite máximo de espécimes passíveis de serem abatidos (para evitar um impacto negativo no estado de conservação), mas esse facto não afasta a necessidade de cada derrogação preencher as condições previstas no artigo 16.º, n.º 1.</w:t>
      </w:r>
    </w:p>
    <w:p>
      <w:pPr>
        <w:pStyle w:val="h3"/>
        <w:rPr>
          <w:noProof/>
        </w:rPr>
      </w:pPr>
      <w:r>
        <w:rPr>
          <w:noProof/>
        </w:rPr>
        <w:t xml:space="preserve">3.2. </w:t>
      </w:r>
      <w:r>
        <w:rPr>
          <w:noProof/>
        </w:rPr>
        <w:tab/>
        <w:t>Um sistema cuidadosamente controlado para a concessão de derrogações: os três testes</w:t>
      </w:r>
    </w:p>
    <w:p>
      <w:pPr>
        <w:spacing w:after="240"/>
        <w:jc w:val="both"/>
        <w:rPr>
          <w:rFonts w:ascii="Verdana" w:hAnsi="Verdana"/>
          <w:noProof/>
          <w:sz w:val="20"/>
          <w:szCs w:val="20"/>
        </w:rPr>
      </w:pPr>
      <w:r>
        <w:rPr>
          <w:rFonts w:ascii="Verdana" w:hAnsi="Verdana"/>
          <w:noProof/>
          <w:sz w:val="20"/>
          <w:szCs w:val="20"/>
        </w:rPr>
        <w:t xml:space="preserve">(3-15) O artigo 16.º estabelece </w:t>
      </w:r>
      <w:r>
        <w:rPr>
          <w:rFonts w:ascii="Verdana" w:hAnsi="Verdana"/>
          <w:b/>
          <w:noProof/>
          <w:sz w:val="20"/>
          <w:szCs w:val="20"/>
        </w:rPr>
        <w:t>três testes, que têm de ser cumpridos</w:t>
      </w:r>
      <w:r>
        <w:rPr>
          <w:rFonts w:ascii="Verdana" w:hAnsi="Verdana"/>
          <w:noProof/>
          <w:sz w:val="20"/>
          <w:szCs w:val="20"/>
        </w:rPr>
        <w:t xml:space="preserve"> antes da concessão de uma derrogação:</w:t>
      </w:r>
    </w:p>
    <w:p>
      <w:pPr>
        <w:spacing w:after="240"/>
        <w:ind w:left="284"/>
        <w:jc w:val="both"/>
        <w:rPr>
          <w:rFonts w:ascii="Verdana" w:hAnsi="Verdana"/>
          <w:noProof/>
          <w:sz w:val="20"/>
          <w:szCs w:val="20"/>
        </w:rPr>
      </w:pPr>
      <w:r>
        <w:rPr>
          <w:rFonts w:ascii="Verdana" w:hAnsi="Verdana"/>
          <w:noProof/>
          <w:sz w:val="20"/>
          <w:szCs w:val="20"/>
        </w:rPr>
        <w:t>1) Demonstração de um ou mais dos motivos enumerados no artigo 16.º, n.º 1, alíneas a) a d), ou para permitir, em condições estritamente controladas e de uma forma seletiva e numa dimensão limitada, a captura ou detenção de um número limitado especificado pelas autoridades nacionais competentes de determinados espécimes das espécies constantes do anexo IV [alínea e)];</w:t>
      </w:r>
    </w:p>
    <w:p>
      <w:pPr>
        <w:spacing w:after="240"/>
        <w:ind w:left="284"/>
        <w:jc w:val="both"/>
        <w:rPr>
          <w:rFonts w:ascii="Verdana" w:hAnsi="Verdana"/>
          <w:noProof/>
          <w:sz w:val="20"/>
          <w:szCs w:val="20"/>
        </w:rPr>
      </w:pPr>
      <w:r>
        <w:rPr>
          <w:rFonts w:ascii="Verdana" w:hAnsi="Verdana"/>
          <w:noProof/>
          <w:sz w:val="20"/>
          <w:szCs w:val="20"/>
        </w:rPr>
        <w:t>2) Ausência de outra solução satisfatória; e</w:t>
      </w:r>
    </w:p>
    <w:p>
      <w:pPr>
        <w:spacing w:after="240"/>
        <w:ind w:left="284"/>
        <w:jc w:val="both"/>
        <w:rPr>
          <w:rFonts w:ascii="Verdana" w:hAnsi="Verdana"/>
          <w:noProof/>
          <w:sz w:val="20"/>
          <w:szCs w:val="20"/>
        </w:rPr>
      </w:pPr>
      <w:r>
        <w:rPr>
          <w:rFonts w:ascii="Verdana" w:hAnsi="Verdana"/>
          <w:noProof/>
          <w:sz w:val="20"/>
          <w:szCs w:val="20"/>
        </w:rPr>
        <w:t>3) Garantia de que a derrogação não prejudica a manutenção das populações num estado de conservação favorável.</w:t>
      </w:r>
    </w:p>
    <w:p>
      <w:pPr>
        <w:spacing w:after="240"/>
        <w:jc w:val="both"/>
        <w:rPr>
          <w:rFonts w:ascii="Verdana" w:hAnsi="Verdana"/>
          <w:noProof/>
          <w:sz w:val="20"/>
          <w:szCs w:val="20"/>
        </w:rPr>
      </w:pPr>
      <w:r>
        <w:rPr>
          <w:rFonts w:ascii="Verdana" w:hAnsi="Verdana"/>
          <w:noProof/>
          <w:sz w:val="20"/>
          <w:szCs w:val="20"/>
        </w:rPr>
        <w:t xml:space="preserve">O terceiro teste reflete o objetivo fundamental da Diretiva </w:t>
      </w:r>
      <w:r>
        <w:rPr>
          <w:rFonts w:ascii="Verdana" w:hAnsi="Verdana"/>
          <w:i/>
          <w:iCs/>
          <w:noProof/>
          <w:sz w:val="20"/>
          <w:szCs w:val="20"/>
        </w:rPr>
        <w:t>Habitats</w:t>
      </w:r>
      <w:r>
        <w:rPr>
          <w:rFonts w:ascii="Verdana" w:hAnsi="Verdana"/>
          <w:noProof/>
          <w:sz w:val="20"/>
          <w:szCs w:val="20"/>
        </w:rPr>
        <w:t xml:space="preserve">, que consiste em contribuir para a biodiversidade através da conservação dos </w:t>
      </w:r>
      <w:r>
        <w:rPr>
          <w:rFonts w:ascii="Verdana" w:hAnsi="Verdana"/>
          <w:i/>
          <w:iCs/>
          <w:noProof/>
          <w:sz w:val="20"/>
          <w:szCs w:val="20"/>
        </w:rPr>
        <w:t>habitats</w:t>
      </w:r>
      <w:r>
        <w:rPr>
          <w:rFonts w:ascii="Verdana" w:hAnsi="Verdana"/>
          <w:noProof/>
          <w:sz w:val="20"/>
          <w:szCs w:val="20"/>
        </w:rPr>
        <w:t xml:space="preserve"> naturais e da fauna e da flora selvagens (artigo 2.º, n.º 1). As medidas tomadas têm de ser concebidas para garantir a conservação ou o restabelecimento dos </w:t>
      </w:r>
      <w:r>
        <w:rPr>
          <w:rFonts w:ascii="Verdana" w:hAnsi="Verdana"/>
          <w:i/>
          <w:iCs/>
          <w:noProof/>
          <w:sz w:val="20"/>
          <w:szCs w:val="20"/>
        </w:rPr>
        <w:t>habitats</w:t>
      </w:r>
      <w:r>
        <w:rPr>
          <w:rFonts w:ascii="Verdana" w:hAnsi="Verdana"/>
          <w:noProof/>
          <w:sz w:val="20"/>
          <w:szCs w:val="20"/>
        </w:rPr>
        <w:t xml:space="preserve"> naturais e das espécies da fauna e da flora selvagens protegidos num estado de conservação favorável. Também devem ter em conta as exigências económicas, sociais e culturais, bem como as particularidades regionais e locais (artigo 2.º, n.</w:t>
      </w:r>
      <w:r>
        <w:rPr>
          <w:rFonts w:ascii="Verdana" w:hAnsi="Verdana"/>
          <w:noProof/>
          <w:sz w:val="20"/>
          <w:szCs w:val="20"/>
          <w:vertAlign w:val="superscript"/>
        </w:rPr>
        <w:t>os</w:t>
      </w:r>
      <w:r>
        <w:rPr>
          <w:rFonts w:ascii="Verdana" w:hAnsi="Verdana"/>
          <w:noProof/>
          <w:sz w:val="20"/>
          <w:szCs w:val="20"/>
        </w:rPr>
        <w:t> 2 e 3).</w:t>
      </w:r>
    </w:p>
    <w:p>
      <w:pPr>
        <w:spacing w:after="240"/>
        <w:jc w:val="both"/>
        <w:rPr>
          <w:rFonts w:ascii="Verdana" w:hAnsi="Verdana"/>
          <w:noProof/>
          <w:sz w:val="20"/>
          <w:szCs w:val="20"/>
        </w:rPr>
      </w:pPr>
      <w:r>
        <w:rPr>
          <w:rFonts w:ascii="Verdana" w:hAnsi="Verdana"/>
          <w:noProof/>
          <w:sz w:val="20"/>
          <w:szCs w:val="20"/>
        </w:rPr>
        <w:t>Antes de se poder examinar o segundo e terceiro testes, a medida tem de passar no primeiro teste. Em termos práticos, de pouco vale examinar a questão de outras soluções satisfatórias e do impacto no estado de conservação se a ação não cumprir o artigo 16.º, n.º 1, alíneas a) a e).</w:t>
      </w:r>
    </w:p>
    <w:p>
      <w:pPr>
        <w:spacing w:after="240"/>
        <w:jc w:val="both"/>
        <w:rPr>
          <w:rFonts w:ascii="Verdana" w:hAnsi="Verdana"/>
          <w:noProof/>
          <w:sz w:val="20"/>
          <w:szCs w:val="20"/>
        </w:rPr>
      </w:pPr>
      <w:r>
        <w:rPr>
          <w:rFonts w:ascii="Verdana" w:hAnsi="Verdana"/>
          <w:noProof/>
          <w:sz w:val="20"/>
          <w:szCs w:val="20"/>
        </w:rPr>
        <w:t>(3-16)</w:t>
      </w:r>
      <w:r>
        <w:rPr>
          <w:rFonts w:ascii="Verdana" w:hAnsi="Verdana"/>
          <w:noProof/>
          <w:sz w:val="20"/>
          <w:szCs w:val="20"/>
        </w:rPr>
        <w:tab/>
      </w:r>
      <w:r>
        <w:rPr>
          <w:rFonts w:ascii="Verdana" w:hAnsi="Verdana"/>
          <w:b/>
          <w:noProof/>
          <w:sz w:val="20"/>
          <w:szCs w:val="20"/>
        </w:rPr>
        <w:t xml:space="preserve">Não obstante, os Estados-Membros têm de assegurar o cumprimento dos três testes. </w:t>
      </w:r>
      <w:r>
        <w:rPr>
          <w:rFonts w:ascii="Verdana" w:hAnsi="Verdana"/>
          <w:noProof/>
          <w:sz w:val="20"/>
          <w:szCs w:val="20"/>
        </w:rPr>
        <w:t xml:space="preserve">O ónus da prova recai sobre as autoridades competentes, que têm de demonstrar que cada derrogação satisfaz os três testes, como explicado pelo Tribunal de Justiça no processo C-342/05: «Prevendo [o artigo 16.º, n.º 1,] um regime de exceção que deve ser objeto de interpretação estrita e fazer recair o ónus da prova da existência das condições impostas, para cada derrogação, sobre a autoridade que toma a respetiva decisão, os Estados‑Membros estão obrigados a garantir que qualquer intervenção a respeito das espécies protegidas só será autorizada com base em decisões que comportem uma fundamentação precisa e adequada e se refira aos motivos, condições e requisitos previstos no artigo 16.º, n.º 1, da [D]iretiva </w:t>
      </w:r>
      <w:r>
        <w:rPr>
          <w:rFonts w:ascii="Verdana" w:hAnsi="Verdana"/>
          <w:i/>
          <w:iCs/>
          <w:noProof/>
          <w:sz w:val="20"/>
          <w:szCs w:val="20"/>
        </w:rPr>
        <w:t>[H]abitats</w:t>
      </w:r>
      <w:r>
        <w:rPr>
          <w:rFonts w:ascii="Verdana" w:hAnsi="Verdana"/>
          <w:noProof/>
          <w:sz w:val="20"/>
          <w:szCs w:val="20"/>
        </w:rPr>
        <w:t>»</w:t>
      </w:r>
      <w:r>
        <w:rPr>
          <w:rFonts w:ascii="Verdana" w:hAnsi="Verdana"/>
          <w:noProof/>
          <w:sz w:val="20"/>
          <w:szCs w:val="20"/>
          <w:vertAlign w:val="superscript"/>
        </w:rPr>
        <w:footnoteReference w:id="105"/>
      </w:r>
      <w:r>
        <w:rPr>
          <w:rFonts w:ascii="Verdana" w:hAnsi="Verdana"/>
          <w:noProof/>
          <w:sz w:val="20"/>
          <w:szCs w:val="20"/>
        </w:rPr>
        <w:t>.</w:t>
      </w:r>
    </w:p>
    <w:p>
      <w:pPr>
        <w:rPr>
          <w:rFonts w:ascii="Verdana" w:hAnsi="Verdana"/>
          <w:noProof/>
          <w:sz w:val="20"/>
          <w:szCs w:val="20"/>
        </w:rPr>
      </w:pPr>
      <w:r>
        <w:rPr>
          <w:noProof/>
        </w:rPr>
        <w:br w:type="page"/>
      </w:r>
    </w:p>
    <w:p>
      <w:pPr>
        <w:jc w:val="center"/>
        <w:rPr>
          <w:rFonts w:asciiTheme="minorHAnsi" w:eastAsiaTheme="minorEastAsia" w:hAnsiTheme="minorHAnsi" w:cstheme="minorBidi"/>
          <w:b/>
          <w:noProof/>
          <w:sz w:val="36"/>
          <w:szCs w:val="36"/>
        </w:rPr>
      </w:pPr>
      <w:r>
        <w:rPr>
          <w:rFonts w:asciiTheme="minorHAnsi" w:hAnsiTheme="minorHAnsi"/>
          <w:b/>
          <w:noProof/>
          <w:sz w:val="36"/>
          <w:szCs w:val="36"/>
        </w:rPr>
        <w:t>Fluxograma para a concessão de uma derrogação ao abrigo do artigo 16.º, n.º 1</w:t>
      </w:r>
    </w:p>
    <w:p>
      <w:pPr>
        <w:rPr>
          <w:rFonts w:asciiTheme="minorHAnsi" w:eastAsiaTheme="minorEastAsia" w:hAnsiTheme="minorHAnsi" w:cstheme="minorBidi"/>
          <w:noProof/>
          <w:sz w:val="28"/>
          <w:szCs w:val="28"/>
        </w:rPr>
      </w:pPr>
      <w:r>
        <w:rPr>
          <w:rFonts w:asciiTheme="minorHAnsi" w:hAnsiTheme="minorHAnsi"/>
          <w:noProof/>
          <w:sz w:val="28"/>
          <w:szCs w:val="28"/>
          <w:lang w:val="en-GB"/>
        </w:rPr>
        <mc:AlternateContent>
          <mc:Choice Requires="wps">
            <w:drawing>
              <wp:anchor distT="0" distB="0" distL="114300" distR="114300" simplePos="0" relativeHeight="251768320" behindDoc="1" locked="0" layoutInCell="1" allowOverlap="1">
                <wp:simplePos x="0" y="0"/>
                <wp:positionH relativeFrom="column">
                  <wp:posOffset>208060</wp:posOffset>
                </wp:positionH>
                <wp:positionV relativeFrom="paragraph">
                  <wp:posOffset>3037</wp:posOffset>
                </wp:positionV>
                <wp:extent cx="4442604" cy="491490"/>
                <wp:effectExtent l="0" t="0" r="15240" b="22860"/>
                <wp:wrapNone/>
                <wp:docPr id="19" name="Text Box 19"/>
                <wp:cNvGraphicFramePr/>
                <a:graphic xmlns:a="http://schemas.openxmlformats.org/drawingml/2006/main">
                  <a:graphicData uri="http://schemas.microsoft.com/office/word/2010/wordprocessingShape">
                    <wps:wsp>
                      <wps:cNvSpPr txBox="1"/>
                      <wps:spPr>
                        <a:xfrm>
                          <a:off x="0" y="0"/>
                          <a:ext cx="4442604" cy="491490"/>
                        </a:xfrm>
                        <a:prstGeom prst="rect">
                          <a:avLst/>
                        </a:prstGeom>
                        <a:solidFill>
                          <a:sysClr val="window" lastClr="FFFFFF">
                            <a:lumMod val="85000"/>
                          </a:sys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pPr>
                            <w:r>
                              <w:rPr>
                                <w:b/>
                              </w:rPr>
                              <w:t>A derrogação é necessária para abordar com eficácia um dos seguintes objetivos?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6.4pt;margin-top:.25pt;width:349.8pt;height:38.7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3KmAIAADkFAAAOAAAAZHJzL2Uyb0RvYy54bWysVN9P2zAQfp+0/8Hye0lapUAjUhSKOk1i&#10;gAQTz67j0EiO7dluk27a/85np4WO7WGa1of0fHe+H99354vLvpVkK6xrtCro+CSlRCiuq0Y9F/Tr&#10;43J0TonzTFVMaiUKuhOOXs4/frjoTC4meq1lJSxBEOXyzhR07b3Jk8TxtWiZO9FGKBhrbVvmcbTP&#10;SWVZh+itTCZpepp02lbGai6cg/Z6MNJ5jF/Xgvu7unbCE1lQ1Obj18bvKnyT+QXLny0z64bvy2D/&#10;UEXLGoWkr6GumWdkY5vfQrUNt9rp2p9w3Sa6rhsuYg/oZpy+6+ZhzYyIvQAcZ15hcv8vLL/d3lvS&#10;VOBuRoliLTh6FL0nV7onUAGfzrgcbg8Gjr6HHr4HvYMytN3Xtg3/aIjADqR3r+iGaBzKLMsmp2lG&#10;CYctm42zWYQ/ebttrPOfhG5JEApqwV4ElW1vnEclcD24hGROy6ZaNlLGw84tpCVbBqIxH5XuKJHM&#10;eSgLuoy/GEtu2i+6GvzOp2l6qMHF+zHHL3Gl+otUAbGjdIh6FPitStQ/hBNxMoemWI7LEEOaAFWc&#10;mh+L6dmkPJvORqfldDzKxun5qCzTyeh6WaZlmi0Xs+zqZ2ABMQ/3k8DUwEiQfL/q9/StdLUDe1YP&#10;8+8MXzaA+Ab43DOLgQdhWGJ/h08tdVdQvZcoWWv7/U/64I85hJWSDgtUUPdtw6wADp8VJhQEZ2Hj&#10;4iFDOzjYY8vq2KI27UKDujGeC8OjGPy9PIi11e0Tdr0MWWFiiiN3QYH7IC78sNZ4K7goy+iEHTPM&#10;36gHw0PoAHEYoMf+iVmznzIP+G71YdVY/m7YBt9wU+ly43XdxEkMAA+ogoJwwH5GMvZvSXgAjs/R&#10;6+3Fm78AAAD//wMAUEsDBBQABgAIAAAAIQB4sbPX2gAAAAYBAAAPAAAAZHJzL2Rvd25yZXYueG1s&#10;TM7BTsMwDAbgOxLvEBmJy8RSOray0nSaKnFFouMB3CakFY1TNela3h5zgput3/r9FafVDeJqptB7&#10;UvC4TUAYar3uySr4uLw+PIMIEUnj4Mko+DYBTuXtTYG59gu9m2sdreASCjkq6GIccylD2xmHYetH&#10;Q5x9+slh5HWyUk+4cLkbZJokB+mwJ/7Q4WiqzrRf9ewU1E37tj8vttoccTNnuBxsNaBS93fr+QVE&#10;NGv8O4ZfPtOhZFPjZ9JBDAp2Kcujgj0ITrNd+gSi4SE7giwL+Z9f/gAAAP//AwBQSwECLQAUAAYA&#10;CAAAACEAtoM4kv4AAADhAQAAEwAAAAAAAAAAAAAAAAAAAAAAW0NvbnRlbnRfVHlwZXNdLnhtbFBL&#10;AQItABQABgAIAAAAIQA4/SH/1gAAAJQBAAALAAAAAAAAAAAAAAAAAC8BAABfcmVscy8ucmVsc1BL&#10;AQItABQABgAIAAAAIQAMir3KmAIAADkFAAAOAAAAAAAAAAAAAAAAAC4CAABkcnMvZTJvRG9jLnht&#10;bFBLAQItABQABgAIAAAAIQB4sbPX2gAAAAYBAAAPAAAAAAAAAAAAAAAAAPIEAABkcnMvZG93bnJl&#10;di54bWxQSwUGAAAAAAQABADzAAAA+QUAAAAA&#10;" fillcolor="#d9d9d9" strokecolor="windowText">
                <v:textbox>
                  <w:txbxContent>
                    <w:p>
                      <w:pPr>
                        <w:jc w:val="center"/>
                      </w:pPr>
                      <w:r>
                        <w:rPr>
                          <w:b/>
                        </w:rPr>
                        <w:t>A derrogação é necessária para abordar com eficácia um dos seguintes objetivos?</w:t>
                      </w:r>
                    </w:p>
                  </w:txbxContent>
                </v:textbox>
              </v:shape>
            </w:pict>
          </mc:Fallback>
        </mc:AlternateContent>
      </w:r>
    </w:p>
    <w:p>
      <w:pPr>
        <w:rPr>
          <w:rFonts w:asciiTheme="minorHAnsi" w:eastAsiaTheme="minorEastAsia" w:hAnsiTheme="minorHAnsi" w:cstheme="minorBidi"/>
          <w:noProof/>
          <w:sz w:val="28"/>
          <w:szCs w:val="28"/>
        </w:rPr>
      </w:pPr>
    </w:p>
    <w:p>
      <w:pPr>
        <w:rPr>
          <w:rFonts w:asciiTheme="minorHAnsi" w:eastAsiaTheme="minorEastAsia" w:hAnsiTheme="minorHAnsi" w:cstheme="minorBidi"/>
          <w:noProof/>
          <w:sz w:val="28"/>
          <w:szCs w:val="28"/>
        </w:rPr>
      </w:pPr>
      <w:r>
        <w:rPr>
          <w:rFonts w:asciiTheme="minorHAnsi" w:hAnsiTheme="minorHAnsi"/>
          <w:noProof/>
          <w:sz w:val="28"/>
          <w:szCs w:val="28"/>
          <w:lang w:val="en-GB"/>
        </w:rPr>
        <mc:AlternateContent>
          <mc:Choice Requires="wps">
            <w:drawing>
              <wp:anchor distT="0" distB="0" distL="114300" distR="114300" simplePos="0" relativeHeight="251700736" behindDoc="0" locked="0" layoutInCell="1" allowOverlap="1">
                <wp:simplePos x="0" y="0"/>
                <wp:positionH relativeFrom="column">
                  <wp:posOffset>3848100</wp:posOffset>
                </wp:positionH>
                <wp:positionV relativeFrom="paragraph">
                  <wp:posOffset>7132691</wp:posOffset>
                </wp:positionV>
                <wp:extent cx="571500" cy="3429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303pt;margin-top:561.65pt;width:45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T9XQIAAKgEAAAOAAAAZHJzL2Uyb0RvYy54bWysVFFP2zAQfp+0/2D5vSQpKdCoKQpFnSYh&#10;QCoTz67j0EiJ7dkuCZv23/nsNNCxPU17cc93X85333fXxWXfNuRZGFsrmdPkJKZESK7KWj7l9NvD&#10;enJBiXVMlqxRUuT0RVh6ufz8adHpTEzVTjWlMARJpM06ndOdczqLIst3omX2RGkhEayUaZnD1TxF&#10;pWEdsrdNNI3js6hTptRGcWEtvNdDkC5D/qoS3N1VlRWONDlFbS6cJpxbf0bLBcueDNO7mh/KYP9Q&#10;RctqiUffUl0zx8je1H+kamtulFWVO+GqjVRV1VyEHtBNEn/oZrNjWoReQI7VbzTZ/5eW3z7fG1KX&#10;0O6UEslaaPQgekeuVE/gAj+dthlgGw2g6+EHdvRbOH3bfWVa/4uGCOJg+uWNXZ+Nwzk7T2YxIhyh&#10;03Q6h43s0fvH2lj3RaiWeCOnBuIFTtnzjXUDdIT4t6Ra100TBGzkbw7kHDwiTMDwNctQCEyP9CUF&#10;dX6uZufT4nw2n5wVs2SSJvHFpCji6eR6XcRFnK5X8/Tq16HO8fvIMzJ07i3Xb/uBwZGVrSpfQJZR&#10;w7hZzdc1Wrph1t0zg/kCC9gZd4ejalSXU3WwKNkp8+Nvfo+H7IhS0mFec2q/75kRlDRfJQZinqSp&#10;H/BwSdEVLuY4sj2OyH27UliJBNupeTA93jWjWRnVPmK1Cv8qQkxyvJ1TN5orN2wRVpOLogggjLRm&#10;7kZuNPepPdNesIf+kRl9UNWBxVs1TjbLPog7YAc1i71TVR2U9zwPrGJi/AXrEGbnsLp+347vAfX+&#10;B7N8BQAA//8DAFBLAwQUAAYACAAAACEARdGzr98AAAANAQAADwAAAGRycy9kb3ducmV2LnhtbEyP&#10;wU7DMBBE70j9B2uRuFG7DaQ0xKkQiCuItiBxc+NtEjVeR7HbhL9nc4Ljzoxm3+Sb0bXign1oPGlY&#10;zBUIpNLbhioN+93r7QOIEA1Z03pCDT8YYFPMrnKTWT/QB162sRJcQiEzGuoYu0zKUNboTJj7Dom9&#10;o++diXz2lbS9GbjctXKpVCqdaYg/1KbD5xrL0/bsNHy+Hb+/7tR79eLuu8GPSpJbS61vrsenRxAR&#10;x/gXhgmf0aFgpoM/kw2i1ZCqlLdENhbLJAHBkXQ9SYdJWq0SkEUu/68ofgEAAP//AwBQSwECLQAU&#10;AAYACAAAACEAtoM4kv4AAADhAQAAEwAAAAAAAAAAAAAAAAAAAAAAW0NvbnRlbnRfVHlwZXNdLnht&#10;bFBLAQItABQABgAIAAAAIQA4/SH/1gAAAJQBAAALAAAAAAAAAAAAAAAAAC8BAABfcmVscy8ucmVs&#10;c1BLAQItABQABgAIAAAAIQBf1WT9XQIAAKgEAAAOAAAAAAAAAAAAAAAAAC4CAABkcnMvZTJvRG9j&#10;LnhtbFBLAQItABQABgAIAAAAIQBF0bOv3wAAAA0BAAAPAAAAAAAAAAAAAAAAALcEAABkcnMvZG93&#10;bnJldi54bWxQSwUGAAAAAAQABADzAAAAwwUAAAAA&#10;" filled="f" stroked="f">
                <v:textbox>
                  <w:txbxContent>
                    <w:p>
                      <w:pPr>
                        <w:rPr>
                          <w:rFonts w:ascii="Arial Black" w:hAnsi="Arial Black"/>
                          <w:bCs/>
                          <w:smallCaps/>
                          <w:color w:val="FF0000"/>
                        </w:rPr>
                      </w:pPr>
                      <w:r>
                        <w:rPr>
                          <w:rFonts w:ascii="Arial Black" w:hAnsi="Arial Black"/>
                          <w:bCs/>
                          <w:smallCaps/>
                          <w:color w:val="FF0000"/>
                        </w:rPr>
                        <w:t>sim</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94592" behindDoc="0" locked="0" layoutInCell="1" allowOverlap="1">
                <wp:simplePos x="0" y="0"/>
                <wp:positionH relativeFrom="column">
                  <wp:posOffset>1770116</wp:posOffset>
                </wp:positionH>
                <wp:positionV relativeFrom="paragraph">
                  <wp:posOffset>7120255</wp:posOffset>
                </wp:positionV>
                <wp:extent cx="571500" cy="3429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não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39.4pt;margin-top:560.65pt;width:45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DXAIAAKYEAAAOAAAAZHJzL2Uyb0RvYy54bWysVE2P2jAQvVfqf7B8hyQ0sEtEWGVBVJXQ&#10;7kpQ7dk4DkRKPK5tSGjV/96xQ1i67anqxZkvj2fem8nsoa0rchLalCBTGg1DSoTkkJdyn9Kv29Xg&#10;nhJjmcxZBVKk9CwMfZh//DBrVCJGcIAqF5pgEmmSRqX0YK1KgsDwg6iZGYISEp0F6JpZVPU+yDVr&#10;MHtdBaMwnAQN6Fxp4MIYtC47J537/EUhuH0uCiMsqVKKtVl/an/u3BnMZyzZa6YOJb+Uwf6hipqV&#10;Eh+9ployy8hRl3+kqkuuwUBhhxzqAIqi5ML3gN1E4btuNgemhO8FwTHqCpP5f2n50+lFkzJP6YQS&#10;yWqkaCtaSx6hJROHTqNMgkEbhWG2RTOy3NsNGl3TbaFr98V2CPoR5/MVW5eMo3F8F41D9HB0fYpH&#10;U5Qxe/B2WWljPwuoiRNSqpE6jyg7rY3tQvsQ95aEVVlVnr5K/mbAnJ1FeP672yzBQlB0ka4kz82P&#10;xfhulN2Np4NJNo4GcRTeD7IsHA2WqyzMwni1mMaPPy919vcDh0jXuZNsu2s9fqMelR3kZwRLQzds&#10;RvFViS2tmbEvTON0IQq4MfYZj6KCJqVwkSg5gP7+N7uLR9LRS0mD05pS8+3ItKCk+iJxHKZRHLvx&#10;9kqMXaGibz27W4881gvAhYhwNxX3oou3VS8WGupXXKzMvYouJjm+nVLbiwvb7RAuJhdZ5oNwoBWz&#10;a7lR3KV2SDvCtu0r0+rCqkUUn6Cfa5a8I7eL7djMjhaK0jPvcO5QxYlxCi6Dn53L4rptu9V91Nvv&#10;Zf4LAAD//wMAUEsDBBQABgAIAAAAIQD7ghiO3wAAAA0BAAAPAAAAZHJzL2Rvd25yZXYueG1sTI9L&#10;T8MwEITvSPwHa5G4UTsJfRDiVAjEFdTykLi58TaJiNdR7Dbh37M5wXFnRrPfFNvJdeKMQ2g9aUgW&#10;CgRS5W1LtYb3t+ebDYgQDVnTeUINPxhgW15eFCa3fqQdnvexFlxCITcamhj7XMpQNehMWPgeib2j&#10;H5yJfA61tIMZudx1MlVqJZ1piT80psfHBqvv/clp+Hg5fn3eqtf6yS370U9KkruTWl9fTQ/3ICJO&#10;8S8MMz6jQ8lMB38iG0SnIV1vGD2ykaRJBoIj2WqWDrO0XmYgy0L+X1H+AgAA//8DAFBLAQItABQA&#10;BgAIAAAAIQC2gziS/gAAAOEBAAATAAAAAAAAAAAAAAAAAAAAAABbQ29udGVudF9UeXBlc10ueG1s&#10;UEsBAi0AFAAGAAgAAAAhADj9If/WAAAAlAEAAAsAAAAAAAAAAAAAAAAALwEAAF9yZWxzLy5yZWxz&#10;UEsBAi0AFAAGAAgAAAAhAKpM34NcAgAApgQAAA4AAAAAAAAAAAAAAAAALgIAAGRycy9lMm9Eb2Mu&#10;eG1sUEsBAi0AFAAGAAgAAAAhAPuCGI7fAAAADQEAAA8AAAAAAAAAAAAAAAAAtgQAAGRycy9kb3du&#10;cmV2LnhtbFBLBQYAAAAABAAEAPMAAADCBQAAAAA=&#10;" filled="f" stroked="f">
                <v:textbox>
                  <w:txbxContent>
                    <w:p>
                      <w:pPr>
                        <w:rPr>
                          <w:rFonts w:ascii="Arial Black" w:hAnsi="Arial Black"/>
                          <w:bCs/>
                          <w:smallCaps/>
                          <w:color w:val="008000"/>
                        </w:rPr>
                      </w:pPr>
                      <w:r>
                        <w:rPr>
                          <w:rFonts w:ascii="Arial Black" w:hAnsi="Arial Black"/>
                          <w:bCs/>
                          <w:smallCaps/>
                          <w:color w:val="008000"/>
                        </w:rPr>
                        <w:t>não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97664" behindDoc="0" locked="0" layoutInCell="1" allowOverlap="1">
                <wp:simplePos x="0" y="0"/>
                <wp:positionH relativeFrom="column">
                  <wp:posOffset>1768475</wp:posOffset>
                </wp:positionH>
                <wp:positionV relativeFrom="paragraph">
                  <wp:posOffset>5933176</wp:posOffset>
                </wp:positionV>
                <wp:extent cx="571500" cy="3429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não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39.25pt;margin-top:467.2pt;width:45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oNXQIAAKYEAAAOAAAAZHJzL2Uyb0RvYy54bWysVN9v2jAQfp+0/8HyOyShoS0RoUpBTJNQ&#10;WwmmPhvHgUiJz7MNCZv2v/fsEMq6PU17ce6Xz3ffd5fpQ1tX5Ci0KUGmNBqGlAjJIS/lLqXfNsvB&#10;PSXGMpmzCqRI6UkY+jD7/GnaqESMYA9VLjTBJNIkjUrp3lqVBIHhe1EzMwQlJDoL0DWzqOpdkGvW&#10;YPa6CkZheBs0oHOlgQtj0LronHTm8xeF4Pa5KIywpEop1mb9qf25dWcwm7Jkp5nal/xcBvuHKmpW&#10;Snz0kmrBLCMHXf6Rqi65BgOFHXKoAyiKkgvfA3YThR+6We+ZEr4XBMeoC0zm/6XlT8cXTco8pRNK&#10;JKuRoo1oLXmElkwcOo0yCQatFYbZFs3Icm83aHRNt4Wu3RfbIehHnE8XbF0yjsbxXTQO0cPRdROP&#10;Jihj9uD9stLGfhFQEyekVCN1HlF2XBnbhfYh7i0Jy7KqPH2V/M2AOTuL8Px3t1mChaDoIl1Jnpuf&#10;8/HdKLsbTwa32TgaxFF4P8iycDRYLLMwC+PlfBI//jrX2d8PHCJd506y7bb1+N30qGwhPyFYGrph&#10;M4ovS2xpxYx9YRqnC1HAjbHPeBQVNCmFs0TJHvSPv9ldPJKOXkoanNaUmu8HpgUl1VeJ4zCJ4tiN&#10;t1di7AoVfe3ZXnvkoZ4DLkSEu6m4F128rXqx0FC/4mJl7lV0Mcnx7ZTaXpzbbodwMbnIMh+EA62Y&#10;Xcm14i61Q9oRtmlfmVZnVi2i+AT9XLPkA7ldbMdmdrBQlJ55h3OHKk6MU3AZ/OycF9dt27Xuo95/&#10;L7M3AAAA//8DAFBLAwQUAAYACAAAACEA3O6A0d8AAAALAQAADwAAAGRycy9kb3ducmV2LnhtbEyP&#10;wU7DMAyG70h7h8hI3FjC1o2uNJ0QiCtoGyBxyxqvrdY4VZOt5e3xTuzo359+f87Xo2vFGfvQeNLw&#10;MFUgkEpvG6o0fO7e7lMQIRqypvWEGn4xwLqY3OQms36gDZ63sRJcQiEzGuoYu0zKUNboTJj6Dol3&#10;B987E3nsK2l7M3C5a+VMqaV0piG+UJsOX2osj9uT0/D1fvj5TtRH9eoW3eBHJcmtpNZ3t+PzE4iI&#10;Y/yH4aLP6lCw096fyAbRapg9pgtGNazmSQKCifnykuw5SdMEZJHL6x+KPwAAAP//AwBQSwECLQAU&#10;AAYACAAAACEAtoM4kv4AAADhAQAAEwAAAAAAAAAAAAAAAAAAAAAAW0NvbnRlbnRfVHlwZXNdLnht&#10;bFBLAQItABQABgAIAAAAIQA4/SH/1gAAAJQBAAALAAAAAAAAAAAAAAAAAC8BAABfcmVscy8ucmVs&#10;c1BLAQItABQABgAIAAAAIQBOpboNXQIAAKYEAAAOAAAAAAAAAAAAAAAAAC4CAABkcnMvZTJvRG9j&#10;LnhtbFBLAQItABQABgAIAAAAIQDc7oDR3wAAAAsBAAAPAAAAAAAAAAAAAAAAALc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não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23936" behindDoc="0" locked="0" layoutInCell="1" allowOverlap="1">
                <wp:simplePos x="0" y="0"/>
                <wp:positionH relativeFrom="column">
                  <wp:posOffset>4507230</wp:posOffset>
                </wp:positionH>
                <wp:positionV relativeFrom="paragraph">
                  <wp:posOffset>5286746</wp:posOffset>
                </wp:positionV>
                <wp:extent cx="571500" cy="342900"/>
                <wp:effectExtent l="0" t="0" r="0" b="0"/>
                <wp:wrapSquare wrapText="bothSides"/>
                <wp:docPr id="82" name="Text Box 82"/>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 o:spid="_x0000_s1030" type="#_x0000_t202" style="position:absolute;margin-left:354.9pt;margin-top:416.3pt;width:45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AVXgIAAKgEAAAOAAAAZHJzL2Uyb0RvYy54bWysVF1P2zAUfZ+0/2D5vU3SpUAjUhSKOk1C&#10;gFQmnl3HoZES27PdJmzaf9+x0xTG9jTtxblfvr73nHtzedW3DTkIY2slc5pMY0qE5Kqs5XNOvz6u&#10;JxeUWMdkyRolRU5fhKVXy48fLjudiZnaqaYUhiCJtFmnc7pzTmdRZPlOtMxOlRYSzkqZljmo5jkq&#10;DeuQvW2iWRyfRZ0ypTaKC2thvRmcdBnyV5Xg7r6qrHCkySlqc+E04dz6M1pesuzZML2r+bEM9g9V&#10;tKyWePSU6oY5Rvam/iNVW3OjrKrclKs2UlVVcxF6QDdJ/K6bzY5pEXoBOFafYLL/Ly2/OzwYUpc5&#10;vZhRIlkLjh5F78i16glMwKfTNkPYRiPQ9bCD59FuYfRt95Vp/RcNEfiB9MsJXZ+Nwzg/T+YxPByu&#10;T+lsARnZo9fL2lj3WaiWeCGnBuQFTNnh1rohdAzxb0m1rpsmENjI3wzIOVhEmIDhNstQCEQf6UsK&#10;7PxYzc9nxfl8MTkr5skkTeKLSVHEs8nNuoiLOF2vFun1z2Od4/3IIzJ07iXXb/uAYDqislXlC8Ay&#10;ahg3q/m6Rku3zLoHZjBfQAE74+5xVI3qcqqOEiU7Zb7/ze7jQTu8lHSY15zab3tmBCXNF4mBWCRp&#10;6gc8KCm6gmLeerZvPXLfrhRWIsF2ah5EH++aUayMap+wWoV/FS4mOd7OqRvFlRu2CKvJRVGEIIy0&#10;Zu5WbjT3qT3SnrDH/okZfWTVAcU7NU42y96RO8QObBZ7p6o6MO9xHlDFxHgF6xBm57i6ft/e6iHq&#10;9Qez/AUAAP//AwBQSwMEFAAGAAgAAAAhAM1mF4/eAAAACwEAAA8AAABkcnMvZG93bnJldi54bWxM&#10;j8tOwzAQRfdI/IM1SOyoTYE0CXGqCsQW1BaQ2LnxNIkaj6PYbcLfM13R5X3ozpliOblOnHAIrScN&#10;9zMFAqnytqVaw+f27S4FEaIhazpPqOEXAyzL66vC5NaPtMbTJtaCRyjkRkMTY59LGaoGnQkz3yNx&#10;tveDM5HlUEs7mJHHXSfnSiXSmZb4QmN6fGmwOmyOTsPX+/7n+1F91K/uqR/9pCS5TGp9ezOtnkFE&#10;nOJ/Gc74jA4lM+38kWwQnYaFyhg9akgf5gkIbiyys7NjJ00SkGUhL38o/wAAAP//AwBQSwECLQAU&#10;AAYACAAAACEAtoM4kv4AAADhAQAAEwAAAAAAAAAAAAAAAAAAAAAAW0NvbnRlbnRfVHlwZXNdLnht&#10;bFBLAQItABQABgAIAAAAIQA4/SH/1gAAAJQBAAALAAAAAAAAAAAAAAAAAC8BAABfcmVscy8ucmVs&#10;c1BLAQItABQABgAIAAAAIQDPOPAVXgIAAKgEAAAOAAAAAAAAAAAAAAAAAC4CAABkcnMvZTJvRG9j&#10;LnhtbFBLAQItABQABgAIAAAAIQDNZheP3gAAAAs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sim</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52960" behindDoc="0" locked="0" layoutInCell="1" allowOverlap="1">
                <wp:simplePos x="0" y="0"/>
                <wp:positionH relativeFrom="column">
                  <wp:posOffset>4500616</wp:posOffset>
                </wp:positionH>
                <wp:positionV relativeFrom="paragraph">
                  <wp:posOffset>4549775</wp:posOffset>
                </wp:positionV>
                <wp:extent cx="571500" cy="385445"/>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margin-left:354.4pt;margin-top:358.25pt;width:45pt;height:30.3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qDXQIAAKgEAAAOAAAAZHJzL2Uyb0RvYy54bWysVF1P2zAUfZ+0/2D5vSTpEloiUhSKOk2q&#10;AAkmnl3HoZES27PdJt20/75jpwXG9jTtxblfvr73nHtzeTV0LdkLYxslC5qcxZQIyVXVyOeCfn1c&#10;TeaUWMdkxVolRUEPwtKrxccPl73OxVRtVVsJQ5BE2rzXBd06p/MosnwrOmbPlBYSzlqZjjmo5jmq&#10;DOuRvWujaRyfR70ylTaKC2thvRmddBHy17Xg7q6urXCkLShqc+E04dz4M1pcsvzZML1t+LEM9g9V&#10;dKyRePQl1Q1zjOxM80eqruFGWVW7M666SNV1w0XoAd0k8btuHrZMi9ALwLH6BSb7/9Ly2/29IU1V&#10;0CmYkqwDR49icORaDQQm4NNrmyPsQSPQDbCD55PdwujbHmrT+S8aIvAD6cMLuj4bhzGbJVkMD4fr&#10;0zxL08xniV4va2PdZ6E64oWCGpAXMGX7tXVj6CnEvyXVqmnbQGArfzMg52gRYQLG2yxHIRB9pC8p&#10;sPNjmc2m5Sy7mJyXWTJJk3g+Kct4OrlZlXEZp6vlRXr981jn6X7kERk795IbNkNAMPTjLRtVHQCW&#10;UeO4Wc1XDVpaM+vumcF8AQXsjLvDUbeqL6g6SpRslfn+N7uPB+3wUtJjXgtqv+2YEZS0XyQG4iJJ&#10;Uz/gQUnRFRTz1rN565G7bqmwEgm2U/Mg+njXnsTaqO4Jq1X6V+FikuPtgrqTuHTjFmE1uSjLEISR&#10;1syt5YPmPrVH2hP2ODwxo4+sOqB4q06TzfJ35I6xI5vlzqm6Ccy/ooqJ8QrWIczOcXX9vr3VQ9Tr&#10;D2bxCwAA//8DAFBLAwQUAAYACAAAACEAl7Jkhd4AAAALAQAADwAAAGRycy9kb3ducmV2LnhtbEyP&#10;T0/DMAzF70h8h8hI3Jizia1baTohEFcQ44/ELWu8tqJxqiZby7fHO8Ht2e/p+ediO/lOnWiIbWAD&#10;85kGRVwF13Jt4P3t6WYNKibLznaBycAPRdiWlxeFzV0Y+ZVOu1QrKeGYWwNNSn2OGKuGvI2z0BOL&#10;dwiDt0nGoUY32FHKfYcLrVfobctyobE9PTRUfe+O3sDH8+Hr81a/1I9+2Y9h0sh+g8ZcX033d6AS&#10;TekvDGd8QYdSmPbhyC6qzkCm14KeRMxXS1CSyDbnzV5Eli0AywL//1D+AgAA//8DAFBLAQItABQA&#10;BgAIAAAAIQC2gziS/gAAAOEBAAATAAAAAAAAAAAAAAAAAAAAAABbQ29udGVudF9UeXBlc10ueG1s&#10;UEsBAi0AFAAGAAgAAAAhADj9If/WAAAAlAEAAAsAAAAAAAAAAAAAAAAALwEAAF9yZWxzLy5yZWxz&#10;UEsBAi0AFAAGAAgAAAAhAHPr2oNdAgAAqAQAAA4AAAAAAAAAAAAAAAAALgIAAGRycy9lMm9Eb2Mu&#10;eG1sUEsBAi0AFAAGAAgAAAAhAJeyZIXeAAAACwEAAA8AAAAAAAAAAAAAAAAAtwQAAGRycy9kb3du&#10;cmV2LnhtbFBLBQYAAAAABAAEAPMAAADCBQAAAAA=&#10;" filled="f" stroked="f">
                <v:textbox>
                  <w:txbxContent>
                    <w:p>
                      <w:pPr>
                        <w:rPr>
                          <w:rFonts w:ascii="Arial Black" w:hAnsi="Arial Black"/>
                          <w:bCs/>
                          <w:smallCaps/>
                          <w:color w:val="008000"/>
                        </w:rPr>
                      </w:pPr>
                      <w:r>
                        <w:rPr>
                          <w:rFonts w:ascii="Arial Black" w:hAnsi="Arial Black"/>
                          <w:bCs/>
                          <w:smallCaps/>
                          <w:color w:val="008000"/>
                        </w:rPr>
                        <w:t>sim</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9888" behindDoc="0" locked="0" layoutInCell="1" allowOverlap="1">
                <wp:simplePos x="0" y="0"/>
                <wp:positionH relativeFrom="column">
                  <wp:posOffset>4489821</wp:posOffset>
                </wp:positionH>
                <wp:positionV relativeFrom="paragraph">
                  <wp:posOffset>3910965</wp:posOffset>
                </wp:positionV>
                <wp:extent cx="571500" cy="385445"/>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2" type="#_x0000_t202" style="position:absolute;margin-left:353.55pt;margin-top:307.95pt;width:45pt;height:30.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ESXwIAAKgEAAAOAAAAZHJzL2Uyb0RvYy54bWysVE1v2zAMvQ/YfxB0T21ndpMacQo3RYYB&#10;QVugHXpWZCkxYIuapNTOhv33UXKcdt1Owy4yv0SR75FeXPdtQ16EsTWogiYXMSVCcahqtSvo16f1&#10;ZE6JdUxVrAElCnoUll4vP35YdDoXU9hDUwlDMImyeacLundO51Fk+V60zF6AFgqdEkzLHKpmF1WG&#10;dZi9baJpHF9GHZhKG+DCWrTeDk66DPmlFNzdS2mFI01BsTYXThPOrT+j5YLlO8P0vuanMtg/VNGy&#10;WuGj51S3zDFyMPUfqdqaG7Ag3QWHNgIpay5CD9hNEr/r5nHPtAi9IDhWn2Gy/y8tv3t5MKSuCjpN&#10;KVGsRY6eRO/IDfQETYhPp22OYY8aA12PduR5tFs0+rZ7aVr/xYYI+hHp4xldn42jMZslWYwejq5P&#10;8yxNM58ler2sjXWfBbTECwU1SF7AlL1srBtCxxD/loJ13TSBwEb9ZsCcg0WECRhusxwLQdFH+pIC&#10;Oz9W2WxazrKryWWZJZM0ieeTsoynk9t1GZdxul5dpTc/T3WO9yOPyNC5l1y/7QOClyMqW6iOCJaB&#10;Ydys5usaW9ow6x6YwflCFHBn3D0esoGuoHCSKNmD+f43u49H2tFLSYfzWlD77cCMoKT5onAgrpI0&#10;9QMelBS7QsW89WzfetShXQGuRILbqXkQfbxrRlEaaJ9xtUr/KrqY4vh2Qd0ortywRbiaXJRlCMKR&#10;1sxt1KPmPrVH2hP21D8zo0+sOkTxDsbJZvk7cofYgc3y4EDWgXmP84AqToxXcB3C7JxW1+/bWz1E&#10;vf5glr8AAAD//wMAUEsDBBQABgAIAAAAIQCheukR3gAAAAsBAAAPAAAAZHJzL2Rvd25yZXYueG1s&#10;TI9NT8MwDIbvSPsPkZG4saRoa2lpOk1MXEGMD4lb1nhtReNUTbaWf493gqNfP3r9uNzMrhdnHEPn&#10;SUOyVCCQam87ajS8vz3d3oMI0ZA1vSfU8IMBNtXiqjSF9RO94nkfG8ElFAqjoY1xKKQMdYvOhKUf&#10;kHh39KMzkcexkXY0E5e7Xt4plUpnOuILrRnwscX6e39yGj6ej1+fK/XS7Nx6mPysJLlcan1zPW8f&#10;QESc4x8MF31Wh4qdDv5ENoheQ6ayhFENabLOQTCR5ZfkwEmWpiCrUv7/ofoFAAD//wMAUEsBAi0A&#10;FAAGAAgAAAAhALaDOJL+AAAA4QEAABMAAAAAAAAAAAAAAAAAAAAAAFtDb250ZW50X1R5cGVzXS54&#10;bWxQSwECLQAUAAYACAAAACEAOP0h/9YAAACUAQAACwAAAAAAAAAAAAAAAAAvAQAAX3JlbHMvLnJl&#10;bHNQSwECLQAUAAYACAAAACEAysjxEl8CAACoBAAADgAAAAAAAAAAAAAAAAAuAgAAZHJzL2Uyb0Rv&#10;Yy54bWxQSwECLQAUAAYACAAAACEAoXrpEd4AAAALAQAADwAAAAAAAAAAAAAAAAC5BAAAZHJzL2Rv&#10;d25yZXYueG1sUEsFBgAAAAAEAAQA8wAAAMQFAAAAAA==&#10;" filled="f" stroked="f">
                <v:textbox>
                  <w:txbxContent>
                    <w:p>
                      <w:pPr>
                        <w:rPr>
                          <w:rFonts w:ascii="Arial Black" w:hAnsi="Arial Black"/>
                          <w:bCs/>
                          <w:smallCaps/>
                          <w:color w:val="008000"/>
                        </w:rPr>
                      </w:pPr>
                      <w:r>
                        <w:rPr>
                          <w:rFonts w:ascii="Arial Black" w:hAnsi="Arial Black"/>
                          <w:bCs/>
                          <w:smallCaps/>
                          <w:color w:val="008000"/>
                        </w:rPr>
                        <w:t>sim</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7072" behindDoc="0" locked="0" layoutInCell="1" allowOverlap="1">
                <wp:simplePos x="0" y="0"/>
                <wp:positionH relativeFrom="column">
                  <wp:posOffset>4499981</wp:posOffset>
                </wp:positionH>
                <wp:positionV relativeFrom="paragraph">
                  <wp:posOffset>3267075</wp:posOffset>
                </wp:positionV>
                <wp:extent cx="571500" cy="385445"/>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33" type="#_x0000_t202" style="position:absolute;margin-left:354.35pt;margin-top:257.25pt;width:45pt;height:30.3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VOXgIAAKgEAAAOAAAAZHJzL2Uyb0RvYy54bWysVN9v2jAQfp+0/8HyO03CkgIRoUpBTJOq&#10;thJMfTaOA5ESn2cbEjbtf9/ZIS3r9jTtxblfPt99313md11Tk5PQpgKZ0egmpERIDkUl9xn9ul2P&#10;ppQYy2TBapAio2dh6N3i44d5q1IxhgPUhdAEk0iTtiqjB2tVGgSGH0TDzA0oIdFZgm6YRVXvg0Kz&#10;FrM3dTAOw9ugBV0oDVwYg9ZV76QLn78sBbdPZWmEJXVGsTbrT+3PnTuDxZyle83UoeKXMtg/VNGw&#10;SuKjr6lWzDJy1NUfqZqKazBQ2hsOTQBlWXHhe8BuovBdN5sDU8L3guAY9QqT+X9p+ePpWZOqyGgS&#10;UyJZgxxtRWfJPXQETYhPq0yKYRuFgbZDO/I82A0aXdtdqRv3xYYI+hHp8yu6LhtHYzKJkhA9HF2f&#10;pkkcJy5L8HZZaWM/C2iIEzKqkTyPKTs9GNuHDiHuLQnrqq49gbX8zYA5e4vwE9DfZikWgqKLdCV5&#10;dn4sk8k4nySz0W2eRKM4CqejPA/Ho9U6D/MwXi9n8f3PS53D/cAh0nfuJNvtOo/gZEBlB8UZwdLQ&#10;j5tRfF1hSw/M2Gemcb4QBdwZ+4RHWUObUbhIlBxAf/+b3cUj7eilpMV5zaj5dmRaUFJ/kTgQsyiO&#10;3YB7JcauUNHXnt21Rx6bJeBKRLidinvRxdt6EEsNzQuuVu5eRReTHN/OqB3Epe23CFeTizz3QTjS&#10;itkHuVHcpXZIO8K23QvT6sKqRRQfYZhslr4jt4/t2cyPFsrKM+9w7lHFiXEKroOfncvqun271n3U&#10;2w9m8QsAAP//AwBQSwMEFAAGAAgAAAAhAMjdZ8HeAAAACwEAAA8AAABkcnMvZG93bnJldi54bWxM&#10;j8FuwjAMhu+T9g6RJ+02EhBdoWuKENOuQ7ANiVtoTFutcaom0O7tZ07b0b8//f6cr0bXiiv2ofGk&#10;YTpRIJBKbxuqNHx+vD0tQIRoyJrWE2r4wQCr4v4uN5n1A+3wuo+V4BIKmdFQx9hlUoayRmfCxHdI&#10;vDv73pnIY19J25uBy10rZ0o9S2ca4gu16XBTY/m9vzgNX+/n42GuttWrS7rBj0qSW0qtHx/G9QuI&#10;iGP8g+Gmz+pQsNPJX8gG0WpI1SJlVEMynScgmEiXt+TESZrMQBa5/P9D8QsAAP//AwBQSwECLQAU&#10;AAYACAAAACEAtoM4kv4AAADhAQAAEwAAAAAAAAAAAAAAAAAAAAAAW0NvbnRlbnRfVHlwZXNdLnht&#10;bFBLAQItABQABgAIAAAAIQA4/SH/1gAAAJQBAAALAAAAAAAAAAAAAAAAAC8BAABfcmVscy8ucmVs&#10;c1BLAQItABQABgAIAAAAIQAGlgVOXgIAAKgEAAAOAAAAAAAAAAAAAAAAAC4CAABkcnMvZTJvRG9j&#10;LnhtbFBLAQItABQABgAIAAAAIQDI3WfB3gAAAAs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sim</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6352" behindDoc="0" locked="0" layoutInCell="1" allowOverlap="1">
                <wp:simplePos x="0" y="0"/>
                <wp:positionH relativeFrom="column">
                  <wp:posOffset>3376559</wp:posOffset>
                </wp:positionH>
                <wp:positionV relativeFrom="paragraph">
                  <wp:posOffset>2169160</wp:posOffset>
                </wp:positionV>
                <wp:extent cx="665480" cy="300990"/>
                <wp:effectExtent l="0" t="0" r="0" b="3810"/>
                <wp:wrapSquare wrapText="bothSides"/>
                <wp:docPr id="27" name="Text Box 27"/>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position:absolute;margin-left:265.85pt;margin-top:170.8pt;width:52.4pt;height:23.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kpYQIAAKgEAAAOAAAAZHJzL2Uyb0RvYy54bWysVFFv2jAQfp+0/2D5nSawQCFqqFIqpklV&#10;W4lOfTaOUyIltmcbEjbtv++zQ1rW7WnaiznffTnffd8dV9ddU5ODMLZSMqPji5gSIbkqKvmS0a9P&#10;69GcEuuYLFitpMjoUVh6vfz44arVqZionaoLYQiSSJu2OqM753QaRZbvRMPshdJCIlgq0zCHq3mJ&#10;CsNaZG/qaBLHs6hVptBGcWEtvLd9kC5D/rIU3D2UpRWO1BlFbS6cJpxbf0bLK5a+GKZ3FT+Vwf6h&#10;ioZVEo++prpljpG9qf5I1VTcKKtKd8FVE6myrLgIPaCbcfyum82OaRF6ATlWv9Jk/19afn94NKQq&#10;Mjq5pESyBho9ic6RG9URuMBPq20K2EYD6Dr4ofPgt3D6trvSNP4XDRHEwfTxlV2fjcM5m02TOSIc&#10;oU9xvFgE9qO3j7Wx7rNQDfFGRg3EC5yyw511KATQAeLfkmpd1XUQsJa/OQDsPSJMQP81S1EITI/0&#10;JQV1fqyml5P8croYzfLpeJSM4/koz+PJ6Hadx3mcrFeL5Oan7xY5h+8jz0jfubdct+0Cg/OBla0q&#10;jiDLqH7crObrCi3dMesemcF8gQXsjHvAUdaqzag6WZTslPn+N7/HQ3ZEKWkxrxm13/bMCErqLxID&#10;sRgniR/wcEnQFS7mPLI9j8h9s1JYiTG2U/NgeryrB7M0qnnGauX+VYSY5Hg7o24wV67fIqwmF3ke&#10;QBhpzdyd3GjuU3umvWBP3TMz+qSqA4v3aphslr4Tt8f2auZ7p8oqKO957lmFEv6CdQianFbX79v5&#10;PaDe/mCWvwAAAP//AwBQSwMEFAAGAAgAAAAhAOSgO0vfAAAACwEAAA8AAABkcnMvZG93bnJldi54&#10;bWxMj8FOwzAMhu9IvENkJG4sKV27rTSdEIgriMGQuGWN11Y0TtVka3l7zAmOtj/9/v5yO7tenHEM&#10;nScNyUKBQKq97ajR8P72dLMGEaIha3pPqOEbA2yry4vSFNZP9IrnXWwEh1AojIY2xqGQMtQtOhMW&#10;fkDi29GPzkQex0ba0Uwc7np5q1QunemIP7RmwIcW66/dyWnYPx8/P5bqpXl02TD5WUlyG6n19dV8&#10;fwci4hz/YPjVZ3Wo2OngT2SD6DVkabJiVEO6THIQTORpnoE48Ga9USCrUv7vUP0AAAD//wMAUEsB&#10;Ai0AFAAGAAgAAAAhALaDOJL+AAAA4QEAABMAAAAAAAAAAAAAAAAAAAAAAFtDb250ZW50X1R5cGVz&#10;XS54bWxQSwECLQAUAAYACAAAACEAOP0h/9YAAACUAQAACwAAAAAAAAAAAAAAAAAvAQAAX3JlbHMv&#10;LnJlbHNQSwECLQAUAAYACAAAACEA5LR5KWECAACoBAAADgAAAAAAAAAAAAAAAAAuAgAAZHJzL2Uy&#10;b0RvYy54bWxQSwECLQAUAAYACAAAACEA5KA7S98AAAALAQAADwAAAAAAAAAAAAAAAAC7BAAAZHJz&#10;L2Rvd25yZXYueG1sUEsFBgAAAAAEAAQA8wAAAMcFAAAAAA==&#10;" filled="f" stroked="f">
                <v:textbox>
                  <w:txbxContent>
                    <w:p>
                      <w:pPr>
                        <w:rPr>
                          <w:rFonts w:ascii="Arial Black" w:hAnsi="Arial Black"/>
                          <w:bCs/>
                          <w:smallCaps/>
                          <w:color w:val="008000"/>
                        </w:rPr>
                      </w:pPr>
                      <w:r>
                        <w:rPr>
                          <w:rFonts w:ascii="Arial Black" w:hAnsi="Arial Black"/>
                          <w:bCs/>
                          <w:smallCaps/>
                          <w:color w:val="008000"/>
                        </w:rPr>
                        <w:t>sim</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3280" behindDoc="0" locked="0" layoutInCell="1" allowOverlap="1">
                <wp:simplePos x="0" y="0"/>
                <wp:positionH relativeFrom="column">
                  <wp:posOffset>2219061</wp:posOffset>
                </wp:positionH>
                <wp:positionV relativeFrom="paragraph">
                  <wp:posOffset>2168525</wp:posOffset>
                </wp:positionV>
                <wp:extent cx="665480" cy="300990"/>
                <wp:effectExtent l="0" t="0" r="0" b="3810"/>
                <wp:wrapSquare wrapText="bothSides"/>
                <wp:docPr id="26" name="Text Box 26"/>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position:absolute;margin-left:174.75pt;margin-top:170.75pt;width:52.4pt;height:23.7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xjYQIAAKgEAAAOAAAAZHJzL2Uyb0RvYy54bWysVMFu2zAMvQ/YPwi6p3YyJ02MOoWbIsOA&#10;oi3QDj0rslwbsCVNUmJnw/59T3Lcdt1Owy4KRT5T5HtkLi77tiEHYWytZEanZzElQnJV1PI5o18f&#10;t5MlJdYxWbBGSZHRo7D0cv3xw0WnUzFTlWoKYQiSSJt2OqOVczqNIssr0TJ7prSQCJbKtMzhap6j&#10;wrAO2dsmmsXxIuqUKbRRXFgL7/UQpOuQvywFd3dlaYUjTUZRmwunCefOn9H6gqXPhumq5qcy2D9U&#10;0bJa4tGXVNfMMbI39R+p2pobZVXpzrhqI1WWNRehB3Qzjd9181AxLUIvIMfqF5rs/0vLbw/3htRF&#10;RmcLSiRrodGj6B25Uj2BC/x02qaAPWgAXQ8/dB79Fk7fdl+a1v+iIYI4mD6+sOuzcTgXi3myRIQj&#10;9CmOV6vAfvT6sTbWfRaqJd7IqIF4gVN2uLEOhQA6QvxbUm3rpgkCNvI3B4CDR4QJGL5mKQqB6ZG+&#10;pKDOj838fJafz1eTRT6fTpJpvJzkeTybXG/zOI+T7WaVXP303SLn+H3kGRk695brd31gcDWyslPF&#10;EWQZNYyb1Xxbo6UbZt09M5gvsICdcXc4ykZ1GVUni5JKme9/83s8ZEeUkg7zmlH7bc+MoKT5IjEQ&#10;q2mS+AEPlwRd4WLeRnZvI3LfbhRWYort1DyYHu+a0SyNap+wWrl/FSEmOd7OqBvNjRu2CKvJRZ4H&#10;EEZaM3cjHzT3qT3TXrDH/okZfVLVgcVbNU42S9+JO2AHNfO9U2UdlPc8D6xCCX/BOgRNTqvr9+3t&#10;PaBe/2DWvwAAAP//AwBQSwMEFAAGAAgAAAAhAPsW3treAAAACwEAAA8AAABkcnMvZG93bnJldi54&#10;bWxMj0FPwzAMhe9I/IfISNxYMtaitjSdEIgriAGTdssar61onKrJ1vLv8U7s9uz39Py5XM+uFycc&#10;Q+dJw3KhQCDV3nbUaPj6fL3LQIRoyJreE2r4xQDr6vqqNIX1E33gaRMbwSUUCqOhjXEopAx1i86E&#10;hR+Q2Dv40ZnI49hIO5qJy10v75V6kM50xBdaM+Bzi/XP5ug0fL8ddttEvTcvLh0mPytJLpda397M&#10;T48gIs7xPwxnfEaHipn2/kg2iF7DKslTjp7FkgUnkjRZgdjzJstykFUpL3+o/gAAAP//AwBQSwEC&#10;LQAUAAYACAAAACEAtoM4kv4AAADhAQAAEwAAAAAAAAAAAAAAAAAAAAAAW0NvbnRlbnRfVHlwZXNd&#10;LnhtbFBLAQItABQABgAIAAAAIQA4/SH/1gAAAJQBAAALAAAAAAAAAAAAAAAAAC8BAABfcmVscy8u&#10;cmVsc1BLAQItABQABgAIAAAAIQCer4xjYQIAAKgEAAAOAAAAAAAAAAAAAAAAAC4CAABkcnMvZTJv&#10;RG9jLnhtbFBLAQItABQABgAIAAAAIQD7Ft7a3gAAAAsBAAAPAAAAAAAAAAAAAAAAALsEAABkcnMv&#10;ZG93bnJldi54bWxQSwUGAAAAAAQABADzAAAAxgUAAAAA&#10;" filled="f" stroked="f">
                <v:textbox>
                  <w:txbxContent>
                    <w:p>
                      <w:pPr>
                        <w:rPr>
                          <w:rFonts w:ascii="Arial Black" w:hAnsi="Arial Black"/>
                          <w:bCs/>
                          <w:smallCaps/>
                          <w:color w:val="008000"/>
                        </w:rPr>
                      </w:pPr>
                      <w:r>
                        <w:rPr>
                          <w:rFonts w:ascii="Arial Black" w:hAnsi="Arial Black"/>
                          <w:bCs/>
                          <w:smallCaps/>
                          <w:color w:val="008000"/>
                        </w:rPr>
                        <w:t>sim</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0208" behindDoc="0" locked="0" layoutInCell="1" allowOverlap="1">
                <wp:simplePos x="0" y="0"/>
                <wp:positionH relativeFrom="column">
                  <wp:posOffset>965200</wp:posOffset>
                </wp:positionH>
                <wp:positionV relativeFrom="paragraph">
                  <wp:posOffset>2169160</wp:posOffset>
                </wp:positionV>
                <wp:extent cx="665480" cy="300990"/>
                <wp:effectExtent l="0" t="0" r="0" b="3810"/>
                <wp:wrapSquare wrapText="bothSides"/>
                <wp:docPr id="25" name="Text Box 25"/>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76pt;margin-top:170.8pt;width:52.4pt;height:23.7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PYAIAAKkEAAAOAAAAZHJzL2Uyb0RvYy54bWysVFFv2jAQfp+0/2D5HZKwQCFqqFIqpkmo&#10;rdROfTaOUyIltmcbEjbtv++zA23X7WnaiznffTnffd8dl1d925CDMLZWMqfJOKZESK7KWj7n9Ovj&#10;ejSnxDomS9YoKXJ6FJZeLT9+uOx0JiZqp5pSGIIk0madzunOOZ1FkeU70TI7VlpIBCtlWuZwNc9R&#10;aViH7G0TTeJ4FnXKlNooLqyF92YI0mXIX1WCu7uqssKRJqeozYXThHPrz2h5ybJnw/Su5qcy2D9U&#10;0bJa4tGXVDfMMbI39R+p2pobZVXlxly1kaqqmovQA7pJ4nfdPOyYFqEXkGP1C032/6Xlt4d7Q+oy&#10;p5MpJZK10OhR9I5cq57ABX46bTPAHjSArocfOp/9Fk7fdl+Z1v+iIYI4mD6+sOuzcThns2k6R4Qj&#10;9CmOF4vAfvT6sTbWfRaqJd7IqYF4gVN22FiHQgA9Q/xbUq3rpgkCNvI3B4CDR4QJGL5mGQqB6ZG+&#10;pKDOj9X0YlJcTBejWTFNRmkSz0dFEU9GN+siLuJ0vVqk1z99t8h5/j7yjAyde8v12z4wmISGvGur&#10;yiPYMmqYN6v5ukZPG2bdPTMYMNCApXF3OKpGdTlVJ4uSnTLf/+b3eOiOKCUdBjan9tueGUFJ80Vi&#10;IhZJmvoJD5cUbeFi3ka2byNy364UdiLBemoeTI93zdmsjGqfsFuFfxUhJjnezqk7mys3rBF2k4ui&#10;CCDMtGZuIx8096k91V6xx/6JGX2S1YHGW3UebZa9U3fADnIWe6eqOkj/yiqk8BfsQxDltLt+4d7e&#10;A+r1H2b5CwAA//8DAFBLAwQUAAYACAAAACEAQa36Md8AAAALAQAADwAAAGRycy9kb3ducmV2Lnht&#10;bEyPwU7DMBBE70j9B2uRuFG7oYnaEKeqQFxBtAWJmxtvk4h4HcVuE/6e5USPMzuanVdsJteJCw6h&#10;9aRhMVcgkCpvW6o1HPYv9ysQIRqypvOEGn4wwKac3RQmt36kd7zsYi24hEJuNDQx9rmUoWrQmTD3&#10;PRLfTn5wJrIcamkHM3K562SiVCadaYk/NKbHpwar793Zafh4PX19LtVb/ezSfvSTkuTWUuu722n7&#10;CCLiFP/D8Defp0PJm47+TDaIjnWaMEvU8LBcZCA4kaQZwxzZWa0VyLKQ1wzlLwAAAP//AwBQSwEC&#10;LQAUAAYACAAAACEAtoM4kv4AAADhAQAAEwAAAAAAAAAAAAAAAAAAAAAAW0NvbnRlbnRfVHlwZXNd&#10;LnhtbFBLAQItABQABgAIAAAAIQA4/SH/1gAAAJQBAAALAAAAAAAAAAAAAAAAAC8BAABfcmVscy8u&#10;cmVsc1BLAQItABQABgAIAAAAIQA+xlzPYAIAAKkEAAAOAAAAAAAAAAAAAAAAAC4CAABkcnMvZTJv&#10;RG9jLnhtbFBLAQItABQABgAIAAAAIQBBrfox3wAAAAsBAAAPAAAAAAAAAAAAAAAAALoEAABkcnMv&#10;ZG93bnJldi54bWxQSwUGAAAAAAQABADzAAAAxgUAAAAA&#10;" filled="f" stroked="f">
                <v:textbox>
                  <w:txbxContent>
                    <w:p>
                      <w:pPr>
                        <w:rPr>
                          <w:rFonts w:ascii="Arial Black" w:hAnsi="Arial Black"/>
                          <w:bCs/>
                          <w:smallCaps/>
                          <w:color w:val="008000"/>
                        </w:rPr>
                      </w:pPr>
                      <w:r>
                        <w:rPr>
                          <w:rFonts w:ascii="Arial Black" w:hAnsi="Arial Black"/>
                          <w:bCs/>
                          <w:smallCaps/>
                          <w:color w:val="008000"/>
                        </w:rPr>
                        <w:t>sim</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47136" behindDoc="0" locked="0" layoutInCell="1" allowOverlap="1">
                <wp:simplePos x="0" y="0"/>
                <wp:positionH relativeFrom="column">
                  <wp:posOffset>-61643</wp:posOffset>
                </wp:positionH>
                <wp:positionV relativeFrom="paragraph">
                  <wp:posOffset>2169352</wp:posOffset>
                </wp:positionV>
                <wp:extent cx="665480" cy="300990"/>
                <wp:effectExtent l="0" t="0" r="0" b="3810"/>
                <wp:wrapSquare wrapText="bothSides"/>
                <wp:docPr id="18" name="Text Box 18"/>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margin-left:-4.85pt;margin-top:170.8pt;width:52.4pt;height:23.7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zuXgIAAKkEAAAOAAAAZHJzL2Uyb0RvYy54bWysVFFv2jAQfp+0/2D5nSawQCEiVCkV06Sq&#10;rdROfTaOA5ES27MNCZv23/fZAcq6PU17Mee7L+e777tjftM1NdkLYyslMzq8iikRkquikpuMfn1Z&#10;DaaUWMdkwWolRUYPwtKbxccP81anYqS2qi6EIUgibdrqjG6d02kUWb4VDbNXSguJYKlMwxyuZhMV&#10;hrXI3tTRKI4nUatMoY3iwlp47/ogXYT8ZSm4eyxLKxypM4raXDhNONf+jBZzlm4M09uKH8tg/1BF&#10;wyqJR8+p7phjZGeqP1I1FTfKqtJdcdVEqiwrLkIP6GYYv+vmecu0CL2AHKvPNNn/l5Y/7J8MqQpo&#10;B6Uka6DRi+gcuVUdgQv8tNqmgD1rAF0HP7Anv4XTt92VpvG/aIggDqYPZ3Z9Ng7nZDJOpohwhD7F&#10;8WwW2I/ePtbGus9CNcQbGTUQL3DK9vfWoRBATxD/llSrqq6DgLX8zQFg7xFhAvqvWYpCYHqkLymo&#10;82M5vh7l1+PZYJKPh4NkGE8HeR6PBnerPM7jZLWcJbc/fbfIefo+8oz0nXvLdeuuZ/BMy1oVB7Bl&#10;VD9vVvNVhZ7umXVPzGDAQAOWxj3iKGvVZlQdLUq2ynz/m9/joTuilLQY2IzabztmBCX1F4mJmA2T&#10;xE94uCRoCxdzGVlfRuSuWSrsxBDrqXkwPd7VJ7M0qnnFbuX+VYSY5Hg7o+5kLl2/RthNLvI8gDDT&#10;mrl7+ay5T+2p9oq9dK/M6KOsDjQ+qNNos/Sduj22lzPfOVVWQXpPdM8qpPAX7EMQ5bi7fuEu7wH1&#10;9g+z+AUAAP//AwBQSwMEFAAGAAgAAAAhAHNd4gfeAAAACQEAAA8AAABkcnMvZG93bnJldi54bWxM&#10;j01PwzAMhu9I/IfIk7htSWFf7ZpOCMR1iMGQuGWN11Y0TtVka/n3eCc42n70+nnz7ehaccE+NJ40&#10;JDMFAqn0tqFKw8f7y3QNIkRD1rSeUMMPBtgWtze5yawf6A0v+1gJDqGQGQ11jF0mZShrdCbMfIfE&#10;t5PvnYk89pW0vRk43LXyXqmldKYh/lCbDp9qLL/3Z6fhsDt9fc7Va/XsFt3gRyXJpVLru8n4uAER&#10;cYx/MFz1WR0Kdjr6M9kgWg3TdMWkhod5sgTBQLpIQBx5sU4VyCKX/xsUvwAAAP//AwBQSwECLQAU&#10;AAYACAAAACEAtoM4kv4AAADhAQAAEwAAAAAAAAAAAAAAAAAAAAAAW0NvbnRlbnRfVHlwZXNdLnht&#10;bFBLAQItABQABgAIAAAAIQA4/SH/1gAAAJQBAAALAAAAAAAAAAAAAAAAAC8BAABfcmVscy8ucmVs&#10;c1BLAQItABQABgAIAAAAIQCY7vzuXgIAAKkEAAAOAAAAAAAAAAAAAAAAAC4CAABkcnMvZTJvRG9j&#10;LnhtbFBLAQItABQABgAIAAAAIQBzXeIH3gAAAAk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sim</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65248" behindDoc="0" locked="0" layoutInCell="1" allowOverlap="1">
                <wp:simplePos x="0" y="0"/>
                <wp:positionH relativeFrom="column">
                  <wp:posOffset>2616835</wp:posOffset>
                </wp:positionH>
                <wp:positionV relativeFrom="paragraph">
                  <wp:posOffset>1474099</wp:posOffset>
                </wp:positionV>
                <wp:extent cx="0" cy="3890514"/>
                <wp:effectExtent l="95250" t="0" r="57150" b="53340"/>
                <wp:wrapNone/>
                <wp:docPr id="35" name="Straight Connector 35"/>
                <wp:cNvGraphicFramePr/>
                <a:graphic xmlns:a="http://schemas.openxmlformats.org/drawingml/2006/main">
                  <a:graphicData uri="http://schemas.microsoft.com/office/word/2010/wordprocessingShape">
                    <wps:wsp>
                      <wps:cNvCnPr/>
                      <wps:spPr>
                        <a:xfrm flipH="1">
                          <a:off x="0" y="0"/>
                          <a:ext cx="0" cy="3890514"/>
                        </a:xfrm>
                        <a:prstGeom prst="line">
                          <a:avLst/>
                        </a:prstGeom>
                        <a:noFill/>
                        <a:ln w="19050" cap="flat" cmpd="sng" algn="ctr">
                          <a:solidFill>
                            <a:srgbClr val="008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17347DE" id="Straight Connector 35" o:spid="_x0000_s1026" style="position:absolute;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05pt,116.05pt" to="206.05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Xt0QEAAIMDAAAOAAAAZHJzL2Uyb0RvYy54bWysU02P0zAQvSPxHyzfqdNdFpWo6R5aFg4I&#10;Ki38gKljJ5b8pbFp2n/P2AnVAjfExRrPjJ/nPT9vHy/OsrPCZILv+HrVcKa8DL3xQ8e/f3t6s+Es&#10;ZfA92OBVx68q8cfd61fbKbbqLozB9goZgfjUTrHjY86xFSLJUTlIqxCVp6IO6CDTFgfRI0yE7qy4&#10;a5p3YgrYRwxSpUTZw1zku4qvtZL5q9ZJZWY7TrPlumJdT2UVuy20A0IcjVzGgH+YwoHxdOkN6gAZ&#10;2A80f0E5IzGkoPNKBieC1kaqyoHYrJs/2DyPEFXlQuKkeJMp/T9Y+eV8RGb6jt8/cObB0Rs9ZwQz&#10;jJntg/ekYEBGRVJqiqmlA3t/xGWX4hEL7YtGx7Q18ROZoApB1Nil6ny96awumck5KSl7v3nfPKzf&#10;FmQxQxSoiCl/VMGxEnTcGl8kgBbOn1OeW3+1lLQPT8ZaykNrPZvoegKll5ZAbtIWMoUuEr/kB87A&#10;DmRTmbFCpmBNX46X0wmH094iO0OxSrNpmuoOmuy3tnL3AdI499XSbKIMxn7wPcvXSBoCYpgWZtYX&#10;fFXduHAoSs7alegU+muVVJQdvXQVZHFlsdLLPcUv/87uJwAAAP//AwBQSwMEFAAGAAgAAAAhAOP4&#10;W03eAAAACwEAAA8AAABkcnMvZG93bnJldi54bWxMj01OwzAQRveVuIM1SOxaJ2mEopBJBajdVAJB&#10;ywHceEgC8TjYbhtujysWsJufp2/eVKvJDOJEzveWEdJFAoK4sbrnFuFtv5kXIHxQrNVgmRC+ycOq&#10;vppVqtT2zK902oVWxBD2pULoQhhLKX3TkVF+YUfiuHu3zqgQW9dK7dQ5hptBZklyK43qOV7o1EiP&#10;HTWfu6NBeNg+f+h9WG8SF9bmZTl8Gfu0Rby5nu7vQASawh8MF/2oDnV0Otgjay8GhDzN0ogiZMtL&#10;EYnfyQGhyPMCZF3J/z/UPwAAAP//AwBQSwECLQAUAAYACAAAACEAtoM4kv4AAADhAQAAEwAAAAAA&#10;AAAAAAAAAAAAAAAAW0NvbnRlbnRfVHlwZXNdLnhtbFBLAQItABQABgAIAAAAIQA4/SH/1gAAAJQB&#10;AAALAAAAAAAAAAAAAAAAAC8BAABfcmVscy8ucmVsc1BLAQItABQABgAIAAAAIQAZNtXt0QEAAIMD&#10;AAAOAAAAAAAAAAAAAAAAAC4CAABkcnMvZTJvRG9jLnhtbFBLAQItABQABgAIAAAAIQDj+FtN3gAA&#10;AAsBAAAPAAAAAAAAAAAAAAAAACsEAABkcnMvZG93bnJldi54bWxQSwUGAAAAAAQABADzAAAANgUA&#10;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62176" behindDoc="0" locked="0" layoutInCell="1" allowOverlap="1">
                <wp:simplePos x="0" y="0"/>
                <wp:positionH relativeFrom="column">
                  <wp:posOffset>1374678</wp:posOffset>
                </wp:positionH>
                <wp:positionV relativeFrom="paragraph">
                  <wp:posOffset>1481898</wp:posOffset>
                </wp:positionV>
                <wp:extent cx="0" cy="3890514"/>
                <wp:effectExtent l="95250" t="0" r="57150" b="53340"/>
                <wp:wrapNone/>
                <wp:docPr id="34" name="Straight Connector 34"/>
                <wp:cNvGraphicFramePr/>
                <a:graphic xmlns:a="http://schemas.openxmlformats.org/drawingml/2006/main">
                  <a:graphicData uri="http://schemas.microsoft.com/office/word/2010/wordprocessingShape">
                    <wps:wsp>
                      <wps:cNvCnPr/>
                      <wps:spPr>
                        <a:xfrm flipH="1">
                          <a:off x="0" y="0"/>
                          <a:ext cx="0" cy="3890514"/>
                        </a:xfrm>
                        <a:prstGeom prst="line">
                          <a:avLst/>
                        </a:prstGeom>
                        <a:noFill/>
                        <a:ln w="19050" cap="flat" cmpd="sng" algn="ctr">
                          <a:solidFill>
                            <a:srgbClr val="008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1B87E3" id="Straight Connector 34" o:spid="_x0000_s1026" style="position:absolute;flip:x;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25pt,116.7pt" to="108.25pt,4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pz0QEAAIMDAAAOAAAAZHJzL2Uyb0RvYy54bWysU02P0zAQvSPxHyzfadJdQCVquoeWhQOC&#10;Srv8gKljJ5ZsjzU2TfvvGbulWuCGuFjz5TeeN8/rh5N34qgpWQy9XC5aKXRQONgw9vL78+OblRQp&#10;QxjAYdC9POskHzavX63n2Ok7nNANmgSDhNTNsZdTzrFrmqQm7SEtMOrASYPkIbNLYzMQzIzuXXPX&#10;tu+bGWmIhEqnxNHdJSk3Fd8YrfI3Y5LOwvWS35brSfU8lLPZrKEbCeJk1fUZ8A+v8GADN71B7SCD&#10;+EH2LyhvFWFCkxcKfYPGWKXrDDzNsv1jmqcJoq6zMDkp3mhK/w9WfT3uSdihl/dvpQjgeUdPmcCO&#10;UxZbDIEZRBKcZKbmmDq+sA17unop7qmMfTLkhXE2fmYRVCJ4NHGqPJ9vPOtTFuoSVBy9X31o3y0r&#10;cnOBKFCRUv6k0Yti9NLZUCiADo5fUua2XPqrpIQDPlrn6hpdEDO3Z1DetAJWk3GQ2fSR50thlALc&#10;yDJVmSpkQmeHcr0AJRoPW0fiCEUq7aptqzq43W9lpfcO0nSpq6mLiDJY9zEMIp8jcwhEOJcE33eh&#10;4OuqxusMhckLd8U64HCulDbF403Xa1dVFim99Nl++Xc2PwEAAP//AwBQSwMEFAAGAAgAAAAhAIPm&#10;5ILfAAAACwEAAA8AAABkcnMvZG93bnJldi54bWxMj01OwzAQRvdI3MEaJHbUSVOiKo1TAWo3lUCl&#10;5QBuPE0C8TjYbhtuzyAWsJufp2/elMvR9uKMPnSOFKSTBARS7UxHjYK3/fpuDiJETUb3jlDBFwZY&#10;VtdXpS6Mu9ArnnexERxCodAK2hiHQspQt2h1mLgBiXdH562O3PpGGq8vHG57OU2SXFrdEV9o9YBP&#10;LdYfu5NV8Lh5eTf7uFonPq7sNus/rXveKHV7Mz4sQEQc4x8MP/qsDhU7HdyJTBC9gmma3zPKRZbN&#10;QDDxOzkomM/yFGRVyv8/VN8AAAD//wMAUEsBAi0AFAAGAAgAAAAhALaDOJL+AAAA4QEAABMAAAAA&#10;AAAAAAAAAAAAAAAAAFtDb250ZW50X1R5cGVzXS54bWxQSwECLQAUAAYACAAAACEAOP0h/9YAAACU&#10;AQAACwAAAAAAAAAAAAAAAAAvAQAAX3JlbHMvLnJlbHNQSwECLQAUAAYACAAAACEAzn66c9EBAACD&#10;AwAADgAAAAAAAAAAAAAAAAAuAgAAZHJzL2Uyb0RvYy54bWxQSwECLQAUAAYACAAAACEAg+bkgt8A&#10;AAALAQAADwAAAAAAAAAAAAAAAAArBAAAZHJzL2Rvd25yZXYueG1sUEsFBgAAAAAEAAQA8wAAADcF&#10;A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85376" behindDoc="0" locked="0" layoutInCell="1" allowOverlap="1">
                <wp:simplePos x="0" y="0"/>
                <wp:positionH relativeFrom="column">
                  <wp:posOffset>2627630</wp:posOffset>
                </wp:positionH>
                <wp:positionV relativeFrom="paragraph">
                  <wp:posOffset>2498090</wp:posOffset>
                </wp:positionV>
                <wp:extent cx="1197610" cy="3810"/>
                <wp:effectExtent l="0" t="0" r="21590" b="34290"/>
                <wp:wrapNone/>
                <wp:docPr id="51" name="Straight Connector 51"/>
                <wp:cNvGraphicFramePr/>
                <a:graphic xmlns:a="http://schemas.openxmlformats.org/drawingml/2006/main">
                  <a:graphicData uri="http://schemas.microsoft.com/office/word/2010/wordprocessingShape">
                    <wps:wsp>
                      <wps:cNvCnPr/>
                      <wps:spPr>
                        <a:xfrm flipV="1">
                          <a:off x="0" y="0"/>
                          <a:ext cx="1197610" cy="3810"/>
                        </a:xfrm>
                        <a:prstGeom prst="line">
                          <a:avLst/>
                        </a:prstGeom>
                        <a:noFill/>
                        <a:ln w="19050" cap="flat" cmpd="sng" algn="ctr">
                          <a:solidFill>
                            <a:srgbClr val="008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C92532" id="Straight Connector 51"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9pt,196.7pt" to="301.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A2AEAAJ0DAAAOAAAAZHJzL2Uyb0RvYy54bWysU8tu2zAQvBfoPxC815JSJHUEyznYSS9B&#10;ayBp72uKlAjwhSVr2X+fJeUYSXMreiH2xeHOaLS6O1rDDhKj9q7jzaLmTDrhe+2Gjv96fviy5Cwm&#10;cD0Y72THTzLyu/XnT6sptPLKj970EhmBuNhOoeNjSqGtqihGaSEufJCOmsqjhUQpDlWPMBG6NdVV&#10;Xd9Uk8c+oBcyRqpu5yZfF3ylpEg/lYoyMdNx2i2VE8u5z2e1XkE7IIRRi/Ma8A9bWNCOHr1AbSEB&#10;+4P6A5TVAn30Ki2Et5VXSgtZOBCbpv6LzdMIQRYuJE4MF5ni/4MVPw47ZLrv+HXDmQNL3+gpIehh&#10;TGzjnSMFPTJqklJTiC1d2LgdnrMYdphpHxVapowOv8kERQiixo5F59NFZ3lMTFCxaW6/3TT0OQT1&#10;vi4pIrhqRsloAWP6Lr1lOei40S6rAC0cHmOaR19Hctn5B20M1aE1jk2Ef1tfZ3QgQykDiUIbiGJ0&#10;A2dgBnKqSFggoze6z9fz7YjDfmOQHSC7pV7W9etm78by21uI4zxXWrOPRgn9vetZOgWS0ZHh53oC&#10;bT7WibBx+VlZfHqmljWeVc3R3venInaVM/JA0ens12yytznFb/+q9QsAAAD//wMAUEsDBBQABgAI&#10;AAAAIQDKtEWu3QAAAAsBAAAPAAAAZHJzL2Rvd25yZXYueG1sTI/LTsMwEEX3SPyDNUjsqNMkqiDE&#10;qRAIlkWUSmzd2I2jxuNgO4n5e6Yr2M3j6syZepvswGbtQ+9QwHqVAdPYOtVjJ+Dw+Xp3DyxEiUoO&#10;DrWAHx1g21xf1bJSbsEPPe9jxwiCoZICTIxjxXlojbYyrNyokXYn562M1PqOKy8XgtuB51m24Vb2&#10;SBeMHPWz0e15P1kB5ewPafc2jelb5ia9v+BusV9C3N6kp0dgUaf4F4aLPqlDQ05HN6EKbCDGuiD1&#10;KKB4KEpglNhkORXHy6TMgDc1//9D8wsAAP//AwBQSwECLQAUAAYACAAAACEAtoM4kv4AAADhAQAA&#10;EwAAAAAAAAAAAAAAAAAAAAAAW0NvbnRlbnRfVHlwZXNdLnhtbFBLAQItABQABgAIAAAAIQA4/SH/&#10;1gAAAJQBAAALAAAAAAAAAAAAAAAAAC8BAABfcmVscy8ucmVsc1BLAQItABQABgAIAAAAIQAOt/5A&#10;2AEAAJ0DAAAOAAAAAAAAAAAAAAAAAC4CAABkcnMvZTJvRG9jLnhtbFBLAQItABQABgAIAAAAIQDK&#10;tEWu3QAAAAsBAAAPAAAAAAAAAAAAAAAAADIEAABkcnMvZG93bnJldi54bWxQSwUGAAAAAAQABADz&#10;AAAAPAU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91520" behindDoc="0" locked="0" layoutInCell="1" allowOverlap="1">
                <wp:simplePos x="0" y="0"/>
                <wp:positionH relativeFrom="column">
                  <wp:posOffset>3816100</wp:posOffset>
                </wp:positionH>
                <wp:positionV relativeFrom="paragraph">
                  <wp:posOffset>1484861</wp:posOffset>
                </wp:positionV>
                <wp:extent cx="3079" cy="1012536"/>
                <wp:effectExtent l="0" t="0" r="35560" b="35560"/>
                <wp:wrapNone/>
                <wp:docPr id="53" name="Straight Connector 53"/>
                <wp:cNvGraphicFramePr/>
                <a:graphic xmlns:a="http://schemas.openxmlformats.org/drawingml/2006/main">
                  <a:graphicData uri="http://schemas.microsoft.com/office/word/2010/wordprocessingShape">
                    <wps:wsp>
                      <wps:cNvCnPr/>
                      <wps:spPr>
                        <a:xfrm flipH="1">
                          <a:off x="0" y="0"/>
                          <a:ext cx="3079" cy="1012536"/>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18DB11" id="Straight Connector 53"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116.9pt" to="300.7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e5xwEAAG0DAAAOAAAAZHJzL2Uyb0RvYy54bWysU8tu2zAQvBfIPxC8x5JtOE0EyznYSHso&#10;WgNJP2BNkRIBvrBkLfvvu6RUI21vRS/EvjjaGY62zxdr2Fli1N61fLmoOZNO+E67vuXf317uHzmL&#10;CVwHxjvZ8quM/Hl392E7hkau/OBNJ5ERiIvNGFo+pBSaqopikBbiwgfpqKk8WkiUYl91CCOhW1Ot&#10;6vqhGj12Ab2QMVL1MDX5ruArJUX6plSUiZmW026pnFjOUz6r3RaaHiEMWsxrwD9sYUE7+ugN6gAJ&#10;2A/Uf0FZLdBHr9JCeFt5pbSQhQOxWdZ/sHkdIMjChcSJ4SZT/H+w4uv5iEx3Ld+sOXNg6Y1eE4Lu&#10;h8T23jlS0COjJik1htjQhb074pzFcMRM+6LQMmV0+EwmKEIQNXYpOl9vOstLYoKK6/rjE2eCGst6&#10;udqsHzJ4NaFktIAxfZLeshy03GiXVYAGzl9imkZ/jeSy8y/aGKpDYxwbCfWp3tBjCyBDKQOJQhuI&#10;YnQ9Z2B6cqpIWCCjN7rL1/PtiP1pb5CdIbulfqzrYhDa7Lex/O0DxGGaK62ZgHEZRhbfzatmzSaV&#10;cnTy3bWIV+WM3rTwnv2XTfM+p/j9X7L7CQAA//8DAFBLAwQUAAYACAAAACEAtVm+s94AAAALAQAA&#10;DwAAAGRycy9kb3ducmV2LnhtbEyPwU7DMAyG70i8Q2QkbixdAxOUphMCwXGIMYlr1oSmonFKkrbh&#10;7TEndrT96/f31dvsBjabEHuPEtarApjB1useOwmH9+erW2AxKdRq8Ggk/JgI2+b8rFaV9gu+mXmf&#10;OkYlGCslwaY0VpzH1hqn4sqPBun26YNTicbQcR3UQuVu4GVRbLhTPdIHq0bzaE37tZ+chOs5HPLu&#10;ZRrztyptfn3C3eI+pLy8yA/3wJLJ6T8Mf/iEDg0xHf2EOrJBwqZYk0uSUApBDpSgzQ2wowRxJwTw&#10;puanDs0vAAAA//8DAFBLAQItABQABgAIAAAAIQC2gziS/gAAAOEBAAATAAAAAAAAAAAAAAAAAAAA&#10;AABbQ29udGVudF9UeXBlc10ueG1sUEsBAi0AFAAGAAgAAAAhADj9If/WAAAAlAEAAAsAAAAAAAAA&#10;AAAAAAAALwEAAF9yZWxzLy5yZWxzUEsBAi0AFAAGAAgAAAAhAICvJ7nHAQAAbQMAAA4AAAAAAAAA&#10;AAAAAAAALgIAAGRycy9lMm9Eb2MueG1sUEsBAi0AFAAGAAgAAAAhALVZvrPeAAAACwEAAA8AAAAA&#10;AAAAAAAAAAAAIQQAAGRycy9kb3ducmV2LnhtbFBLBQYAAAAABAAEAPMAAAAsBQ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88448" behindDoc="0" locked="0" layoutInCell="1" allowOverlap="1">
                <wp:simplePos x="0" y="0"/>
                <wp:positionH relativeFrom="column">
                  <wp:posOffset>352462</wp:posOffset>
                </wp:positionH>
                <wp:positionV relativeFrom="paragraph">
                  <wp:posOffset>1484861</wp:posOffset>
                </wp:positionV>
                <wp:extent cx="0" cy="1021176"/>
                <wp:effectExtent l="0" t="0" r="19050" b="26670"/>
                <wp:wrapNone/>
                <wp:docPr id="52" name="Straight Connector 52"/>
                <wp:cNvGraphicFramePr/>
                <a:graphic xmlns:a="http://schemas.openxmlformats.org/drawingml/2006/main">
                  <a:graphicData uri="http://schemas.microsoft.com/office/word/2010/wordprocessingShape">
                    <wps:wsp>
                      <wps:cNvCnPr/>
                      <wps:spPr>
                        <a:xfrm flipH="1">
                          <a:off x="0" y="0"/>
                          <a:ext cx="0" cy="1021176"/>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3E39A6C" id="Straight Connector 52"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16.9pt" to="27.7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i1wgEAAGoDAAAOAAAAZHJzL2Uyb0RvYy54bWysU02P0zAQvSPxHyzfadJKuyxR0z20Wjgg&#10;qLTwA6aOnVjyl2ZM0/57xk5ZLXBDXKz58su855ft48U7cdZINoZerletFDqoONgw9vL7t6d3D1JQ&#10;hjCAi0H38qpJPu7evtnOqdObOEU3aBQMEqibUy+nnFPXNKQm7YFWMenATRPRQ+YUx2ZAmBndu2bT&#10;tvfNHHFIGJUm4uphacpdxTdGq/zVGNJZuF7ybrmeWM9TOZvdFroRIU1W3daAf9jCgw380ReoA2QQ&#10;P9D+BeWtwkjR5JWKvonGWKUrB2azbv9g8zxB0pULi0PpRSb6f7Dqy/mIwg69vNtIEcDzGz1nBDtO&#10;WexjCKxgRMFNVmpO1PGFfTjiLaN0xEL7YtAL42z6xCaoQjA1cak6X1901pcs1FJUXF23m/X6/X1B&#10;bhaIApWQ8kcdvShBL50NRQLo4PyZ8jL6a6SUQ3yyznEdOhfEzKgf2jt+aQXsJuMgc+gT86MwSgFu&#10;ZJuqjBWSorNDuV5uE46nvUNxhmKV9qFtqzt4s9/GyrcPQNMyV1s3Ai4UGF1Nd1u1CLZIVKJTHK5V&#10;uaZk/KCV9818xTGvc45f/yK7nwAAAP//AwBQSwMEFAAGAAgAAAAhALdATmHcAAAACQEAAA8AAABk&#10;cnMvZG93bnJldi54bWxMj8FOwzAMhu9IvENkJG4spV0nKHUnBILj0MYkrlkTmorGKUnahrcncIGj&#10;7U+/v7/eRjOwWTnfW0K4XmXAFLVW9tQhHF+frm6A+SBIisGSQvhSHrbN+VktKmkX2qv5EDqWQshX&#10;AkGHMFac+1YrI/zKjorS7d06I0IaXcelE0sKNwPPs2zDjegpfdBiVA9atR+HySCsZ3eMu+dpjJ8i&#10;1/HlkXaLeUO8vIj3d8CCiuEPhh/9pA5NcjrZiaRnA0JZlolEyIsiVUjA7+KEUNyuN8Cbmv9v0HwD&#10;AAD//wMAUEsBAi0AFAAGAAgAAAAhALaDOJL+AAAA4QEAABMAAAAAAAAAAAAAAAAAAAAAAFtDb250&#10;ZW50X1R5cGVzXS54bWxQSwECLQAUAAYACAAAACEAOP0h/9YAAACUAQAACwAAAAAAAAAAAAAAAAAv&#10;AQAAX3JlbHMvLnJlbHNQSwECLQAUAAYACAAAACEAj7JotcIBAABqAwAADgAAAAAAAAAAAAAAAAAu&#10;AgAAZHJzL2Uyb0RvYy54bWxQSwECLQAUAAYACAAAACEAt0BOYdwAAAAJAQAADwAAAAAAAAAAAAAA&#10;AAAcBAAAZHJzL2Rvd25yZXYueG1sUEsFBgAAAAAEAAQA8wAAACUFA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9168" behindDoc="0" locked="0" layoutInCell="1" allowOverlap="1">
                <wp:simplePos x="0" y="0"/>
                <wp:positionH relativeFrom="column">
                  <wp:posOffset>1844675</wp:posOffset>
                </wp:positionH>
                <wp:positionV relativeFrom="paragraph">
                  <wp:posOffset>1484516</wp:posOffset>
                </wp:positionV>
                <wp:extent cx="0" cy="3429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FEAC087" id="Straight Connector 74" o:spid="_x0000_s1026" style="position:absolute;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25pt,116.9pt" to="145.25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zguwEAAF8DAAAOAAAAZHJzL2Uyb0RvYy54bWysU02PEzEMvSPxH6Lc6cyW5WNHne6hVbkg&#10;qLTLD3AzyUykfMkOnfbf46SlLHBD9JDajvPs9+xZPZ68E0eNZGPo5d2ilUIHFQcbxl5+e969+SgF&#10;ZQgDuBh0L8+a5OP69avVnDq9jFN0g0bBIIG6OfVyyjl1TUNq0h5oEZMOfGkiesjs4tgMCDOje9cs&#10;2/Z9M0ccEkaliTi6vVzKdcU3Rqv81RjSWbhecm+5nljPQzmb9Qq6ESFNVl3bgH/owoMNXPQGtYUM&#10;4jvav6C8VRgpmrxQ0TfRGKt05cBs7to/2DxNkHTlwuJQuslE/w9WfTnuUdihlx/upQjgeUZPGcGO&#10;UxabGAIrGFHwJSs1J+r4wSbs8epR2mOhfTLoyz8TEqeq7vmmrj5loS5BxdG398uHtgrf/HqXkPIn&#10;Hb0oRi+dDYU3dHD8TJlrcerPlBIOcWedq7NzQcy8eA/tOx6vAl4h4yCz6ROTojBKAW7k3VQZKyRF&#10;Z4fyvAARjoeNQ3EE3o/druVfIcrlfksrtbdA0yWvXl3TXCgwum7atdWi0kWXYh3icK5yNcXjKVb0&#10;68aVNXnps/3yu1j/AAAA//8DAFBLAwQUAAYACAAAACEAzCQ37+AAAAALAQAADwAAAGRycy9kb3du&#10;cmV2LnhtbEyPQU/DMAyF70j8h8hI3Fi6TXSlNJ1QJTQOSNMKB7hljWkrEqdqsrX8e4w4wO3Zfnr+&#10;XrGdnRVnHEPvScFykYBAarzpqVXw+vJ4k4EIUZPR1hMq+MIA2/LyotC58RMd8FzHVnAIhVwr6GIc&#10;cilD06HTYeEHJL59+NHpyOPYSjPqicOdlaskSaXTPfGHTg9Yddh81ien4G2/2w/PVZX6p/fdNLfp&#10;sj5srFLXV/PDPYiIc/wzww8+o0PJTEd/IhOEVbC6S27ZymK95g7s+N0cWWSbDGRZyP8dym8AAAD/&#10;/wMAUEsBAi0AFAAGAAgAAAAhALaDOJL+AAAA4QEAABMAAAAAAAAAAAAAAAAAAAAAAFtDb250ZW50&#10;X1R5cGVzXS54bWxQSwECLQAUAAYACAAAACEAOP0h/9YAAACUAQAACwAAAAAAAAAAAAAAAAAvAQAA&#10;X3JlbHMvLnJlbHNQSwECLQAUAAYACAAAACEAkx4M4LsBAABfAwAADgAAAAAAAAAAAAAAAAAuAgAA&#10;ZHJzL2Uyb0RvYy54bWxQSwECLQAUAAYACAAAACEAzCQ37+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3024" behindDoc="0" locked="0" layoutInCell="1" allowOverlap="1">
                <wp:simplePos x="0" y="0"/>
                <wp:positionH relativeFrom="column">
                  <wp:posOffset>760095</wp:posOffset>
                </wp:positionH>
                <wp:positionV relativeFrom="paragraph">
                  <wp:posOffset>1550670</wp:posOffset>
                </wp:positionV>
                <wp:extent cx="571500" cy="342900"/>
                <wp:effectExtent l="0" t="0" r="0" b="0"/>
                <wp:wrapSquare wrapText="bothSides"/>
                <wp:docPr id="67" name="Text Box 67"/>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38" type="#_x0000_t202" style="position:absolute;margin-left:59.85pt;margin-top:122.1pt;width:45pt;height:2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k8XwIAAKkEAAAOAAAAZHJzL2Uyb0RvYy54bWysVF1P2zAUfZ+0/2D5vU3SpZRGpCgUdZqE&#10;AAkmnl3HoZES27PdJmzaf9+x00DH9jTtxblfvr73nHtzcdm3DTkIY2slc5pMY0qE5Kqs5XNOvz5u&#10;JueUWMdkyRolRU5fhKWXq48fLjqdiZnaqaYUhiCJtFmnc7pzTmdRZPlOtMxOlRYSzkqZljmo5jkq&#10;DeuQvW2iWRyfRZ0ypTaKC2thvR6cdBXyV5Xg7q6qrHCkySlqc+E04dz6M1pdsOzZML2r+bEM9g9V&#10;tKyWePQ11TVzjOxN/UeqtuZGWVW5KVdtpKqq5iL0gG6S+F03DzumRegF4Fj9CpP9f2n57eHekLrM&#10;6dmCEslacPQoekeuVE9gAj6dthnCHjQCXQ87eB7tFkbfdl+Z1n/REIEfSL+8ouuzcRjni2Qew8Ph&#10;+pTOlpCRPXq7rI11n4VqiRdyakBewJQdbqwbQscQ/5ZUm7ppAoGN/M2AnINFhAkYbrMMhUD0kb6k&#10;wM6P9XwxKxbz5eSsmCeTNInPJ0URzybXmyIu4nSzXqZXP491jvcjj8jQuZdcv+0DgslshGWryheg&#10;ZdQwb1bzTY2ebph198xgwAADlsbd4aga1eVUHSVKdsp8/5vdx4N3eCnpMLA5td/2zAhKmi8SE7FM&#10;0tRPeFBStAXFnHq2px65b9cKO5FgPTUPoo93zShWRrVP2K3CvwoXkxxv59SN4toNa4Td5KIoQhBm&#10;WjN3Ix8096k91J6xx/6JGX2k1QHGWzWONsvesTvEDnQWe6eqOlDvgR5Qxch4BfsQhue4u37hTvUQ&#10;9faHWf0CAAD//wMAUEsDBBQABgAIAAAAIQC4NmAz3gAAAAsBAAAPAAAAZHJzL2Rvd25yZXYueG1s&#10;TI/NTsMwEITvSLyDtUjcqF0rQJPGqRCIK4jyI/XmxtskIl5HsduEt2d7gtvO7mj2m3Iz+16ccIxd&#10;IAPLhQKBVAfXUWPg4/35ZgUiJkvO9oHQwA9G2FSXF6UtXJjoDU/b1AgOoVhYA21KQyFlrFv0Ni7C&#10;gMS3Qxi9TSzHRrrRThzue6mVupPedsQfWjvgY4v19/boDXy+HHZfmXptnvztMIVZSfK5NOb6an5Y&#10;g0g4pz8znPEZHSpm2ocjuSh61sv8nq0GdJZpEOzQ6rzZ85CvNMiqlP87VL8AAAD//wMAUEsBAi0A&#10;FAAGAAgAAAAhALaDOJL+AAAA4QEAABMAAAAAAAAAAAAAAAAAAAAAAFtDb250ZW50X1R5cGVzXS54&#10;bWxQSwECLQAUAAYACAAAACEAOP0h/9YAAACUAQAACwAAAAAAAAAAAAAAAAAvAQAAX3JlbHMvLnJl&#10;bHNQSwECLQAUAAYACAAAACEACQzZPF8CAACpBAAADgAAAAAAAAAAAAAAAAAuAgAAZHJzL2Uyb0Rv&#10;Yy54bWxQSwECLQAUAAYACAAAACEAuDZgM94AAAALAQAADwAAAAAAAAAAAAAAAAC5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6880" behindDoc="0" locked="0" layoutInCell="1" allowOverlap="1">
                <wp:simplePos x="0" y="0"/>
                <wp:positionH relativeFrom="column">
                  <wp:posOffset>3046095</wp:posOffset>
                </wp:positionH>
                <wp:positionV relativeFrom="paragraph">
                  <wp:posOffset>1550670</wp:posOffset>
                </wp:positionV>
                <wp:extent cx="571500" cy="342900"/>
                <wp:effectExtent l="0" t="0" r="0" b="0"/>
                <wp:wrapSquare wrapText="bothSides"/>
                <wp:docPr id="65" name="Text Box 65"/>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39" type="#_x0000_t202" style="position:absolute;margin-left:239.85pt;margin-top:122.1pt;width:45pt;height:2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nwIXwIAAKkEAAAOAAAAZHJzL2Uyb0RvYy54bWysVF1P2zAUfZ+0/2D5vSQpKdCoKQpFnSYh&#10;QCoTz67j0EiJ7dkuCZv23zl2GujYnqa9OPfL1/eec28Wl33bkGdhbK1kTpOTmBIhuSpr+ZTTbw/r&#10;yQUl1jFZskZJkdMXYenl8vOnRaczMVU71ZTCECSRNut0TnfO6SyKLN+JltkTpYWEs1KmZQ6qeYpK&#10;wzpkb5toGsdnUadMqY3iwlpYrwcnXYb8VSW4u6sqKxxpcoraXDhNOLf+jJYLlj0Zpnc1P5TB/qGK&#10;ltUSj76lumaOkb2p/0jV1twoqyp3wlUbqaqquQg9oJsk/tDNZse0CL0AHKvfYLL/Ly2/fb43pC5z&#10;ejajRLIWHD2I3pEr1ROYgE+nbYawjUag62EHz6Pdwujb7ivT+i8aIvAD6Zc3dH02DuPsPJnF8HC4&#10;TtPpHDKyR++XtbHui1At8UJODcgLmLLnG+uG0DHEvyXVum6aQGAjfzMg52ARYQKG2yxDIRB9pC8p&#10;sPNzNTufFuez+eSsmCWTNIkvJkURTyfX6yIu4nS9mqdXvw51jvcjj8jQuZdcv+0DgsnpCMtWlS9A&#10;y6hh3qzm6xo93TDr7pnBgAEGLI27w1E1qsupOkiU7JT58Te7jwfv8FLSYWBzar/vmRGUNF8lJmKe&#10;pKmf8KCkaAuKOfZsjz1y364UdiLBemoeRB/vmlGsjGofsVuFfxUuJjnezqkbxZUb1gi7yUVRhCDM&#10;tGbuRm4096k91J6xh/6RGX2g1QHGWzWONss+sDvEDnQWe6eqOlDvgR5Qxch4BfsQhuewu37hjvUQ&#10;9f6HWb4CAAD//wMAUEsDBBQABgAIAAAAIQDrFZrA3wAAAAsBAAAPAAAAZHJzL2Rvd25yZXYueG1s&#10;TI/LTsMwEEX3SP0Hayqxo3aj9JEQp6pAbEGUh8TOjadJRDyOYrcJf890Bcu5c3TnTLGbXCcuOITW&#10;k4blQoFAqrxtqdbw/vZ0twURoiFrOk+o4QcD7MrZTWFy60d6xcsh1oJLKORGQxNjn0sZqgadCQvf&#10;I/Hu5AdnIo9DLe1gRi53nUyUWktnWuILjenxocHq+3B2Gj6eT1+fqXqpH92qH/2kJLlMan07n/b3&#10;ICJO8Q+Gqz6rQ8lOR38mG0SnId1kG0Y1JGmagGBitb4mR06ybQKyLOT/H8pfAAAA//8DAFBLAQIt&#10;ABQABgAIAAAAIQC2gziS/gAAAOEBAAATAAAAAAAAAAAAAAAAAAAAAABbQ29udGVudF9UeXBlc10u&#10;eG1sUEsBAi0AFAAGAAgAAAAhADj9If/WAAAAlAEAAAsAAAAAAAAAAAAAAAAALwEAAF9yZWxzLy5y&#10;ZWxzUEsBAi0AFAAGAAgAAAAhADoifAhfAgAAqQQAAA4AAAAAAAAAAAAAAAAALgIAAGRycy9lMm9E&#10;b2MueG1sUEsBAi0AFAAGAAgAAAAhAOsVmsD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57728" behindDoc="0" locked="0" layoutInCell="1" allowOverlap="1">
                <wp:simplePos x="0" y="0"/>
                <wp:positionH relativeFrom="column">
                  <wp:posOffset>4074795</wp:posOffset>
                </wp:positionH>
                <wp:positionV relativeFrom="paragraph">
                  <wp:posOffset>1550670</wp:posOffset>
                </wp:positionV>
                <wp:extent cx="571500" cy="4572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0" type="#_x0000_t202" style="position:absolute;margin-left:320.85pt;margin-top:122.1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AGXgIAAKkEAAAOAAAAZHJzL2Uyb0RvYy54bWysVF1P2zAUfZ+0/2D5vSTpUgoRKQpFnSZV&#10;gAQTz67j0EiJ7dluk27af9+x00DH9jTtxblfvr73nHtzdd23DdkLY2slc5qcxZQIyVVZy5ecfn1a&#10;TS4osY7JkjVKipwehKXXi48frjqdianaqqYUhiCJtFmnc7p1TmdRZPlWtMyeKS0knJUyLXNQzUtU&#10;GtYhe9tE0zg+jzplSm0UF9bCejs46SLkryrB3X1VWeFIk1PU5sJpwrnxZ7S4YtmLYXpb82MZ7B+q&#10;aFkt8ehrqlvmGNmZ+o9Ubc2NsqpyZ1y1kaqqmovQA7pJ4nfdPG6ZFqEXgGP1K0z2/6Xld/sHQ+oy&#10;p5+mlEjWgqMn0Ttyo3oCE/DptM0Q9qgR6HrYwfNotzD6tvvKtP6Lhgj8QPrwiq7PxmGczZNZDA+H&#10;K53NwZ7PEr1d1sa6z0K1xAs5NSAvYMr2a+uG0DHEvyXVqm6aQGAjfzMg52ARYQKG2yxDIRB9pC8p&#10;sPNjiUKK+exycl7MkkmaxBeTooink9tVERdxulpepjc/j3WO9yOPyNC5l1y/6QOCSTrCslHlAWgZ&#10;Ncyb1XxVo6c1s+6BGQwYYMDSuHscVaO6nKqjRMlWme9/s/t48A4vJR0GNqf2244ZQUnzRWIiLpM0&#10;9RMelIAvJebUszn1yF27VNiJBOupeRBx2bhmFCuj2mfsVuFfhYtJjrdz6kZx6YY1wm5yURQhCDOt&#10;mVvLR819ag+1Z+ypf2ZGH2l1gPFOjaPNsnfsDrEDncXOqaoO1HugB1QxMl7BPoThOe6uX7hTPUS9&#10;/WEWvwAAAP//AwBQSwMEFAAGAAgAAAAhALtycevfAAAACwEAAA8AAABkcnMvZG93bnJldi54bWxM&#10;j8FOwzAMhu9IvENkJG4saVc6KHUnBOIKYrBJ3LLGaysap2qytbw92QmOtj/9/v5yPdtenGj0nWOE&#10;ZKFAENfOdNwgfH683NyB8EGz0b1jQvghD+vq8qLUhXETv9NpExoRQ9gXGqENYSik9HVLVvuFG4jj&#10;7eBGq0Mcx0aaUU8x3PYyVSqXVnccP7R6oKeW6u/N0SJsXw9fu0y9Nc/2dpjcrCTbe4l4fTU/PoAI&#10;NIc/GM76UR2q6LR3RzZe9Ah5lqwiipBmWQoiEqvlebNHWCZ5CrIq5f8O1S8AAAD//wMAUEsBAi0A&#10;FAAGAAgAAAAhALaDOJL+AAAA4QEAABMAAAAAAAAAAAAAAAAAAAAAAFtDb250ZW50X1R5cGVzXS54&#10;bWxQSwECLQAUAAYACAAAACEAOP0h/9YAAACUAQAACwAAAAAAAAAAAAAAAAAvAQAAX3JlbHMvLnJl&#10;bHNQSwECLQAUAAYACAAAACEAyclgBl4CAACpBAAADgAAAAAAAAAAAAAAAAAuAgAAZHJzL2Uyb0Rv&#10;Yy54bWxQSwECLQAUAAYACAAAACEAu3Jx698AAAALAQAADwAAAAAAAAAAAAAAAAC4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9952" behindDoc="0" locked="0" layoutInCell="1" allowOverlap="1">
                <wp:simplePos x="0" y="0"/>
                <wp:positionH relativeFrom="column">
                  <wp:posOffset>1788795</wp:posOffset>
                </wp:positionH>
                <wp:positionV relativeFrom="paragraph">
                  <wp:posOffset>1550670</wp:posOffset>
                </wp:positionV>
                <wp:extent cx="571500" cy="342900"/>
                <wp:effectExtent l="0" t="0" r="0" b="0"/>
                <wp:wrapSquare wrapText="bothSides"/>
                <wp:docPr id="66" name="Text Box 6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41" type="#_x0000_t202" style="position:absolute;margin-left:140.85pt;margin-top:122.1pt;width:45pt;height:2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ELXwIAAKkEAAAOAAAAZHJzL2Uyb0RvYy54bWysVF1P2zAUfZ+0/2D5vU3SpYVGpCgUdZqE&#10;AAkmnl3HoZES27PdJmzaf9+x00DH9jTtxblfvr73nHtzcdm3DTkIY2slc5pMY0qE5Kqs5XNOvz5u&#10;JueUWMdkyRolRU5fhKWXq48fLjqdiZnaqaYUhiCJtFmnc7pzTmdRZPlOtMxOlRYSzkqZljmo5jkq&#10;DeuQvW2iWRwvok6ZUhvFhbWwXg9Ougr5q0pwd1dVVjjS5BS1uXCacG79Ga0uWPZsmN7V/FgG+4cq&#10;WlZLPPqa6po5Rvam/iNVW3OjrKrclKs2UlVVcxF6QDdJ/K6bhx3TIvQCcKx+hcn+v7T89nBvSF3m&#10;dLGgRLIWHD2K3pEr1ROYgE+nbYawB41A18MOnke7hdG33Vem9V80ROAH0i+v6PpsHMb5WTKP4eFw&#10;fUpnS8jIHr1d1sa6z0K1xAs5NSAvYMoON9YNoWOIf0uqTd00gcBG/mZAzsEiwgQMt1mGQiD6SF9S&#10;YOfHen42K87my8mimCeTNInPJ0URzybXmyIu4nSzXqZXP491jvcjj8jQuZdcv+0Dgsl8hGWryheg&#10;ZdQwb1bzTY2ebph198xgwAADlsbd4aga1eVUHSVKdsp8/5vdx4N3eCnpMLA5td/2zAhKmi8SE7FM&#10;0tRPeFBStAXFnHq2px65b9cKO5FgPTUPoo93zShWRrVP2K3CvwoXkxxv59SN4toNa4Td5KIoQhBm&#10;WjN3Ix8096k91J6xx/6JGX2k1QHGWzWONsvesTvEDnQWe6eqOlDvgR5Qxch4BfsQhue4u37hTvUQ&#10;9faHWf0CAAD//wMAUEsDBBQABgAIAAAAIQBQHoWa3gAAAAsBAAAPAAAAZHJzL2Rvd25yZXYueG1s&#10;TI9BT8MwDIXvSPsPkZG4sWSlbF1pOiEQVxAbIHHLGq+t1jhVk63l3+Od4Ga/9/T8udhMrhNnHELr&#10;ScNirkAgVd62VGv42L3cZiBCNGRN5wk1/GCATTm7Kkxu/UjveN7GWnAJhdxoaGLscylD1aAzYe57&#10;JPYOfnAm8jrU0g5m5HLXyUSppXSmJb7QmB6fGqyO25PT8Pl6+P5K1Vv97O770U9KkltLrW+up8cH&#10;EBGn+BeGCz6jQ8lMe38iG0SnIckWK47ykKYJCE7crS7KnpV1loAsC/n/h/IXAAD//wMAUEsBAi0A&#10;FAAGAAgAAAAhALaDOJL+AAAA4QEAABMAAAAAAAAAAAAAAAAAAAAAAFtDb250ZW50X1R5cGVzXS54&#10;bWxQSwECLQAUAAYACAAAACEAOP0h/9YAAACUAQAACwAAAAAAAAAAAAAAAAAvAQAAX3JlbHMvLnJl&#10;bHNQSwECLQAUAAYACAAAACEAkVdRC18CAACpBAAADgAAAAAAAAAAAAAAAAAuAgAAZHJzL2Uyb0Rv&#10;Yy54bWxQSwECLQAUAAYACAAAACEAUB6Fmt4AAAALAQAADwAAAAAAAAAAAAAAAAC5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82304" behindDoc="0" locked="0" layoutInCell="1" allowOverlap="1">
                <wp:simplePos x="0" y="0"/>
                <wp:positionH relativeFrom="column">
                  <wp:posOffset>399573</wp:posOffset>
                </wp:positionH>
                <wp:positionV relativeFrom="paragraph">
                  <wp:posOffset>6537352</wp:posOffset>
                </wp:positionV>
                <wp:extent cx="2840" cy="1036509"/>
                <wp:effectExtent l="0" t="0" r="35560" b="30480"/>
                <wp:wrapNone/>
                <wp:docPr id="100" name="Straight Connector 100"/>
                <wp:cNvGraphicFramePr/>
                <a:graphic xmlns:a="http://schemas.openxmlformats.org/drawingml/2006/main">
                  <a:graphicData uri="http://schemas.microsoft.com/office/word/2010/wordprocessingShape">
                    <wps:wsp>
                      <wps:cNvCnPr/>
                      <wps:spPr>
                        <a:xfrm>
                          <a:off x="0" y="0"/>
                          <a:ext cx="2840" cy="1036509"/>
                        </a:xfrm>
                        <a:prstGeom prst="line">
                          <a:avLst/>
                        </a:prstGeom>
                        <a:noFill/>
                        <a:ln w="19050" cap="flat" cmpd="sng" algn="ctr">
                          <a:solidFill>
                            <a:sysClr val="windowText" lastClr="00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D2F8BDB" id="Straight Connector 10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514.75pt" to="31.65pt,5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n3QEAAKkDAAAOAAAAZHJzL2Uyb0RvYy54bWysU8tu2zAQvBfoPxC8x5KdJkgEyznYTS9F&#10;ayDpB2xISiLAF7isZf19l5TqpM2tqA4Ud5c73BmNtg9na9hJRdTetXy9qjlTTnipXd/yH8+PV3ec&#10;YQInwXinWj4p5A+7jx+2Y2jUxg/eSBUZgThsxtDyIaXQVBWKQVnAlQ/KUbHz0UKiMPaVjDASujXV&#10;pq5vq9FHGaIXCpGyh7nIdwW/65RI37sOVWKm5TRbKmss60teq90Wmj5CGLRYxoB/mMKCdnTpBeoA&#10;CdjPqN9BWS2iR9+llfC28l2nhSociM26/ovN0wBBFS4kDoaLTPj/YMW30zEyLenb1aSPA0sf6SlF&#10;0P2Q2N47RxL6yHKVtBoDNtSyd8e4RBiOMRM/d9HmN1Fi56LvdNFXnRMTlNzcfaI7BBXW9fXtTX2f&#10;IavX3hAxfVHesrxpudEus4cGTl8xzUd/H8lp5x+1MZSHxjg2Eup9fZMvADJSZyDR1gaihq7nDExP&#10;DhUpFkj0Rsvcnrtxwr2J7ARkEvKW9OMzjcyZAUxUIB7lWab9ozXPcwAc5uZSysegGRTIz06yNAVS&#10;1JH553wCbd7nSQTjcpsqnl3oZrVnffPuxcupyF7liPxQtFu8mw33Nqb92z9s9wsAAP//AwBQSwME&#10;FAAGAAgAAAAhAESIzRDhAAAACwEAAA8AAABkcnMvZG93bnJldi54bWxMj8tOwzAQRfdI/IM1SGwQ&#10;dZqKQEKcCqgQmwpB6Ae48eShxuModtLw9wwrWM6doztn8u1iezHj6DtHCtarCARS5UxHjYLD1+vt&#10;AwgfNBndO0IF3+hhW1xe5Doz7kyfOJehEVxCPtMK2hCGTEpftWi1X7kBiXe1G60OPI6NNKM+c7nt&#10;ZRxFibS6I77Q6gFfWqxO5WQVfOxudqfy/Xnxh309TM1Qh/ltVur6anl6BBFwCX8w/OqzOhTsdHQT&#10;GS96BUmcMsl5FKd3IJhINhsQR07WaXwPssjl/x+KHwAAAP//AwBQSwECLQAUAAYACAAAACEAtoM4&#10;kv4AAADhAQAAEwAAAAAAAAAAAAAAAAAAAAAAW0NvbnRlbnRfVHlwZXNdLnhtbFBLAQItABQABgAI&#10;AAAAIQA4/SH/1gAAAJQBAAALAAAAAAAAAAAAAAAAAC8BAABfcmVscy8ucmVsc1BLAQItABQABgAI&#10;AAAAIQCE7f/n3QEAAKkDAAAOAAAAAAAAAAAAAAAAAC4CAABkcnMvZTJvRG9jLnhtbFBLAQItABQA&#10;BgAIAAAAIQBEiM0Q4QAAAAsBAAAPAAAAAAAAAAAAAAAAADcEAABkcnMvZG93bnJldi54bWxQSwUG&#10;AAAAAAQABADzAAAARQUAAAAA&#10;" strokecolor="windowText"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60800" behindDoc="0" locked="0" layoutInCell="1" allowOverlap="1">
                <wp:simplePos x="0" y="0"/>
                <wp:positionH relativeFrom="column">
                  <wp:posOffset>106045</wp:posOffset>
                </wp:positionH>
                <wp:positionV relativeFrom="paragraph">
                  <wp:posOffset>7571105</wp:posOffset>
                </wp:positionV>
                <wp:extent cx="1103630" cy="715645"/>
                <wp:effectExtent l="0" t="0" r="20320" b="27305"/>
                <wp:wrapSquare wrapText="bothSides"/>
                <wp:docPr id="94" name="Text Box 94"/>
                <wp:cNvGraphicFramePr/>
                <a:graphic xmlns:a="http://schemas.openxmlformats.org/drawingml/2006/main">
                  <a:graphicData uri="http://schemas.microsoft.com/office/word/2010/wordprocessingShape">
                    <wps:wsp>
                      <wps:cNvSpPr txBox="1"/>
                      <wps:spPr>
                        <a:xfrm>
                          <a:off x="0" y="0"/>
                          <a:ext cx="1103630" cy="715645"/>
                        </a:xfrm>
                        <a:prstGeom prst="rect">
                          <a:avLst/>
                        </a:prstGeom>
                        <a:solidFill>
                          <a:srgbClr val="F79646">
                            <a:lumMod val="20000"/>
                            <a:lumOff val="8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Vigilância dos efeitos, incluindo impactos cumulativos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4" o:spid="_x0000_s1042" type="#_x0000_t202" style="position:absolute;margin-left:8.35pt;margin-top:596.15pt;width:86.9pt;height:5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ElqAIAAEkFAAAOAAAAZHJzL2Uyb0RvYy54bWysVFFv2jAQfp+0/2D5nSahAQpqqDIqpkld&#10;W6md+mwcByIltmcbEjbtv++zA5S1e5qWB+d8d77zffedr2+6piY7YWylZEaTi5gSIbkqKrnO6Lfn&#10;5eCKEuuYLFitpMjoXlh6M//44brVMzFUG1UXwhAEkXbW6oxunNOzKLJ8IxpmL5QWEsZSmYY5bM06&#10;KgxrEb2po2Ecj6NWmUIbxYW10N72RjoP8ctScPdQllY4UmcUd3NhNWFd+TWaX7PZ2jC9qfjhGuwf&#10;btGwSiLpKdQtc4xsTfUuVFNxo6wq3QVXTaTKsuIi1IBqkvhNNU8bpkWoBeBYfYLJ/r+w/H73aEhV&#10;ZHSaUiJZgx49i86RT6ojUAGfVtsZ3J40HF0HPfp81FsofdldaRr/R0EEdiC9P6Hro3F/KIkvx5cw&#10;cdgmyWicjnyY6PW0NtZ9FqohXsioQfcCqGx3Z13venTxyayqq2JZ1XXYmPVqURuyY+j0cjIdp+Nw&#10;tt42X1XRq0GY+NByqEGMXn11VOMqtg8TrvVH/Fq+T7m3p4ygZKFajxwlNbMOBgAQvkORZ9GQpw8n&#10;AkP74tgMhyH6NB6ywJ6fi9FkmE9G08E4HyWDNImvBnkeDwe3yzzO43S5mKaffh0yHM9HvmN9Z7zk&#10;ulUXOpyMj21bqWKPbhrVz4PVfFkB8jtc/JEZDAC6hKF2D1jKWrUZVQeJko0yP/6m9/7gJayUtBio&#10;jNrvW2YE8PgiwdhpkqZ+AsMmRVnYmHPL6twit81CoZMJng/Ng+j9XX0US6OaF8x+7rPCxCRH7owC&#10;/15cuH7M8XZwkefBCTOnmbuTT5r70B5qT6jn7oUZfWCdA4z36jh6bPaGfL2vPylVvnWqrAIzPdA9&#10;qqCO32BeA4kOb4t/EM73wev1BZz/BgAA//8DAFBLAwQUAAYACAAAACEAY7XENeEAAAAMAQAADwAA&#10;AGRycy9kb3ducmV2LnhtbEyPwW7CMBBE75X4B2sr9YKKHSIopHEQalWpEidoL705sYnTxusodiD8&#10;PcuJnnZHM5p9m29G17KT6UPjUUIyE8AMVl43WEv4/vp4XgELUaFWrUcj4WICbIrJQ64y7c+4N6dD&#10;rBmVYMiUBBtjl3EeKmucCjPfGSTv6HunIsm+5rpXZyp3LZ8LseRONUgXrOrMmzXV32FwElY/KSal&#10;3v1at/+cvk9347EarJRPj+P2FVg0Y7yH4YZP6FAQU+kH1IG1pJcvlKSZrOcpsFtiLRbASlpSsRDA&#10;i5z/f6K4AgAA//8DAFBLAQItABQABgAIAAAAIQC2gziS/gAAAOEBAAATAAAAAAAAAAAAAAAAAAAA&#10;AABbQ29udGVudF9UeXBlc10ueG1sUEsBAi0AFAAGAAgAAAAhADj9If/WAAAAlAEAAAsAAAAAAAAA&#10;AAAAAAAALwEAAF9yZWxzLy5yZWxzUEsBAi0AFAAGAAgAAAAhAI0NMSWoAgAASQUAAA4AAAAAAAAA&#10;AAAAAAAALgIAAGRycy9lMm9Eb2MueG1sUEsBAi0AFAAGAAgAAAAhAGO1xDXhAAAADAEAAA8AAAAA&#10;AAAAAAAAAAAAAgUAAGRycy9kb3ducmV2LnhtbFBLBQYAAAAABAAEAPMAAAAQBgAAAAA=&#10;" fillcolor="#fdeada" strokecolor="windowText">
                <v:textbox>
                  <w:txbxContent>
                    <w:p>
                      <w:pPr>
                        <w:jc w:val="center"/>
                        <w:rPr>
                          <w:sz w:val="20"/>
                          <w:szCs w:val="20"/>
                        </w:rPr>
                      </w:pPr>
                      <w:r>
                        <w:rPr>
                          <w:sz w:val="20"/>
                          <w:szCs w:val="20"/>
                        </w:rPr>
                        <w:t>Vigilância dos efeitos, incluindo impactos cumulativos</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73088" behindDoc="0" locked="0" layoutInCell="1" allowOverlap="1">
                <wp:simplePos x="0" y="0"/>
                <wp:positionH relativeFrom="column">
                  <wp:posOffset>1214581</wp:posOffset>
                </wp:positionH>
                <wp:positionV relativeFrom="paragraph">
                  <wp:posOffset>7931671</wp:posOffset>
                </wp:positionV>
                <wp:extent cx="320182" cy="0"/>
                <wp:effectExtent l="0" t="0" r="22860" b="19050"/>
                <wp:wrapNone/>
                <wp:docPr id="98" name="Straight Connector 98"/>
                <wp:cNvGraphicFramePr/>
                <a:graphic xmlns:a="http://schemas.openxmlformats.org/drawingml/2006/main">
                  <a:graphicData uri="http://schemas.microsoft.com/office/word/2010/wordprocessingShape">
                    <wps:wsp>
                      <wps:cNvCnPr/>
                      <wps:spPr>
                        <a:xfrm>
                          <a:off x="0" y="0"/>
                          <a:ext cx="320182" cy="0"/>
                        </a:xfrm>
                        <a:prstGeom prst="line">
                          <a:avLst/>
                        </a:prstGeom>
                        <a:noFill/>
                        <a:ln w="19050" cap="flat" cmpd="sng" algn="ctr">
                          <a:solidFill>
                            <a:sysClr val="windowText" lastClr="00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EFAEC74" id="Straight Connector 9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5pt,624.55pt" to="120.85pt,6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of2QEAAKMDAAAOAAAAZHJzL2Uyb0RvYy54bWysU8tu2zAQvBfoPxC8x1IctEgEyznYTS9F&#10;ayDJB2z4kAjwBS5rWX/fJeW4aXMrqgPF3eWOdoajzf3JWXZUCU3wPb9etZwpL4I0fuj589PD1S1n&#10;mMFLsMGrns8K+f3244fNFDu1DmOwUiVGIB67KfZ8zDl2TYNiVA5wFaLyVNQhOcgUpqGRCSZCd7ZZ&#10;t+3nZgpJxhSEQqTsfinybcXXWon8Q2tUmdme02y5rqmuL2VtthvohgRxNOI8BvzDFA6Mp49eoPaQ&#10;gf1M5h2UMyIFDDqvRHBN0NoIVTkQm+v2LzaPI0RVuZA4GC8y4f+DFd+Ph8SM7Pkd3ZQHR3f0mBOY&#10;YcxsF7wnBUNiVCSlpogdNez8IZ0jjIdUaJ90cuVNhNipqjtf1FWnzAQlb4jh7Zoz8VpqfvfFhPmr&#10;Co6VTc+t8YU3dHD8hpm+RUdfj5S0Dw/G2np31rOJjHfXfqLrFUAW0hYybV0kUugHzsAO5E2RU4XE&#10;YI0s7QUIZ9zZxI5A9iBXyTA90bicWcBMBeJQn0KeRvijtcyzBxyX5lpa3DQqkF+8ZHmOJKYn2y/5&#10;DMa+zxOs9WUUVd16pluUXrQtu5cg5yp5UyJyQp3m7Npitbcx7d/+W9tfAAAA//8DAFBLAwQUAAYA&#10;CAAAACEATZcZnOAAAAANAQAADwAAAGRycy9kb3ducmV2LnhtbEyPzU7DMBCE70i8g7VIXFDrJFSU&#10;hjgVUCEuFYLQB3DjzY8ar6PYScPbsxwQ3HZ2R7PfZNvZdmLCwbeOFMTLCARS6UxLtYLD58viHoQP&#10;mozuHKGCL/SwzS8vMp0ad6YPnIpQCw4hn2oFTQh9KqUvG7TaL12PxLfKDVYHlkMtzaDPHG47mUTR&#10;nbS6Jf7Q6B6fGyxPxWgVvO9udqfi7Wn2h33Vj3Vfhel1Uur6an58ABFwDn9m+MFndMiZ6ehGMl50&#10;rDfxLVt5SFabGARbklW8BnH8Xck8k/9b5N8AAAD//wMAUEsBAi0AFAAGAAgAAAAhALaDOJL+AAAA&#10;4QEAABMAAAAAAAAAAAAAAAAAAAAAAFtDb250ZW50X1R5cGVzXS54bWxQSwECLQAUAAYACAAAACEA&#10;OP0h/9YAAACUAQAACwAAAAAAAAAAAAAAAAAvAQAAX3JlbHMvLnJlbHNQSwECLQAUAAYACAAAACEA&#10;+D0KH9kBAACjAwAADgAAAAAAAAAAAAAAAAAuAgAAZHJzL2Uyb0RvYy54bWxQSwECLQAUAAYACAAA&#10;ACEATZcZnOAAAAANAQAADwAAAAAAAAAAAAAAAAAzBAAAZHJzL2Rvd25yZXYueG1sUEsFBgAAAAAE&#10;AAQA8wAAAEAFAAAAAA==&#10;" strokecolor="windowText"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76160" behindDoc="0" locked="0" layoutInCell="1" allowOverlap="1">
                <wp:simplePos x="0" y="0"/>
                <wp:positionH relativeFrom="column">
                  <wp:posOffset>408305</wp:posOffset>
                </wp:positionH>
                <wp:positionV relativeFrom="paragraph">
                  <wp:posOffset>6544945</wp:posOffset>
                </wp:positionV>
                <wp:extent cx="177800" cy="0"/>
                <wp:effectExtent l="0" t="76200" r="12700" b="114300"/>
                <wp:wrapNone/>
                <wp:docPr id="99" name="Straight Connector 99"/>
                <wp:cNvGraphicFramePr/>
                <a:graphic xmlns:a="http://schemas.openxmlformats.org/drawingml/2006/main">
                  <a:graphicData uri="http://schemas.microsoft.com/office/word/2010/wordprocessingShape">
                    <wps:wsp>
                      <wps:cNvCnPr/>
                      <wps:spPr>
                        <a:xfrm flipV="1">
                          <a:off x="0" y="0"/>
                          <a:ext cx="177800" cy="0"/>
                        </a:xfrm>
                        <a:prstGeom prst="line">
                          <a:avLst/>
                        </a:prstGeom>
                        <a:noFill/>
                        <a:ln w="19050" cap="flat" cmpd="sng" algn="ctr">
                          <a:solidFill>
                            <a:sysClr val="windowText" lastClr="000000"/>
                          </a:solidFill>
                          <a:prstDash val="solid"/>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FD9CC34" id="Straight Connector 99"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515.35pt" to="46.15pt,5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JS4wEAAK4DAAAOAAAAZHJzL2Uyb0RvYy54bWysU8uO0zAU3SPxD5b3NOlIMNOo6Sxahg2C&#10;SjOwv+NHYskv+Zqm+XuunU4ZYIfIwrqP+Pie4+Pt/dlZdlIJTfA9X69azpQXQRo/9Pzb08O7O84w&#10;g5dgg1c9nxXy+93bN9spduomjMFKlRiBeOym2PMx59g1DYpROcBViMpTU4fkIFOahkYmmAjd2eam&#10;bT80U0gypiAUIlUPS5PvKr7WSuSvWqPKzPacZst1TXV9Lmuz20I3JIijEZcx4B+mcGA8HXqFOkAG&#10;9iOZv6CcESlg0HklgmuC1kaoyoHYrNs/2DyOEFXlQuJgvMqE/w9WfDkdEzOy55sNZx4c3dFjTmCG&#10;MbN98J4UDIlRk5SaIna0Ye+P6ZJhPKZC+6yTY9qa+J1MUIUgauxcdZ6vOqtzZoKK69vbu5ZuQ7y0&#10;mgWhIMWE+ZMKjpWg59b4ogB0cPqMmU6lX19+KWUfHoy19RatZxNhb9r3BRrITNpCptBFood+4Azs&#10;QC4VOVVIDNbIsr0A4Yx7m9gJyCjkLxmmJxqXMwuYqUEc6ldkoBF+21rmOQCOy+baWnw1KpAfvWR5&#10;jiSrpwew1DMY+6sOKYXpgmt9mUVV4174FtEXmUv0HORc1W9KRqao41wMXFz3Oqf49TPb/QQAAP//&#10;AwBQSwMEFAAGAAgAAAAhABNaLxTbAAAACwEAAA8AAABkcnMvZG93bnJldi54bWxMj8tOwzAQRfdI&#10;/IM1SGwqatOgUEKcCvFY0F1CP8C1hzjCjxC7bfh7hgWC5Zy5unOm3szesSNOaYhBwvVSAMOgoxlC&#10;L2H39nK1BpayCka5GFDCFybYNOdntapMPIUWj13uGZWEVCkJNuex4jxpi16lZRwx0O49Tl5lGqee&#10;m0mdqNw7vhKi5F4NgS5YNeKjRf3RHbyELuvWvi7ahONQFovPp7R9dlrKy4v54R5Yxjn/heFHn9Sh&#10;Iad9PASTmJNQ3hSUJC4KcQuMEncrIvtfwpua//+h+QYAAP//AwBQSwECLQAUAAYACAAAACEAtoM4&#10;kv4AAADhAQAAEwAAAAAAAAAAAAAAAAAAAAAAW0NvbnRlbnRfVHlwZXNdLnhtbFBLAQItABQABgAI&#10;AAAAIQA4/SH/1gAAAJQBAAALAAAAAAAAAAAAAAAAAC8BAABfcmVscy8ucmVsc1BLAQItABQABgAI&#10;AAAAIQDeBSJS4wEAAK4DAAAOAAAAAAAAAAAAAAAAAC4CAABkcnMvZTJvRG9jLnhtbFBLAQItABQA&#10;BgAIAAAAIQATWi8U2wAAAAsBAAAPAAAAAAAAAAAAAAAAAD0EAABkcnMvZG93bnJldi54bWxQSwUG&#10;AAAAAAQABADzAAAARQUAAAAA&#10;" strokecolor="windowText"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1456" behindDoc="0" locked="0" layoutInCell="1" allowOverlap="1">
                <wp:simplePos x="0" y="0"/>
                <wp:positionH relativeFrom="column">
                  <wp:posOffset>570601</wp:posOffset>
                </wp:positionH>
                <wp:positionV relativeFrom="paragraph">
                  <wp:posOffset>6273165</wp:posOffset>
                </wp:positionV>
                <wp:extent cx="3415665" cy="810260"/>
                <wp:effectExtent l="0" t="0" r="13335" b="27940"/>
                <wp:wrapSquare wrapText="bothSides"/>
                <wp:docPr id="22" name="Text Box 22"/>
                <wp:cNvGraphicFramePr/>
                <a:graphic xmlns:a="http://schemas.openxmlformats.org/drawingml/2006/main">
                  <a:graphicData uri="http://schemas.microsoft.com/office/word/2010/wordprocessingShape">
                    <wps:wsp>
                      <wps:cNvSpPr txBox="1"/>
                      <wps:spPr>
                        <a:xfrm>
                          <a:off x="0" y="0"/>
                          <a:ext cx="3415665" cy="810260"/>
                        </a:xfrm>
                        <a:prstGeom prst="rect">
                          <a:avLst/>
                        </a:prstGeom>
                        <a:solidFill>
                          <a:srgbClr val="F79646">
                            <a:lumMod val="40000"/>
                            <a:lumOff val="6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rPr>
                            </w:pPr>
                            <w:r>
                              <w:rPr>
                                <w:b/>
                              </w:rPr>
                              <w:t>Existe o risco de a derrogação prejudicar a manutenção da espécie na sua área de repartição natural, num estado de conservação favorável?</w:t>
                            </w:r>
                          </w:p>
                          <w:p>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3" type="#_x0000_t202" style="position:absolute;margin-left:44.95pt;margin-top:493.95pt;width:268.95pt;height:63.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72iqgIAAEkFAAAOAAAAZHJzL2Uyb0RvYy54bWysVF1P2zAUfZ+0/2D5vSTp0kArUhSKOk1i&#10;gAQTz67jtJES27PdJt20/75jpy0M9jQtD47vh+/1PedeX171bUN2wthayZwmZzElQnJV1nKd029P&#10;y9EFJdYxWbJGSZHTvbD0av7xw2WnZ2KsNqophSEIIu2s0zndOKdnUWT5RrTMniktJIyVMi1zEM06&#10;Kg3rEL1tonEcZ1GnTKmN4sJaaG8GI52H+FUluLuvKiscaXKKu7mwmrCu/BrNL9lsbZje1PxwDfYP&#10;t2hZLZH0FOqGOUa2pn4Xqq25UVZV7oyrNlJVVXMRakA1SfymmscN0yLUAnCsPsFk/19Yfrd7MKQu&#10;czoeUyJZC46eRO/IteoJVMCn03YGt0cNR9dDD56PegulL7uvTOv/KIjADqT3J3R9NA7lpzSZZNmE&#10;Eg7bRRKPswB/9HJaG+s+C9USv8mpAXsBVLa7tQ43gevRxSezqqnLZd00QTDr1aIxZMfA9PJ8mqVZ&#10;ONts26+qHNRpjG+gHGo0xqDOjmrEt0OYkOuP+I18n3JvTxnRkqXqPHKUNMw6GABA+HxCH/nltpCG&#10;cCJ06FAcm+Ewtj6Nhyx0z8/F5HxcnE+mo6yYJKM0iS9GRRGPRzfLIi7idLmYpte/DhmO5yPP2MCM&#10;37l+1QeGk/MjbStV7sGmUcM8WM2XNSC/xcUfmMEAgEAMtbvHUjWqy6k67CjZKPPjb3rvj76ElZIO&#10;A5VT+33LjAAeXyQ6dpqkqZ/AIKQoC4J5bVm9tshtu1BgMsHzoXnYen/XHLeVUe0zZr/wWWFikiN3&#10;ToH/sF24YczxdnBRFMEJM6eZu5WPmvvQHmrfUE/9MzP60HUOMN6p4+ix2ZvmG3z9SamKrVNVHTrT&#10;Az2gCrK9gHkNtB/eFv8gvJaD18sLOP8NAAD//wMAUEsDBBQABgAIAAAAIQBwcWLL4AAAAAsBAAAP&#10;AAAAZHJzL2Rvd25yZXYueG1sTI9BTsMwEEX3SNzBGiQ2iDpJ1TQJcaqqEhIrJAIHsGOThNrjELtt&#10;uH2HFexmNE9/3q93i7PsbOYwehSQrhJgBjuvR+wFfLw/PxbAQpSopfVoBPyYALvm9qaWlfYXfDPn&#10;NvaMQjBUUsAQ41RxHrrBOBlWfjJIt08/OxlpnXuuZ3mhcGd5liQ5d3JE+jDIyRwG0x3bkxPwYIev&#10;2K7Hgz7m3/uXTKn+tVVC3N8t+ydg0SzxD4ZffVKHhpyUP6EOzAooypJIAWWxpYGAPNtSF0Vkmm42&#10;wJua/+/QXAEAAP//AwBQSwECLQAUAAYACAAAACEAtoM4kv4AAADhAQAAEwAAAAAAAAAAAAAAAAAA&#10;AAAAW0NvbnRlbnRfVHlwZXNdLnhtbFBLAQItABQABgAIAAAAIQA4/SH/1gAAAJQBAAALAAAAAAAA&#10;AAAAAAAAAC8BAABfcmVscy8ucmVsc1BLAQItABQABgAIAAAAIQC0h72iqgIAAEkFAAAOAAAAAAAA&#10;AAAAAAAAAC4CAABkcnMvZTJvRG9jLnhtbFBLAQItABQABgAIAAAAIQBwcWLL4AAAAAsBAAAPAAAA&#10;AAAAAAAAAAAAAAQFAABkcnMvZG93bnJldi54bWxQSwUGAAAAAAQABADzAAAAEQYAAAAA&#10;" fillcolor="#fcd5b5" strokecolor="windowText">
                <v:textbox>
                  <w:txbxContent>
                    <w:p>
                      <w:pPr>
                        <w:jc w:val="center"/>
                        <w:rPr>
                          <w:b/>
                        </w:rPr>
                      </w:pPr>
                      <w:r>
                        <w:rPr>
                          <w:b/>
                        </w:rPr>
                        <w:t>Existe o risco de a derrogação prejudicar a manutenção da espécie na sua área de repartição natural, num estado de conservação favorável?</w:t>
                      </w:r>
                    </w:p>
                    <w:p>
                      <w:pPr>
                        <w:jc w:val="center"/>
                        <w:rPr>
                          <w:sz w:val="20"/>
                          <w:szCs w:val="20"/>
                        </w:rPr>
                      </w:pP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0080" behindDoc="0" locked="0" layoutInCell="1" allowOverlap="1">
                <wp:simplePos x="0" y="0"/>
                <wp:positionH relativeFrom="column">
                  <wp:posOffset>2198634</wp:posOffset>
                </wp:positionH>
                <wp:positionV relativeFrom="paragraph">
                  <wp:posOffset>5939790</wp:posOffset>
                </wp:positionV>
                <wp:extent cx="0" cy="342900"/>
                <wp:effectExtent l="95250" t="0" r="95250" b="57150"/>
                <wp:wrapNone/>
                <wp:docPr id="85" name="Straight Connector 85"/>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C24E2C2" id="Straight Connector 85" o:spid="_x0000_s1026" style="position:absolute;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1pt,467.7pt" to="173.1pt,4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700AEAAJADAAAOAAAAZHJzL2Uyb0RvYy54bWysU8tu2zAQvBfoPxC811KcpnAEyznYTS9F&#10;ayDpB6z5kAjwhSVr2X/fJeU6aXsrcqH2xSFnOFo/nJxlR4XJBN/zm0XLmfIiSOOHnv94fvyw4ixl&#10;8BJs8KrnZ5X4w+b9u/UUO7UMY7BSISMQn7op9nzMOXZNk8SoHKRFiMpTUwd0kCnFoZEIE6E72yzb&#10;9lMzBZQRg1ApUXU3N/mm4mutRP6udVKZ2Z7T3XJdsa6HsjabNXQDQhyNuFwD/uMWDoynQ69QO8jA&#10;fqL5B8oZgSEFnRciuCZobYSqHIjNTfsXm6cRoqpcSJwUrzKlt4MV3457ZEb2fHXHmQdHb/SUEcww&#10;ZrYN3pOCARk1Sakppo42bP0eL1mKeyy0Txpd+RIhdqrqnq/qqlNmYi4Kqt5+XN63VfjmZV/ElL+o&#10;4FgJem6NL7yhg+PXlOksGv09Uso+PBpr69tZzyYy3n17R88rgCykLWQKXSRSyQ+cgR3ImyJjhUzB&#10;Glm2F6CEw2FrkR2h+KNdtdeb/TFWzt5BGue52pqdMyqQn71k+RxJOE8Wn+sZjH2pA2KYSoNoWF/O&#10;VdWaF25F1lnIEh2CPFd9m5LRs9dtF4sWX73OKX79I21+AQAA//8DAFBLAwQUAAYACAAAACEAiXbd&#10;Zt4AAAALAQAADwAAAGRycy9kb3ducmV2LnhtbEyPwU7DMAyG70i8Q2QkbixlK9NWmk4waRcusIIE&#10;xzQ1TUXjlCZdy9tjxAGO/v3p9+d8N7tOnHAIrScF14sEBJLxdUuNgpfnw9UGRIiaat15QgVfGGBX&#10;nJ/lOqv9REc8lbERXEIh0wpsjH0mZTAWnQ4L3yPx7t0PTkceh0bWg5643HVymSRr6XRLfMHqHvcW&#10;zUc5OgXNXr6GJ1uOD4f76tF8mvJtCq1Slxfz3S2IiHP8g+FHn9WhYKfKj1QH0SlYpeslowq2q5sU&#10;BBO/ScXJZpuCLHL5/4fiGwAA//8DAFBLAQItABQABgAIAAAAIQC2gziS/gAAAOEBAAATAAAAAAAA&#10;AAAAAAAAAAAAAABbQ29udGVudF9UeXBlc10ueG1sUEsBAi0AFAAGAAgAAAAhADj9If/WAAAAlAEA&#10;AAsAAAAAAAAAAAAAAAAALwEAAF9yZWxzLy5yZWxzUEsBAi0AFAAGAAgAAAAhAJ01PvTQAQAAkAMA&#10;AA4AAAAAAAAAAAAAAAAALgIAAGRycy9lMm9Eb2MueG1sUEsBAi0AFAAGAAgAAAAhAIl23WbeAAAA&#10;CwEAAA8AAAAAAAAAAAAAAAAAKgQAAGRycy9kb3ducmV2LnhtbFBLBQYAAAAABAAEAPMAAAA1BQAA&#10;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3152" behindDoc="0" locked="0" layoutInCell="1" allowOverlap="1">
                <wp:simplePos x="0" y="0"/>
                <wp:positionH relativeFrom="column">
                  <wp:posOffset>2195830</wp:posOffset>
                </wp:positionH>
                <wp:positionV relativeFrom="paragraph">
                  <wp:posOffset>7082790</wp:posOffset>
                </wp:positionV>
                <wp:extent cx="0" cy="457200"/>
                <wp:effectExtent l="95250" t="0" r="57150" b="57150"/>
                <wp:wrapNone/>
                <wp:docPr id="86" name="Straight Connector 86"/>
                <wp:cNvGraphicFramePr/>
                <a:graphic xmlns:a="http://schemas.openxmlformats.org/drawingml/2006/main">
                  <a:graphicData uri="http://schemas.microsoft.com/office/word/2010/wordprocessingShape">
                    <wps:wsp>
                      <wps:cNvCnPr/>
                      <wps:spPr>
                        <a:xfrm>
                          <a:off x="0" y="0"/>
                          <a:ext cx="0" cy="4572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D8634ED" id="Straight Connector 86" o:spid="_x0000_s1026" style="position:absolute;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9pt,557.7pt" to="172.9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wDzQEAAJADAAAOAAAAZHJzL2Uyb0RvYy54bWysU8uO0zAU3SPxD5b3NJkRM5So6Sxahg2C&#10;SjN8wK0fiSW/dG2a9u+5dkJngB1i49y37zk+2TycnWUnhckE3/ObVcuZ8iJI44eef39+fLfmLGXw&#10;EmzwqucXlfjD9u2bzRQ7dRvGYKVCRkN86qbY8zHn2DVNEqNykFYhKk9JHdBBJheHRiJMNN3Z5rZt&#10;75spoIwYhEqJovs5ybd1vtZK5G9aJ5WZ7TntluuJ9TyWs9luoBsQ4mjEsgb8wxYOjKdLr6P2kIH9&#10;QPPXKGcEhhR0XongmqC1EapiIDQ37R9onkaIqmIhclK80pT+31jx9XRAZmTP1/eceXD0Rk8ZwQxj&#10;ZrvgPTEYkFGSmJpi6qhh5w+4eCkesMA+a3TlS4DYubJ7ubKrzpmJOSgo+v7uAz1cGde89EVM+bMK&#10;jhWj59b4ghs6OH1JeS79VVLCPjwaaykOnfVsIuF9bO/oeQWQhLSFTKaLBCr5gTOwA2lTZKwjU7BG&#10;lvbSnXA47iyyExR9tOv2utlvZeXuPaRxrqupWTmjAvnJS5YvkYjzJPE5nsHYlzgghmlBbH25V1Vp&#10;LtgKrTORxToGean8NsWjZ69ELRItunrtk/36R9r+BAAA//8DAFBLAwQUAAYACAAAACEARqdm0N8A&#10;AAANAQAADwAAAGRycy9kb3ducmV2LnhtbEyPQU+EMBCF7yb+h2ZMvLkFZXWDlI1ushcvKprosZSR&#10;EukUaVnw3zsbD3qc917efK/YLq4XBxxD50lBukpAIBnfdNQqeH3ZX2xAhKip0b0nVPCNAbbl6Umh&#10;88bP9IyHKraCSyjkWoGNccilDMai02HlByT2PvzodORzbGUz6pnLXS8vk+RaOt0Rf7B6wJ1F81lN&#10;TkG7k2/hyVbTw/6+fjRfpnqfQ6fU+dlydwsi4hL/wnDEZ3Qoman2EzVB9AqusjWjRzbSdJ2B4Miv&#10;VB+lzU0Gsizk/xXlDwAAAP//AwBQSwECLQAUAAYACAAAACEAtoM4kv4AAADhAQAAEwAAAAAAAAAA&#10;AAAAAAAAAAAAW0NvbnRlbnRfVHlwZXNdLnhtbFBLAQItABQABgAIAAAAIQA4/SH/1gAAAJQBAAAL&#10;AAAAAAAAAAAAAAAAAC8BAABfcmVscy8ucmVsc1BLAQItABQABgAIAAAAIQDzBbwDzQEAAJADAAAO&#10;AAAAAAAAAAAAAAAAAC4CAABkcnMvZTJvRG9jLnhtbFBLAQItABQABgAIAAAAIQBGp2bQ3wAAAA0B&#10;AAAPAAAAAAAAAAAAAAAAACcEAABkcnMvZG93bnJldi54bWxQSwUGAAAAAAQABADzAAAAMwU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74784" behindDoc="0" locked="0" layoutInCell="1" allowOverlap="1">
                <wp:simplePos x="0" y="0"/>
                <wp:positionH relativeFrom="column">
                  <wp:posOffset>1538341</wp:posOffset>
                </wp:positionH>
                <wp:positionV relativeFrom="paragraph">
                  <wp:posOffset>7539990</wp:posOffset>
                </wp:positionV>
                <wp:extent cx="1371600" cy="800100"/>
                <wp:effectExtent l="0" t="0" r="19050" b="19050"/>
                <wp:wrapSquare wrapText="bothSides"/>
                <wp:docPr id="45" name="Text Box 45"/>
                <wp:cNvGraphicFramePr/>
                <a:graphic xmlns:a="http://schemas.openxmlformats.org/drawingml/2006/main">
                  <a:graphicData uri="http://schemas.microsoft.com/office/word/2010/wordprocessingShape">
                    <wps:wsp>
                      <wps:cNvSpPr txBox="1"/>
                      <wps:spPr>
                        <a:xfrm>
                          <a:off x="0" y="0"/>
                          <a:ext cx="1371600" cy="800100"/>
                        </a:xfrm>
                        <a:prstGeom prst="rect">
                          <a:avLst/>
                        </a:prstGeom>
                        <a:solidFill>
                          <a:srgbClr val="008000"/>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color w:val="FFFFFF" w:themeColor="background1"/>
                                <w:sz w:val="28"/>
                                <w:szCs w:val="28"/>
                              </w:rPr>
                            </w:pPr>
                            <w:r>
                              <w:rPr>
                                <w:b/>
                                <w:color w:val="FFFFFF" w:themeColor="background1"/>
                                <w:sz w:val="28"/>
                                <w:szCs w:val="28"/>
                              </w:rPr>
                              <w:t>A derrogação pode ser concedida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44" type="#_x0000_t202" style="position:absolute;margin-left:121.15pt;margin-top:593.7pt;width:108pt;height:63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03fQIAAPwEAAAOAAAAZHJzL2Uyb0RvYy54bWysVFtv0zAUfkfiP1h+75KUdG2jpVPWqghp&#10;YpM2tGfXcdpIiW1st81A/Hc+O81WBuIB8eKc++U75+TqumsbchDG1krmNLmIKRGSq7KW25x+eVyP&#10;ZpRYx2TJGiVFTp+FpdeL9++ujjoTY7VTTSkMQRBps6PO6c45nUWR5TvRMnuhtJBQVsq0zIE126g0&#10;7IjobRON4/gyOipTaqO4sBbSVa+kixC/qgR3d1VlhSNNTlGbC68J78a/0eKKZVvD9K7mpzLYP1TR&#10;sloi6UuoFXOM7E39W6i25kZZVbkLrtpIVVXNRegB3STxm24edkyL0AvAsfoFJvv/wvLPh3tD6jKn&#10;6YQSyVrM6FF0jtyojkAEfI7aZjB70DB0HeSY8yC3EPq2u8q0/ouGCPRA+vkFXR+Ne6cP0+QyhopD&#10;N4vRboA/evXWxrqPQrXEEzk1mF4AlR1urUMlMB1MfDKrmrpc100TGLPdLBtDDsxPOkb8IfovZo38&#10;u2eyTufTlW8Pyc48wfWuIixVXw/L0BtIH9J3GQb+fTmZjovpZD66LCbJKE3i2ago4vFotS7iIk7X&#10;y3l68+OUYfCPPMg9mJ5y3aYLQ0lmA9IbVT5jAEb1K2w1X9dA6ZZZd88MdhbA4g7dHZ6qUcecqhNF&#10;yU6Zb3+Se3usErSUHHEDObVf98wISppPEks2T9LUH01gUrQFxpxrNucauW+XCuAnuHjNA+ntXTOQ&#10;lVHtE8618FmhYpIjd07dQC5df5k4dy6KIhjhTDRzt/JBcx/aQ+134LF7YkafFsUBxs9quBaWvdmX&#10;3tZ7SlXsnarqsEwe6B5VDNszOLEw9tPvwN/wOR+sXn9ai58AAAD//wMAUEsDBBQABgAIAAAAIQAg&#10;U3X44wAAAA0BAAAPAAAAZHJzL2Rvd25yZXYueG1sTI/NTsMwEITvSLyDtUjcqPMHJCFOhUC9UAlB&#10;WqRyc+IliYjtKHbT9O1ZTnDcmU+zM8V60QObcXK9NQLCVQAMTWNVb1oB+93mJgXmvDRKDtaggDM6&#10;WJeXF4XMlT2Zd5wr3zIKMS6XAjrvx5xz13SopVvZEQ15X3bS0tM5tVxN8kTheuBRENxxLXtDHzo5&#10;4lOHzXd11ALwkM3n57qam5eP18+3bLM9ZNlWiOur5fEBmMfF/8HwW5+qQ0mdans0yrFBQJREMaFk&#10;hOl9AoyQ5DYlqSYpDuMEeFnw/yvKHwAAAP//AwBQSwECLQAUAAYACAAAACEAtoM4kv4AAADhAQAA&#10;EwAAAAAAAAAAAAAAAAAAAAAAW0NvbnRlbnRfVHlwZXNdLnhtbFBLAQItABQABgAIAAAAIQA4/SH/&#10;1gAAAJQBAAALAAAAAAAAAAAAAAAAAC8BAABfcmVscy8ucmVsc1BLAQItABQABgAIAAAAIQBEPC03&#10;fQIAAPwEAAAOAAAAAAAAAAAAAAAAAC4CAABkcnMvZTJvRG9jLnhtbFBLAQItABQABgAIAAAAIQAg&#10;U3X44wAAAA0BAAAPAAAAAAAAAAAAAAAAANcEAABkcnMvZG93bnJldi54bWxQSwUGAAAAAAQABADz&#10;AAAA5wUAAAAA&#10;" fillcolor="green" strokecolor="#1f497d">
                <v:textbox>
                  <w:txbxContent>
                    <w:p>
                      <w:pPr>
                        <w:jc w:val="center"/>
                        <w:rPr>
                          <w:b/>
                          <w:color w:val="FFFFFF" w:themeColor="background1"/>
                          <w:sz w:val="28"/>
                          <w:szCs w:val="28"/>
                        </w:rPr>
                      </w:pPr>
                      <w:r>
                        <w:rPr>
                          <w:b/>
                          <w:color w:val="FFFFFF" w:themeColor="background1"/>
                          <w:sz w:val="28"/>
                          <w:szCs w:val="28"/>
                        </w:rPr>
                        <w:t>A derrogação pode ser concedida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62496" behindDoc="0" locked="0" layoutInCell="1" allowOverlap="1">
                <wp:simplePos x="0" y="0"/>
                <wp:positionH relativeFrom="column">
                  <wp:posOffset>4219311</wp:posOffset>
                </wp:positionH>
                <wp:positionV relativeFrom="paragraph">
                  <wp:posOffset>2167890</wp:posOffset>
                </wp:positionV>
                <wp:extent cx="1371600" cy="1143000"/>
                <wp:effectExtent l="0" t="0" r="19050" b="19050"/>
                <wp:wrapSquare wrapText="bothSides"/>
                <wp:docPr id="40" name="Text Box 40"/>
                <wp:cNvGraphicFramePr/>
                <a:graphic xmlns:a="http://schemas.openxmlformats.org/drawingml/2006/main">
                  <a:graphicData uri="http://schemas.microsoft.com/office/word/2010/wordprocessingShape">
                    <wps:wsp>
                      <wps:cNvSpPr txBox="1"/>
                      <wps:spPr>
                        <a:xfrm>
                          <a:off x="0" y="0"/>
                          <a:ext cx="1371600" cy="1143000"/>
                        </a:xfrm>
                        <a:prstGeom prst="rect">
                          <a:avLst/>
                        </a:prstGeom>
                        <a:solidFill>
                          <a:srgbClr val="DBEEF4"/>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sz w:val="20"/>
                                <w:szCs w:val="20"/>
                              </w:rPr>
                            </w:pPr>
                            <w:r>
                              <w:rPr>
                                <w:sz w:val="20"/>
                                <w:szCs w:val="20"/>
                              </w:rPr>
                              <w:t>e) Captura ou detenção de um número limitado especificado pelas autoridades nacionais competentes de determinados espécimes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5" type="#_x0000_t202" style="position:absolute;margin-left:332.25pt;margin-top:170.7pt;width:108pt;height:90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tIfQIAAP0EAAAOAAAAZHJzL2Uyb0RvYy54bWysVN9P2zAQfp+0/8Hye0lSAqVRUxRaMk1C&#10;gAQTz67jtJEcn2e7TdjE/76z01IG0x6mvTj387Pvu7vMLvtWkp0wtgGV0+QkpkQoDlWj1jn99liO&#10;LiixjqmKSVAip8/C0sv550+zTmdiDBuQlTAEQZTNOp3TjXM6iyLLN6Jl9gS0UOiswbTMoWrWUWVY&#10;h+itjMZxfB51YCptgAtr0bocnHQe8OtacHdX11Y4InOKb3PhNOFc+TOaz1i2NkxvGr5/BvuHV7Ss&#10;UXjpK9SSOUa2pvkA1TbcgIXanXBoI6jrhotQA1aTxO+qedgwLUItSI7VrzTZ/wfLb3f3hjRVTlOk&#10;R7EWe/QoekeuoCdoQn46bTMMe9AY6Hq0Y58PdotGX3Zfm9Z/sSCCfoR6fmXXo3GfdDpJzmN0cfQl&#10;SXoao4L40TFdG+u+CGiJF3JqsH2BVba7sW4IPYT42yzIpiobKYNi1quFNGTHsNXLq+vrMt2j/xYm&#10;1d8zkzKdTpYfM/GVQ6oIUzW8h2VYHIoe0pcZOv5zcTYZF5Oz6ei8OEtGaRJfjIoiHo+WZREXcVou&#10;punVy/6GQ37kWR7Y9JLrV33oSjL1gd60guoZO2BgmGGredkgSzfMuntmcGiRWVxEd4dHLaHLKewl&#10;SjZgfvzJ7uNxltBLSYdLkFP7fcuMoER+VThl0yT1Y+GCkmJZqJi3ntVbj9q2C0DyE1x5zYPo4508&#10;iLWB9gn3tfC3oospjnfn1B3EhRtWE/edi6IIQbgnmrkb9aC5h/ZU+xl47J+Y0ftBcUjjLRzWhWXv&#10;5mWI9ZkKiq2DugnDdGQVh9AruGNhHPf/A7/Eb/UQdfxrzX8BAAD//wMAUEsDBBQABgAIAAAAIQB1&#10;OpzB4AAAAAsBAAAPAAAAZHJzL2Rvd25yZXYueG1sTI/BTsMwDIbvSLxDZCRuLO3oqq40nRASl2kg&#10;GJN2zZrQRCRO1WRb2dNjTnD070+/PzeryTt20mO0AQXkswyYxi4oi72A3cfzXQUsJolKuoBawLeO&#10;sGqvrxpZq3DGd33app5RCcZaCjApDTXnsTPayzgLg0bafYbRy0Tj2HM1yjOVe8fnWVZyLy3SBSMH&#10;/WR097U9egFr/2r3bxezX5r8ZWPXl+hwUwlxezM9PgBLekp/MPzqkzq05HQIR1SROQFlWSwIFXBf&#10;5AUwIqoqo+QgYDGnhLcN//9D+wMAAP//AwBQSwECLQAUAAYACAAAACEAtoM4kv4AAADhAQAAEwAA&#10;AAAAAAAAAAAAAAAAAAAAW0NvbnRlbnRfVHlwZXNdLnhtbFBLAQItABQABgAIAAAAIQA4/SH/1gAA&#10;AJQBAAALAAAAAAAAAAAAAAAAAC8BAABfcmVscy8ucmVsc1BLAQItABQABgAIAAAAIQAGPOtIfQIA&#10;AP0EAAAOAAAAAAAAAAAAAAAAAC4CAABkcnMvZTJvRG9jLnhtbFBLAQItABQABgAIAAAAIQB1OpzB&#10;4AAAAAsBAAAPAAAAAAAAAAAAAAAAANcEAABkcnMvZG93bnJldi54bWxQSwUGAAAAAAQABADzAAAA&#10;5AUAAAAA&#10;" fillcolor="#dbeef4" strokecolor="#1f497d">
                <v:textbox>
                  <w:txbxContent>
                    <w:p>
                      <w:pPr>
                        <w:rPr>
                          <w:sz w:val="20"/>
                          <w:szCs w:val="20"/>
                        </w:rPr>
                      </w:pPr>
                      <w:r>
                        <w:rPr>
                          <w:sz w:val="20"/>
                          <w:szCs w:val="20"/>
                        </w:rPr>
                        <w:t>e) Captura ou detenção de um número limitado especificado pelas autoridades nacionais competentes de determinados espécimes</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68640" behindDoc="0" locked="0" layoutInCell="1" allowOverlap="1">
                <wp:simplePos x="0" y="0"/>
                <wp:positionH relativeFrom="column">
                  <wp:posOffset>5531689</wp:posOffset>
                </wp:positionH>
                <wp:positionV relativeFrom="paragraph">
                  <wp:posOffset>2437765</wp:posOffset>
                </wp:positionV>
                <wp:extent cx="571500" cy="342900"/>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46" type="#_x0000_t202" style="position:absolute;margin-left:435.55pt;margin-top:191.95pt;width:45pt;height:27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3BXgIAAKkEAAAOAAAAZHJzL2Uyb0RvYy54bWysVMtu2zAQvBfoPxC823pUTmIhcqA4cFEg&#10;SALERc40RcUCJJIlaUtp0X/vkLKdNO2p6IXaF5e7M7u6vBq6luyFsY2SBU2mMSVCclU18rmgX9er&#10;yQUl1jFZsVZJUdAXYenV4uOHy17nIlVb1VbCECSRNu91QbfO6TyKLN+Kjtmp0kLCWSvTMQfVPEeV&#10;YT2yd22UxvFZ1CtTaaO4sBbWm9FJFyF/XQvu7uvaCkfagqI2F04Tzo0/o8Uly58N09uGH8pg/1BF&#10;xxqJR0+pbphjZGeaP1J1DTfKqtpNueoiVdcNF6EHdJPE77p53DItQi8Ax+oTTPb/peV3+wdDmqqg&#10;WUqJZB04WovBkWs1EJiAT69tjrBHjUA3wA6ej3YLo297qE3nv2iIwA+kX07o+mwcxtl5Movh4XB9&#10;ytI5ZGSPXi9rY91noTrihYIakBcwZftb68bQY4h/S6pV07aBwFb+ZkDO0SLCBIy3WY5CIPpIX1Jg&#10;58dydp6W57P55KycJZMsiS8mZRmnk5tVGZdxtlrOs+ufhzqP9yOPyNi5l9ywGQKCaWjImzaqegFa&#10;Ro3zZjVfNejplln3wAwGDDBgadw9jrpVfUHVQaJkq8z3v9l9PHiHl5IeA1tQ+23HjKCk/SIxEfMk&#10;y/yEByVDW1DMW8/mrUfuuqXCTiRYT82D6ONdexRro7on7FbpX4WLSY63C+qO4tKNa4Td5KIsQxBm&#10;WjN3Kx8196k91J6x9fDEjD7Q6gDjnTqONsvfsTvGjnSWO6fqJlD/iipGxivYhzA8h931C/dWD1Gv&#10;f5jFLwAAAP//AwBQSwMEFAAGAAgAAAAhAEbTWlLfAAAACwEAAA8AAABkcnMvZG93bnJldi54bWxM&#10;j01PwzAMhu9I/IfISNxYUjq2ttSdEIgraOND4pY1XlvROFWTreXfk53gaPvR6+ctN7PtxYlG3zlG&#10;SBYKBHHtTMcNwvvb800GwgfNRveOCeGHPGyqy4tSF8ZNvKXTLjQihrAvNEIbwlBI6euWrPYLNxDH&#10;28GNVoc4jo00o55iuO3lrVIraXXH8UOrB3psqf7eHS3Cx8vh63OpXpsnezdMblaSbS4Rr6/mh3sQ&#10;gebwB8NZP6pDFZ327sjGix4hWydJRBHSLM1BRCJfnTd7hGW6zkFWpfzfofoFAAD//wMAUEsBAi0A&#10;FAAGAAgAAAAhALaDOJL+AAAA4QEAABMAAAAAAAAAAAAAAAAAAAAAAFtDb250ZW50X1R5cGVzXS54&#10;bWxQSwECLQAUAAYACAAAACEAOP0h/9YAAACUAQAACwAAAAAAAAAAAAAAAAAvAQAAX3JlbHMvLnJl&#10;bHNQSwECLQAUAAYACAAAACEADpotwV4CAACpBAAADgAAAAAAAAAAAAAAAAAuAgAAZHJzL2Uyb0Rv&#10;Yy54bWxQSwECLQAUAAYACAAAACEARtNaUt8AAAALAQAADwAAAAAAAAAAAAAAAAC4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3808" behindDoc="0" locked="0" layoutInCell="1" allowOverlap="1">
                <wp:simplePos x="0" y="0"/>
                <wp:positionH relativeFrom="column">
                  <wp:posOffset>4160089</wp:posOffset>
                </wp:positionH>
                <wp:positionV relativeFrom="paragraph">
                  <wp:posOffset>5862152</wp:posOffset>
                </wp:positionV>
                <wp:extent cx="571500" cy="3429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7" type="#_x0000_t202" style="position:absolute;margin-left:327.55pt;margin-top:461.6pt;width:45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bAXgIAAKkEAAAOAAAAZHJzL2Uyb0RvYy54bWysVFFv2jAQfp+0/2D5nSZhoS1RQ5VSMU2q&#10;2kow9dk4TomU2J5tSNi0/77PDlDW7WnaiznffTnffd8dN7d925CdMLZWMqfJRUyJkFyVtXzN6dfV&#10;YnRNiXVMlqxRUuR0Lyy9nX38cNPpTIzVRjWlMARJpM06ndONczqLIss3omX2QmkhEayUaZnD1bxG&#10;pWEdsrdNNI7jy6hTptRGcWEtvPdDkM5C/qoS3D1VlRWONDlFbS6cJpxrf0azG5a9GqY3NT+Uwf6h&#10;ipbVEo+eUt0zx8jW1H+kamtulFWVu+CqjVRV1VyEHtBNEr/rZrlhWoReQI7VJ5rs/0vLH3fPhtQl&#10;tEspkayFRivRO3KnegIX+Om0zQBbagBdDz+wR7+F07fdV6b1v2iIIA6m9yd2fTYO5+QqmcSIcIQ+&#10;peMpbGSP3j7WxrrPQrXEGzk1EC9wynYP1g3QI8S/JdWibpogYCN/cyDn4BFhAoavWYZCYHqkLymo&#10;82M+uRoXV5Pp6LKYJKM0ia9HRRGPR/eLIi7idDGfpnc/D3Uev488I0Pn3nL9ug8Mjk+0rFW5B1tG&#10;DfNmNV/U6OmBWffMDAYMNGBp3BOOqlFdTtXBomSjzPe/+T0euiNKSYeBzan9tmVGUNJ8kZiIaZKm&#10;fsLDJUVbuJjzyPo8IrftXGEnEqyn5sH0eNcczcqo9gW7VfhXEWKS4+2cuqM5d8MaYTe5KIoAwkxr&#10;5h7kUnOf2lPtFVv1L8zog6wOND6q42iz7J26A3aQs9g6VdVBek/0wCpGxl+wD2F4DrvrF+78HlBv&#10;/zCzXwAAAP//AwBQSwMEFAAGAAgAAAAhANIN+KreAAAACwEAAA8AAABkcnMvZG93bnJldi54bWxM&#10;j8FOwzAMhu9IvENkJG4sWVnXrTSdEIgraAMmccsar61onKrJ1vL2eCc4+ven35+LzeQ6ccYhtJ40&#10;zGcKBFLlbUu1ho/3l7sViBANWdN5Qg0/GGBTXl8VJrd+pC2ed7EWXEIhNxqaGPtcylA16EyY+R6J&#10;d0c/OBN5HGppBzNyuetkotRSOtMSX2hMj08NVt+7k9Pw+Xr82i/UW/3s0n70k5Lk1lLr25vp8QFE&#10;xCn+wXDRZ3Uo2engT2SD6DQs03TOqIZ1cp+AYCJbXJIDJ1mWgCwL+f+H8hcAAP//AwBQSwECLQAU&#10;AAYACAAAACEAtoM4kv4AAADhAQAAEwAAAAAAAAAAAAAAAAAAAAAAW0NvbnRlbnRfVHlwZXNdLnht&#10;bFBLAQItABQABgAIAAAAIQA4/SH/1gAAAJQBAAALAAAAAAAAAAAAAAAAAC8BAABfcmVscy8ucmVs&#10;c1BLAQItABQABgAIAAAAIQAZNEbAXgIAAKkEAAAOAAAAAAAAAAAAAAAAAC4CAABkcnMvZTJvRG9j&#10;LnhtbFBLAQItABQABgAIAAAAIQDSDfiq3gAAAAsBAAAPAAAAAAAAAAAAAAAAALgEAABkcnMvZG93&#10;bnJldi54bWxQSwUGAAAAAAQABADzAAAAwwUAAAAA&#10;" filled="f" stroked="f">
                <v:textbox>
                  <w:txbxContent>
                    <w:p>
                      <w:pPr>
                        <w:rPr>
                          <w:rFonts w:ascii="Arial Black" w:hAnsi="Arial Black"/>
                          <w:bCs/>
                          <w:smallCaps/>
                          <w:color w:val="FF0000"/>
                        </w:rPr>
                      </w:pPr>
                      <w:r>
                        <w:rPr>
                          <w:rFonts w:ascii="Arial Black" w:hAnsi="Arial Black"/>
                          <w:bCs/>
                          <w:smallCaps/>
                          <w:color w:val="FF0000"/>
                        </w:rPr>
                        <w:t>sim</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4000" behindDoc="0" locked="0" layoutInCell="1" allowOverlap="1">
                <wp:simplePos x="0" y="0"/>
                <wp:positionH relativeFrom="column">
                  <wp:posOffset>2785745</wp:posOffset>
                </wp:positionH>
                <wp:positionV relativeFrom="paragraph">
                  <wp:posOffset>4830445</wp:posOffset>
                </wp:positionV>
                <wp:extent cx="2535555" cy="422275"/>
                <wp:effectExtent l="0" t="0" r="17145" b="15875"/>
                <wp:wrapSquare wrapText="bothSides"/>
                <wp:docPr id="48" name="Text Box 48"/>
                <wp:cNvGraphicFramePr/>
                <a:graphic xmlns:a="http://schemas.openxmlformats.org/drawingml/2006/main">
                  <a:graphicData uri="http://schemas.microsoft.com/office/word/2010/wordprocessingShape">
                    <wps:wsp>
                      <wps:cNvSpPr txBox="1"/>
                      <wps:spPr>
                        <a:xfrm>
                          <a:off x="0" y="0"/>
                          <a:ext cx="2535555" cy="422275"/>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A derrogação visará um número limitado de espécimes da espécie em questão?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48" type="#_x0000_t202" style="position:absolute;margin-left:219.35pt;margin-top:380.35pt;width:199.65pt;height:33.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akiwIAABAFAAAOAAAAZHJzL2Uyb0RvYy54bWysVF1v2yAUfZ+0/4B4T+14Tj+sOpWbNNOk&#10;qq3UTn0mGCeWbGBAYmdT//sOOEm7dk/T/IAv9wvuuedyedW3DdkKY2slczo+iSkRkquylqucfn9a&#10;jM4psY7JkjVKipzuhKVX08+fLjudiUStVVMKQ5BE2qzTOV07p7MosnwtWmZPlBYSxkqZljlszSoq&#10;DeuQvW2iJI5Po06ZUhvFhbXQzgcjnYb8VSW4u68qKxxpcoq7ubCasC79Gk0vWbYyTK9rvr8G+4db&#10;tKyWOPSYas4cIxtTf0jV1twoqyp3wlUbqaqquQg1oJpx/K6axzXTItQCcKw+wmT/X1p+t30wpC5z&#10;mqJTkrXo0ZPoHblWPYEK+HTaZnB71HB0PfTo80FvofRl95Vp/R8FEdiB9O6Irs/GoUwmXyb4KOGw&#10;pUmSnE18mug1WhvrvgrVEi/k1KB7AVS2vbVucD24+MOsaupyUTdN2JjVctYYsmXo9Pz65maR7rP/&#10;4dbIj5E7ewwEs0rVeQAoaZh1MKCO8H3MhpsP6UQg2nBHliEYoj/GVx5I8Gs2OUuKs8nF6LSYjEfp&#10;OD4fFUWcjOaLIi7idDG7SK9f9icc4iMP/ACwl1y/7EOjksQ7etVSlTs0xaiB1lbzRQ3kbnHxB2bA&#10;Y/QBs+nusVSN6nKq9hIla2V+/k3v/UEvWCnpMBc5tT82zAjg8U2CeBfjNPWDFDYpysLGvLUs31rk&#10;pp0pNGSMV0DzIHp/1xzEyqj2GSNc+FNhYpLj7JwC/0GcuWFa8QRwURTBCaOjmbuVj5r71B5qz4un&#10;/pkZvSePA4x36jBBLHvHocHXR0pVbJyq6kCwV1RBTL/B2AWK7p8IP9dv98Hr9SGb/gYAAP//AwBQ&#10;SwMEFAAGAAgAAAAhAF4sgTHfAAAACwEAAA8AAABkcnMvZG93bnJldi54bWxMj0FLxDAQhe+C/yGM&#10;4M1N7EobatNFFD0KVpH1lm1iE7aZlCa7W/31jie9vcd8vHmv2SxhZEc7Jx9RwfVKALPYR+NxUPD2&#10;+nglgaWs0egxolXwZRNs2vOzRtcmnvDFHrs8MArBVGsFLuep5jz1zgadVnGySLfPOAedyc4DN7M+&#10;UXgYeSFEyYP2SB+cnuy9s/2+OwQFvfsQe/n0sHXfBffvz2Xlu+2s1OXFcncLLNsl/8HwW5+qQ0ud&#10;dvGAJrFRwc1aVoQqqEpBggi5lrRuR6KoCuBtw/9vaH8AAAD//wMAUEsBAi0AFAAGAAgAAAAhALaD&#10;OJL+AAAA4QEAABMAAAAAAAAAAAAAAAAAAAAAAFtDb250ZW50X1R5cGVzXS54bWxQSwECLQAUAAYA&#10;CAAAACEAOP0h/9YAAACUAQAACwAAAAAAAAAAAAAAAAAvAQAAX3JlbHMvLnJlbHNQSwECLQAUAAYA&#10;CAAAACEAKhBWpIsCAAAQBQAADgAAAAAAAAAAAAAAAAAuAgAAZHJzL2Uyb0RvYy54bWxQSwECLQAU&#10;AAYACAAAACEAXiyBMd8AAAALAQAADwAAAAAAAAAAAAAAAADlBAAAZHJzL2Rvd25yZXYueG1sUEsF&#10;BgAAAAAEAAQA8wAAAPEFAAAAAA==&#10;" fillcolor="#dbeef4" strokecolor="windowText">
                <v:textbox>
                  <w:txbxContent>
                    <w:p>
                      <w:pPr>
                        <w:jc w:val="center"/>
                        <w:rPr>
                          <w:sz w:val="20"/>
                          <w:szCs w:val="20"/>
                        </w:rPr>
                      </w:pPr>
                      <w:r>
                        <w:rPr>
                          <w:sz w:val="20"/>
                          <w:szCs w:val="20"/>
                        </w:rPr>
                        <w:t>A derrogação visará um número limitado de espécimes da espécie em questão?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77856" behindDoc="0" locked="0" layoutInCell="1" allowOverlap="1">
                <wp:simplePos x="0" y="0"/>
                <wp:positionH relativeFrom="column">
                  <wp:posOffset>3843655</wp:posOffset>
                </wp:positionH>
                <wp:positionV relativeFrom="paragraph">
                  <wp:posOffset>3550285</wp:posOffset>
                </wp:positionV>
                <wp:extent cx="1480185" cy="414020"/>
                <wp:effectExtent l="0" t="0" r="24765" b="24130"/>
                <wp:wrapSquare wrapText="bothSides"/>
                <wp:docPr id="46" name="Text Box 46"/>
                <wp:cNvGraphicFramePr/>
                <a:graphic xmlns:a="http://schemas.openxmlformats.org/drawingml/2006/main">
                  <a:graphicData uri="http://schemas.microsoft.com/office/word/2010/wordprocessingShape">
                    <wps:wsp>
                      <wps:cNvSpPr txBox="1"/>
                      <wps:spPr>
                        <a:xfrm>
                          <a:off x="0" y="0"/>
                          <a:ext cx="1480185" cy="414020"/>
                        </a:xfrm>
                        <a:prstGeom prst="rect">
                          <a:avLst/>
                        </a:prstGeom>
                        <a:solidFill>
                          <a:srgbClr val="DBEEF4"/>
                        </a:solidFill>
                        <a:ln>
                          <a:solidFill>
                            <a:srgbClr val="00009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Estão garantidas condições estritamente controladas?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margin-left:302.65pt;margin-top:279.55pt;width:116.55pt;height:32.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hVggIAAPwEAAAOAAAAZHJzL2Uyb0RvYy54bWysVE1v2zAMvQ/YfxB0T21nTpsYdQo3aYYB&#10;RVsgHXpWZDkxIIuapMTuhv73UXLcZt2ww7AcFFL8EPn46MurrpHkIIytQeU0OYspEYpDWattTr8+&#10;rkZTSqxjqmQSlMjps7D0av7xw2WrMzGGHchSGIJJlM1andOdczqLIst3omH2DLRQaKzANMyharZR&#10;aViL2RsZjeP4PGrBlNoAF9bi7bI30nnIX1WCu/uqssIRmVOszYXThHPjz2h+ybKtYXpX82MZ7B+q&#10;aFit8NHXVEvmGNmb+rdUTc0NWKjcGYcmgqqquQg9YDdJ/K6b9Y5pEXpBcKx+hcn+v7T87vBgSF3m&#10;ND2nRLEGZ/QoOkeuoSN4hfi02mbottbo6Dq8xzkP9xYvfdtdZRr/jw0RtCPSz6/o+mzcB6XTOJlO&#10;KOFoS5M0Hgf4o7dobaz7LKAhXsipwekFUNnh1jqsBF0HF/+YBVmXq1rKoJjtZiENOTCc9PL65maV&#10;+iIx5Bc3qf4eGeNvNtR1Eol5+lARSNXXwzLsDUWf0ncZBv5jMbkYFxeT2ei8mCSjNImno6KIx6Pl&#10;qoiLOF0tZun1y7G2IT7yIPdgesl1my4MZfxpQHoD5TMOwEBPYav5qkaUbpl1D8wgZxFz3EN3j0cl&#10;oc0pHCVKdmC+/+ne+yOV0EpJizuQU/ttz4ygRH5RSLJZkqZ+aYKSYluomFPL5tSi9s0CEPwEN17z&#10;IHp/JwexMtA84boW/lU0McXx7Zy6QVy4fjNx3bkoiuCEa6KZu1VrzX1qD7XnwGP3xIw+EsUhjHcw&#10;bAvL3vGl9/WRCoq9g6oOZPJA96giTbyCKxYIc/wc+B0+1YPX20dr/hMAAP//AwBQSwMEFAAGAAgA&#10;AAAhAJuS09vgAAAACwEAAA8AAABkcnMvZG93bnJldi54bWxMj8tOwzAQRfdI/IM1SOyo06YJIcSp&#10;KlQkVlUpILaT2HmIeBzFbhv+nmEFy9E9uvdMsZntIM5m8r0jBctFBMJQ7XRPrYL3t+e7DIQPSBoH&#10;R0bBt/GwKa+vCsy1u9CrOR9DK7iEfI4KuhDGXEpfd8aiX7jREGeNmywGPqdW6gkvXG4HuYqiVFrs&#10;iRc6HM1TZ+qv48kqaHbeYqPT3cf93lbp58shdPutUrc38/YRRDBz+IPhV5/VoWSnyp1IezEoSKMk&#10;ZlRBkjwsQTCRxdkaRMXRah2DLAv5/4fyBwAA//8DAFBLAQItABQABgAIAAAAIQC2gziS/gAAAOEB&#10;AAATAAAAAAAAAAAAAAAAAAAAAABbQ29udGVudF9UeXBlc10ueG1sUEsBAi0AFAAGAAgAAAAhADj9&#10;If/WAAAAlAEAAAsAAAAAAAAAAAAAAAAALwEAAF9yZWxzLy5yZWxzUEsBAi0AFAAGAAgAAAAhAEvs&#10;mFWCAgAA/AQAAA4AAAAAAAAAAAAAAAAALgIAAGRycy9lMm9Eb2MueG1sUEsBAi0AFAAGAAgAAAAh&#10;AJuS09vgAAAACwEAAA8AAAAAAAAAAAAAAAAA3AQAAGRycy9kb3ducmV2LnhtbFBLBQYAAAAABAAE&#10;APMAAADpBQAAAAA=&#10;" fillcolor="#dbeef4" strokecolor="#000090">
                <v:textbox>
                  <w:txbxContent>
                    <w:p>
                      <w:pPr>
                        <w:jc w:val="center"/>
                        <w:rPr>
                          <w:sz w:val="20"/>
                          <w:szCs w:val="20"/>
                        </w:rPr>
                      </w:pPr>
                      <w:r>
                        <w:rPr>
                          <w:sz w:val="20"/>
                          <w:szCs w:val="20"/>
                        </w:rPr>
                        <w:t>Estão garantidas condições estritamente controladas?</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56032" behindDoc="0" locked="0" layoutInCell="1" allowOverlap="1">
                <wp:simplePos x="0" y="0"/>
                <wp:positionH relativeFrom="column">
                  <wp:posOffset>5329555</wp:posOffset>
                </wp:positionH>
                <wp:positionV relativeFrom="paragraph">
                  <wp:posOffset>3853815</wp:posOffset>
                </wp:positionV>
                <wp:extent cx="611505" cy="8255"/>
                <wp:effectExtent l="0" t="0" r="36195" b="29845"/>
                <wp:wrapNone/>
                <wp:docPr id="29" name="Straight Connector 29"/>
                <wp:cNvGraphicFramePr/>
                <a:graphic xmlns:a="http://schemas.openxmlformats.org/drawingml/2006/main">
                  <a:graphicData uri="http://schemas.microsoft.com/office/word/2010/wordprocessingShape">
                    <wps:wsp>
                      <wps:cNvCnPr/>
                      <wps:spPr>
                        <a:xfrm flipV="1">
                          <a:off x="0" y="0"/>
                          <a:ext cx="611505" cy="8255"/>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7A14FD6" id="Straight Connector 29" o:spid="_x0000_s1026" style="position:absolute;flip: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65pt,303.45pt" to="467.8pt,3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fK2QEAAJwDAAAOAAAAZHJzL2Uyb0RvYy54bWysU02P0zAQvSPxHyzfadJKWe1GTffQUi4I&#10;Ki1wnzp2YslfGpum/feMnVAt7A2Rg+X58PO855ft89UadpEYtXcdX69qzqQTvtdu6Pj3b8cPj5zF&#10;BK4H453s+E1G/rx7/247hVZu/OhNL5ERiIvtFDo+phTaqopilBbiygfpqKg8WkgU4lD1CBOhW1Nt&#10;6vqhmjz2Ab2QMVL2MBf5ruArJUX6qlSUiZmO02yprFjWc16r3RbaASGMWixjwD9MYUE7uvQOdYAE&#10;7CfqN1BWC/TRq7QS3lZeKS1k4UBs1vVfbF5GCLJwIXFiuMsU/x+s+HI5IdN9xzdPnDmw9EYvCUEP&#10;Y2J77xwp6JFRkZSaQmzpwN6dcIliOGGmfVVomTI6/CATFCGIGrsWnW93neU1MUHJh/W6qRvOBJUe&#10;N02TsasZJIMFjOmT9JblTceNdlkEaOHyOaa59XdLTjt/1MZQHlrj2EQDPNUNvbUA8pMykGhrAzGM&#10;buAMzEBGFQkLZPRG9/l4Ph1xOO8NsguQWY7Hmr5lsj/a8t0HiOPcV0q5DdpRQv/R9SzdAqnoyO9z&#10;PoE2b/NE2Lh8TBabLtSyxLOoeXf2/a1oXeWILFB0WuyaPfY6pv3rn2r3CwAA//8DAFBLAwQUAAYA&#10;CAAAACEA9jMe6eEAAAALAQAADwAAAGRycy9kb3ducmV2LnhtbEyPy2rDMBBF94X8g5hCd43cmBrb&#10;tRxCIAG3FJpH94o1sU2skZEUx/37Kqt2OTOHO+cWy0n3bETrOkMCXuYRMKTaqI4aAcfD5jkF5rwk&#10;JXtDKOAHHSzL2UMhc2VutMNx7xsWQsjlUkDr/ZBz7uoWtXRzMyCF29lYLX0YbcOVlbcQrnu+iKKE&#10;a9lR+NDKAdct1pf9VQugj3e7u3x9rr+3Wxzj1VCpc1UJ8fQ4rd6AeZz8Hwx3/aAOZXA6mSspx3oB&#10;aZzFARWQREkGLBBZ/JoAO9036QJ4WfD/HcpfAAAA//8DAFBLAQItABQABgAIAAAAIQC2gziS/gAA&#10;AOEBAAATAAAAAAAAAAAAAAAAAAAAAABbQ29udGVudF9UeXBlc10ueG1sUEsBAi0AFAAGAAgAAAAh&#10;ADj9If/WAAAAlAEAAAsAAAAAAAAAAAAAAAAALwEAAF9yZWxzLy5yZWxzUEsBAi0AFAAGAAgAAAAh&#10;AKHIV8rZAQAAnAMAAA4AAAAAAAAAAAAAAAAALgIAAGRycy9lMm9Eb2MueG1sUEsBAi0AFAAGAAgA&#10;AAAhAPYzHunhAAAACwEAAA8AAAAAAAAAAAAAAAAAMwQAAGRycy9kb3ducmV2LnhtbFBLBQYAAAAA&#10;BAAEAPMAAABBBQ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59104" behindDoc="0" locked="0" layoutInCell="1" allowOverlap="1">
                <wp:simplePos x="0" y="0"/>
                <wp:positionH relativeFrom="column">
                  <wp:posOffset>5322306</wp:posOffset>
                </wp:positionH>
                <wp:positionV relativeFrom="paragraph">
                  <wp:posOffset>5114290</wp:posOffset>
                </wp:positionV>
                <wp:extent cx="611721" cy="8626"/>
                <wp:effectExtent l="0" t="0" r="36195" b="29845"/>
                <wp:wrapNone/>
                <wp:docPr id="33" name="Straight Connector 33"/>
                <wp:cNvGraphicFramePr/>
                <a:graphic xmlns:a="http://schemas.openxmlformats.org/drawingml/2006/main">
                  <a:graphicData uri="http://schemas.microsoft.com/office/word/2010/wordprocessingShape">
                    <wps:wsp>
                      <wps:cNvCnPr/>
                      <wps:spPr>
                        <a:xfrm flipV="1">
                          <a:off x="0" y="0"/>
                          <a:ext cx="611721" cy="8626"/>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10D9EED" id="Straight Connector 33" o:spid="_x0000_s1026" style="position:absolute;flip: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1pt,402.7pt" to="467.25pt,4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aB2wEAAJwDAAAOAAAAZHJzL2Uyb0RvYy54bWysU02P0zAQvSPxHyzft0m7oixR0z20lAuC&#10;Srtwnzp2YslfGpum/feMnVAt7A1tDpbnw8/znl82jxdr2Fli1N61fLmoOZNO+E67vuU/ng93D5zF&#10;BK4D451s+VVG/rh9/24zhkau/OBNJ5ERiIvNGFo+pBSaqopikBbiwgfpqKg8WkgUYl91CCOhW1Ot&#10;6npdjR67gF7IGCm7n4p8W/CVkiJ9VyrKxEzLabZUVizrKa/VdgNNjxAGLeYx4D+msKAdXXqD2kMC&#10;9gv1KyirBfroVVoIbyuvlBaycCA2y/ofNk8DBFm4kDgx3GSKbwcrvp2PyHTX8vt7zhxYeqOnhKD7&#10;IbGdd44U9MioSEqNITZ0YOeOOEcxHDHTvii0TBkdfpIJihBEjV2KztebzvKSmKDkern8uFpyJqj0&#10;sF6tM3Y1gWSwgDF9kd6yvGm50S6LAA2cv8Y0tf5pyWnnD9oYykNjHBtpgE/1B3prAeQnZSDR1gZi&#10;GF3PGZiejCoSFsjoje7y8Xw6Yn/aGWRnILMcDjV982R/teW79xCHqa+Uchs0g4Tus+tYugZS0ZHf&#10;p3wCbV7nibBx+ZgsNp2pZYknUfPu5Ltr0brKEVmg6DTbNXvsZUz7lz/V9jcAAAD//wMAUEsDBBQA&#10;BgAIAAAAIQDGXc9h4AAAAAsBAAAPAAAAZHJzL2Rvd25yZXYueG1sTI9NT8JAEIbvJv6HzZh4k60U&#10;SKndEkIiSTUmgnhfukPb0J1tukup/97hpLf5ePLOM9lqtK0YsPeNIwXPkwgEUulMQ5WCw9frUwLC&#10;B01Gt45QwQ96WOX3d5lOjbvSDod9qASHkE+1gjqELpXSlzVa7SeuQ+LdyfVWB277SppeXznctnIa&#10;RQtpdUN8odYdbmosz/uLVUDvb/3u/Pmx+d5ucYjXXWFORaHU48O4fgERcAx/MNz0WR1ydjq6Cxkv&#10;WgVJnEwZ5SKaz0AwsYxncxDH22SRgMwz+f+H/BcAAP//AwBQSwECLQAUAAYACAAAACEAtoM4kv4A&#10;AADhAQAAEwAAAAAAAAAAAAAAAAAAAAAAW0NvbnRlbnRfVHlwZXNdLnhtbFBLAQItABQABgAIAAAA&#10;IQA4/SH/1gAAAJQBAAALAAAAAAAAAAAAAAAAAC8BAABfcmVscy8ucmVsc1BLAQItABQABgAIAAAA&#10;IQDkLsaB2wEAAJwDAAAOAAAAAAAAAAAAAAAAAC4CAABkcnMvZTJvRG9jLnhtbFBLAQItABQABgAI&#10;AAAAIQDGXc9h4AAAAAsBAAAPAAAAAAAAAAAAAAAAADUEAABkcnMvZG93bnJldi54bWxQSwUGAAAA&#10;AAQABADzAAAAQg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70016" behindDoc="0" locked="0" layoutInCell="1" allowOverlap="1">
                <wp:simplePos x="0" y="0"/>
                <wp:positionH relativeFrom="column">
                  <wp:posOffset>5486400</wp:posOffset>
                </wp:positionH>
                <wp:positionV relativeFrom="paragraph">
                  <wp:posOffset>4847590</wp:posOffset>
                </wp:positionV>
                <wp:extent cx="571500" cy="342900"/>
                <wp:effectExtent l="0" t="0" r="0" b="0"/>
                <wp:wrapSquare wrapText="bothSides"/>
                <wp:docPr id="96" name="Text Box 9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50" type="#_x0000_t202" style="position:absolute;margin-left:6in;margin-top:381.7pt;width:4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EyXwIAAKkEAAAOAAAAZHJzL2Uyb0RvYy54bWysVF1P2zAUfZ+0/2D5vSTp0kIjUhSKOk1C&#10;gEQnnl3HoZES27PdJmzaf9+x0xTG9jTtxblfvr73nHtzedW3DTkIY2slc5qcxZQIyVVZy+ecft2s&#10;JxeUWMdkyRolRU5fhKVXy48fLjudianaqaYUhiCJtFmnc7pzTmdRZPlOtMyeKS0knJUyLXNQzXNU&#10;GtYhe9tE0zieR50ypTaKC2thvRmcdBnyV5Xg7r6qrHCkySlqc+E04dz6M1pesuzZML2r+bEM9g9V&#10;tKyWePSU6oY5Rvam/iNVW3OjrKrcGVdtpKqq5iL0gG6S+F03jzumRegF4Fh9gsn+v7T87vBgSF3m&#10;dDGnRLIWHG1E78i16glMwKfTNkPYo0ag62EHz6Pdwujb7ivT+i8aIvAD6ZcTuj4bh3F2nsxieDhc&#10;n9LpAjKyR6+XtbHus1At8UJODcgLmLLDrXVD6Bji35JqXTdNILCRvxmQc7CIMAHDbZahEIg+0pcU&#10;2Pmxmp1Pi/PZYjIvZskkTeKLSVHE08nNuoiLOF2vFun1z2Od4/3IIzJ07iXXb/uA4DQdYdmq8gVo&#10;GTXMm9V8XaOnW2bdAzMYMMCApXH3OKpGdTlVR4mSnTLf/2b38eAdXko6DGxO7bc9M4KS5ovERCyS&#10;NPUTHpQUbUExbz3btx65b1cKO5FgPTUPoo93zShWRrVP2K3CvwoXkxxv59SN4soNa4Td5KIoQhBm&#10;WjN3Kx8196k91J6xTf/EjD7S6gDjnRpHm2Xv2B1iBzqLvVNVHaj3QA+oYmS8gn0Iw3PcXb9wb/UQ&#10;9fqHWf4CAAD//wMAUEsDBBQABgAIAAAAIQA2BKbH3wAAAAsBAAAPAAAAZHJzL2Rvd25yZXYueG1s&#10;TI/BTsMwEETvSP0Ha5G4UbuQpm2IUyEQV1BbQOLmxtskaryOYrcJf8/2RI87M5p9k69H14oz9qHx&#10;pGE2VSCQSm8bqjR87t7ulyBCNGRN6wk1/GKAdTG5yU1m/UAbPG9jJbiEQmY01DF2mZShrNGZMPUd&#10;EnsH3zsT+ewraXszcLlr5YNSqXSmIf5Qmw5faiyP25PT8PV++PlO1Ef16ubd4Eclya2k1ne34/MT&#10;iIhj/A/DBZ/RoWCmvT+RDaLVsEwT3hI1LNLHBAQnVvOLsmdrtkhAFrm83lD8AQAA//8DAFBLAQIt&#10;ABQABgAIAAAAIQC2gziS/gAAAOEBAAATAAAAAAAAAAAAAAAAAAAAAABbQ29udGVudF9UeXBlc10u&#10;eG1sUEsBAi0AFAAGAAgAAAAhADj9If/WAAAAlAEAAAsAAAAAAAAAAAAAAAAALwEAAF9yZWxzLy5y&#10;ZWxzUEsBAi0AFAAGAAgAAAAhAIlFYTJfAgAAqQQAAA4AAAAAAAAAAAAAAAAALgIAAGRycy9lMm9E&#10;b2MueG1sUEsBAi0AFAAGAAgAAAAhADYEpsf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2432" behindDoc="0" locked="0" layoutInCell="1" allowOverlap="1">
                <wp:simplePos x="0" y="0"/>
                <wp:positionH relativeFrom="column">
                  <wp:posOffset>5330644</wp:posOffset>
                </wp:positionH>
                <wp:positionV relativeFrom="paragraph">
                  <wp:posOffset>4458012</wp:posOffset>
                </wp:positionV>
                <wp:extent cx="611721" cy="8626"/>
                <wp:effectExtent l="0" t="0" r="36195" b="29845"/>
                <wp:wrapNone/>
                <wp:docPr id="78" name="Straight Connector 78"/>
                <wp:cNvGraphicFramePr/>
                <a:graphic xmlns:a="http://schemas.openxmlformats.org/drawingml/2006/main">
                  <a:graphicData uri="http://schemas.microsoft.com/office/word/2010/wordprocessingShape">
                    <wps:wsp>
                      <wps:cNvCnPr/>
                      <wps:spPr>
                        <a:xfrm flipV="1">
                          <a:off x="0" y="0"/>
                          <a:ext cx="611721" cy="8626"/>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6C9BAD8" id="Straight Connector 78" o:spid="_x0000_s1026" style="position:absolute;flip:y;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75pt,351pt" to="467.9pt,3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az2QEAAJwDAAAOAAAAZHJzL2Uyb0RvYy54bWysU02P0zAQvSPxHyzfaZJKdJeo6R5aygVB&#10;pQXuU8dOLPlLY9O0/56xE6qFvSFysDwffp73/LJ9ulrDLhKj9q7jzarmTDrhe+2Gjn//dnz3yFlM&#10;4How3smO32TkT7u3b7ZTaOXaj970EhmBuNhOoeNjSqGtqihGaSGufJCOisqjhUQhDlWPMBG6NdW6&#10;rjfV5LEP6IWMkbKHuch3BV8pKdJXpaJMzHScZktlxbKe81rtttAOCGHUYhkD/mEKC9rRpXeoAyRg&#10;P1G/grJaoI9epZXwtvJKaSELB2LT1H+xeR4hyMKFxInhLlP8f7Diy+WETPcdf6CXcmDpjZ4Tgh7G&#10;xPbeOVLQI6MiKTWF2NKBvTvhEsVwwkz7qtAyZXT4QSYoQhA1di063+46y2tigpKbpnlYN5wJKj1u&#10;1puMXc0gGSxgTJ+ktyxvOm60yyJAC5fPMc2tv1ty2vmjNoby0BrHJhrgQ/2e3loA+UkZSLS1gRhG&#10;N3AGZiCjioQFMnqj+3w8n444nPcG2QXILMdjTd8y2R9t+e4DxHHuK6XcBu0oof/oepZugVR05Pc5&#10;n0Cb13kibFw+JotNF2pZ4lnUvDv7/la0rnJEFig6LXbNHnsZ0/7lT7X7BQAA//8DAFBLAwQUAAYA&#10;CAAAACEAvavtKuAAAAALAQAADwAAAGRycy9kb3ducmV2LnhtbEyPwU7DMAyG70i8Q2QkbixlZbCV&#10;ptM0iUkFIbEB96zx2mqNUyVZV94e7wRH259+f3++HG0nBvShdaTgfpKAQKqcaalW8PX5cjcHEaIm&#10;oztHqOAHAyyL66tcZ8adaYvDLtaCQyhkWkETY59JGaoGrQ4T1yPx7eC81ZFHX0vj9ZnDbSenSfIo&#10;rW6JPzS6x3WD1XF3sgro7dVvjx/v6+/NBod01ZfmUJZK3d6Mq2cQEcf4B8NFn9WhYKe9O5EJolMw&#10;TxczRhU8JVMuxcQinXGZ/WWTPoAscvm/Q/ELAAD//wMAUEsBAi0AFAAGAAgAAAAhALaDOJL+AAAA&#10;4QEAABMAAAAAAAAAAAAAAAAAAAAAAFtDb250ZW50X1R5cGVzXS54bWxQSwECLQAUAAYACAAAACEA&#10;OP0h/9YAAACUAQAACwAAAAAAAAAAAAAAAAAvAQAAX3JlbHMvLnJlbHNQSwECLQAUAAYACAAAACEA&#10;3XEms9kBAACcAwAADgAAAAAAAAAAAAAAAAAuAgAAZHJzL2Uyb0RvYy54bWxQSwECLQAUAAYACAAA&#10;ACEAvavtKuAAAAALAQAADwAAAAAAAAAAAAAAAAAzBAAAZHJzL2Rvd25yZXYueG1sUEsFBgAAAAAE&#10;AAQA8wAAAEA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17792" behindDoc="0" locked="0" layoutInCell="1" allowOverlap="1">
                <wp:simplePos x="0" y="0"/>
                <wp:positionH relativeFrom="column">
                  <wp:posOffset>5486400</wp:posOffset>
                </wp:positionH>
                <wp:positionV relativeFrom="paragraph">
                  <wp:posOffset>4169781</wp:posOffset>
                </wp:positionV>
                <wp:extent cx="571500" cy="342900"/>
                <wp:effectExtent l="0" t="0" r="0" b="0"/>
                <wp:wrapSquare wrapText="bothSides"/>
                <wp:docPr id="80" name="Text Box 80"/>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o:spid="_x0000_s1051" type="#_x0000_t202" style="position:absolute;margin-left:6in;margin-top:328.35pt;width:45pt;height:2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3MXwIAAKkEAAAOAAAAZHJzL2Uyb0RvYy54bWysVMFu2zAMvQ/YPwi6J7Yzp22MOoWbIsOA&#10;oi2QDj0rstwYsCVNUmJ3w/59T3Kcdt1Owy4KRdJP5HtkLq/6tiEHYWytZE6TaUyJkFyVtXzO6dfH&#10;9eSCEuuYLFmjpMjpi7D0avnxw2WnMzFTO9WUwhCASJt1Oqc753QWRZbvRMvsVGkhEayUaZnD1TxH&#10;pWEd0NsmmsXxWdQpU2qjuLAW3pshSJcBv6oEd/dVZYUjTU5RmwunCefWn9HykmXPhuldzY9lsH+o&#10;omW1xKMnqBvmGNmb+g+otuZGWVW5KVdtpKqq5iL0gG6S+F03mx3TIvQCcqw+0WT/Hyy/OzwYUpc5&#10;vQA9krXQ6FH0jlyrnsAFfjptM6RtNBJdDz90Hv0WTt92X5nW/6IhgjigXk7sejQO5/w8mceIcIQ+&#10;pbMFbKBHrx9rY91noVrijZwaiBc4ZYdb64bUMcW/JdW6bpogYCN/cwBz8IgwAcPXLEMhMH2mLymo&#10;82M1P58V5/PF5KyYJ5M0iS8mRRHPJjfrIi7idL1apNc/j3WO30eekaFzb7l+2wcGZ/ORlq0qX8CW&#10;UcO8Wc3XNXq6ZdY9MIMBAw1YGnePo2pUl1N1tCjZKfP9b36fD90RpaTDwObUftszIyhpvkhMxCJJ&#10;U8C6cEnRFi7mbWT7NiL37UphJxKsp+bB9PmuGc3KqPYJu1X4VxFikuPtnLrRXLlhjbCbXBRFSMJM&#10;a+Zu5UZzD+2p9oo99k/M6KOsDjTeqXG0WfZO3SF3kLPYO1XVQXpP9MAqRsZfsA9heI676xfu7T1k&#10;vf7DLH8BAAD//wMAUEsDBBQABgAIAAAAIQA5jaip3wAAAAsBAAAPAAAAZHJzL2Rvd25yZXYueG1s&#10;TI/NTsMwEITvSH0Haytxo3arJmlDNlUF4gqi/Ejc3HibRMTrKHab8Pa4JzjOzmj2m2I32U5caPCt&#10;Y4TlQoEgrpxpuUZ4f3u624DwQbPRnWNC+CEPu3J2U+jcuJFf6XIItYgl7HON0ITQ51L6qiGr/cL1&#10;xNE7ucHqEOVQSzPoMZbbTq6USqXVLccPje7poaHq+3C2CB/Pp6/PtXqpH23Sj25Sku1WIt7Op/09&#10;iEBT+AvDFT+iQxmZju7MxosOYZOu45aAkCZpBiImtsn1ckTIlioDWRby/4byFwAA//8DAFBLAQIt&#10;ABQABgAIAAAAIQC2gziS/gAAAOEBAAATAAAAAAAAAAAAAAAAAAAAAABbQ29udGVudF9UeXBlc10u&#10;eG1sUEsBAi0AFAAGAAgAAAAhADj9If/WAAAAlAEAAAsAAAAAAAAAAAAAAAAALwEAAF9yZWxzLy5y&#10;ZWxzUEsBAi0AFAAGAAgAAAAhANAlHcxfAgAAqQQAAA4AAAAAAAAAAAAAAAAALgIAAGRycy9lMm9E&#10;b2MueG1sUEsBAi0AFAAGAAgAAAAhADmNqKn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66944" behindDoc="0" locked="0" layoutInCell="1" allowOverlap="1">
                <wp:simplePos x="0" y="0"/>
                <wp:positionH relativeFrom="column">
                  <wp:posOffset>5486400</wp:posOffset>
                </wp:positionH>
                <wp:positionV relativeFrom="paragraph">
                  <wp:posOffset>3572881</wp:posOffset>
                </wp:positionV>
                <wp:extent cx="571500" cy="342900"/>
                <wp:effectExtent l="0" t="0" r="0" b="0"/>
                <wp:wrapSquare wrapText="bothSides"/>
                <wp:docPr id="95" name="Text Box 95"/>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052" type="#_x0000_t202" style="position:absolute;margin-left:6in;margin-top:281.35pt;width:4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DSXwIAAKkEAAAOAAAAZHJzL2Uyb0RvYy54bWysVF1P2zAUfZ+0/2D5vU3SpUCjpii06jQJ&#10;ARJMPLuO00ZKbM92Sdi0/75jpwHG9jTtxblfvr73nHuzvOzbhjwJY2slc5pMY0qE5Kqs5T6nXx+2&#10;kwtKrGOyZI2SIqfPwtLL1ccPy05nYqYOqimFIUgibdbpnB6c01kUWX4QLbNTpYWEs1KmZQ6q2Uel&#10;YR2yt000i+OzqFOm1EZxYS2sm8FJVyF/VQnubqvKCkeanKI2F04Tzp0/o9WSZXvD9KHmpzLYP1TR&#10;slri0ZdUG+YYOZr6j1RtzY2yqnJTrtpIVVXNRegB3STxu27uD0yL0AvAsfoFJvv/0vKbpztD6jKn&#10;izklkrXg6EH0jlypnsAEfDptM4TdawS6HnbwPNotjL7tvjKt/6IhAj+Qfn5B12fjMM7Pk3kMD4fr&#10;UzpbQEb26PWyNtZ9FqolXsipAXkBU/Z0bd0QOob4t6Ta1k0TCGzkbwbkHCwiTMBwm2UoBKKP9CUF&#10;dn6s5+ez4ny+mJwV82SSJvHFpCji2WSzLeIiTrfrRXr181TneD/yiAyde8n1uz4gODsbYdmp8hlo&#10;GTXMm9V8W6Ona2bdHTMYMMCApXG3OKpGdTlVJ4mSgzLf/2b38eAdXko6DGxO7bcjM4KS5ovERCyS&#10;NPUTHpQUbUExbz27tx55bNcKO5FgPTUPoo93zShWRrWP2K3CvwoXkxxv59SN4toNa4Td5KIoQhBm&#10;WjN3Le8196k91J6xh/6RGX2i1QHGGzWONsvesTvEDnQWR6eqOlDvgR5Qxch4BfsQhue0u37h3uoh&#10;6vUPs/oFAAD//wMAUEsDBBQABgAIAAAAIQAUJTSY3wAAAAsBAAAPAAAAZHJzL2Rvd25yZXYueG1s&#10;TI/NTsMwEITvSLyDtUjcqN2qcduQTYVAXEGUH4mbG2+TiHgdxW4T3h73RI+zM5r9pthOrhMnGkLr&#10;GWE+UyCIK29brhE+3p/v1iBCNGxN55kQfinAtry+Kkxu/chvdNrFWqQSDrlBaGLscylD1ZAzYeZ7&#10;4uQd/OBMTHKopR3MmMpdJxdKaelMy+lDY3p6bKj62R0dwufL4ftrqV7rJ5f1o5+UZLeRiLc308M9&#10;iEhT/A/DGT+hQ5mY9v7INogOYa2XaUtEyPRiBSIlNtn5skfQc70CWRbyckP5BwAA//8DAFBLAQIt&#10;ABQABgAIAAAAIQC2gziS/gAAAOEBAAATAAAAAAAAAAAAAAAAAAAAAABbQ29udGVudF9UeXBlc10u&#10;eG1sUEsBAi0AFAAGAAgAAAAhADj9If/WAAAAlAEAAAsAAAAAAAAAAAAAAAAALwEAAF9yZWxzLy5y&#10;ZWxzUEsBAi0AFAAGAAgAAAAhAFz1kNJfAgAAqQQAAA4AAAAAAAAAAAAAAAAALgIAAGRycy9lMm9E&#10;b2MueG1sUEsBAi0AFAAGAAgAAAAhABQlNJj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3744" behindDoc="0" locked="0" layoutInCell="1" allowOverlap="1">
                <wp:simplePos x="0" y="0"/>
                <wp:positionH relativeFrom="column">
                  <wp:posOffset>2776591</wp:posOffset>
                </wp:positionH>
                <wp:positionV relativeFrom="paragraph">
                  <wp:posOffset>83820</wp:posOffset>
                </wp:positionV>
                <wp:extent cx="0" cy="382270"/>
                <wp:effectExtent l="95250" t="0" r="114300" b="55880"/>
                <wp:wrapNone/>
                <wp:docPr id="10" name="Straight Arrow Connector 10"/>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042F91D" id="_x0000_t32" coordsize="21600,21600" o:spt="32" o:oned="t" path="m,l21600,21600e" filled="f">
                <v:path arrowok="t" fillok="f" o:connecttype="none"/>
                <o:lock v:ext="edit" shapetype="t"/>
              </v:shapetype>
              <v:shape id="Straight Arrow Connector 10" o:spid="_x0000_s1026" type="#_x0000_t32" style="position:absolute;margin-left:218.65pt;margin-top:6.6pt;width:0;height:30.1pt;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JBB4gEAALgDAAAOAAAAZHJzL2Uyb0RvYy54bWysU12P0zAQfEfiP1h+p2mLgKNqekItxwuC&#10;Snf8gD3bSSz5S7umaf89ayf07uANkQfHXmfHM+PJ9vbsnTgZJBtDK1eLpRQmqKht6Fv54+HuzY0U&#10;lCFocDGYVl4Mydvd61fbMW3MOg7RaYOCQQJtxtTKIee0aRpSg/FAi5hM4M0uoofMS+wbjTAyunfN&#10;erl834wRdcKoDBFXD9Om3FX8rjMqf+86Mlm4VjK3XEes42MZm90WNj1CGqyaacA/sPBgAx96hTpA&#10;BvET7V9Q3iqMFLu8UNE3seusMlUDq1kt/1BzP0AyVQubQ+lqE/0/WPXtdERhNd8d2xPA8x3dZwTb&#10;D1l8Qoyj2McQ2MeIgj9hv8ZEG27bhyPOK0pHLOLPHfryZlniXD2+XD025yzUVFRcfXuzXn+ocM1T&#10;X0LKX0z0okxaSTOPK4FVtRhOXynzydz4u6EcGuKdda7epwtiZEEfl+9YkwKOVecg89QnFkqhlwJc&#10;z3lVGSskRWd1aS9AdKG9Q3ECjgwnTcfxgclL4YAyb7Ci+hQrmMKL1sLnADRMzXVrSthgQH8OWuRL&#10;YoMD/wpTPYN1T3Uofs+4LhQupkZ41luMn6wus8eoL/UGmrLieFQ6c5RL/p6vef78h9v9AgAA//8D&#10;AFBLAwQUAAYACAAAACEA+XpCzt4AAAAJAQAADwAAAGRycy9kb3ducmV2LnhtbEyPwUrDQBCG74Lv&#10;sIzgzW5sgkljNkWEgogXa2nxts2OSXB3Nma3bfTpHfGgx5n/459vquXkrDjiGHpPCq5nCQikxpue&#10;WgWbl9VVASJETUZbT6jgEwMs6/OzSpfGn+gZj+vYCi6hUGoFXYxDKWVoOnQ6zPyAxNmbH52OPI6t&#10;NKM+cbmzcp4kN9LpnvhCpwe877B5Xx+cgq+H/NWunopit9gWuKDsQ27aR6UuL6a7WxARp/gHw48+&#10;q0PNTnt/IBOEVZClecooB+kcBAO/i72CPM1A1pX8/0H9DQAA//8DAFBLAQItABQABgAIAAAAIQC2&#10;gziS/gAAAOEBAAATAAAAAAAAAAAAAAAAAAAAAABbQ29udGVudF9UeXBlc10ueG1sUEsBAi0AFAAG&#10;AAgAAAAhADj9If/WAAAAlAEAAAsAAAAAAAAAAAAAAAAALwEAAF9yZWxzLy5yZWxzUEsBAi0AFAAG&#10;AAgAAAAhADwwkEHiAQAAuAMAAA4AAAAAAAAAAAAAAAAALgIAAGRycy9lMm9Eb2MueG1sUEsBAi0A&#10;FAAGAAgAAAAhAPl6Qs7eAAAACQEAAA8AAAAAAAAAAAAAAAAAPAQAAGRycy9kb3ducmV2LnhtbFBL&#10;BQYAAAAABAAEAPMAAABHBQ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4528" behindDoc="0" locked="0" layoutInCell="1" allowOverlap="1">
                <wp:simplePos x="0" y="0"/>
                <wp:positionH relativeFrom="column">
                  <wp:posOffset>552714</wp:posOffset>
                </wp:positionH>
                <wp:positionV relativeFrom="paragraph">
                  <wp:posOffset>83820</wp:posOffset>
                </wp:positionV>
                <wp:extent cx="0" cy="382270"/>
                <wp:effectExtent l="95250" t="0" r="114300" b="55880"/>
                <wp:wrapNone/>
                <wp:docPr id="7" name="Straight Arrow Connector 7"/>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C89EF83" id="Straight Arrow Connector 7" o:spid="_x0000_s1026" type="#_x0000_t32" style="position:absolute;margin-left:43.5pt;margin-top:6.6pt;width:0;height:30.1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SO4gEAALYDAAAOAAAAZHJzL2Uyb0RvYy54bWysU12P0zAQfEfiP1h+p2mLoEfV9IRajhcE&#10;J93xA/ZsJ7HkL+2apv33rJ3QO+ANkQfHXmvHM+Px7vbsnTgZJBtDK1eLpRQmqKht6Fv5/fHuzY0U&#10;lCFocDGYVl4Mydv961e7MW3NOg7RaYOCQQJtx9TKIee0bRpSg/FAi5hM4M0uoofMS+wbjTAyunfN&#10;erl834wRdcKoDBFXj9Om3Ff8rjMqf+s6Mlm4VjK3XEes41MZm/0Otj1CGqyaacA/sPBgAx96hTpC&#10;BvED7V9Q3iqMFLu8UNE3seusMlUDq1kt/1DzMEAyVQubQ+lqE/0/WPX1dI/C6lZupAjg+YoeMoLt&#10;hyw+IsZRHGIIbGNEsSlujYm23HQI9zivKN1jkX7u0Jc/ixLn6vDl6rA5Z6GmouLq25v1elPNb577&#10;ElL+bKIXZdJKmmlcz19Vg+H0hTKfzI2/GsqhId5Z5+ptuiBGjuKH5Tu+cAUcqs5B5qlPLJNCLwW4&#10;ntOqMlZIis7q0l6A6EIHh+IEHBjOmY7jI5OXwgFl3mBF9StWMIXfWgufI9AwNdetKV+DAf0paJEv&#10;if0N/BCmegbrnutQ7J5xXShcTA3wrLcYP1ldZk9RX+oNNGXF4ah05iCX9L1c8/zlc9v/BAAA//8D&#10;AFBLAwQUAAYACAAAACEAf1TAYN0AAAAHAQAADwAAAGRycy9kb3ducmV2LnhtbEyPwU7DMBBE70j8&#10;g7VI3KhDWxE3xKkQUiWEuFCqVtzceEki7HWI3Tbw9Sxc4Dg7q5k35XL0ThxxiF0gDdeTDARSHWxH&#10;jYbNy+pKgYjJkDUuEGr4xAjL6vysNIUNJ3rG4zo1gkMoFkZDm1JfSBnrFr2Jk9AjsfcWBm8Sy6GR&#10;djAnDvdOTrPsRnrTETe0psf7Fuv39cFr+HrIX93qSandYqtwQfMPuWketb68GO9uQSQc098z/OAz&#10;OlTMtA8HslE4DSrnKYnvsykI9n/1XkM+m4OsSvmfv/oGAAD//wMAUEsBAi0AFAAGAAgAAAAhALaD&#10;OJL+AAAA4QEAABMAAAAAAAAAAAAAAAAAAAAAAFtDb250ZW50X1R5cGVzXS54bWxQSwECLQAUAAYA&#10;CAAAACEAOP0h/9YAAACUAQAACwAAAAAAAAAAAAAAAAAvAQAAX3JlbHMvLnJlbHNQSwECLQAUAAYA&#10;CAAAACEAgdoUjuIBAAC2AwAADgAAAAAAAAAAAAAAAAAuAgAAZHJzL2Uyb0RvYy54bWxQSwECLQAU&#10;AAYACAAAACEAf1TAYN0AAAAHAQAADwAAAAAAAAAAAAAAAAA8BAAAZHJzL2Rvd25yZXYueG1sUEsF&#10;BgAAAAAEAAQA8wAAAEY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0144" behindDoc="0" locked="0" layoutInCell="1" allowOverlap="1">
                <wp:simplePos x="0" y="0"/>
                <wp:positionH relativeFrom="column">
                  <wp:posOffset>5008557</wp:posOffset>
                </wp:positionH>
                <wp:positionV relativeFrom="paragraph">
                  <wp:posOffset>5251642</wp:posOffset>
                </wp:positionV>
                <wp:extent cx="6469" cy="342900"/>
                <wp:effectExtent l="0" t="0" r="31750" b="19050"/>
                <wp:wrapNone/>
                <wp:docPr id="55" name="Straight Connector 55"/>
                <wp:cNvGraphicFramePr/>
                <a:graphic xmlns:a="http://schemas.openxmlformats.org/drawingml/2006/main">
                  <a:graphicData uri="http://schemas.microsoft.com/office/word/2010/wordprocessingShape">
                    <wps:wsp>
                      <wps:cNvCnPr/>
                      <wps:spPr>
                        <a:xfrm flipH="1">
                          <a:off x="0" y="0"/>
                          <a:ext cx="6469" cy="342900"/>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1919A48" id="Straight Connector 55" o:spid="_x0000_s1026" style="position:absolute;flip:x;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5pt,413.5pt" to="394.8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0ehxwEAAGwDAAAOAAAAZHJzL2Uyb0RvYy54bWysU8tuGzEMvBfoPwi6x9o4sREvvM7BRtpD&#10;0RpI+gG0VtoVoBco1Wv/fSnZNdL2VvQikCI1JIej9fPJWXZUmEzwHb+fNZwpL0Nv/NDx728vd0+c&#10;pQy+Bxu86vhZJf68+fhhPcVWzcMYbK+QEYhP7RQ7PuYcWyGSHJWDNAtReQrqgA4yuTiIHmEidGfF&#10;vGmWYgrYRwxSpUS3u0uQbyq+1krmb1onlZntOPWW64n1PJRTbNbQDghxNPLaBvxDFw6Mp6I3qB1k&#10;YD/Q/AXljMSQgs4zGZwIWhup6gw0zX3zxzSvI0RVZyFyUrzRlP4frPx63CMzfccXC848ONrRa0Yw&#10;w5jZNnhPDAZkFCSmpphaerD1e7x6Ke6xjH3S6Ji2Jn4mEVQiaDR2qjyfbzyrU2aSLpePyxVnkgIP&#10;j/NVU7cgLiAFLGLKn1RwrBgdt8YXEqCF45eUqTCl/kop1z68GGvrIq1nEzWwaha0awmkJ20hk+ki&#10;TZj8wBnYgYQqM1bIFKzpy/MClHA4bC2yIxSxNE/NrbPf0krtHaTxkldDhRzqyvoCo6rsrq0Wyi4k&#10;FesQ+nPlThSPVlqfXeVXNPPeJ/v9J9n8BAAA//8DAFBLAwQUAAYACAAAACEAb0cN4dwAAAALAQAA&#10;DwAAAGRycy9kb3ducmV2LnhtbEyPTUvEMBCG74L/IYzgzU23iI216SKKHldcF7xmm9gUm0lN0jb+&#10;e8eTHuedh/ej2WU3ssWEOHiUsN0UwAx2Xg/YSzi+PV0JYDEp1Gr0aCR8mwi79vysUbX2K76a5ZB6&#10;RiYYayXBpjTVnMfOGqfixk8G6ffhg1OJztBzHdRK5m7kZVHccKcGpASrJvNgTfd5mJ2E6yUc8/55&#10;nvKXKm1+ecT96t6lvLzI93fAksnpD4bf+lQdWup08jPqyEYJlRAVoRJEWdEoIipxS8qJFLEtgLcN&#10;/7+h/QEAAP//AwBQSwECLQAUAAYACAAAACEAtoM4kv4AAADhAQAAEwAAAAAAAAAAAAAAAAAAAAAA&#10;W0NvbnRlbnRfVHlwZXNdLnhtbFBLAQItABQABgAIAAAAIQA4/SH/1gAAAJQBAAALAAAAAAAAAAAA&#10;AAAAAC8BAABfcmVscy8ucmVsc1BLAQItABQABgAIAAAAIQAEp0ehxwEAAGwDAAAOAAAAAAAAAAAA&#10;AAAAAC4CAABkcnMvZTJvRG9jLnhtbFBLAQItABQABgAIAAAAIQBvRw3h3AAAAAsBAAAPAAAAAAAA&#10;AAAAAAAAACEEAABkcnMvZG93bnJldi54bWxQSwUGAAAAAAQABADzAAAAKgU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99360" behindDoc="0" locked="0" layoutInCell="1" allowOverlap="1">
                <wp:simplePos x="0" y="0"/>
                <wp:positionH relativeFrom="column">
                  <wp:posOffset>3427766</wp:posOffset>
                </wp:positionH>
                <wp:positionV relativeFrom="paragraph">
                  <wp:posOffset>5596697</wp:posOffset>
                </wp:positionV>
                <wp:extent cx="1587260" cy="0"/>
                <wp:effectExtent l="38100" t="76200" r="0" b="114300"/>
                <wp:wrapNone/>
                <wp:docPr id="59" name="Straight Connector 59"/>
                <wp:cNvGraphicFramePr/>
                <a:graphic xmlns:a="http://schemas.openxmlformats.org/drawingml/2006/main">
                  <a:graphicData uri="http://schemas.microsoft.com/office/word/2010/wordprocessingShape">
                    <wps:wsp>
                      <wps:cNvCnPr/>
                      <wps:spPr>
                        <a:xfrm flipV="1">
                          <a:off x="0" y="0"/>
                          <a:ext cx="1587260" cy="0"/>
                        </a:xfrm>
                        <a:prstGeom prst="line">
                          <a:avLst/>
                        </a:prstGeom>
                        <a:noFill/>
                        <a:ln w="19050" cap="flat" cmpd="sng" algn="ctr">
                          <a:solidFill>
                            <a:srgbClr val="008000"/>
                          </a:solidFill>
                          <a:prstDash val="solid"/>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304BBB7" id="Straight Connector 59" o:spid="_x0000_s1026" style="position:absolute;flip:y;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9pt,440.7pt" to="394.9pt,4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QF2gEAAJsDAAAOAAAAZHJzL2Uyb0RvYy54bWysU8uOEzEQvCPxD5bvZCaRsmRHmewhYbkg&#10;iLTAvdePGUt+qW0yyd/T9mTDAjfExWp3t6td5fL24ewsOylMJvieLxctZ8qLII0fev7t6+O7DWcp&#10;g5dgg1c9v6jEH3Zv32yn2KlVGIOVChmB+NRNsedjzrFrmiRG5SAtQlSeijqgg0xbHBqJMBG6s82q&#10;be+aKaCMGIRKibKHuch3FV9rJfIXrZPKzPac7pbrinV9Lmuz20I3IMTRiOs14B9u4cB4GnqDOkAG&#10;9gPNX1DOCAwp6LwQwTVBayNU5UBslu0fbJ5GiKpyIXFSvMmU/h+s+Hw6IjOy5+t7zjw4eqOnjGCG&#10;MbN98J4UDMioSEpNMXV0YO+PeN2leMRC+6zRMW1N/E4mqEIQNXauOl9uOqtzZoKSy/Xm/eqOnkO8&#10;1JoZokBFTPmjCo6VoOfW+CIBdHD6lDKNpdaXlpL24dFYW5/RejYR+H27LtBAbtIWMoUuEr/kB87A&#10;DmRTkbFCpmCNLMcLUMLheW+RnaBYpd20bXUHjfutrcw+QBrnvlqaTTQqkB+8ZPkSSUNADNNcyGDs&#10;r4Knb1DyhGt9mauqS6/cisKzpiV6DvJSpW7KjhxQj13dWiz2ek/x6z+1+wkAAP//AwBQSwMEFAAG&#10;AAgAAAAhAFLQulTgAAAACwEAAA8AAABkcnMvZG93bnJldi54bWxMj9tKw0AQhu8F32EZwTu7qafG&#10;mE0RQQVbkbaKeDfNjklwdzZkt2nq07sFwV7+B/75Jp8O1oieOt84VjAeJSCIS6cbrhS8rR7OUhA+&#10;IGs0jknBjjxMi+OjHDPttrygfhkqEUfYZ6igDqHNpPRlTRb9yLXEMftyncUQZVdJ3eE2jlsjz5Pk&#10;WlpsOF6osaX7msrv5cYq6FfDy9Pz/HVXytnjZ+DZ++Lnwyh1ejLc3YIINIT/MuzxIzoUkWntNqy9&#10;MAquLm4ielCQpuNLELExSffO+s+RRS4Pfyh+AQAA//8DAFBLAQItABQABgAIAAAAIQC2gziS/gAA&#10;AOEBAAATAAAAAAAAAAAAAAAAAAAAAABbQ29udGVudF9UeXBlc10ueG1sUEsBAi0AFAAGAAgAAAAh&#10;ADj9If/WAAAAlAEAAAsAAAAAAAAAAAAAAAAALwEAAF9yZWxzLy5yZWxzUEsBAi0AFAAGAAgAAAAh&#10;ADGddAXaAQAAmwMAAA4AAAAAAAAAAAAAAAAALgIAAGRycy9lMm9Eb2MueG1sUEsBAi0AFAAGAAgA&#10;AAAhAFLQulTgAAAACwEAAA8AAAAAAAAAAAAAAAAANAQAAGRycy9kb3ducmV2LnhtbFBLBQYAAAAA&#10;BAAEAPMAAABBBQAAAAA=&#10;" strokecolor="green" strokeweight="1.5pt">
                <v:stroke start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3216" behindDoc="0" locked="0" layoutInCell="1" allowOverlap="1">
                <wp:simplePos x="0" y="0"/>
                <wp:positionH relativeFrom="column">
                  <wp:posOffset>5011420</wp:posOffset>
                </wp:positionH>
                <wp:positionV relativeFrom="paragraph">
                  <wp:posOffset>4601581</wp:posOffset>
                </wp:positionV>
                <wp:extent cx="0" cy="228600"/>
                <wp:effectExtent l="95250" t="0" r="57150" b="57150"/>
                <wp:wrapNone/>
                <wp:docPr id="56" name="Straight Connector 56"/>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1B8FDE" id="Straight Connector 56" o:spid="_x0000_s1026" style="position:absolute;z-index:25159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6pt,362.35pt" to="394.6pt,3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5PzwEAAJADAAAOAAAAZHJzL2Uyb0RvYy54bWysU8tu2zAQvBfIPxC8x1IMxHAFyznYTS9F&#10;ayDtB6z5kAjwhSVr2X/fJeU6aXoreqH2xSFnONo8nZ1lJ4XJBN/zh0XLmfIiSOOHnv/4/ny/5ixl&#10;8BJs8KrnF5X40/buw2aKnVqGMVipkBGIT90Uez7mHLumSWJUDtIiROWpqQM6yJTi0EiEidCdbZZt&#10;u2qmgDJiEColqu7nJt9WfK2VyN+0Tioz23O6W64r1vVY1ma7gW5AiKMR12vAP9zCgfF06A1qDxnY&#10;TzR/QTkjMKSg80IE1wStjVCVA7F5aN+xeRkhqsqFxEnxJlP6f7Di6+mAzMieP6448+DojV4yghnG&#10;zHbBe1IwIKMmKTXF1NGGnT/gNUvxgIX2WaMrXyLEzlXdy01ddc5MzEVB1eVyvWqr8M3rvogpf1bB&#10;sRL03BpfeEMHpy8p01k0+nuklH14NtbWt7OeTWS8j+0jPa8AspC2kCl0kUglP3AGdiBviowVMgVr&#10;ZNlegBIOx51FdoLij3bd3m72x1g5ew9pnOdqa3bOqEB+8pLlSyThPFl8rmcw9rUOiGEqDaJhfTlX&#10;VWteuRVZZyFLdAzyUvVtSkbPXrddLVp89Tan+O2PtP0FAAD//wMAUEsDBBQABgAIAAAAIQDUvQ6V&#10;3gAAAAsBAAAPAAAAZHJzL2Rvd25yZXYueG1sTI9BT8MwDIXvSPyHyEjcWEqF1tE1nWDSLlyAgsSO&#10;aWqaisYpTbqWf48RB7g9+z09fy52i+vFCcfQeVJwvUpAIBnfdNQqeH05XG1AhKip0b0nVPCFAXbl&#10;+Vmh88bP9IynKraCSyjkWoGNccilDMai02HlByT23v3odORxbGUz6pnLXS/TJFlLpzviC1YPuLdo&#10;PqrJKWj38i082Wp6ONzXj+bTVMc5dEpdXix3WxARl/gXhh98RoeSmWo/URNEryDb3KYcZZHeZCA4&#10;8bupWayTDGRZyP8/lN8AAAD//wMAUEsBAi0AFAAGAAgAAAAhALaDOJL+AAAA4QEAABMAAAAAAAAA&#10;AAAAAAAAAAAAAFtDb250ZW50X1R5cGVzXS54bWxQSwECLQAUAAYACAAAACEAOP0h/9YAAACUAQAA&#10;CwAAAAAAAAAAAAAAAAAvAQAAX3JlbHMvLnJlbHNQSwECLQAUAAYACAAAACEAaJo+T88BAACQAwAA&#10;DgAAAAAAAAAAAAAAAAAuAgAAZHJzL2Uyb0RvYy54bWxQSwECLQAUAAYACAAAACEA1L0Old4AAAAL&#10;AQAADwAAAAAAAAAAAAAAAAApBAAAZHJzL2Rvd25yZXYueG1sUEsFBgAAAAAEAAQA8wAAADQFAAAA&#10;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0928" behindDoc="0" locked="0" layoutInCell="1" allowOverlap="1">
                <wp:simplePos x="0" y="0"/>
                <wp:positionH relativeFrom="column">
                  <wp:posOffset>3044825</wp:posOffset>
                </wp:positionH>
                <wp:positionV relativeFrom="paragraph">
                  <wp:posOffset>4198884</wp:posOffset>
                </wp:positionV>
                <wp:extent cx="2287905" cy="396240"/>
                <wp:effectExtent l="0" t="0" r="17145" b="22860"/>
                <wp:wrapSquare wrapText="bothSides"/>
                <wp:docPr id="47" name="Text Box 47"/>
                <wp:cNvGraphicFramePr/>
                <a:graphic xmlns:a="http://schemas.openxmlformats.org/drawingml/2006/main">
                  <a:graphicData uri="http://schemas.microsoft.com/office/word/2010/wordprocessingShape">
                    <wps:wsp>
                      <wps:cNvSpPr txBox="1"/>
                      <wps:spPr>
                        <a:xfrm>
                          <a:off x="0" y="0"/>
                          <a:ext cx="2287905" cy="39624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A derrogação visará espécimes de uma forma seletiva?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53" type="#_x0000_t202" style="position:absolute;margin-left:239.75pt;margin-top:330.6pt;width:180.15pt;height:31.2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rUjwIAABAFAAAOAAAAZHJzL2Uyb0RvYy54bWysVF1v2jAUfZ+0/2D5nSZkoRTUUKVQpklV&#10;W6md+mwcByIltmcbEjb1v+/YAdq1e5rGQ7i+X7733HN9edU1NdkJYyslMzo8iykRkquikuuMfn9a&#10;Di4osY7JgtVKiozuhaVXs8+fLls9FYnaqLoQhiCJtNNWZ3TjnJ5GkeUb0TB7prSQMJbKNMzhaNZR&#10;YViL7E0dJXF8HrXKFNooLqyFdtEb6SzkL0vB3X1ZWuFInVHU5sLXhO/Kf6PZJZuuDdObih/KYP9Q&#10;RcMqiUtPqRbMMbI11YdUTcWNsqp0Z1w1kSrLiovQA7oZxu+6edwwLUIvAMfqE0z2/6Xld7sHQ6oi&#10;o+mYEskazOhJdI5cq45ABXxabadwe9RwdB30mPNRb6H0bXelafw/GiKwA+n9CV2fjUOZJBfjSTyi&#10;hMP2ZXKepAH+6DVaG+u+CtUQL2TUYHoBVLa7tQ6VwPXo4i+zqq6KZVXX4WDWq3ltyI5h0ovrm5tl&#10;6otEyB9utfwYubenQDCrUK0HgJKaWQcD+gi/j9mQu08nAtH6GtkUwRD9Nb7zQIJf89E4ycejyeA8&#10;Hw0H6TC+GOR5nAwWyzzO43Q5n6TXL4cbjvGRB74H2EuuW3VhUMlpKitV7DEUo3paW82XFZC7ReEP&#10;zIDHmAN2093jU9aqzag6SJRslPn5N733B71gpaTFXmTU/tgyI4DHNwniTYYp5kZcOKRoCwfz1rJ6&#10;a5HbZq4wkCFeAc2D6P1dfRRLo5pnrHDub4WJSY67Mwr8e3Hu+m3FE8BFngcnrI5m7lY+au5Te6g9&#10;L566Z2b0gTwOMN6p4wax6TsO9b4+Uqp861RZBYJ5oHtUQR1/wNoFEh2eCL/Xb8/B6/Uhm/0GAAD/&#10;/wMAUEsDBBQABgAIAAAAIQBfQnSI4QAAAAsBAAAPAAAAZHJzL2Rvd25yZXYueG1sTI/BTsMwEETv&#10;SPyDtUjcqNMUnDTEqRAIjkgEhMrNTZbYaryObLcNfD3mBMfVPs28qTezHdkRfTCOJCwXGTCkzvWG&#10;Bglvr49XJbAQFfVqdIQSvjDApjk/q1XVuxO94LGNA0shFColQcc4VZyHTqNVYeEmpPT7dN6qmE4/&#10;8N6rUwq3I8+zTHCrDKUGrSa819jt24OV0OmPbF8+PWz1d87N+7MoTLv1Ul5ezHe3wCLO8Q+GX/2k&#10;Dk1y2rkD9YGNEq6L9U1CJQixzIElolyt05idhCJfCeBNzf9vaH4AAAD//wMAUEsBAi0AFAAGAAgA&#10;AAAhALaDOJL+AAAA4QEAABMAAAAAAAAAAAAAAAAAAAAAAFtDb250ZW50X1R5cGVzXS54bWxQSwEC&#10;LQAUAAYACAAAACEAOP0h/9YAAACUAQAACwAAAAAAAAAAAAAAAAAvAQAAX3JlbHMvLnJlbHNQSwEC&#10;LQAUAAYACAAAACEA6FDq1I8CAAAQBQAADgAAAAAAAAAAAAAAAAAuAgAAZHJzL2Uyb0RvYy54bWxQ&#10;SwECLQAUAAYACAAAACEAX0J0iOEAAAALAQAADwAAAAAAAAAAAAAAAADpBAAAZHJzL2Rvd25yZXYu&#10;eG1sUEsFBgAAAAAEAAQA8wAAAPcFAAAAAA==&#10;" fillcolor="#dbeef4" strokecolor="windowText">
                <v:textbox>
                  <w:txbxContent>
                    <w:p>
                      <w:pPr>
                        <w:jc w:val="center"/>
                        <w:rPr>
                          <w:sz w:val="20"/>
                          <w:szCs w:val="20"/>
                        </w:rPr>
                      </w:pPr>
                      <w:r>
                        <w:rPr>
                          <w:sz w:val="20"/>
                          <w:szCs w:val="20"/>
                        </w:rPr>
                        <w:t>A derrogação visará espécimes de uma forma seletiva?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6288" behindDoc="0" locked="0" layoutInCell="1" allowOverlap="1">
                <wp:simplePos x="0" y="0"/>
                <wp:positionH relativeFrom="column">
                  <wp:posOffset>5014331</wp:posOffset>
                </wp:positionH>
                <wp:positionV relativeFrom="paragraph">
                  <wp:posOffset>3975100</wp:posOffset>
                </wp:positionV>
                <wp:extent cx="0" cy="228600"/>
                <wp:effectExtent l="95250" t="0" r="57150" b="57150"/>
                <wp:wrapNone/>
                <wp:docPr id="57" name="Straight Connector 57"/>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11A935A" id="Straight Connector 57" o:spid="_x0000_s1026" style="position:absolute;z-index:25159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85pt,313pt" to="394.8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yx0AEAAJADAAAOAAAAZHJzL2Uyb0RvYy54bWysU8tu2zAQvBfoPxC811IMJHUFyznYTS9B&#10;aiDtB6z5kAjwhSVr2X+fJeU6SXsreqH2xSFnOFrfn5xlR4XJBN/zm0XLmfIiSOOHnv/88fBpxVnK&#10;4CXY4FXPzyrx+83HD+spdmoZxmClQkYgPnVT7PmYc+yaJolROUiLEJWnpg7oIFOKQyMRJkJ3tlm2&#10;7V0zBZQRg1ApUXU3N/mm4mutRP6udVKZ2Z7T3XJdsa6HsjabNXQDQhyNuFwD/uEWDoynQ69QO8jA&#10;fqH5C8oZgSEFnRciuCZobYSqHIjNTfsHm+cRoqpcSJwUrzKl/wcrno57ZEb2/PYzZx4cvdFzRjDD&#10;mNk2eE8KBmTUJKWmmDrasPV7vGQp7rHQPml05UuE2Kmqe76qq06ZibkoqLpcru7aKnzzui9iyt9U&#10;cKwEPbfGF97QwfExZTqLRn+PlLIPD8ba+nbWs4mM96W9pecVQBbSFjKFLhKp5AfOwA7kTZGxQqZg&#10;jSzbC1DC4bC1yI5Q/NGu2uvN3o2Vs3eQxnmutmbnjArkVy9ZPkcSzpPF53oGY1/rgBim0iAa1pdz&#10;VbXmhVuRdRayRIcgz1XfpmT07HXbxaLFV29zit/+SJsXAAAA//8DAFBLAwQUAAYACAAAACEAOdg8&#10;Bd0AAAALAQAADwAAAGRycy9kb3ducmV2LnhtbEyPPU/DMBCGdyT+g3VIbNQhQ1rSOBVU6sICpEgw&#10;Os41jojPIXaa8O85xADjvffo/Sh2i+vFGcfQeVJwu0pAIBnfdNQqeD0ebjYgQtTU6N4TKvjCALvy&#10;8qLQeeNnesFzFVvBJhRyrcDGOORSBmPR6bDyAxL/Tn50OvI5trIZ9czmrpdpkmTS6Y44weoB9xbN&#10;RzU5Be1evoVnW02Ph4f6yXya6n0OnVLXV8v9FkTEJf7B8FOfq0PJnWo/URNEr2C9uVszqiBLMx7F&#10;xK9Ss5KlCciykP83lN8AAAD//wMAUEsBAi0AFAAGAAgAAAAhALaDOJL+AAAA4QEAABMAAAAAAAAA&#10;AAAAAAAAAAAAAFtDb250ZW50X1R5cGVzXS54bWxQSwECLQAUAAYACAAAACEAOP0h/9YAAACUAQAA&#10;CwAAAAAAAAAAAAAAAAAvAQAAX3JlbHMvLnJlbHNQSwECLQAUAAYACAAAACEA/JWMsdABAACQAwAA&#10;DgAAAAAAAAAAAAAAAAAuAgAAZHJzL2Uyb0RvYy54bWxQSwECLQAUAAYACAAAACEAOdg8Bd0AAAAL&#10;AQAADwAAAAAAAAAAAAAAAAAqBAAAZHJzL2Rvd25yZXYueG1sUEsFBgAAAAAEAAQA8wAAADQFAAAA&#10;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6816" behindDoc="0" locked="0" layoutInCell="1" allowOverlap="1">
                <wp:simplePos x="0" y="0"/>
                <wp:positionH relativeFrom="column">
                  <wp:posOffset>5028301</wp:posOffset>
                </wp:positionH>
                <wp:positionV relativeFrom="paragraph">
                  <wp:posOffset>3318510</wp:posOffset>
                </wp:positionV>
                <wp:extent cx="0" cy="228600"/>
                <wp:effectExtent l="95250" t="0" r="57150" b="57150"/>
                <wp:wrapNone/>
                <wp:docPr id="23" name="Straight Connector 23"/>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7F00B47" id="Straight Connector 23" o:spid="_x0000_s1026" style="position:absolute;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95pt,261.3pt" to="395.95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sxwEAAHgDAAAOAAAAZHJzL2Uyb0RvYy54bWysU02P0zAQvSPxHyzft8lmxapETffQslwQ&#10;VFr4AVPHSSzZHmtsmvbfM3ZKWeCGuDjz+TzvebJ5OjsrTpqiQd/J+1UthfYKe+PHTn77+ny3liIm&#10;8D1Y9LqTFx3l0/btm80cWt3ghLbXJBjEx3YOnZxSCm1VRTVpB3GFQXtODkgOErs0Vj3BzOjOVk1d&#10;P1YzUh8IlY6Ro/slKbcFfxi0Sl+GIeokbCd5tlROKucxn9V2A+1IECajrmPAP0zhwHi+9Aa1hwTi&#10;O5m/oJxRhBGHtFLoKhwGo3ThwGzu6z/YvEwQdOHC4sRwkyn+P1j1+XQgYfpONg9SeHD8Ri+JwIxT&#10;Ejv0nhVEEpxkpeYQW27Y+QNdvRgOlGmfB3L5y4TEuah7uamrz0moJag42jTrx7oIX/3qCxTTR41O&#10;ZKOT1vjMG1o4fYqJ7+LSnyU57PHZWFveznox8+K9r9/x8yrgFRosJDZdYFLRj1KAHXk3VaICGdGa&#10;PrdnoEjjcWdJnCDvR72ub5P9Vpbv3kOclrqSWjYngbEffC/SJbBwQIRzTvC41md8XVbwyiHLtwiW&#10;rSP2l6JjlT1+3tJ2XcW8P699tl//MNsfAAAA//8DAFBLAwQUAAYACAAAACEA/5sDgd4AAAALAQAA&#10;DwAAAGRycy9kb3ducmV2LnhtbEyPwU7DMAyG70i8Q2QkbixdpZWtNJ1g0i5cgIIExzQ1TUXjlCZd&#10;y9tjxAGO/v3p9+div7henHAMnScF61UCAsn4pqNWwcvz8WoLIkRNje49oYIvDLAvz88KnTd+pic8&#10;VbEVXEIh1wpsjEMuZTAWnQ4rPyDx7t2PTkcex1Y2o5653PUyTZJMOt0RX7B6wINF81FNTkF7kK/h&#10;0VbT/fGufjCfpnqbQ6fU5cVyewMi4hL/YPjRZ3Uo2an2EzVB9Aqud+sdowo2aZqBYOI3qTnZbDOQ&#10;ZSH//1B+AwAA//8DAFBLAQItABQABgAIAAAAIQC2gziS/gAAAOEBAAATAAAAAAAAAAAAAAAAAAAA&#10;AABbQ29udGVudF9UeXBlc10ueG1sUEsBAi0AFAAGAAgAAAAhADj9If/WAAAAlAEAAAsAAAAAAAAA&#10;AAAAAAAALwEAAF9yZWxzLy5yZWxzUEsBAi0AFAAGAAgAAAAhAAyX7WzHAQAAeAMAAA4AAAAAAAAA&#10;AAAAAAAALgIAAGRycy9lMm9Eb2MueG1sUEsBAi0AFAAGAAgAAAAhAP+bA4HeAAAACwEAAA8AAAAA&#10;AAAAAAAAAAAAIQQAAGRycy9kb3ducmV2LnhtbFBLBQYAAAAABAAEAPMAAAAsBQ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0672" behindDoc="0" locked="0" layoutInCell="1" allowOverlap="1">
                <wp:simplePos x="0" y="0"/>
                <wp:positionH relativeFrom="column">
                  <wp:posOffset>1600200</wp:posOffset>
                </wp:positionH>
                <wp:positionV relativeFrom="paragraph">
                  <wp:posOffset>83820</wp:posOffset>
                </wp:positionV>
                <wp:extent cx="0" cy="382270"/>
                <wp:effectExtent l="95250" t="0" r="114300" b="55880"/>
                <wp:wrapNone/>
                <wp:docPr id="17" name="Straight Arrow Connector 17"/>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F92414B" id="Straight Arrow Connector 17" o:spid="_x0000_s1026" type="#_x0000_t32" style="position:absolute;margin-left:126pt;margin-top:6.6pt;width:0;height:30.1pt;z-index:25174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A+4wEAALgDAAAOAAAAZHJzL2Uyb0RvYy54bWysU02P0zAQvSPxHyzfadoi2KVqukItywVB&#10;pV1+wKztJJb8pRnTtP+esRO6C9wQOTiecWb83puX7d3ZO3EySDaGVq4WSylMUFHb0Lfy++P9m1sp&#10;KEPQ4GIwrbwYkne716+2Y9qYdRyi0wYFNwm0GVMrh5zTpmlIDcYDLWIygQ+7iB4yh9g3GmHk7t41&#10;6+XyfTNG1AmjMkScPUyHclf7d51R+VvXkcnCtZKx5bpiXZ/K2uy2sOkR0mDVDAP+AYUHG/jSa6sD&#10;ZBA/0P7VyluFkWKXFyr6JnadVaZyYDar5R9sHgZIpnJhcShdZaL/11Z9PR1RWM2zu5EigOcZPWQE&#10;2w9ZfESMo9jHEFjHiII/Yb3GRBsu24cjzhGlIxby5w59eTMtca4aX64am3MWakoqzr69Xa9vqvzN&#10;c11Cyp9N9KJsWkkzjiuAVZUYTl8o881c+KugXBrivXWuztMFMTKhD8t3PHIFbKvOQeatT0yUQi8F&#10;uJ79qjLWlhSd1aW8NKIL7R2KE7Bl2Gk6jo8MXgoHlPmAGdWnSMEQfisteA5Aw1RcjyaHDQb0p6BF&#10;viQWOPCvMOUzWPech6L33NeFgsVUC898i/CT1GX3FPWlTqApEdujwpmtXPz3Mub9yx9u9xMAAP//&#10;AwBQSwMEFAAGAAgAAAAhANdtESvfAAAACQEAAA8AAABkcnMvZG93bnJldi54bWxMj8FOwzAQRO9I&#10;/IO1lbhRp2mhaRqnQkiVEOLSUoG4ufE2ibDXIXbbwNeziAMcd2Y0+6ZYDc6KE/ah9aRgMk5AIFXe&#10;tFQr2D2vrzMQIWoy2npCBZ8YYFVeXhQ6N/5MGzxtYy24hEKuFTQxdrmUoWrQ6TD2HRJ7B987Hfns&#10;a2l6feZyZ2WaJLfS6Zb4Q6M7vG+wet8enYKvh/mbXT9l2eviJcMFzT7krn5U6mo03C1BRBziXxh+&#10;8BkdSmba+yOZIKyC9CblLZGNaQqCA7/CXsF8OgNZFvL/gvIbAAD//wMAUEsBAi0AFAAGAAgAAAAh&#10;ALaDOJL+AAAA4QEAABMAAAAAAAAAAAAAAAAAAAAAAFtDb250ZW50X1R5cGVzXS54bWxQSwECLQAU&#10;AAYACAAAACEAOP0h/9YAAACUAQAACwAAAAAAAAAAAAAAAAAvAQAAX3JlbHMvLnJlbHNQSwECLQAU&#10;AAYACAAAACEAWy4APuMBAAC4AwAADgAAAAAAAAAAAAAAAAAuAgAAZHJzL2Uyb0RvYy54bWxQSwEC&#10;LQAUAAYACAAAACEA120RK98AAAAJAQAADwAAAAAAAAAAAAAAAAA9BAAAZHJzL2Rvd25yZXYueG1s&#10;UEsFBgAAAAAEAAQA8wAAAEk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7600" behindDoc="0" locked="0" layoutInCell="1" allowOverlap="1">
                <wp:simplePos x="0" y="0"/>
                <wp:positionH relativeFrom="column">
                  <wp:posOffset>4114800</wp:posOffset>
                </wp:positionH>
                <wp:positionV relativeFrom="paragraph">
                  <wp:posOffset>84084</wp:posOffset>
                </wp:positionV>
                <wp:extent cx="0" cy="382270"/>
                <wp:effectExtent l="95250" t="0" r="114300" b="55880"/>
                <wp:wrapNone/>
                <wp:docPr id="11" name="Straight Arrow Connector 11"/>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2EEA5D1" id="Straight Arrow Connector 11" o:spid="_x0000_s1026" type="#_x0000_t32" style="position:absolute;margin-left:324pt;margin-top:6.6pt;width:0;height:30.1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Z4wEAALgDAAAOAAAAZHJzL2Uyb0RvYy54bWysU02P0zAQvSPxHyzfadoiYKmarlDLckFQ&#10;aZcfMGs7iSV/acY07b9n7ITuLtwQOTiecWb83puX7e3ZO3EySDaGVq4WSylMUFHb0Lfyx8Pdmxsp&#10;KEPQ4GIwrbwYkre716+2Y9qYdRyi0wYFNwm0GVMrh5zTpmlIDcYDLWIygQ+7iB4yh9g3GmHk7t41&#10;6+XyfTNG1AmjMkScPUyHclf7d51R+XvXkcnCtZKx5bpiXR/L2uy2sOkR0mDVDAP+AYUHG/jSa6sD&#10;ZBA/0f7VyluFkWKXFyr6JnadVaZyYDar5R9s7gdIpnJhcShdZaL/11Z9Ox1RWM2zW0kRwPOM7jOC&#10;7YcsPiHGUexjCKxjRMGfsF5jog2X7cMR54jSEQv5c4e+vJmWOFeNL1eNzTkLNSUVZ9/erNcfqvzN&#10;U11Cyl9M9KJsWkkzjiuAVZUYTl8p881c+LugXBrinXWuztMFMTKhj8t3PHIFbKvOQeatT0yUQi8F&#10;uJ79qjLWlhSd1aW8NKIL7R2KE7Bl2Gk6jg8MXgoHlPmAGdWnSMEQXpQWPAegYSquR5PDBgP6c9Ai&#10;XxILHPhXmPIZrHvKQ9F77utCwWKqhWe+RfhJ6rJ7jPpSJ9CUiO1R4cxWLv57HvP++Q+3+wUAAP//&#10;AwBQSwMEFAAGAAgAAAAhADmdtjbfAAAACQEAAA8AAABkcnMvZG93bnJldi54bWxMj8FOwzAQRO9I&#10;/IO1SNyoQxu1bohTIaRKCHGhVCBubrwkEfY6xG4b+Hq24gDHnRnNvilXo3figEPsAmm4nmQgkOpg&#10;O2o0bJ/XVwpETIascYFQwxdGWFXnZ6UpbDjSEx42qRFcQrEwGtqU+kLKWLfoTZyEHom99zB4k/gc&#10;GmkHc+Ry7+Q0y+bSm474Q2t6vGux/tjsvYbv+8WbWz8q9bp8Ubik/FNumwetLy/G2xsQCcf0F4YT&#10;PqNDxUy7sCcbhdMwzxVvSWzMpiA48CvsNCxmOciqlP8XVD8AAAD//wMAUEsBAi0AFAAGAAgAAAAh&#10;ALaDOJL+AAAA4QEAABMAAAAAAAAAAAAAAAAAAAAAAFtDb250ZW50X1R5cGVzXS54bWxQSwECLQAU&#10;AAYACAAAACEAOP0h/9YAAACUAQAACwAAAAAAAAAAAAAAAAAvAQAAX3JlbHMvLnJlbHNQSwECLQAU&#10;AAYACAAAACEAq1vt2eMBAAC4AwAADgAAAAAAAAAAAAAAAAAuAgAAZHJzL2Uyb0RvYy54bWxQSwEC&#10;LQAUAAYACAAAACEAOZ22Nt8AAAAJAQAADwAAAAAAAAAAAAAAAAA9BAAAZHJzL2Rvd25yZXYueG1s&#10;UEsFBgAAAAAEAAQA8wAAAEk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28384" behindDoc="0" locked="0" layoutInCell="1" allowOverlap="1">
                <wp:simplePos x="0" y="0"/>
                <wp:positionH relativeFrom="column">
                  <wp:posOffset>675640</wp:posOffset>
                </wp:positionH>
                <wp:positionV relativeFrom="paragraph">
                  <wp:posOffset>5375275</wp:posOffset>
                </wp:positionV>
                <wp:extent cx="2749550" cy="577850"/>
                <wp:effectExtent l="0" t="0" r="1270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2749550" cy="577850"/>
                        </a:xfrm>
                        <a:prstGeom prst="rect">
                          <a:avLst/>
                        </a:prstGeom>
                        <a:solidFill>
                          <a:srgbClr val="8064A2">
                            <a:lumMod val="40000"/>
                            <a:lumOff val="6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rPr>
                            </w:pPr>
                            <w:r>
                              <w:rPr>
                                <w:b/>
                              </w:rPr>
                              <w:t>Existe outra solução satisfatória?</w:t>
                            </w:r>
                          </w:p>
                          <w:p>
                            <w:pPr>
                              <w:jc w:val="center"/>
                              <w:rPr>
                                <w:sz w:val="20"/>
                                <w:szCs w:val="20"/>
                              </w:rPr>
                            </w:pPr>
                            <w:r>
                              <w:rPr>
                                <w:sz w:val="20"/>
                                <w:szCs w:val="20"/>
                              </w:rPr>
                              <w:t>(Ou seja, o problema específico pode ser resolvido sem recurso à derrogação?)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54" type="#_x0000_t202" style="position:absolute;margin-left:53.2pt;margin-top:423.25pt;width:216.5pt;height:4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XOpQIAAEkFAAAOAAAAZHJzL2Uyb0RvYy54bWysVE1v2zAMvQ/YfxB0T+0EzpdRp3BTZBjQ&#10;rQXaoWdFlhMDtqRJSuxs2H/fk5ykWbvTMB9kiqQexUdS1zddU5O9MLZSMqPDq5gSIbkqKrnJ6Lfn&#10;1WBGiXVMFqxWUmT0ICy9WXz8cN3qVIzUVtWFMAQg0qatzujWOZ1GkeVb0TB7pbSQMJbKNMxhazZR&#10;YVgL9KaORnE8iVplCm0UF9ZCe9cb6SLgl6Xg7qEsrXCkziju5sJqwrr2a7S4ZunGML2t+PEa7B9u&#10;0bBKIugZ6o45RnamegfVVNwoq0p3xVUTqbKsuAg5IJth/Cabpy3TIuQCcqw+02T/Hyz/un80pCpQ&#10;uwklkjWo0bPoHLlVHYEK/LTapnB70nB0HfTwPektlD7trjSN/yMhAjuYPpzZ9WgcytE0mY/HMHHY&#10;xtPpDDLgo9fT2lj3SaiGeCGjBtULpLL9vXW968nFB7OqropVVddhYzbrZW3InqHSs3iS5KNwtt41&#10;X1TRq5MYX19yqNEYvXpyUuMqtocJ1/oDv5bvQx7sOSJaslCtZ46SmlkHAwgI3zHJCzTE6eFE6NA+&#10;OZbiMEQfxlMWuufncjwd5dPxfDDJx8NBMoxngzyPR4O7VR7ncbJazpPbX8cIp/ORr1hfGS+5bt2F&#10;Co9m3tGr1qo4oJpG9fNgNV9VoPweF39kBgOAKmGo3QOWslZtRtVRomSrzI+/6b0/+hJWSloMVEbt&#10;9x0zAnx8lujY+TBJ/ASGTYK0sDGXlvWlRe6apUIlh3g+NA+i93f1SSyNal4w+7mPChOTHLEzCv57&#10;cen6McfbwUWeByfMnGbuXj5p7qE91b6hnrsXZvSx6xxo/KpOo8fSN83X+/qTUuU7p8oqdOYrq2gd&#10;v8G8hiY6vi3+QbjcB6/XF3DxGwAA//8DAFBLAwQUAAYACAAAACEAy53F/uMAAAALAQAADwAAAGRy&#10;cy9kb3ducmV2LnhtbEyPTU/DMAyG70j8h8hI3Fg61patNJ1QRWEHJGBD4po1Xlutcaom+4BfjznB&#10;8bUfvX6cL8+2F0ccfedIwXQSgUCqnemoUfCxqW7mIHzQZHTvCBV8oYdlcXmR68y4E73jcR0awSXk&#10;M62gDWHIpPR1i1b7iRuQeLdzo9WB49hIM+oTl9te3kZRKq3uiC+0esCyxXq/PlgFG/+cfJaxqd6G&#10;3cvqdf80ffwuK6Wur84P9yACnsMfDL/6rA4FO23dgYwXPecojRlVMI/TBAQTyWzBk62CxewuAVnk&#10;8v8PxQ8AAAD//wMAUEsBAi0AFAAGAAgAAAAhALaDOJL+AAAA4QEAABMAAAAAAAAAAAAAAAAAAAAA&#10;AFtDb250ZW50X1R5cGVzXS54bWxQSwECLQAUAAYACAAAACEAOP0h/9YAAACUAQAACwAAAAAAAAAA&#10;AAAAAAAvAQAAX3JlbHMvLnJlbHNQSwECLQAUAAYACAAAACEAF9JFzqUCAABJBQAADgAAAAAAAAAA&#10;AAAAAAAuAgAAZHJzL2Uyb0RvYy54bWxQSwECLQAUAAYACAAAACEAy53F/uMAAAALAQAADwAAAAAA&#10;AAAAAAAAAAD/BAAAZHJzL2Rvd25yZXYueG1sUEsFBgAAAAAEAAQA8wAAAA8GAAAAAA==&#10;" fillcolor="#ccc1da" strokecolor="windowText">
                <v:textbox>
                  <w:txbxContent>
                    <w:p>
                      <w:pPr>
                        <w:jc w:val="center"/>
                        <w:rPr>
                          <w:b/>
                        </w:rPr>
                      </w:pPr>
                      <w:r>
                        <w:rPr>
                          <w:b/>
                        </w:rPr>
                        <w:t>Existe outra solução satisfatória?</w:t>
                      </w:r>
                    </w:p>
                    <w:p>
                      <w:pPr>
                        <w:jc w:val="center"/>
                        <w:rPr>
                          <w:sz w:val="20"/>
                          <w:szCs w:val="20"/>
                        </w:rPr>
                      </w:pPr>
                      <w:r>
                        <w:rPr>
                          <w:sz w:val="20"/>
                          <w:szCs w:val="20"/>
                        </w:rPr>
                        <w:t>(Ou seja, o problema específico pode ser resolvido sem recurso à derrogação?)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6224" behindDoc="0" locked="0" layoutInCell="1" allowOverlap="1">
                <wp:simplePos x="0" y="0"/>
                <wp:positionH relativeFrom="column">
                  <wp:posOffset>4000500</wp:posOffset>
                </wp:positionH>
                <wp:positionV relativeFrom="paragraph">
                  <wp:posOffset>6739890</wp:posOffset>
                </wp:positionV>
                <wp:extent cx="342900" cy="0"/>
                <wp:effectExtent l="0" t="0" r="12700" b="25400"/>
                <wp:wrapNone/>
                <wp:docPr id="89" name="Straight Connector 89"/>
                <wp:cNvGraphicFramePr/>
                <a:graphic xmlns:a="http://schemas.openxmlformats.org/drawingml/2006/main">
                  <a:graphicData uri="http://schemas.microsoft.com/office/word/2010/wordprocessingShape">
                    <wps:wsp>
                      <wps:cNvCnPr/>
                      <wps:spPr>
                        <a:xfrm>
                          <a:off x="0" y="0"/>
                          <a:ext cx="3429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A7BEC10" id="Straight Connector 89" o:spid="_x0000_s1026" style="position:absolute;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530.7pt" to="342pt,5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s+zwEAAI8DAAAOAAAAZHJzL2Uyb0RvYy54bWysU8tu2zAQvBfoPxC811LcB2LBcg523UvR&#10;Gkj6AWs+JAJ8Ycla9t93STlu2tyK+kCTu+Tszuxo/XB2lp0UJhN8z+8WLWfKiyCNH3r+42n/7p6z&#10;lMFLsMGrnl9U4g+bt2/WU+zUMozBSoWMQHzqptjzMefYNU0So3KQFiEqT0kd0EGmIw6NRJgI3dlm&#10;2bafmimgjBiESomiuznJNxVfayXyd62Tysz2nHrLdcW6HsvabNbQDQhxNOLaBvxDFw6Mp6I3qB1k&#10;YD/RvIJyRmBIQeeFCK4JWhuhKgdic9f+xeZxhKgqFxInxZtM6f/Bim+nAzIje36/4syDoxk9ZgQz&#10;jJltg/ekYEBGSVJqiqmjB1t/wOspxQMW2meNrvwTIXau6l5u6qpzZoKC7z8sVy3NQDynmt/vIqb8&#10;RQXHyqbn1vjCGzo4fU2ZatHV5ysl7MPeWFtnZz2byHir9mOBBrKQtpBp6yKRSn7gDOxA3hQZK2QK&#10;1sjyvAAlHI5bi+wE5I/9vqVfIUrl/rhWau8gjfO9mpqdMyqQn71k+RJJOE8Wn+MZjH0dJ1jrS1lV&#10;nXmlVlSddSy7Y5CXKm9TTjT12s3VocVWL8+0f/kdbX4BAAD//wMAUEsDBBQABgAIAAAAIQBeXhVi&#10;3wAAAA0BAAAPAAAAZHJzL2Rvd25yZXYueG1sTI/NTsMwEITvSLyDtUjcqB2oTJXGqVAkVA5IVQMH&#10;enPjJYnwTxS7TXh7lgOix50ZzX5TbGZn2RnH2AevIFsIYOibYHrfKnh/e75bAYtJe6Nt8KjgGyNs&#10;yuurQucmTH6P5zq1jEp8zLWCLqUh5zw2HTodF2FAT95nGJ1OdI4tN6OeqNxZfi+E5E73nj50esCq&#10;w+arPjkFH7vtbnitKhleDttpbmVW7x+tUrc389MaWMI5/YfhF5/QoSSmYzh5E5lVIB8EbUlkCJkt&#10;gVFErpYkHf8kXhb8ckX5AwAA//8DAFBLAQItABQABgAIAAAAIQC2gziS/gAAAOEBAAATAAAAAAAA&#10;AAAAAAAAAAAAAABbQ29udGVudF9UeXBlc10ueG1sUEsBAi0AFAAGAAgAAAAhADj9If/WAAAAlAEA&#10;AAsAAAAAAAAAAAAAAAAALwEAAF9yZWxzLy5yZWxzUEsBAi0AFAAGAAgAAAAhADEcSz7PAQAAjwMA&#10;AA4AAAAAAAAAAAAAAAAALgIAAGRycy9lMm9Eb2MueG1sUEsBAi0AFAAGAAgAAAAhAF5eFWLfAAAA&#10;DQEAAA8AAAAAAAAAAAAAAAAAKQ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65568" behindDoc="0" locked="0" layoutInCell="1" allowOverlap="1">
                <wp:simplePos x="0" y="0"/>
                <wp:positionH relativeFrom="column">
                  <wp:posOffset>5943600</wp:posOffset>
                </wp:positionH>
                <wp:positionV relativeFrom="paragraph">
                  <wp:posOffset>2739390</wp:posOffset>
                </wp:positionV>
                <wp:extent cx="0" cy="5143500"/>
                <wp:effectExtent l="0" t="0" r="25400" b="12700"/>
                <wp:wrapNone/>
                <wp:docPr id="41" name="Straight Arrow Connector 41"/>
                <wp:cNvGraphicFramePr/>
                <a:graphic xmlns:a="http://schemas.openxmlformats.org/drawingml/2006/main">
                  <a:graphicData uri="http://schemas.microsoft.com/office/word/2010/wordprocessingShape">
                    <wps:wsp>
                      <wps:cNvCnPr/>
                      <wps:spPr>
                        <a:xfrm>
                          <a:off x="0" y="0"/>
                          <a:ext cx="0" cy="5143500"/>
                        </a:xfrm>
                        <a:prstGeom prst="straightConnector1">
                          <a:avLst/>
                        </a:prstGeom>
                        <a:noFill/>
                        <a:ln w="19050" cap="flat" cmpd="sng" algn="ctr">
                          <a:solidFill>
                            <a:srgbClr val="FF0000"/>
                          </a:solidFill>
                          <a:prstDash val="solid"/>
                          <a:headEnd type="none"/>
                          <a:tailEnd type="none"/>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FFBF80F" id="Straight Arrow Connector 41" o:spid="_x0000_s1026" type="#_x0000_t32" style="position:absolute;margin-left:468pt;margin-top:215.7pt;width:0;height:405pt;z-index:25156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MN2AEAAKQDAAAOAAAAZHJzL2Uyb0RvYy54bWysU02P0zAQvSPxHyzfadJliyBqukIt5YKg&#10;0sIPmDpOYslfmjFN++8ZO6W7sDdED65n7Hkz7/ll/XB2Vpw0kgm+lctFLYX2KnTGD6388X3/5r0U&#10;lMB3YIPXrbxokg+b16/WU2z0XRiD7TQKBvHUTLGVY0qxqSpSo3ZAixC158M+oIPEIQ5VhzAxurPV&#10;XV2/q6aAXcSgNBFnd/Oh3BT8vtcqfet70knYVvJsqaxY1mNeq80amgEhjkZdx4B/mMKB8dz0BrWD&#10;BOInmhdQzigMFPq0UMFVoe+N0oUDs1nWf7F5HCHqwoXFoXiTif4frPp6OqAwXSvvl1J4cPxGjwnB&#10;DGMSHxHDJLbBe9YxoOArrNcUqeGyrT/gNaJ4wEz+3KPL/0xLnIvGl5vG+pyEmpOKs6vl/dtVXfSv&#10;ngojUvqsgxN500q6DnKbYFk0htMXStyaC38X5K4+7I215UGtFxO78UO94jdXwL7qLSTeushMyQ9S&#10;gB3YsCphgaRgTZfLMxDhcNxaFCdg0+z3Nf8yb273x7Xcewc0zvfK0WynUUP3yXciXSKr6dn3cz6B&#10;sS/zDGt9bquLXa/UssizrHl3DN2lqF3liK1QprnaNnvtecz75x/X5hcAAAD//wMAUEsDBBQABgAI&#10;AAAAIQBmTd++3gAAAAwBAAAPAAAAZHJzL2Rvd25yZXYueG1sTI/BTsMwEETvSPyDtUjcqNM2qmiI&#10;U1VQTiAQDeLsxksSEa+N7bTh71nEAY47O5p5U24mO4gjhtg7UjCfZSCQGmd6ahW81vdX1yBi0mT0&#10;4AgVfGGETXV+VurCuBO94HGfWsEhFAutoEvJF1LGpkOr48x5JP69u2B14jO00gR94nA7yEWWraTV&#10;PXFDpz3edth87EerIH978t7t7urn7W5dG4cP4+NnUOryYtregEg4pT8z/OAzOlTMdHAjmSgGBevl&#10;irckDlvOcxDs+FUObF3kLMmqlP9HVN8AAAD//wMAUEsBAi0AFAAGAAgAAAAhALaDOJL+AAAA4QEA&#10;ABMAAAAAAAAAAAAAAAAAAAAAAFtDb250ZW50X1R5cGVzXS54bWxQSwECLQAUAAYACAAAACEAOP0h&#10;/9YAAACUAQAACwAAAAAAAAAAAAAAAAAvAQAAX3JlbHMvLnJlbHNQSwECLQAUAAYACAAAACEAiA9z&#10;DdgBAACkAwAADgAAAAAAAAAAAAAAAAAuAgAAZHJzL2Uyb0RvYy54bWxQSwECLQAUAAYACAAAACEA&#10;Zk3fvt4AAAAMAQAADwAAAAAAAAAAAAAAAAAyBAAAZHJzL2Rvd25yZXYueG1sUEsFBgAAAAAEAAQA&#10;8wAAAD0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27008" behindDoc="0" locked="0" layoutInCell="1" allowOverlap="1">
                <wp:simplePos x="0" y="0"/>
                <wp:positionH relativeFrom="column">
                  <wp:posOffset>5029200</wp:posOffset>
                </wp:positionH>
                <wp:positionV relativeFrom="paragraph">
                  <wp:posOffset>7882890</wp:posOffset>
                </wp:positionV>
                <wp:extent cx="914400" cy="0"/>
                <wp:effectExtent l="38100" t="76200" r="0" b="114300"/>
                <wp:wrapNone/>
                <wp:docPr id="83" name="Straight Connector 83"/>
                <wp:cNvGraphicFramePr/>
                <a:graphic xmlns:a="http://schemas.openxmlformats.org/drawingml/2006/main">
                  <a:graphicData uri="http://schemas.microsoft.com/office/word/2010/wordprocessingShape">
                    <wps:wsp>
                      <wps:cNvCnPr/>
                      <wps:spPr>
                        <a:xfrm>
                          <a:off x="0" y="0"/>
                          <a:ext cx="914400" cy="0"/>
                        </a:xfrm>
                        <a:prstGeom prst="line">
                          <a:avLst/>
                        </a:prstGeom>
                        <a:noFill/>
                        <a:ln w="19050" cap="flat" cmpd="sng" algn="ctr">
                          <a:solidFill>
                            <a:srgbClr val="FF0000"/>
                          </a:solidFill>
                          <a:prstDash val="solid"/>
                          <a:headEnd type="arrow"/>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B776B64" id="Straight Connector 83" o:spid="_x0000_s1026" style="position:absolute;z-index:2516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pt,620.7pt" to="468pt,6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Mi0gEAAJADAAAOAAAAZHJzL2Uyb0RvYy54bWysU8tu2zAQvBfoPxC8x5KTtEgEyznYdS9F&#10;ayDtB6z5kAjwhSVr2X/fJa04aXsr6gO9yyVnd4aj1dPJWXZUmEzwPV8uWs6UF0EaP/T8x/fdzQNn&#10;KYOXYINXPT+rxJ/W79+tptip2zAGKxUyAvGpm2LPx5xj1zRJjMpBWoSoPBV1QAeZUhwaiTARurPN&#10;bdt+bKaAMmIQKiXa3V6KfF3xtVYif9M6qcxsz2m2XFes66GszXoF3YAQRyPmMeAfpnBgPDW9Qm0h&#10;A/uJ5i8oZwSGFHReiOCaoLURqnIgNsv2DzbPI0RVuZA4KV5lSv8PVnw97pEZ2fOHO848OHqj54xg&#10;hjGzTfCeFAzIqEhKTTF1dGHj9zhnKe6x0D5pdOWfCLFTVfd8VVedMhO0+bi8v2/pDcRLqXm9FzHl&#10;zyo4VoKeW+MLb+jg+CVl6kVHX46UbR92xtr6dtaziYz32H4o0EAW0hYyhS4SqeQHzsAO5E2RsUKm&#10;YI0s1wtQwuGwsciOQP7Y7Vr6FaLU7rdjpfcW0ng5V0sX54wK5CcvWT5HEg4Qw3QpZDD2teDJ+zOu&#10;9aWvqtacuRVZL0KW6BDkuerblIyevY4zW7T46m1O8dsPaf0LAAD//wMAUEsDBBQABgAIAAAAIQAn&#10;H5Fv4AAAAA0BAAAPAAAAZHJzL2Rvd25yZXYueG1sTI/BTsMwEETvSPyDtUhcEHUSopaGOBWKhFRO&#10;lBYQRzfexlFjO7LdJvw9ywHBcWdGs2/K1WR6dkYfOmcFpLMEGNrGqc62At52T7f3wEKUVsneWRTw&#10;hQFW1eVFKQvlRvuK521sGZXYUEgBOsah4Dw0Go0MMzegJe/gvJGRTt9y5eVI5abnWZLMuZGdpQ9a&#10;DlhrbI7bkxFw86nH9XHzvsnr8VA/+5c1Tz+cENdX0+MDsIhT/AvDDz6hQ0VMe3eyKrBewGKZ0ZZI&#10;RpanOTCKLO/mJO1/JV6V/P+K6hsAAP//AwBQSwECLQAUAAYACAAAACEAtoM4kv4AAADhAQAAEwAA&#10;AAAAAAAAAAAAAAAAAAAAW0NvbnRlbnRfVHlwZXNdLnhtbFBLAQItABQABgAIAAAAIQA4/SH/1gAA&#10;AJQBAAALAAAAAAAAAAAAAAAAAC8BAABfcmVscy8ucmVsc1BLAQItABQABgAIAAAAIQCagWMi0gEA&#10;AJADAAAOAAAAAAAAAAAAAAAAAC4CAABkcnMvZTJvRG9jLnhtbFBLAQItABQABgAIAAAAIQAnH5Fv&#10;4AAAAA0BAAAPAAAAAAAAAAAAAAAAACwEAABkcnMvZG93bnJldi54bWxQSwUGAAAAAAQABADzAAAA&#10;OQUAAAAA&#10;" strokecolor="red" strokeweight="1.5pt">
                <v:stroke start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51584" behindDoc="0" locked="0" layoutInCell="1" allowOverlap="1">
                <wp:simplePos x="0" y="0"/>
                <wp:positionH relativeFrom="column">
                  <wp:posOffset>4343400</wp:posOffset>
                </wp:positionH>
                <wp:positionV relativeFrom="paragraph">
                  <wp:posOffset>6739890</wp:posOffset>
                </wp:positionV>
                <wp:extent cx="0" cy="800100"/>
                <wp:effectExtent l="101600" t="0" r="76200" b="63500"/>
                <wp:wrapNone/>
                <wp:docPr id="93" name="Straight Connector 93"/>
                <wp:cNvGraphicFramePr/>
                <a:graphic xmlns:a="http://schemas.openxmlformats.org/drawingml/2006/main">
                  <a:graphicData uri="http://schemas.microsoft.com/office/word/2010/wordprocessingShape">
                    <wps:wsp>
                      <wps:cNvCnPr/>
                      <wps:spPr>
                        <a:xfrm>
                          <a:off x="0" y="0"/>
                          <a:ext cx="0" cy="800100"/>
                        </a:xfrm>
                        <a:prstGeom prst="line">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EF7B01" id="Straight Connector 93"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2pt,530.7pt" to="342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3L0gEAAJADAAAOAAAAZHJzL2Uyb0RvYy54bWysU8tu2zAQvBfoPxC811IStEgEyznYcS9F&#10;ayDNB6z5kAjwhSVr2X/fJaU6aXsr6gO93CVnd4aj9ePZWXZSmEzwPb9ZtZwpL4I0fuj5y/f9h3vO&#10;UgYvwQaven5RiT9u3r9bT7FTt2EMVipkBOJTN8WejznHrmmSGJWDtApReSrqgA4ybXFoJMJE6M42&#10;t237qZkCyohBqJQou5uLfFPxtVYif9M6qcxsz2m2XFes67GszWYN3YAQRyOWMeAfpnBgPDW9Qu0g&#10;A/uB5i8oZwSGFHReieCaoLURqnIgNjftH2yeR4iqciFxUrzKlP4frPh6OiAzsucPd5x5cPRGzxnB&#10;DGNm2+A9KRiQUZGUmmLq6MLWH3DZpXjAQvus0ZV/IsTOVd3LVV11zkzMSUHZ+5aIVuGb13sRU/6s&#10;gmMl6Lk1vvCGDk5fUqZedPTXkZL2YW+srW9nPZvIeA/tR3peAWQhbSFT6CKRSn7gDOxA3hQZK2QK&#10;1shyvQAlHI5bi+wE5I/9vqVfIUrtfjtWeu8gjfO5WpqdMyqQT16yfIkknCeLz/kMxr7mATFMC671&#10;pa+q1ly4FVlnIUt0DPJS9W3Kjp69jrNYtPjq7Z7itx/S5icAAAD//wMAUEsDBBQABgAIAAAAIQCh&#10;81Ta3gAAAA0BAAAPAAAAZHJzL2Rvd25yZXYueG1sTI9PS8QwEMXvgt8hjOBF3KRSu6U2XUQQvO4f&#10;wWPaxLbaTEoyu1u/vSMe9DjvPd78Xr1Z/CROLqYxoIZspUA47IIdsddw2D/fliASGbRmCug0fLkE&#10;m+byojaVDWfcutOOesElmCqjYSCaKylTNzhv0irMDtl7D9Eb4jP20kZz5nI/yTulCunNiPxhMLN7&#10;Glz3uTt6DSTj/Tqqt9eXLfVx+gjtsr+JWl9fLY8PIMgt9BeGH3xGh4aZ2nBEm8SkoShz3kJsqCLL&#10;QXDkV2pZysp1DrKp5f8VzTcAAAD//wMAUEsBAi0AFAAGAAgAAAAhALaDOJL+AAAA4QEAABMAAAAA&#10;AAAAAAAAAAAAAAAAAFtDb250ZW50X1R5cGVzXS54bWxQSwECLQAUAAYACAAAACEAOP0h/9YAAACU&#10;AQAACwAAAAAAAAAAAAAAAAAvAQAAX3JlbHMvLnJlbHNQSwECLQAUAAYACAAAACEASVqNy9IBAACQ&#10;AwAADgAAAAAAAAAAAAAAAAAuAgAAZHJzL2Uyb0RvYy54bWxQSwECLQAUAAYACAAAACEAofNU2t4A&#10;AAANAQAADwAAAAAAAAAAAAAAAAAsBAAAZHJzL2Rvd25yZXYueG1sUEsFBgAAAAAEAAQA8wAAADcF&#10;AAAAAA==&#10;" strokecolor="red"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45440" behindDoc="0" locked="0" layoutInCell="1" allowOverlap="1">
                <wp:simplePos x="0" y="0"/>
                <wp:positionH relativeFrom="column">
                  <wp:posOffset>4686300</wp:posOffset>
                </wp:positionH>
                <wp:positionV relativeFrom="paragraph">
                  <wp:posOffset>5825490</wp:posOffset>
                </wp:positionV>
                <wp:extent cx="0" cy="1714500"/>
                <wp:effectExtent l="101600" t="0" r="127000" b="63500"/>
                <wp:wrapNone/>
                <wp:docPr id="92" name="Straight Connector 92"/>
                <wp:cNvGraphicFramePr/>
                <a:graphic xmlns:a="http://schemas.openxmlformats.org/drawingml/2006/main">
                  <a:graphicData uri="http://schemas.microsoft.com/office/word/2010/wordprocessingShape">
                    <wps:wsp>
                      <wps:cNvCnPr/>
                      <wps:spPr>
                        <a:xfrm>
                          <a:off x="0" y="0"/>
                          <a:ext cx="0" cy="1714500"/>
                        </a:xfrm>
                        <a:prstGeom prst="line">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E34930D" id="Straight Connector 92" o:spid="_x0000_s1026" style="position:absolute;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9pt,458.7pt" to="369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e0wEAAJEDAAAOAAAAZHJzL2Uyb0RvYy54bWysU8mOEzEQvSPxD5bvk+5EM8C00plDQrgg&#10;iDTwARUv3Za8qWzSyd9TdofMADdEDk4t9qt6r6rXT2dn2UlhMsH3fLloOVNeBGn80PPv3/Z3HzhL&#10;GbwEG7zq+UUl/rR5+2Y9xU6twhisVMgIxKduij0fc45d0yQxKgdpEaLylNQBHWRycWgkwkTozjar&#10;tn3XTAFlxCBUShTdzUm+qfhaK5G/ap1UZrbn1FuuJ9bzWM5ms4ZuQIijEdc24B+6cGA8Fb1B7SAD&#10;+4HmLyhnBIYUdF6I4JqgtRGqciA2y/YPNs8jRFW5kDgp3mRK/w9WfDkdkBnZ88cVZx4czeg5I5hh&#10;zGwbvCcFAzJKklJTTB092PoDXr0UD1honzW68k+E2Lmqe7mpq86ZiTkoKLp8v7x/aKvyzcvDiCl/&#10;UsGxYvTcGl+IQwenzylTMbr660oJ+7A31tbhWc8mQn1sH2i+AmiHtIVMpovEKvmBM7ADLafIWCFT&#10;sEaW5wUo4XDcWmQnoAXZ71v6FaZU7rdrpfYO0jjfq6l5dUYF8qOXLF8iKedpx+d4BmNf4oAYpiuu&#10;9aWuqrt55VZ0nZUs1jHISxW4KR7NvbZz3dGyWK99sl9/SZufAAAA//8DAFBLAwQUAAYACAAAACEA&#10;c1Lhbd0AAAAMAQAADwAAAGRycy9kb3ducmV2LnhtbEyPy07DMBBF90j8gzVIbFDrhEcTQpwKISGx&#10;bQsSSyc2ScAeR/a0DX/PIBZlOXeO7qNez96Jg41pDKggX2YgLHbBjNgreN09L0oQiTQa7QJaBd82&#10;wbo5P6t1ZcIRN/awpV6wCaZKKxiIpkrK1A3W67QMk0X+fYToNfEZe2miPrK5d/I6y1bS6xE5YdCT&#10;fRps97XdewUk410Rs/e3lw310X2Gdt5dRaUuL+bHBxBkZzrB8Fufq0PDndqwR5OEU1DclLyFFNzn&#10;xS0IJv6UltG8ZEk2tfw/ovkBAAD//wMAUEsBAi0AFAAGAAgAAAAhALaDOJL+AAAA4QEAABMAAAAA&#10;AAAAAAAAAAAAAAAAAFtDb250ZW50X1R5cGVzXS54bWxQSwECLQAUAAYACAAAACEAOP0h/9YAAACU&#10;AQAACwAAAAAAAAAAAAAAAAAvAQAAX3JlbHMvLnJlbHNQSwECLQAUAAYACAAAACEA2TOP3tMBAACR&#10;AwAADgAAAAAAAAAAAAAAAAAuAgAAZHJzL2Uyb0RvYy54bWxQSwECLQAUAAYACAAAACEAc1Lhbd0A&#10;AAAMAQAADwAAAAAAAAAAAAAAAAAtBAAAZHJzL2Rvd25yZXYueG1sUEsFBgAAAAAEAAQA8wAAADcF&#10;AAAAAA==&#10;" strokecolor="red"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42368" behindDoc="0" locked="0" layoutInCell="1" allowOverlap="1">
                <wp:simplePos x="0" y="0"/>
                <wp:positionH relativeFrom="column">
                  <wp:posOffset>8343900</wp:posOffset>
                </wp:positionH>
                <wp:positionV relativeFrom="paragraph">
                  <wp:posOffset>2282190</wp:posOffset>
                </wp:positionV>
                <wp:extent cx="0" cy="342900"/>
                <wp:effectExtent l="0" t="0" r="25400" b="12700"/>
                <wp:wrapNone/>
                <wp:docPr id="91" name="Straight Connector 91"/>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0899325" id="Straight Connector 91" o:spid="_x0000_s1026" style="position:absolute;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179.7pt" to="657pt,2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SkuwEAAF8DAAAOAAAAZHJzL2Uyb0RvYy54bWysU02PEzEMvSPxH6LctzPtAqKjTvfQqlwQ&#10;VFr2B7iZzEykfMkOnfbf46RDWeCG6CG1HefZ79mzebo4K84ayQTfyuWilkJ7FTrjh1a+fDs8fJSC&#10;EvgObPC6lVdN8mn79s1mio1ehTHYTqNgEE/NFFs5phSbqiI1age0CFF7vuwDOkjs4lB1CBOjO1ut&#10;6vpDNQXsIgaliTi6v13KbcHve63S174nnYRtJfeWyonlPOWz2m6gGRDiaNTcBvxDFw6M56J3qD0k&#10;EN/R/AXljMJAoU8LFVwV+t4oXTgwm2X9B5vnEaIuXFgcineZ6P/Bqi/nIwrTtXK9lMKD4xk9JwQz&#10;jEnsgvesYEDBl6zUFKnhBzt/xNmjeMRM+9Kjy/9MSFyKute7uvqShLoFFUcf363WdRG++vUuIqVP&#10;OjiRjVZa4zNvaOD8mRLX4tSfKTnsw8FYW2ZnvZh48db1ex6vAl6h3kJi00UmRX6QAuzAu6kSFkgK&#10;1nT5eQYiHE47i+IMvB+HQ82/TJTL/ZaWa++BxlteuZrTrM8wumza3GpW6aZLtk6huxa5quzxFAv6&#10;vHF5TV77bL/+LrY/AAAA//8DAFBLAwQUAAYACAAAACEAHUTnVuIAAAANAQAADwAAAGRycy9kb3du&#10;cmV2LnhtbEyPwU7DMBBE70j9B2srcaNOSAg0xKlQJFQOSFUDB3pz4yWJsNdR7Dbh73HFAY4zO5p9&#10;U2xmo9kZR9dbEhCvImBIjVU9tQLe355vHoA5L0lJbQkFfKODTbm4KmSu7ER7PNe+ZaGEXC4FdN4P&#10;Oeeu6dBIt7IDUrh92tFIH+TYcjXKKZQbzW+jKONG9hQ+dHLAqsPmqz4ZAR+77W54rarMvhy209xm&#10;cb2/10JcL+enR2AeZ/8Xhgt+QIcyMB3tiZRjOugkTsMYLyC5W6fALpFf6yggjZMUeFnw/yvKHwAA&#10;AP//AwBQSwECLQAUAAYACAAAACEAtoM4kv4AAADhAQAAEwAAAAAAAAAAAAAAAAAAAAAAW0NvbnRl&#10;bnRfVHlwZXNdLnhtbFBLAQItABQABgAIAAAAIQA4/SH/1gAAAJQBAAALAAAAAAAAAAAAAAAAAC8B&#10;AABfcmVscy8ucmVsc1BLAQItABQABgAIAAAAIQBjSBSkuwEAAF8DAAAOAAAAAAAAAAAAAAAAAC4C&#10;AABkcnMvZTJvRG9jLnhtbFBLAQItABQABgAIAAAAIQAdROdW4gAAAA0BAAAPAAAAAAAAAAAAAAAA&#10;ABUEAABkcnMvZG93bnJldi54bWxQSwUGAAAAAAQABADzAAAAJA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39296" behindDoc="0" locked="0" layoutInCell="1" allowOverlap="1">
                <wp:simplePos x="0" y="0"/>
                <wp:positionH relativeFrom="column">
                  <wp:posOffset>3429000</wp:posOffset>
                </wp:positionH>
                <wp:positionV relativeFrom="paragraph">
                  <wp:posOffset>5825490</wp:posOffset>
                </wp:positionV>
                <wp:extent cx="1257300" cy="0"/>
                <wp:effectExtent l="0" t="0" r="12700" b="25400"/>
                <wp:wrapNone/>
                <wp:docPr id="90" name="Straight Connector 90"/>
                <wp:cNvGraphicFramePr/>
                <a:graphic xmlns:a="http://schemas.openxmlformats.org/drawingml/2006/main">
                  <a:graphicData uri="http://schemas.microsoft.com/office/word/2010/wordprocessingShape">
                    <wps:wsp>
                      <wps:cNvCnPr/>
                      <wps:spPr>
                        <a:xfrm>
                          <a:off x="0" y="0"/>
                          <a:ext cx="12573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F93D245" id="Straight Connector 90" o:spid="_x0000_s1026" style="position:absolute;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pt,458.7pt" to="369pt,4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VOzgEAAJADAAAOAAAAZHJzL2Uyb0RvYy54bWysU8mOEzEQvSPxD5bvpDtBA0wrnTkkhAuC&#10;SDN8QMVLtyVvKpt08veU3ZkwMDdEDk5tflXvuXr9cHaWnRQmE3zPl4uWM+VFkMYPPf/xtH/3ibOU&#10;wUuwwaueX1TiD5u3b9ZT7NQqjMFKhYxAfOqm2PMx59g1TRKjcpAWISpPSR3QQSYXh0YiTITubLNq&#10;2w/NFFBGDEKlRNHdnOSbiq+1Evm71kllZntOs+V6Yj2P5Ww2a+gGhDgacR0D/mEKB8ZT0xvUDjKw&#10;n2heQTkjMKSg80IE1wStjVCVA7FZtn+xeRwhqsqFxEnxJlP6f7Di2+mAzMie35M8Hhy90WNGMMOY&#10;2TZ4TwoGZJQkpaaYOrqw9Qe8eikesNA+a3Tlnwixc1X3clNXnTMTFFyu7j6+b6mLeM41vy9GTPmL&#10;Co4Vo+fW+EIcOjh9TZmaUelzSQn7sDfW1seznk0Eft/eFWigHdIWMpkuEqvkB87ADrScImOFTMEa&#10;Wa4XoITDcWuRnYAWZL9v6VeYUrs/ykrvHaRxrqupeXVGBfKzlyxfIinnacfneAZjX8cJ1vrSVtXV&#10;vFIrss5CFusY5KXq2xSPnr1Oc13RslcvfbJffkibXwAAAP//AwBQSwMEFAAGAAgAAAAhAItHeHHg&#10;AAAACwEAAA8AAABkcnMvZG93bnJldi54bWxMj0FLw0AQhe+C/2EZwZvdRGtSYzZFAlIPQmnsod62&#10;2TEJZmdDdtvEf+8Igh7nzeO97+Xr2fbijKPvHCmIFxEIpNqZjhoF+7fnmxUIHzQZ3TtCBV/oYV1c&#10;XuQ6M26iHZ6r0AgOIZ9pBW0IQyalr1u02i/cgMS/DzdaHfgcG2lGPXG47eVtFCXS6o64odUDli3W&#10;n9XJKjhsN9vhtSwT9/K+meYmiatd2it1fTU/PYIIOIc/M/zgMzoUzHR0JzJe9ArulxFvCQoe4nQJ&#10;gh3p3YqV468ii1z+31B8AwAA//8DAFBLAQItABQABgAIAAAAIQC2gziS/gAAAOEBAAATAAAAAAAA&#10;AAAAAAAAAAAAAABbQ29udGVudF9UeXBlc10ueG1sUEsBAi0AFAAGAAgAAAAhADj9If/WAAAAlAEA&#10;AAsAAAAAAAAAAAAAAAAALwEAAF9yZWxzLy5yZWxzUEsBAi0AFAAGAAgAAAAhAOKDdU7OAQAAkAMA&#10;AA4AAAAAAAAAAAAAAAAALgIAAGRycy9lMm9Eb2MueG1sUEsBAi0AFAAGAAgAAAAhAItHeHHgAAAA&#10;CwEAAA8AAAAAAAAAAAAAAAAAKA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71712" behindDoc="0" locked="0" layoutInCell="1" allowOverlap="1">
                <wp:simplePos x="0" y="0"/>
                <wp:positionH relativeFrom="column">
                  <wp:posOffset>3657600</wp:posOffset>
                </wp:positionH>
                <wp:positionV relativeFrom="paragraph">
                  <wp:posOffset>7539990</wp:posOffset>
                </wp:positionV>
                <wp:extent cx="1371600" cy="800100"/>
                <wp:effectExtent l="0" t="0" r="25400" b="38100"/>
                <wp:wrapSquare wrapText="bothSides"/>
                <wp:docPr id="43" name="Text Box 43"/>
                <wp:cNvGraphicFramePr/>
                <a:graphic xmlns:a="http://schemas.openxmlformats.org/drawingml/2006/main">
                  <a:graphicData uri="http://schemas.microsoft.com/office/word/2010/wordprocessingShape">
                    <wps:wsp>
                      <wps:cNvSpPr txBox="1"/>
                      <wps:spPr>
                        <a:xfrm>
                          <a:off x="0" y="0"/>
                          <a:ext cx="1371600" cy="800100"/>
                        </a:xfrm>
                        <a:prstGeom prst="rect">
                          <a:avLst/>
                        </a:prstGeom>
                        <a:solidFill>
                          <a:srgbClr val="FF0000"/>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color w:val="FFFFFF" w:themeColor="background1"/>
                                <w:sz w:val="28"/>
                                <w:szCs w:val="28"/>
                              </w:rPr>
                            </w:pPr>
                            <w:r>
                              <w:rPr>
                                <w:b/>
                                <w:color w:val="FFFFFF" w:themeColor="background1"/>
                                <w:sz w:val="28"/>
                                <w:szCs w:val="28"/>
                              </w:rPr>
                              <w:t>A derrogação não pode ser concedida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55" type="#_x0000_t202" style="position:absolute;margin-left:4in;margin-top:593.7pt;width:108pt;height:63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MrfQIAAPwEAAAOAAAAZHJzL2Uyb0RvYy54bWysVFtP2zAUfp+0/2D5vSQpgdKIFIVWmSah&#10;gQQTz67jtJES27PdJmzaf99npwUG0x6m9cE998t3zsnl1dC1ZC+MbZTMaXISUyIkV1UjNzn9+lBO&#10;LiixjsmKtUqKnD4JS68WHz9c9joTU7VVbSUMQRBps17ndOuczqLI8q3omD1RWkgoa2U65sCaTVQZ&#10;1iN610bTOD6PemUqbRQX1kK6GpV0EeLXteDutq6tcKTNKWpz4TXhXfs3WlyybGOY3jb8UAb7hyo6&#10;1kgkfQ61Yo6RnWneheoabpRVtTvhqotUXTdchB7QTRK/6eZ+y7QIvQAcq59hsv8vLP+yvzOkqXKa&#10;nlIiWYcZPYjBkWs1EIiAT69tBrN7DUM3QI45H+UWQt/2UJvO/6MhAj2QfnpG10fj3ul0lpzHUHHo&#10;LmK0G+CPXry1se6TUB3xRE4NphdAZfsb61AJTI8mPplVbVOVTdsGxmzWy9aQPcOkyzLGzxcJl9/M&#10;Wvl3z6RM57PVe0/EGV1FWKqxHpahN5A+pO8yDPzH8mw2LWZn88l5cZZM0iS+mBRFPJ2syiIu4rRc&#10;ztPrn4cMR//IgzyC6Sk3rIcwlOn8iPRaVU8YgFHjClvNywYo3TDr7pjBzgJY3KG7xVO3qs+pOlCU&#10;bJX5/ie5t8cqQUtJjxvIqf22Y0ZQ0n6WWLJ5kqb+aAKToi0w5rVm/Vojd91SAfwEF695IL29a49k&#10;bVT3iHMtfFaomOTInVN3JJduvEycOxdFEYxwJpq5G3mvuQ/tofY78DA8MqMPi+IA4xd1vBaWvdmX&#10;0dZ7SlXsnKqbsEwe6BFVrIlncGJhYQ6fA3/Dr/lg9fLRWvwCAAD//wMAUEsDBBQABgAIAAAAIQAY&#10;kb984wAAAA0BAAAPAAAAZHJzL2Rvd25yZXYueG1sTI9RS8MwFIXfBf9DuIJvLm032602HSIKCkVw&#10;FcS3LIltWXNTkmyr/97rkz7ecw7nfqfaznZkJ+PD4FBAukiAGVROD9gJeG+fbtbAQpSo5ejQCPg2&#10;Abb15UUlS+3O+GZOu9gxKsFQSgF9jFPJeVC9sTIs3GSQvC/nrYx0+o5rL89UbkeeJUnOrRyQPvRy&#10;Mg+9UYfd0Qp4aRvlso/psX09zJ9Nlzcb/6yEuL6a7++ARTPHvzD84hM61MS0d0fUgY0CbouctkQy&#10;0nWxAkaRYpORtCdpmS5XwOuK/19R/wAAAP//AwBQSwECLQAUAAYACAAAACEAtoM4kv4AAADhAQAA&#10;EwAAAAAAAAAAAAAAAAAAAAAAW0NvbnRlbnRfVHlwZXNdLnhtbFBLAQItABQABgAIAAAAIQA4/SH/&#10;1gAAAJQBAAALAAAAAAAAAAAAAAAAAC8BAABfcmVscy8ucmVsc1BLAQItABQABgAIAAAAIQBebnMr&#10;fQIAAPwEAAAOAAAAAAAAAAAAAAAAAC4CAABkcnMvZTJvRG9jLnhtbFBLAQItABQABgAIAAAAIQAY&#10;kb984wAAAA0BAAAPAAAAAAAAAAAAAAAAANcEAABkcnMvZG93bnJldi54bWxQSwUGAAAAAAQABADz&#10;AAAA5wUAAAAA&#10;" fillcolor="red" strokecolor="#1f497d">
                <v:textbox>
                  <w:txbxContent>
                    <w:p>
                      <w:pPr>
                        <w:jc w:val="center"/>
                        <w:rPr>
                          <w:b/>
                          <w:color w:val="FFFFFF" w:themeColor="background1"/>
                          <w:sz w:val="28"/>
                          <w:szCs w:val="28"/>
                        </w:rPr>
                      </w:pPr>
                      <w:r>
                        <w:rPr>
                          <w:b/>
                          <w:color w:val="FFFFFF" w:themeColor="background1"/>
                          <w:sz w:val="28"/>
                          <w:szCs w:val="28"/>
                        </w:rPr>
                        <w:t>A derrogação não pode ser concedida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9424" behindDoc="0" locked="0" layoutInCell="1" allowOverlap="1">
                <wp:simplePos x="0" y="0"/>
                <wp:positionH relativeFrom="column">
                  <wp:posOffset>5600700</wp:posOffset>
                </wp:positionH>
                <wp:positionV relativeFrom="paragraph">
                  <wp:posOffset>2739390</wp:posOffset>
                </wp:positionV>
                <wp:extent cx="342900" cy="0"/>
                <wp:effectExtent l="0" t="0" r="12700" b="25400"/>
                <wp:wrapNone/>
                <wp:docPr id="36" name="Straight Connector 36"/>
                <wp:cNvGraphicFramePr/>
                <a:graphic xmlns:a="http://schemas.openxmlformats.org/drawingml/2006/main">
                  <a:graphicData uri="http://schemas.microsoft.com/office/word/2010/wordprocessingShape">
                    <wps:wsp>
                      <wps:cNvCnPr/>
                      <wps:spPr>
                        <a:xfrm>
                          <a:off x="0" y="0"/>
                          <a:ext cx="342900" cy="0"/>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86E7AB7" id="Straight Connector 36" o:spid="_x0000_s1026" style="position:absolute;z-index:25155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pt,215.7pt" to="468pt,2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tmugEAAF8DAAAOAAAAZHJzL2Uyb0RvYy54bWysU02PEzEMvSPxH6Lc6cx2YcWOOt1Dq3JB&#10;UGnhB7iZZCZSvmSHTvvvcdJuWeCG6CG1Y+fZ79mzejp5J44aycbQy7tFK4UOKg42jL38/m337qMU&#10;lCEM4GLQvTxrkk/rt29Wc+r0Mk7RDRoFgwTq5tTLKefUNQ2pSXugRUw6cNBE9JDZxbEZEGZG965Z&#10;tu1DM0ccEkalifh2ewnKdcU3Rqv81RjSWbhecm+5nljPQzmb9Qq6ESFNVl3bgH/owoMNXPQGtYUM&#10;4gfav6C8VRgpmrxQ0TfRGKt05cBs7to/2DxPkHTlwuJQuslE/w9WfTnuUdihl/cPUgTwPKPnjGDH&#10;KYtNDIEVjCg4yErNiTp+sAl7vHqU9lhonwz68s+ExKmqe76pq09ZKL68f798bHkG6iXU/HqXkPIn&#10;Hb0oRi+dDYU3dHD8TJlrcepLSrkOcWedq7NzQcy8eI/thwINvELGQWbTJyZFYZQC3Mi7qTJWSIrO&#10;DuV5ASIcDxuH4gi8H7tdy79ClMv9llZqb4GmS14NXdNcKDC6btq11aLSRZdiHeJwrnI1xeMpVvTr&#10;xpU1ee2z/fq7WP8EAAD//wMAUEsDBBQABgAIAAAAIQDUXXTi4AAAAAsBAAAPAAAAZHJzL2Rvd25y&#10;ZXYueG1sTI9BS8NAEIXvgv9hGcGb3aQtMcZsigSkHoTS2EO9bbNjEszOhuy2if/eEQQ9zpvHe9/L&#10;N7PtxQVH3zlSEC8iEEi1Mx01Cg5vz3cpCB80Gd07QgVf6GFTXF/lOjNuoj1eqtAIDiGfaQVtCEMm&#10;pa9btNov3IDEvw83Wh34HBtpRj1xuO3lMooSaXVH3NDqAcsW68/qbBUcd9vd8FqWiXt5305zk8TV&#10;/r5X6vZmfnoEEXAOf2b4wWd0KJjp5M5kvOgVpOmStwQF61W8BsGOh1XCyulXkUUu/28ovgEAAP//&#10;AwBQSwECLQAUAAYACAAAACEAtoM4kv4AAADhAQAAEwAAAAAAAAAAAAAAAAAAAAAAW0NvbnRlbnRf&#10;VHlwZXNdLnhtbFBLAQItABQABgAIAAAAIQA4/SH/1gAAAJQBAAALAAAAAAAAAAAAAAAAAC8BAABf&#10;cmVscy8ucmVsc1BLAQItABQABgAIAAAAIQD7rYtmugEAAF8DAAAOAAAAAAAAAAAAAAAAAC4CAABk&#10;cnMvZTJvRG9jLnhtbFBLAQItABQABgAIAAAAIQDUXXTi4AAAAAsBAAAPAAAAAAAAAAAAAAAAABQE&#10;AABkcnMvZG93bnJldi54bWxQSwUGAAAAAAQABADzAAAAIQ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48512" behindDoc="0" locked="0" layoutInCell="1" allowOverlap="1">
                <wp:simplePos x="0" y="0"/>
                <wp:positionH relativeFrom="column">
                  <wp:posOffset>5029200</wp:posOffset>
                </wp:positionH>
                <wp:positionV relativeFrom="paragraph">
                  <wp:posOffset>1824990</wp:posOffset>
                </wp:positionV>
                <wp:extent cx="0" cy="342900"/>
                <wp:effectExtent l="95250" t="0" r="95250" b="57150"/>
                <wp:wrapNone/>
                <wp:docPr id="30" name="Straight Arrow Connector 30"/>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1AECDC9" id="Straight Arrow Connector 30" o:spid="_x0000_s1026" type="#_x0000_t32" style="position:absolute;margin-left:396pt;margin-top:143.7pt;width:0;height:27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5Z2AEAAKQDAAAOAAAAZHJzL2Uyb0RvYy54bWysU02P0zAQvSPxHyzfadIuILZqukIt5YKg&#10;0sIPmDpOYslfmjFN++8ZO6G7CzdEDo5n7Hkz7+Vl83BxVpw1kgm+kctFLYX2KrTG94388f3w5oMU&#10;lMC3YIPXjbxqkg/b1682Y1zrVRiCbTUKBvG0HmMjh5TiuqpIDdoBLULUng+7gA4Sh9hXLcLI6M5W&#10;q7p+X40B24hBaSLO7qdDuS34XadV+tZ1pJOwjeTZUlmxrKe8VtsNrHuEOBg1jwH/MIUD47npDWoP&#10;CcRPNH9BOaMwUOjSQgVXha4zShcOzGZZ/8HmcYCoCxcWh+JNJvp/sOrr+YjCtI28Y3k8OP5GjwnB&#10;9EMSHxHDKHbBe9YxoOArrNcYac1lO3/EOaJ4xEz+0qHLb6YlLkXj601jfUlCTUnF2bu3q/u6wFVP&#10;dREpfdbBibxpJM1z3AZYFonh/IUSd+bC3wW5qQ8HY235ntaLkc14X79jTgrYVp2FxFsXmSj5Xgqw&#10;PftVJSyQFKxpc3kGIuxPO4viDOyZw6HmJ9Pmdi+u5d57oGG6V44mNw0a2k++FekaWUzPtp/yCYx9&#10;ykPWdsa1PvfVxa4ztyzyJGvenUJ7LWpXOWIrlHFm22avPY95//zn2v4CAAD//wMAUEsDBBQABgAI&#10;AAAAIQCoRTaB4gAAAAsBAAAPAAAAZHJzL2Rvd25yZXYueG1sTI/BTsMwEETvSPyDtUhcEHWaBlpC&#10;NlWD1AMHJCggxM2NlyQQr4PttuHvMeIAx9kZzb4plqPpxZ6c7ywjTCcJCOLa6o4bhKfH9fkChA+K&#10;teotE8IXeViWx0eFyrU98APtN6ERsYR9rhDaEIZcSl+3ZJSf2IE4em/WGRWidI3UTh1iuellmiSX&#10;0qiO44dWDXTTUv2x2RmEe/NZXQzZqpqdVe/rF3f36rrnW8TTk3F1DSLQGP7C8IMf0aGMTFu7Y+1F&#10;jzC/SuOWgJAu5hmImPi9bBFm2TQDWRby/4byGwAA//8DAFBLAQItABQABgAIAAAAIQC2gziS/gAA&#10;AOEBAAATAAAAAAAAAAAAAAAAAAAAAABbQ29udGVudF9UeXBlc10ueG1sUEsBAi0AFAAGAAgAAAAh&#10;ADj9If/WAAAAlAEAAAsAAAAAAAAAAAAAAAAALwEAAF9yZWxzLy5yZWxzUEsBAi0AFAAGAAgAAAAh&#10;AA0HXlnYAQAApAMAAA4AAAAAAAAAAAAAAAAALgIAAGRycy9lMm9Eb2MueG1sUEsBAi0AFAAGAAgA&#10;AAAhAKhFNoHiAAAACwEAAA8AAAAAAAAAAAAAAAAAMgQAAGRycy9kb3ducmV2LnhtbFBLBQYAAAAA&#10;BAAEAPMAAABBBQAAAAA=&#10;" strokecolor="red"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63872" behindDoc="0" locked="0" layoutInCell="1" allowOverlap="1">
                <wp:simplePos x="0" y="0"/>
                <wp:positionH relativeFrom="column">
                  <wp:posOffset>4343400</wp:posOffset>
                </wp:positionH>
                <wp:positionV relativeFrom="paragraph">
                  <wp:posOffset>1824990</wp:posOffset>
                </wp:positionV>
                <wp:extent cx="685800" cy="0"/>
                <wp:effectExtent l="0" t="0" r="25400" b="25400"/>
                <wp:wrapNone/>
                <wp:docPr id="37" name="Straight Connector 37"/>
                <wp:cNvGraphicFramePr/>
                <a:graphic xmlns:a="http://schemas.openxmlformats.org/drawingml/2006/main">
                  <a:graphicData uri="http://schemas.microsoft.com/office/word/2010/wordprocessingShape">
                    <wps:wsp>
                      <wps:cNvCnPr/>
                      <wps:spPr>
                        <a:xfrm>
                          <a:off x="0" y="0"/>
                          <a:ext cx="6858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8D5969" id="Straight Connector 37"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pt,143.7pt" to="396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7CzwEAAI8DAAAOAAAAZHJzL2Uyb0RvYy54bWysU8tu2zAQvBfoPxC8x1JSJHUFyznYdS9F&#10;ayDtB6z5kAjwhSVr2X/fJeU4aXMr6gNN7pKzO7Oj1ePJWXZUmEzwPb9dtJwpL4I0fuj5zx+7myVn&#10;KYOXYINXPT+rxB/X79+tptipuzAGKxUyAvGpm2LPx5xj1zRJjMpBWoSoPCV1QAeZjjg0EmEidGeb&#10;u7Z9aKaAMmIQKiWKbuckX1d8rZXI37VOKjPbc+ot1xXreihrs15BNyDE0YhLG/APXTgwnopeobaQ&#10;gf1C8wbKGYEhBZ0XIrgmaG2EqhyIzW37F5unEaKqXEicFK8ypf8HK74d98iM7PmHj5x5cDSjp4xg&#10;hjGzTfCeFAzIKElKTTF19GDj93g5pbjHQvuk0ZV/IsROVd3zVV11ykxQ8GF5v2xpBuI51by8i5jy&#10;FxUcK5ueW+MLb+jg+DVlqkVXn6+UsA87Y22dnfVsIuN9au8LNJCFtIVMWxeJVPIDZ2AH8qbIWCFT&#10;sEaW5wUo4XDYWGRHIH/sdi39ClEq98e1UnsLaZzv1dTsnFGB/Owly+dIwnmy+BzPYOzbOMFaX8qq&#10;6swLtaLqrGPZHYI8V3mbcqKp124uDi22en2m/evvaP0bAAD//wMAUEsDBBQABgAIAAAAIQD9C6eQ&#10;3wAAAAsBAAAPAAAAZHJzL2Rvd25yZXYueG1sTI9BS8NAEIXvgv9hGcGb3TSUJMZsigSkHoTS6EFv&#10;2+yYBLOzIbtt4r93BMEe583jve8V28UO4oyT7x0pWK8iEEiNMz21Ct5en+4yED5oMnpwhAq+0cO2&#10;vL4qdG7cTAc816EVHEI+1wq6EMZcSt90aLVfuRGJf59usjrwObXSTHrmcDvIOIoSaXVP3NDpEasO&#10;m6/6ZBW873f78aWqEvf8sZuXNlnXh3RQ6vZmeXwAEXAJ/2b4xWd0KJnp6E5kvBgUJNmGtwQFcZZu&#10;QLAjvY9ZOf4psizk5YbyBwAA//8DAFBLAQItABQABgAIAAAAIQC2gziS/gAAAOEBAAATAAAAAAAA&#10;AAAAAAAAAAAAAABbQ29udGVudF9UeXBlc10ueG1sUEsBAi0AFAAGAAgAAAAhADj9If/WAAAAlAEA&#10;AAsAAAAAAAAAAAAAAAAALwEAAF9yZWxzLy5yZWxzUEsBAi0AFAAGAAgAAAAhAHvVLsLPAQAAjwMA&#10;AA4AAAAAAAAAAAAAAAAALgIAAGRycy9lMm9Eb2MueG1sUEsBAi0AFAAGAAgAAAAhAP0Lp5DfAAAA&#10;CwEAAA8AAAAAAAAAAAAAAAAAKQ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25312" behindDoc="0" locked="0" layoutInCell="1" allowOverlap="1">
                <wp:simplePos x="0" y="0"/>
                <wp:positionH relativeFrom="column">
                  <wp:posOffset>800100</wp:posOffset>
                </wp:positionH>
                <wp:positionV relativeFrom="paragraph">
                  <wp:posOffset>1482090</wp:posOffset>
                </wp:positionV>
                <wp:extent cx="0" cy="342900"/>
                <wp:effectExtent l="0" t="0" r="25400" b="12700"/>
                <wp:wrapNone/>
                <wp:docPr id="76" name="Straight Connector 76"/>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171A29" id="Straight Connector 76" o:spid="_x0000_s1026" style="position:absolute;z-index:25172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pt,116.7pt" to="63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swuwEAAF8DAAAOAAAAZHJzL2Uyb0RvYy54bWysU02PEzEMvSPxH6Lc6cwWWNhRp3toVS4I&#10;Ku3yA9xMMhMpX7JDp/33OGkpC9wQPaS24zz7PXtWjyfvxFEj2Rh6ebdopdBBxcGGsZffnndvPkpB&#10;GcIALgbdy7Mm+bh+/Wo1p04v4xTdoFEwSKBuTr2cck5d05CatAdaxKQDX5qIHjK7ODYDwszo3jXL&#10;tr1v5ohDwqg0EUe3l0u5rvjGaJW/GkM6C9dL7i3XE+t5KGezXkE3IqTJqmsb8A9deLCBi96gtpBB&#10;fEf7F5S3CiNFkxcq+iYaY5WuHJjNXfsHm6cJkq5cWBxKN5no/8GqL8c9Cjv08sO9FAE8z+gpI9hx&#10;ymITQ2AFIwq+ZKXmRB0/2IQ9Xj1Keyy0TwZ9+WdC4lTVPd/U1acs1CWoOPr23fKhrcI3v94lpPxJ&#10;Ry+K0UtnQ+ENHRw/U+ZanPozpYRD3Fnn6uxcEDMv3kP7nsergFfIOMhs+sSkKIxSgBt5N1XGCknR&#10;2aE8L0CE42HjUByB92O3a/lXiHK539JK7S3QdMmrV9c0FwqMrpt2bbWodNGlWIc4nKtcTfF4ihX9&#10;unFlTV76bL/8LtY/AAAA//8DAFBLAwQUAAYACAAAACEAwPi7ieAAAAALAQAADwAAAGRycy9kb3du&#10;cmV2LnhtbEyPQUvDQBCF74L/YRnBm900LWlJsykSkHoQSqMHvW2z0ySYnQ3ZbRP/vVMv9vjePN58&#10;L9tOthMXHHzrSMF8FoFAqpxpqVbw8f7ytAbhgyajO0eo4Ac9bPP7u0ynxo10wEsZasEl5FOtoAmh&#10;T6X0VYNW+5nrkfh2coPVgeVQSzPokcttJ+MoSqTVLfGHRvdYNFh9l2er4HO/2/dvRZG416/dONXJ&#10;vDysOqUeH6bnDYiAU/gPwxWf0SFnpqM7k/GiYx0nvCUoiBeLJYhr4s85srNeLUHmmbzdkP8CAAD/&#10;/wMAUEsBAi0AFAAGAAgAAAAhALaDOJL+AAAA4QEAABMAAAAAAAAAAAAAAAAAAAAAAFtDb250ZW50&#10;X1R5cGVzXS54bWxQSwECLQAUAAYACAAAACEAOP0h/9YAAACUAQAACwAAAAAAAAAAAAAAAAAvAQAA&#10;X3JlbHMvLnJlbHNQSwECLQAUAAYACAAAACEAQrQrMLsBAABfAwAADgAAAAAAAAAAAAAAAAAuAgAA&#10;ZHJzL2Uyb0RvYy54bWxQSwECLQAUAAYACAAAACEAwPi7ie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22240" behindDoc="0" locked="0" layoutInCell="1" allowOverlap="1">
                <wp:simplePos x="0" y="0"/>
                <wp:positionH relativeFrom="column">
                  <wp:posOffset>3086100</wp:posOffset>
                </wp:positionH>
                <wp:positionV relativeFrom="paragraph">
                  <wp:posOffset>1482090</wp:posOffset>
                </wp:positionV>
                <wp:extent cx="0" cy="342900"/>
                <wp:effectExtent l="0" t="0" r="25400" b="12700"/>
                <wp:wrapNone/>
                <wp:docPr id="75" name="Straight Connector 75"/>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AA7FF9E" id="Straight Connector 75" o:spid="_x0000_s1026" style="position:absolute;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pt,116.7pt" to="243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dluwEAAF8DAAAOAAAAZHJzL2Uyb0RvYy54bWysU02PEzEMvSPxH6Lc6cwWFthRp3toVS4I&#10;Ku3yA9xMMhMpX7JDp/33OGkpC9wQPaS24zz7PXtWjyfvxFEj2Rh6ebdopdBBxcGGsZffnndvPkpB&#10;GcIALgbdy7Mm+bh+/Wo1p04v4xTdoFEwSKBuTr2cck5d05CatAdaxKQDX5qIHjK7ODYDwszo3jXL&#10;tn3fzBGHhFFpIo5uL5dyXfGN0Sp/NYZ0Fq6X3FuuJ9bzUM5mvYJuREiTVdc24B+68GADF71BbSGD&#10;+I72LyhvFUaKJi9U9E00xipdOTCbu/YPNk8TJF25sDiUbjLR/4NVX457FHbo5Yd7KQJ4ntFTRrDj&#10;lMUmhsAKRhR8yUrNiTp+sAl7vHqU9lhonwz68s+ExKmqe76pq09ZqEtQcfTtu+VDW4Vvfr1LSPmT&#10;jl4Uo5fOhsIbOjh+psy1OPVnSgmHuLPO1dm5IGZevIf2nsergFfIOMhs+sSkKIxSgBt5N1XGCknR&#10;2aE8L0CE42HjUByB92O3a/lXiHK539JK7S3QdMmrV9c0FwqMrpt2bbWodNGlWIc4nKtcTfF4ihX9&#10;unFlTV76bL/8LtY/AAAA//8DAFBLAwQUAAYACAAAACEAwUtCbuAAAAALAQAADwAAAGRycy9kb3du&#10;cmV2LnhtbEyPQUvDQBCF74L/YRnBm920DWlIsykSkHoQSqMHe9tmxySYnQ3ZbRP/vSMe9DhvHu99&#10;L9/NthdXHH3nSMFyEYFAqp3pqFHw9vr0kILwQZPRvSNU8IUedsXtTa4z4yY64rUKjeAQ8plW0IYw&#10;ZFL6ukWr/cINSPz7cKPVgc+xkWbUE4fbXq6iKJFWd8QNrR6wbLH+rC5WwfthfxheyjJxz6f9NDfJ&#10;sjpueqXu7+bHLYiAc/gzww8+o0PBTGd3IeNFryBOE94SFKzW6xgEO36VMyvpJgZZ5PL/huIbAAD/&#10;/wMAUEsBAi0AFAAGAAgAAAAhALaDOJL+AAAA4QEAABMAAAAAAAAAAAAAAAAAAAAAAFtDb250ZW50&#10;X1R5cGVzXS54bWxQSwECLQAUAAYACAAAACEAOP0h/9YAAACUAQAACwAAAAAAAAAAAAAAAAAvAQAA&#10;X3JlbHMvLnJlbHNQSwECLQAUAAYACAAAACEA20inZbsBAABfAwAADgAAAAAAAAAAAAAAAAAuAgAA&#10;ZHJzL2Uyb0RvYy54bWxQSwECLQAUAAYACAAAACEAwUtCbu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6096" behindDoc="0" locked="0" layoutInCell="1" allowOverlap="1">
                <wp:simplePos x="0" y="0"/>
                <wp:positionH relativeFrom="column">
                  <wp:posOffset>4114800</wp:posOffset>
                </wp:positionH>
                <wp:positionV relativeFrom="paragraph">
                  <wp:posOffset>1482090</wp:posOffset>
                </wp:positionV>
                <wp:extent cx="0" cy="342900"/>
                <wp:effectExtent l="0" t="0" r="25400" b="12700"/>
                <wp:wrapNone/>
                <wp:docPr id="73" name="Straight Connector 73"/>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1D0DFD6" id="Straight Connector 73" o:spid="_x0000_s1026" style="position:absolute;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116.7pt" to="324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7OuwEAAF8DAAAOAAAAZHJzL2Uyb0RvYy54bWysU02PEzEMvSPxH6Lc6cx2+dpRp3toVS4I&#10;Ku3yA9xMMhMpX7JDp/33OGkpC9wQPaS24zz7PXtWjyfvxFEj2Rh6ebdopdBBxcGGsZffnndvPkpB&#10;GcIALgbdy7Mm+bh+/Wo1p04v4xTdoFEwSKBuTr2cck5d05CatAdaxKQDX5qIHjK7ODYDwszo3jXL&#10;tn3fzBGHhFFpIo5uL5dyXfGN0Sp/NYZ0Fq6X3FuuJ9bzUM5mvYJuREiTVdc24B+68GADF71BbSGD&#10;+I72LyhvFUaKJi9U9E00xipdOTCbu/YPNk8TJF25sDiUbjLR/4NVX457FHbo5Yd7KQJ4ntFTRrDj&#10;lMUmhsAKRhR8yUrNiTp+sAl7vHqU9lhonwz68s+ExKmqe76pq09ZqEtQcfT+7fKhrcI3v94lpPxJ&#10;Ry+K0UtnQ+ENHRw/U+ZanPozpYRD3Fnn6uxcEDMv3kP7jsergFfIOMhs+sSkKIxSgBt5N1XGCknR&#10;2aE8L0CE42HjUByB92O3a/lXiHK539JK7S3QdMmrV9c0FwqMrpt2bbWodNGlWIc4nKtcTfF4ihX9&#10;unFlTV76bL/8LtY/AAAA//8DAFBLAwQUAAYACAAAACEAevxw0eAAAAALAQAADwAAAGRycy9kb3du&#10;cmV2LnhtbEyPQUvDQBCF74L/YRnBm920DWlIsykSkHoQSqMHe9tmxySYnQ3ZbRP/vSMe9DhvHu99&#10;L9/NthdXHH3nSMFyEYFAqp3pqFHw9vr0kILwQZPRvSNU8IUedsXtTa4z4yY64rUKjeAQ8plW0IYw&#10;ZFL6ukWr/cINSPz7cKPVgc+xkWbUE4fbXq6iKJFWd8QNrR6wbLH+rC5WwfthfxheyjJxz6f9NDfJ&#10;sjpueqXu7+bHLYiAc/gzww8+o0PBTGd3IeNFryCJU94SFKzW6xgEO36VMyvpJgZZ5PL/huIbAAD/&#10;/wMAUEsBAi0AFAAGAAgAAAAhALaDOJL+AAAA4QEAABMAAAAAAAAAAAAAAAAAAAAAAFtDb250ZW50&#10;X1R5cGVzXS54bWxQSwECLQAUAAYACAAAACEAOP0h/9YAAACUAQAACwAAAAAAAAAAAAAAAAAvAQAA&#10;X3JlbHMvLnJlbHNQSwECLQAUAAYACAAAACEA6bG+zrsBAABfAwAADgAAAAAAAAAAAAAAAAAuAgAA&#10;ZHJzL2Uyb0RvYy54bWxQSwECLQAUAAYACAAAACEAevxw0e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54656" behindDoc="0" locked="0" layoutInCell="1" allowOverlap="1">
                <wp:simplePos x="0" y="0"/>
                <wp:positionH relativeFrom="column">
                  <wp:posOffset>800100</wp:posOffset>
                </wp:positionH>
                <wp:positionV relativeFrom="paragraph">
                  <wp:posOffset>1824990</wp:posOffset>
                </wp:positionV>
                <wp:extent cx="3543300" cy="0"/>
                <wp:effectExtent l="0" t="0" r="12700" b="25400"/>
                <wp:wrapNone/>
                <wp:docPr id="31" name="Straight Arrow Connector 31"/>
                <wp:cNvGraphicFramePr/>
                <a:graphic xmlns:a="http://schemas.openxmlformats.org/drawingml/2006/main">
                  <a:graphicData uri="http://schemas.microsoft.com/office/word/2010/wordprocessingShape">
                    <wps:wsp>
                      <wps:cNvCnPr/>
                      <wps:spPr>
                        <a:xfrm>
                          <a:off x="0" y="0"/>
                          <a:ext cx="3543300" cy="0"/>
                        </a:xfrm>
                        <a:prstGeom prst="straightConnector1">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CA94236" id="Straight Arrow Connector 31" o:spid="_x0000_s1026" type="#_x0000_t32" style="position:absolute;margin-left:63pt;margin-top:143.7pt;width:279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W1wEAAKQDAAAOAAAAZHJzL2Uyb0RvYy54bWysU02P0zAQvSPxHyzfadItiyBqukIt5YKg&#10;0sIPmDpOYslfmjFN++8Zu9mysDdED+547Hkz7/ll/XB2Vpw0kgm+lctFLYX2KnTGD6388X3/5r0U&#10;lMB3YIPXrbxokg+b16/WU2z0XRiD7TQKBvHUTLGVY0qxqSpSo3ZAixC158M+oIPEWxyqDmFidGer&#10;u7p+V00Bu4hBaSLO7q6HclPw+16r9K3vSSdhW8mzpbJiWY95rTZraAaEOBo1jwH/MIUD47npDWoH&#10;CcRPNC+gnFEYKPRpoYKrQt8bpQsHZrOs/2LzOELUhQuLQ/EmE/0/WPX1dEBhulaullJ4cPxGjwnB&#10;DGMSHxHDJLbBe9YxoOArrNcUqeGyrT/gvKN4wEz+3KPL/0xLnIvGl5vG+pyE4uTq/u1qVfNTqKez&#10;6ndhREqfdXAiB62keZDbBMuiMZy+UOLWXPhUkLv6sDfWlge1Xkzsxg/1fW4E7KveQuLQRWZKfpAC&#10;7MCGVQkLJAVrulyegQiH49aiOAGbZr+v+Zd5c7s/ruXeO6Dxeq8cXe00aug++U6kS2Q1Pfv+mk9g&#10;7Ms8w1qf2+pi15laFvkqa46OobsUtau8YyuUaWbbZq8933P8/OPa/AIAAP//AwBQSwMEFAAGAAgA&#10;AAAhABrPwiPcAAAACwEAAA8AAABkcnMvZG93bnJldi54bWxMj0FLxDAQhe+C/yGM4M1NLaXW2nRZ&#10;dD0pilvxnG3GtthMapLu1n/vCIIe35vHm+9V68WO4oA+DI4UXK4SEEitMwN1Cl6b+4sCRIiajB4d&#10;oYIvDLCuT08qXRp3pBc87GInuIRCqRX0MU6llKHt0eqwchMS396dtzqy9J00Xh+53I4yTZJcWj0Q&#10;f+j1hLc9th+72SrI3p6myW3vmufN9roxDh/mx0+v1PnZsrkBEXGJf2H4wWd0qJlp72YyQYys05y3&#10;RAVpcZWB4EReZOzsfx1ZV/L/hvobAAD//wMAUEsBAi0AFAAGAAgAAAAhALaDOJL+AAAA4QEAABMA&#10;AAAAAAAAAAAAAAAAAAAAAFtDb250ZW50X1R5cGVzXS54bWxQSwECLQAUAAYACAAAACEAOP0h/9YA&#10;AACUAQAACwAAAAAAAAAAAAAAAAAvAQAAX3JlbHMvLnJlbHNQSwECLQAUAAYACAAAACEAvqtKVtcB&#10;AACkAwAADgAAAAAAAAAAAAAAAAAuAgAAZHJzL2Uyb0RvYy54bWxQSwECLQAUAAYACAAAACEAGs/C&#10;I9wAAAALAQAADwAAAAAAAAAAAAAAAAAxBAAAZHJzL2Rvd25yZXYueG1sUEsFBgAAAAAEAAQA8wAA&#10;ADo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14720" behindDoc="0" locked="0" layoutInCell="1" allowOverlap="1">
                <wp:simplePos x="0" y="0"/>
                <wp:positionH relativeFrom="column">
                  <wp:posOffset>3657600</wp:posOffset>
                </wp:positionH>
                <wp:positionV relativeFrom="paragraph">
                  <wp:posOffset>453390</wp:posOffset>
                </wp:positionV>
                <wp:extent cx="914400" cy="10287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9144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d) Investigação e educação, reintrodução de espécies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6" type="#_x0000_t202" style="position:absolute;margin-left:4in;margin-top:35.7pt;width:1in;height:8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kpigIAAA4FAAAOAAAAZHJzL2Uyb0RvYy54bWysVE1v2zAMvQ/YfxB0T21nTj+MOoWbNMOA&#10;oi3QDj0rspwYsCVNUmJnQ//7nuQk7dqdhvkgUyRFio+Purzq24ZshbG1kjlNTmJKhOSqrOUqp9+f&#10;FqNzSqxjsmSNkiKnO2Hp1fTzp8tOZ2Ks1qophSEIIm3W6ZyundNZFFm+Fi2zJ0oLCWOlTMsctmYV&#10;lYZ1iN420TiOT6NOmVIbxYW10M4HI52G+FUluLuvKiscaXKKu7mwmrAu/RpNL1m2Mkyva76/BvuH&#10;W7Sslkh6DDVnjpGNqT+EamtulFWVO+GqjVRV1VyEGlBNEr+r5nHNtAi1AByrjzDZ/xeW320fDKnL&#10;nE4okaxFi55E78i16snEo9Npm8HpUcPN9VCjywe9hdIX3Vem9X+UQ2AHzrsjtj4Yh/IiSdMYFg5T&#10;Eo/Pz7BB+Oj1tDbWfRWqJV7IqUHvAqRse2vd4Hpw8cmsaupyUTdN2JjVctYYsmXo8/z65maR7qP/&#10;4dbIjyd39ngQvCpV5+unpGHWwYA6wvcxGm4+hBOBZsMdWYbDEH0aX3mgwK/Z5GxcnE0uRqfFJBml&#10;SXw+Kop4PJoviriI08XsIr1+2Wc4nI888APAXnL9sg9t+hJg86qlKndoilEDqa3mixrI3eLiD8yA&#10;xUAbk+nusVSN6nKq9hIla2V+/k3v/UEuWCnpMBU5tT82zAjg8U2CdqGLGKOwSVEWcpi3luVbi9y0&#10;M4WGJHgDNA+i93fNQayMap8xwIXPChOTHLlzCvwHceaGWcUDwEVRBCcMjmbuVj5q7kN7qD0vnvpn&#10;ZvSePA4w3qnD/LDsHYcGX39SqmLjVFUHgr2iCmL6DYYuUHT/QPipfrsPXq/P2PQ3AAAA//8DAFBL&#10;AwQUAAYACAAAACEAK2NvjeAAAAAKAQAADwAAAGRycy9kb3ducmV2LnhtbEyPwU7DMBBE70j8g7VI&#10;3KjTtCRVGqdCIDgiERBqb268xFZjO7LdNvD1LKdyHM1o5k29mezAThii8U7AfJYBQ9d5ZVwv4OP9&#10;+W4FLCbplBy8QwHfGGHTXF/VslL+7N7w1KaeUYmLlRSgUxorzmOn0co48yM68r58sDKRDD1XQZ6p&#10;3A48z7KCW2kcLWg54qPG7tAerYBO77LD6uVpq39ybj5fi9K02yDE7c30sAaWcEqXMPzhEzo0xLT3&#10;R6ciGwTclwV9SQLK+RIYBUraA7YXkC8WS+BNzf9faH4BAAD//wMAUEsBAi0AFAAGAAgAAAAhALaD&#10;OJL+AAAA4QEAABMAAAAAAAAAAAAAAAAAAAAAAFtDb250ZW50X1R5cGVzXS54bWxQSwECLQAUAAYA&#10;CAAAACEAOP0h/9YAAACUAQAACwAAAAAAAAAAAAAAAAAvAQAAX3JlbHMvLnJlbHNQSwECLQAUAAYA&#10;CAAAACEA97v5KYoCAAAOBQAADgAAAAAAAAAAAAAAAAAuAgAAZHJzL2Uyb0RvYy54bWxQSwECLQAU&#10;AAYACAAAACEAK2NvjeAAAAAKAQAADwAAAAAAAAAAAAAAAADkBAAAZHJzL2Rvd25yZXYueG1sUEsF&#10;BgAAAAAEAAQA8wAAAPEFAAAAAA==&#10;" fillcolor="#dbeef4" strokecolor="windowText">
                <v:textbox>
                  <w:txbxContent>
                    <w:p>
                      <w:pPr>
                        <w:jc w:val="center"/>
                        <w:rPr>
                          <w:sz w:val="20"/>
                          <w:szCs w:val="20"/>
                        </w:rPr>
                      </w:pPr>
                      <w:r>
                        <w:rPr>
                          <w:sz w:val="20"/>
                          <w:szCs w:val="20"/>
                        </w:rPr>
                        <w:t>d) Investigação e educação, reintrodução de espécies</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8576" behindDoc="0" locked="0" layoutInCell="1" allowOverlap="1">
                <wp:simplePos x="0" y="0"/>
                <wp:positionH relativeFrom="column">
                  <wp:posOffset>2171700</wp:posOffset>
                </wp:positionH>
                <wp:positionV relativeFrom="paragraph">
                  <wp:posOffset>453390</wp:posOffset>
                </wp:positionV>
                <wp:extent cx="1257300" cy="102870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12573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c) Interesse da saúde/segurança públicas ou por outras razões imperativas ou de interesse público prioritário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7" type="#_x0000_t202" style="position:absolute;margin-left:171pt;margin-top:35.7pt;width:99pt;height:81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aiwIAAA8FAAAOAAAAZHJzL2Uyb0RvYy54bWysVF1P2zAUfZ+0/2D5vSQtKS0RKQotnSYh&#10;QIKJZ9dx2kiJ7dluk27af9+x0xYGe5qWB+de3w/7nnuur667piY7YWylZEaHZzElQnJVVHKd0W/P&#10;y8GUEuuYLFitpMjoXlh6Pfv86arVqRipjaoLYQiSSJu2OqMb53QaRZZvRMPsmdJCwlgq0zAH1ayj&#10;wrAW2Zs6GsXxRdQqU2ijuLAWu4veSGchf1kK7h7K0gpH6ozibi6sJqwrv0azK5auDdObih+uwf7h&#10;Fg2rJA49pVowx8jWVB9SNRU3yqrSnXHVRKosKy5CDahmGL+r5mnDtAi1AByrTzDZ/5eW3+8eDamK&#10;jJ5TIlmDFj2LzpEb1ZFzj06rbQqnJw0312EbXT7uW2z6orvSNP6PcgjswHl/wtYn4z5oNJ6cxzBx&#10;2IbxaDqBgvzRa7g21n0RqiFeyKhB8wKmbHdnXe96dPGnWVVXxbKq66CY9WpeG7JjaPTi5vZ2mRyy&#10;/+FWy4+Re3sKBLEK1XoAKKmZdTCgkPB9zIab9+lE4Fl/R5YiGKI/xpceOPBzPp6M8sn4cnCRj4eD&#10;ZBhPB3kejwaLZR7ncbKcXyY3vw4nHOMjj3yPsJdct+r6Pp3gX6lij64Y1bPaar6sgNwdLv7IDGgM&#10;tDGa7gFLWas2o+ogUbJR5sff9r0/2AUrJS3GIqP2+5YZATy+SvDucpgkfo6CkqAsKOatZfXWIrfN&#10;XKEhQzwCmgfR+7v6KJZGNS+Y4NyfChOTHGdnFPj34tz1w4oXgIs8D06YHM3cnXzS3Kf2UHtePHcv&#10;zOgDeRxgvFfHAWLpOw71vj5SqnzrVFkFgnmge1RBTK9g6gJFDy+EH+u3evB6fcdmvwEAAP//AwBQ&#10;SwMEFAAGAAgAAAAhANPnmgvgAAAACgEAAA8AAABkcnMvZG93bnJldi54bWxMj8FOwzAQRO9I/IO1&#10;SNyo3SS0VRqnQiA4IhEQam9ubGKr8TqK3Tbw9Syncpyd0eybajP5np3MGF1ACfOZAGawDdphJ+Hj&#10;/fluBSwmhVr1AY2EbxNhU19fVarU4Yxv5tSkjlEJxlJJsCkNJeextcarOAuDQfK+wuhVIjl2XI/q&#10;TOW+55kQC+6VQ/pg1WAerWkPzdFLaO1OHFYvT1v7k3H3+bpYumY7Snl7Mz2sgSUzpUsY/vAJHWpi&#10;2ocj6sh6CXmR0ZYkYTkvgFHgvhB02EvI8rwAXlf8/4T6FwAA//8DAFBLAQItABQABgAIAAAAIQC2&#10;gziS/gAAAOEBAAATAAAAAAAAAAAAAAAAAAAAAABbQ29udGVudF9UeXBlc10ueG1sUEsBAi0AFAAG&#10;AAgAAAAhADj9If/WAAAAlAEAAAsAAAAAAAAAAAAAAAAALwEAAF9yZWxzLy5yZWxzUEsBAi0AFAAG&#10;AAgAAAAhAJ7BohqLAgAADwUAAA4AAAAAAAAAAAAAAAAALgIAAGRycy9lMm9Eb2MueG1sUEsBAi0A&#10;FAAGAAgAAAAhANPnmgvgAAAACgEAAA8AAAAAAAAAAAAAAAAA5QQAAGRycy9kb3ducmV2LnhtbFBL&#10;BQYAAAAABAAEAPMAAADyBQAAAAA=&#10;" fillcolor="#dbeef4" strokecolor="windowText">
                <v:textbox>
                  <w:txbxContent>
                    <w:p>
                      <w:pPr>
                        <w:jc w:val="center"/>
                        <w:rPr>
                          <w:sz w:val="20"/>
                          <w:szCs w:val="20"/>
                        </w:rPr>
                      </w:pPr>
                      <w:r>
                        <w:rPr>
                          <w:sz w:val="20"/>
                          <w:szCs w:val="20"/>
                        </w:rPr>
                        <w:t>c) Interesse da saúde/segurança públicas ou por outras razões imperativas ou de interesse público prioritário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11648" behindDoc="0" locked="0" layoutInCell="1" allowOverlap="1">
                <wp:simplePos x="0" y="0"/>
                <wp:positionH relativeFrom="column">
                  <wp:posOffset>1257300</wp:posOffset>
                </wp:positionH>
                <wp:positionV relativeFrom="paragraph">
                  <wp:posOffset>453390</wp:posOffset>
                </wp:positionV>
                <wp:extent cx="685800" cy="102870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6858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b) Evitar prejuízos sérios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8" type="#_x0000_t202" style="position:absolute;margin-left:99pt;margin-top:35.7pt;width:54pt;height:8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vNjwIAAA4FAAAOAAAAZHJzL2Uyb0RvYy54bWysVMFu2zAMvQ/YPwi6p3Yyp02NOoWbNMOA&#10;oi3QDj0rspwYsCVNUmJnQ/99T3KSZu1Ow3yQSZF6Ih9JXV13TU22wthKyYwOz2JKhOSqqOQqo9+f&#10;F4MJJdYxWbBaSZHRnbD0evr501WrUzFSa1UXwhCASJu2OqNr53QaRZavRcPsmdJCwlgq0zAH1ayi&#10;wrAW6E0djeL4PGqVKbRRXFiL3XlvpNOAX5aCu4eytMKROqOIzYXVhHXp12h6xdKVYXpd8X0Y7B+i&#10;aFglcekRas4cIxtTfYBqKm6UVaU746qJVFlWXIQckM0wfpfN05ppEXIBOVYfabL/D5bfbx8NqYqM&#10;JpRI1qBEz6Jz5EZ1JPHstNqmcHrScHMdtlHlw77Fpk+6K03j/0iHwA6ed0duPRjH5vlkPIlh4TAN&#10;49HkAgrgo7fT2lj3VaiGeCGjBrULlLLtnXW968HFX2ZVXRWLqq6DYlbLWW3IlqHO85vb20UIHuh/&#10;uNXy48mdPR5EXxWq9flTUjPrYEAe4dvHeoIG7B5OhDbrY2QpDkP01/jMQwv8mo0vRvnF+HJwno+H&#10;g2QYTwZ5Ho8G80Ue53GymF0mN6/7Gw7nI098T7CXXLfsQpm+jA7sL1WxQ1GM6pvaar6owNwdAn9k&#10;Bl0MtjGZ7gFLWas2o2ovUbJW5uff9r0/mgtWSlpMRUbtjw0zAnx8k2i7y2GS+DEKSoK0oJhTy/LU&#10;IjfNTKEgQ7wBmgfR+7v6IJZGNS8Y4NzfChOTHHdnFPz34sz1s4oHgIs8D04YHM3cnXzS3EN7qn1f&#10;PHcvzOh98zjQeK8O88PSdz3U+/qTUuUbp8oqNJgnumcVjekVDF1o0f0D4af6VA9eb8/Y9DcAAAD/&#10;/wMAUEsDBBQABgAIAAAAIQASgLBr3wAAAAoBAAAPAAAAZHJzL2Rvd25yZXYueG1sTI/BTsMwEETv&#10;SPyDtUjcqN2kSkOIUyEQHJEICJWbG5vYaryOYrcNfD3LqRxndjT7pt7MfmBHM0UXUMJyIYAZ7IJ2&#10;2Et4f3u6KYHFpFCrIaCR8G0ibJrLi1pVOpzw1Rzb1DMqwVgpCTalseI8dtZ4FRdhNEi3rzB5lUhO&#10;PdeTOlG5H3gmRMG9ckgfrBrNgzXdvj14CZ39FPvy+XFrfzLuPl6KtWu3k5TXV/P9HbBk5nQOwx8+&#10;oUNDTLtwQB3ZQPq2pC1Jwnq5AkaBXBRk7CRkeb4C3tT8/4TmFwAA//8DAFBLAQItABQABgAIAAAA&#10;IQC2gziS/gAAAOEBAAATAAAAAAAAAAAAAAAAAAAAAABbQ29udGVudF9UeXBlc10ueG1sUEsBAi0A&#10;FAAGAAgAAAAhADj9If/WAAAAlAEAAAsAAAAAAAAAAAAAAAAALwEAAF9yZWxzLy5yZWxzUEsBAi0A&#10;FAAGAAgAAAAhAD3ES82PAgAADgUAAA4AAAAAAAAAAAAAAAAALgIAAGRycy9lMm9Eb2MueG1sUEsB&#10;Ai0AFAAGAAgAAAAhABKAsGvfAAAACgEAAA8AAAAAAAAAAAAAAAAA6QQAAGRycy9kb3ducmV2Lnht&#10;bFBLBQYAAAAABAAEAPMAAAD1BQAAAAA=&#10;" fillcolor="#dbeef4" strokecolor="windowText">
                <v:textbox>
                  <w:txbxContent>
                    <w:p>
                      <w:pPr>
                        <w:jc w:val="center"/>
                        <w:rPr>
                          <w:sz w:val="20"/>
                          <w:szCs w:val="20"/>
                        </w:rPr>
                      </w:pPr>
                      <w:r>
                        <w:rPr>
                          <w:sz w:val="20"/>
                          <w:szCs w:val="20"/>
                        </w:rPr>
                        <w:t>b) Evitar prejuízos sérios</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5504" behindDoc="0" locked="0" layoutInCell="1" allowOverlap="1">
                <wp:simplePos x="0" y="0"/>
                <wp:positionH relativeFrom="column">
                  <wp:posOffset>114300</wp:posOffset>
                </wp:positionH>
                <wp:positionV relativeFrom="paragraph">
                  <wp:posOffset>453390</wp:posOffset>
                </wp:positionV>
                <wp:extent cx="914400" cy="10287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914400" cy="1028700"/>
                        </a:xfrm>
                        <a:prstGeom prst="rect">
                          <a:avLst/>
                        </a:prstGeom>
                        <a:solidFill>
                          <a:srgbClr val="4BACC6">
                            <a:lumMod val="20000"/>
                            <a:lumOff val="8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rFonts w:cs="Arial"/>
                                <w:sz w:val="20"/>
                                <w:szCs w:val="20"/>
                              </w:rPr>
                            </w:pPr>
                            <w:r>
                              <w:rPr>
                                <w:sz w:val="20"/>
                                <w:szCs w:val="20"/>
                              </w:rPr>
                              <w:t xml:space="preserve">a) Proteger a fauna e a flora selvagens e conservar os </w:t>
                            </w:r>
                            <w:r>
                              <w:rPr>
                                <w:i/>
                                <w:iCs/>
                                <w:sz w:val="20"/>
                                <w:szCs w:val="20"/>
                              </w:rPr>
                              <w:t>habitats</w:t>
                            </w:r>
                            <w:r>
                              <w:rPr>
                                <w:sz w:val="20"/>
                                <w:szCs w:val="20"/>
                              </w:rPr>
                              <w:t xml:space="preserve"> naturais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59" type="#_x0000_t202" style="position:absolute;margin-left:9pt;margin-top:35.7pt;width:1in;height:8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PApgIAAEcFAAAOAAAAZHJzL2Uyb0RvYy54bWysVFFP2zAQfp+0/2D5vSQtAUpEikJQp0kM&#10;kGDi2XWcNlJie7bbpJv47/vstKWDPU3Lg3O+O9/5vvvOV9d925CNMLZWMqPjk5gSIbkqa7nM6Pfn&#10;+WhKiXVMlqxRUmR0Kyy9nn3+dNXpVEzUSjWlMARBpE07ndGVczqNIstXomX2RGkhYayUaZnD1iyj&#10;0rAO0dsmmsTxedQpU2qjuLAW2tvBSGchflUJ7h6qygpHmozibi6sJqwLv0azK5YuDdOrmu+uwf7h&#10;Fi2rJZIeQt0yx8ja1B9CtTU3yqrKnXDVRqqqai5CDahmHL+r5mnFtAi1AByrDzDZ/xeW328eDanL&#10;jE4okaxFi55F78iN6snEo9Npm8LpScPN9VCjy3u9hdIX3Vem9X+UQ2AHztsDtj4Yh/JynCQxLBym&#10;cTyZXmCD8NHbaW2s+yJUS7yQUYPeBUjZ5s66wXXv4pNZ1dTlvG6asDHLRdEYsmHoc3KTF8V5ONus&#10;22+qHNSgy5CTpVCDFoN6ulfjKnYIE671R/xGfky5tYeMIGSpOg8cJQ2zDgYAEL5dkUfRkGcIJwI/&#10;h+JYisMQfRoPWeDOr+LsYpJfnF2OzvOz8SgZx9NRnseT0e08j/M4mReXyc3rLsP+fOQ7NnTGS65f&#10;9KG/p6f7ti1UuUU3jRqmwWo+rwH5HS7+yAzojzZhpN0DlqpRXUbVTqJkpczPv+m9P1gJKyUdximj&#10;9seaGQE8vkrwNbQf8xc2CcpCDnNsWRxb5LotFDo5xuOheRC9v2v2YmVU+4LJz31WmJjkyJ1R4D+I&#10;hRuGHC8HF3kenDBxmrk7+aS5D+2h9oR67l+Y0TvWOcB4r/aDx9J35Bt8/Ump8rVTVR2Y6YEeUAV1&#10;/AbTGki0e1n8c3C8D15v79/sNwAAAP//AwBQSwMEFAAGAAgAAAAhADdZVALeAAAACQEAAA8AAABk&#10;cnMvZG93bnJldi54bWxMj8FOwzAQRO9I/IO1lbhRp2mVRiFOhUBwRCJFqNzc2I2txuvIdtvA17M9&#10;wXF2RrNv6s3kBnbWIVqPAhbzDJjGziuLvYCP7ct9CSwmiUoOHrWAbx1h09ze1LJS/oLv+tymnlEJ&#10;xkoKMCmNFeexM9rJOPejRvIOPjiZSIaeqyAvVO4GnmdZwZ20SB+MHPWT0d2xPTkBnfnKjuXr8878&#10;5Nx+vhVr2+6CEHez6fEBWNJT+gvDFZ/QoSGmvT+himwgXdKUJGC9WAG7+kVOh72AfLlcAW9q/n9B&#10;8wsAAP//AwBQSwECLQAUAAYACAAAACEAtoM4kv4AAADhAQAAEwAAAAAAAAAAAAAAAAAAAAAAW0Nv&#10;bnRlbnRfVHlwZXNdLnhtbFBLAQItABQABgAIAAAAIQA4/SH/1gAAAJQBAAALAAAAAAAAAAAAAAAA&#10;AC8BAABfcmVscy8ucmVsc1BLAQItABQABgAIAAAAIQAtovPApgIAAEcFAAAOAAAAAAAAAAAAAAAA&#10;AC4CAABkcnMvZTJvRG9jLnhtbFBLAQItABQABgAIAAAAIQA3WVQC3gAAAAkBAAAPAAAAAAAAAAAA&#10;AAAAAAAFAABkcnMvZG93bnJldi54bWxQSwUGAAAAAAQABADzAAAACwYAAAAA&#10;" fillcolor="#dbeef4" strokecolor="windowText">
                <v:textbox>
                  <w:txbxContent>
                    <w:p>
                      <w:pPr>
                        <w:jc w:val="center"/>
                        <w:rPr>
                          <w:rFonts w:cs="Arial"/>
                          <w:sz w:val="20"/>
                          <w:szCs w:val="20"/>
                        </w:rPr>
                      </w:pPr>
                      <w:r>
                        <w:rPr>
                          <w:sz w:val="20"/>
                          <w:szCs w:val="20"/>
                        </w:rPr>
                        <w:t xml:space="preserve">a) Proteger a fauna e a flora selvagens e conservar os </w:t>
                      </w:r>
                      <w:r>
                        <w:rPr>
                          <w:i/>
                          <w:iCs/>
                          <w:sz w:val="20"/>
                          <w:szCs w:val="20"/>
                        </w:rPr>
                        <w:t>habitats</w:t>
                      </w:r>
                      <w:r>
                        <w:rPr>
                          <w:sz w:val="20"/>
                          <w:szCs w:val="20"/>
                        </w:rPr>
                        <w:t xml:space="preserve"> naturais</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79232" behindDoc="0" locked="0" layoutInCell="1" allowOverlap="1">
                <wp:simplePos x="0" y="0"/>
                <wp:positionH relativeFrom="column">
                  <wp:posOffset>342900</wp:posOffset>
                </wp:positionH>
                <wp:positionV relativeFrom="paragraph">
                  <wp:posOffset>2510790</wp:posOffset>
                </wp:positionV>
                <wp:extent cx="10287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1028700" cy="0"/>
                        </a:xfrm>
                        <a:prstGeom prst="line">
                          <a:avLst/>
                        </a:prstGeom>
                        <a:noFill/>
                        <a:ln w="19050" cap="flat" cmpd="sng" algn="ctr">
                          <a:solidFill>
                            <a:srgbClr val="008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A08D291" id="Straight Connector 49" o:spid="_x0000_s1026"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97.7pt" to="108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jqzQEAAJADAAAOAAAAZHJzL2Uyb0RvYy54bWysU8lu2zAQvRfoPxC815KNLo5gOQe76aVo&#10;DST9gDEXiQA3DFnL/vsOKcdNm1vRCzUb38x7HG3uz86yk8Jkgu/5ctFyprwI0vih5z+eHt6tOUsZ&#10;vAQbvOr5RSV+v337ZjPFTq3CGKxUyAjEp26KPR9zjl3TJDEqB2kRovKU1AEdZHJxaCTCROjONqu2&#10;/dhMAWXEIFRKFN3PSb6t+Forkb9rnVRmtuc0W64n1vNYzma7gW5AiKMR1zHgH6ZwYDw1vUHtIQP7&#10;ieYVlDMCQwo6L0RwTdDaCFU5EJtl+xebxxGiqlxInBRvMqX/Byu+nQ7IjOz5+zvOPDh6o8eMYIYx&#10;s13wnhQMyChJSk0xdXRh5w949VI8YKF91ujKlwixc1X3clNXnTMTFFy2q/Wnlh5BPOea3xcjpvxF&#10;BceK0XNrfCEOHZy+pkzNqPS5pIR9eDDW1seznk0Eftd+KNBAO6QtZDJdJFbJD5yBHWg5RcYKmYI1&#10;slwvQAmH484iO0FZkHbd0oBzuz/KSu89pHGuq6l5dUYF8rOXLF8iKedpx+d4BmNfx4mF9aWtqqt5&#10;pVZknYUs1jHIS9W3KR49eyV/XdGyVy99sl/+SNtfAAAA//8DAFBLAwQUAAYACAAAACEA72UHBt4A&#10;AAAKAQAADwAAAGRycy9kb3ducmV2LnhtbEyPQUvDQBCF74L/YRnBm92ktrWN2RQRvARyaBWKt2l2&#10;TUKzs2F3m8Z/7wiCPc6bN2++l28n24vR+NA5UpDOEhCGaqc7ahR8vL89rEGEiKSxd2QUfJsA2+L2&#10;JsdMuwvtzLiPjeAQChkqaGMcMilD3RqLYeYGQ7z7ct5i5NE3Unu8cLjt5TxJVtJiR/yhxcG8tqY+&#10;7c+WMQ4HX+3wqSs/6wrHMk0qKk9K3d9NL88gopnivxl+8fkGCmY6ujPpIHoFywVXiQoeN8sFCDbM&#10;0xUrxz9FFrm8rlD8AAAA//8DAFBLAQItABQABgAIAAAAIQC2gziS/gAAAOEBAAATAAAAAAAAAAAA&#10;AAAAAAAAAABbQ29udGVudF9UeXBlc10ueG1sUEsBAi0AFAAGAAgAAAAhADj9If/WAAAAlAEAAAsA&#10;AAAAAAAAAAAAAAAALwEAAF9yZWxzLy5yZWxzUEsBAi0AFAAGAAgAAAAhAAvtCOrNAQAAkAMAAA4A&#10;AAAAAAAAAAAAAAAALgIAAGRycy9lMm9Eb2MueG1sUEsBAi0AFAAGAAgAAAAhAO9lBwbeAAAACgEA&#10;AA8AAAAAAAAAAAAAAAAAJwQAAGRycy9kb3ducmV2LnhtbFBLBQYAAAAABAAEAPMAAAAyBQ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20864" behindDoc="0" locked="0" layoutInCell="1" allowOverlap="1">
                <wp:simplePos x="0" y="0"/>
                <wp:positionH relativeFrom="column">
                  <wp:posOffset>800100</wp:posOffset>
                </wp:positionH>
                <wp:positionV relativeFrom="paragraph">
                  <wp:posOffset>-2364740</wp:posOffset>
                </wp:positionV>
                <wp:extent cx="0" cy="228600"/>
                <wp:effectExtent l="50800" t="0" r="76200" b="76200"/>
                <wp:wrapNone/>
                <wp:docPr id="8" name="Straight Arrow Connector 8"/>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rgbClr val="008000"/>
                          </a:solidFill>
                          <a:prstDash val="solid"/>
                          <a:headEnd type="none"/>
                          <a:tailEnd type="triangle"/>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82E6727" id="Straight Arrow Connector 8" o:spid="_x0000_s1026" type="#_x0000_t32" style="position:absolute;margin-left:63pt;margin-top:-186.2pt;width:0;height:18pt;z-index:25162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Js1QEAAKUDAAAOAAAAZHJzL2Uyb0RvYy54bWysU8uO0zAU3SPxD5b3NGkXQxU1HaGWYYOg&#10;0sAH3DpOYskv3Wua9u+5dkpmgB1i49yH7+Mcn+wer86Ki0Yywbdyvaql0F6Fzvihld+/Pb3bSkEJ&#10;fAc2eN3Kmyb5uH/7ZjfFRm/CGGynUXATT80UWzmmFJuqIjVqB7QKUXtO9gEdJHZxqDqEibs7W23q&#10;+qGaAnYRg9JEHD3OSbkv/fteq/S170knYVvJu6VyYjnP+az2O2gGhDgadV8D/mELB8bz0KXVERKI&#10;H2j+auWMwkChTysVXBX63ihdMDCadf0HmucRoi5YmByKC030/9qqL5cTCtO1kh/Kg+Mnek4IZhiT&#10;+IAYJnEI3jONAcU2szVFarjo4E949yieMEO/9ujyl0GJa2H4tjCsr0moOag4utlsH+pCfvVSF5HS&#10;Jx2cyEYr6b7GMn9dCIbLZ0o8mQt/FeShPjwZa8trWi8mluLmPU8QClhUvYXEposMk/wgBdiB1aoS&#10;lpYUrOlyeW5EOJwPFsUFsmLqbb3s+du1PPsINM73SmrW0qih++g7kW6RufQs+jmewNiXeEIDfrAl&#10;x0isz6N10esdXuZ5ZjZb59DdCuFV9lgLhYC7brPYXvtsv/679j8BAAD//wMAUEsDBBQABgAIAAAA&#10;IQAJ9PM/4AAAAA0BAAAPAAAAZHJzL2Rvd25yZXYueG1sTI/BTsMwEETvSPyDtUjcWoe0CijEqaAS&#10;XEBCDRVnJ97GUeJ1FDtt8vc4XOhxZkezb7LdZDp2xsE1lgQ8rCNgSJVVDdUCjt9vqydgzktSsrOE&#10;AmZ0sMtvbzKZKnuhA54LX7NQQi6VArT3fcq5qzQa6da2Rwq3kx2M9EEONVeDvIRy0/E4ihJuZEPh&#10;g5Y97jVWbTEaAeX8/vXRnnqjx2P9emiLZv/zOQtxfze9PAPzOPn/MCz4AR3ywFTakZRjXdBxErZ4&#10;AavNY7wFtkT+rHKxNskWeJ7x6xX5LwAAAP//AwBQSwECLQAUAAYACAAAACEAtoM4kv4AAADhAQAA&#10;EwAAAAAAAAAAAAAAAAAAAAAAW0NvbnRlbnRfVHlwZXNdLnhtbFBLAQItABQABgAIAAAAIQA4/SH/&#10;1gAAAJQBAAALAAAAAAAAAAAAAAAAAC8BAABfcmVscy8ucmVsc1BLAQItABQABgAIAAAAIQDhLzJs&#10;1QEAAKUDAAAOAAAAAAAAAAAAAAAAAC4CAABkcnMvZTJvRG9jLnhtbFBLAQItABQABgAIAAAAIQAJ&#10;9PM/4AAAAA0BAAAPAAAAAAAAAAAAAAAAAC8EAABkcnMvZG93bnJldi54bWxQSwUGAAAAAAQABADz&#10;AAAAPAUAAAAA&#10;" strokecolor="green" strokeweight="1pt">
                <v:stroke endarrow="block"/>
              </v:shape>
            </w:pict>
          </mc:Fallback>
        </mc:AlternateContent>
      </w:r>
    </w:p>
    <w:p>
      <w:pPr>
        <w:spacing w:after="240"/>
        <w:jc w:val="both"/>
        <w:rPr>
          <w:rFonts w:ascii="Verdana" w:hAnsi="Verdana"/>
          <w:noProof/>
          <w:sz w:val="20"/>
          <w:szCs w:val="20"/>
        </w:rPr>
      </w:pPr>
    </w:p>
    <w:p>
      <w:pPr>
        <w:rPr>
          <w:rFonts w:ascii="Verdana" w:hAnsi="Verdana"/>
          <w:noProof/>
          <w:sz w:val="20"/>
          <w:szCs w:val="20"/>
        </w:rPr>
      </w:pPr>
      <w:r>
        <w:rPr>
          <w:noProof/>
        </w:rPr>
        <w:br w:type="page"/>
      </w:r>
    </w:p>
    <w:p>
      <w:pPr>
        <w:pStyle w:val="h4"/>
        <w:rPr>
          <w:noProof/>
        </w:rPr>
      </w:pPr>
      <w:r>
        <w:rPr>
          <w:noProof/>
        </w:rPr>
        <w:t>3.2.1.</w:t>
      </w:r>
      <w:r>
        <w:rPr>
          <w:noProof/>
        </w:rPr>
        <w:tab/>
        <w:t xml:space="preserve">TESTE 1: demonstração de um ou mais dos motivos enumerados no artigo 16.º, n.º 1, alíneas a) a d), ou para permitir, em </w:t>
      </w:r>
      <w:r>
        <w:rPr>
          <w:noProof/>
          <w:u w:val="single"/>
        </w:rPr>
        <w:t>condições estritamente controladas</w:t>
      </w:r>
      <w:r>
        <w:rPr>
          <w:noProof/>
        </w:rPr>
        <w:t xml:space="preserve"> e de uma </w:t>
      </w:r>
      <w:r>
        <w:rPr>
          <w:noProof/>
          <w:u w:val="single"/>
        </w:rPr>
        <w:t>forma seletiva</w:t>
      </w:r>
      <w:r>
        <w:rPr>
          <w:noProof/>
        </w:rPr>
        <w:t xml:space="preserve"> e numa </w:t>
      </w:r>
      <w:r>
        <w:rPr>
          <w:noProof/>
          <w:u w:val="single"/>
        </w:rPr>
        <w:t>dimensão limitada</w:t>
      </w:r>
      <w:r>
        <w:rPr>
          <w:noProof/>
        </w:rPr>
        <w:t>, a captura ou detenção de um número limitado especificado pelas autoridades nacionais competentes de determinados espécimes das espécies constantes do anexo IV [artigo 16.º, n.º 1, alínea e)]</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Ao avaliar uma situação de derrogação, as autoridades nacionais devem ter em conta se a mesma é justificada por um dos motivos indicados no artigo 16.º, n.º 1, alíneas a) a d) ou e). O tipo e o peso do motivo também têm de ser analisados relativamente ao interesse da espécie protegida nas circunstâncias específicas em questão, a fim de averiguar se a derrogação é adequada.</w:t>
      </w:r>
    </w:p>
    <w:p>
      <w:pPr>
        <w:spacing w:after="240"/>
        <w:jc w:val="both"/>
        <w:rPr>
          <w:rFonts w:ascii="Verdana" w:hAnsi="Verdana"/>
          <w:noProof/>
          <w:sz w:val="20"/>
          <w:szCs w:val="20"/>
        </w:rPr>
      </w:pPr>
      <w:r>
        <w:rPr>
          <w:rFonts w:ascii="Verdana" w:hAnsi="Verdana"/>
          <w:noProof/>
          <w:sz w:val="20"/>
          <w:szCs w:val="20"/>
        </w:rPr>
        <w:t xml:space="preserve">(3-17) As derrogações são concedidas porque existe um problema ou uma situação específicos que têm de ser abordados. </w:t>
      </w:r>
      <w:r>
        <w:rPr>
          <w:rFonts w:ascii="Verdana" w:hAnsi="Verdana"/>
          <w:b/>
          <w:noProof/>
          <w:sz w:val="20"/>
          <w:szCs w:val="20"/>
        </w:rPr>
        <w:t>As derrogações têm de basear-se pelo menos numa das opções enumeradas no artigo 16.º, n.º 1, alíneas a), b), c), d) e e)</w:t>
      </w:r>
      <w:r>
        <w:rPr>
          <w:rFonts w:ascii="Verdana" w:hAnsi="Verdana"/>
          <w:noProof/>
          <w:sz w:val="20"/>
          <w:szCs w:val="20"/>
        </w:rPr>
        <w:t xml:space="preserve">. Derrogações específicas não justificadas por nenhuma destas razões/opções são contrárias tanto ao espírito e à finalidade da Diretiva </w:t>
      </w:r>
      <w:r>
        <w:rPr>
          <w:rFonts w:ascii="Verdana" w:hAnsi="Verdana"/>
          <w:i/>
          <w:iCs/>
          <w:noProof/>
          <w:sz w:val="20"/>
          <w:szCs w:val="20"/>
        </w:rPr>
        <w:t>Habitats</w:t>
      </w:r>
      <w:r>
        <w:rPr>
          <w:rFonts w:ascii="Verdana" w:hAnsi="Verdana"/>
          <w:noProof/>
          <w:sz w:val="20"/>
          <w:szCs w:val="20"/>
        </w:rPr>
        <w:t xml:space="preserve"> como à letra do seu artigo 16.º</w:t>
      </w:r>
      <w:r>
        <w:rPr>
          <w:rFonts w:ascii="Verdana" w:hAnsi="Verdana"/>
          <w:noProof/>
          <w:sz w:val="20"/>
          <w:szCs w:val="20"/>
          <w:vertAlign w:val="superscript"/>
        </w:rPr>
        <w:footnoteReference w:id="10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No processo C-508/04</w:t>
      </w:r>
      <w:r>
        <w:rPr>
          <w:rFonts w:ascii="Verdana" w:hAnsi="Verdana"/>
          <w:noProof/>
          <w:sz w:val="20"/>
          <w:szCs w:val="20"/>
          <w:vertAlign w:val="superscript"/>
        </w:rPr>
        <w:footnoteReference w:id="107"/>
      </w:r>
      <w:r>
        <w:rPr>
          <w:rFonts w:ascii="Verdana" w:hAnsi="Verdana"/>
          <w:noProof/>
          <w:sz w:val="20"/>
          <w:szCs w:val="20"/>
        </w:rPr>
        <w:t>, o Tribunal de Justiça considerou que a legislação austríaca não estava em conformidade com o artigo 16.º, n.º 1, da diretiva, em parte porque os motivos de derrogação ao abrigo da legislação austríaca (ou seja, exploração comercial de natureza agrícola ou silvícola, fabrico de bebidas e construção de instalações) não estavam abrangidos por nenhum dos motivos/opções enumerados de maneira exaustiva no artigo 16.º, n.º 1, da diretiva.</w:t>
      </w:r>
    </w:p>
    <w:p>
      <w:pPr>
        <w:spacing w:after="360"/>
        <w:jc w:val="both"/>
        <w:rPr>
          <w:rFonts w:ascii="Verdana" w:hAnsi="Verdana"/>
          <w:noProof/>
          <w:sz w:val="20"/>
          <w:szCs w:val="20"/>
        </w:rPr>
      </w:pPr>
      <w:r>
        <w:rPr>
          <w:rFonts w:ascii="Verdana" w:hAnsi="Verdana"/>
          <w:noProof/>
          <w:sz w:val="20"/>
          <w:szCs w:val="20"/>
        </w:rPr>
        <w:t>(3-18)</w:t>
      </w:r>
      <w:r>
        <w:rPr>
          <w:rFonts w:ascii="Verdana" w:hAnsi="Verdana"/>
          <w:noProof/>
          <w:sz w:val="20"/>
          <w:szCs w:val="20"/>
        </w:rPr>
        <w:tab/>
        <w:t xml:space="preserve">Quando se concede uma derrogação, </w:t>
      </w:r>
      <w:r>
        <w:rPr>
          <w:rFonts w:ascii="Verdana" w:hAnsi="Verdana"/>
          <w:b/>
          <w:noProof/>
          <w:sz w:val="20"/>
          <w:szCs w:val="20"/>
        </w:rPr>
        <w:t>o objetivo prosseguido tem de estar fundamentado com clareza e precisão e</w:t>
      </w:r>
      <w:r>
        <w:rPr>
          <w:b/>
          <w:noProof/>
        </w:rPr>
        <w:t xml:space="preserve"> </w:t>
      </w:r>
      <w:r>
        <w:rPr>
          <w:rFonts w:ascii="Verdana" w:hAnsi="Verdana"/>
          <w:b/>
          <w:noProof/>
          <w:sz w:val="20"/>
          <w:szCs w:val="20"/>
        </w:rPr>
        <w:t>a autoridade nacional tem de demonstrar, à luz de dados científicos rigorosos, que as derrogações são adequadas a alcançar esse objetivo</w:t>
      </w:r>
      <w:r>
        <w:rPr>
          <w:rFonts w:ascii="Verdana" w:hAnsi="Verdana"/>
          <w:noProof/>
          <w:sz w:val="20"/>
          <w:szCs w:val="20"/>
        </w:rPr>
        <w:t>, justificar a escolha de motivo/opção ao abrigo do artigo 16.º, n.º 1, alíneas a) a e), e verificar que as condições específicas são cumpridas</w:t>
      </w:r>
      <w:r>
        <w:rPr>
          <w:rFonts w:ascii="Verdana" w:hAnsi="Verdana"/>
          <w:noProof/>
          <w:sz w:val="20"/>
          <w:szCs w:val="20"/>
          <w:vertAlign w:val="superscript"/>
        </w:rPr>
        <w:footnoteReference w:id="108"/>
      </w:r>
      <w:r>
        <w:rPr>
          <w:rFonts w:ascii="Verdana" w:hAnsi="Verdana"/>
          <w:noProof/>
          <w:sz w:val="20"/>
          <w:szCs w:val="20"/>
        </w:rPr>
        <w:t>.</w:t>
      </w:r>
    </w:p>
    <w:p>
      <w:pPr>
        <w:spacing w:after="240"/>
        <w:jc w:val="both"/>
        <w:rPr>
          <w:rFonts w:ascii="Verdana" w:hAnsi="Verdana"/>
          <w:b/>
          <w:i/>
          <w:noProof/>
          <w:sz w:val="20"/>
          <w:szCs w:val="20"/>
        </w:rPr>
      </w:pPr>
      <w:r>
        <w:rPr>
          <w:rFonts w:ascii="Verdana" w:hAnsi="Verdana"/>
          <w:b/>
          <w:i/>
          <w:noProof/>
          <w:sz w:val="20"/>
          <w:szCs w:val="20"/>
        </w:rPr>
        <w:t xml:space="preserve">a) No interesse da proteção da fauna e da flora selvagens e da conservação dos </w:t>
      </w:r>
      <w:r>
        <w:rPr>
          <w:rFonts w:ascii="Verdana" w:hAnsi="Verdana"/>
          <w:b/>
          <w:noProof/>
          <w:sz w:val="20"/>
          <w:szCs w:val="20"/>
        </w:rPr>
        <w:t>habitats</w:t>
      </w:r>
      <w:r>
        <w:rPr>
          <w:rFonts w:ascii="Verdana" w:hAnsi="Verdana"/>
          <w:b/>
          <w:i/>
          <w:noProof/>
          <w:sz w:val="20"/>
          <w:szCs w:val="20"/>
        </w:rPr>
        <w:t xml:space="preserve"> naturais</w:t>
      </w:r>
    </w:p>
    <w:p>
      <w:pPr>
        <w:spacing w:after="240"/>
        <w:jc w:val="both"/>
        <w:rPr>
          <w:rFonts w:ascii="Verdana" w:hAnsi="Verdana"/>
          <w:noProof/>
          <w:sz w:val="20"/>
          <w:szCs w:val="20"/>
        </w:rPr>
      </w:pPr>
      <w:r>
        <w:rPr>
          <w:rFonts w:ascii="Verdana" w:hAnsi="Verdana"/>
          <w:noProof/>
          <w:sz w:val="20"/>
          <w:szCs w:val="20"/>
        </w:rPr>
        <w:t xml:space="preserve">(3-19) O primeiro motivo para conceder uma derrogação é a proteção da fauna e da flora selvagens e a conservação dos </w:t>
      </w:r>
      <w:r>
        <w:rPr>
          <w:rFonts w:ascii="Verdana" w:hAnsi="Verdana"/>
          <w:i/>
          <w:iCs/>
          <w:noProof/>
          <w:sz w:val="20"/>
          <w:szCs w:val="20"/>
        </w:rPr>
        <w:t>habitats</w:t>
      </w:r>
      <w:r>
        <w:rPr>
          <w:rFonts w:ascii="Verdana" w:hAnsi="Verdana"/>
          <w:noProof/>
          <w:sz w:val="20"/>
          <w:szCs w:val="20"/>
        </w:rPr>
        <w:t xml:space="preserve"> naturais. O artigo 16.º, n.º 1, alínea a), não especifica o tipo de fauna, flora ou de </w:t>
      </w:r>
      <w:r>
        <w:rPr>
          <w:rFonts w:ascii="Verdana" w:hAnsi="Verdana"/>
          <w:i/>
          <w:iCs/>
          <w:noProof/>
          <w:sz w:val="20"/>
          <w:szCs w:val="20"/>
        </w:rPr>
        <w:t>habitats</w:t>
      </w:r>
      <w:r>
        <w:rPr>
          <w:rFonts w:ascii="Verdana" w:hAnsi="Verdana"/>
          <w:noProof/>
          <w:sz w:val="20"/>
          <w:szCs w:val="20"/>
        </w:rPr>
        <w:t xml:space="preserve"> naturais abrangidos nem o tipo de ameaças. Face ao objetivo geral da diretiva, </w:t>
      </w:r>
      <w:r>
        <w:rPr>
          <w:rFonts w:ascii="Verdana" w:hAnsi="Verdana"/>
          <w:b/>
          <w:noProof/>
          <w:sz w:val="20"/>
          <w:szCs w:val="20"/>
        </w:rPr>
        <w:t xml:space="preserve">as espécies vulneráveis, raras, ameaçadas ou endémicas e os </w:t>
      </w:r>
      <w:r>
        <w:rPr>
          <w:rFonts w:ascii="Verdana" w:hAnsi="Verdana"/>
          <w:b/>
          <w:i/>
          <w:iCs/>
          <w:noProof/>
          <w:sz w:val="20"/>
          <w:szCs w:val="20"/>
        </w:rPr>
        <w:t>habitats</w:t>
      </w:r>
      <w:r>
        <w:rPr>
          <w:rFonts w:ascii="Verdana" w:hAnsi="Verdana"/>
          <w:b/>
          <w:noProof/>
          <w:sz w:val="20"/>
          <w:szCs w:val="20"/>
        </w:rPr>
        <w:t xml:space="preserve"> naturais </w:t>
      </w:r>
      <w:r>
        <w:rPr>
          <w:rFonts w:ascii="Verdana" w:hAnsi="Verdana"/>
          <w:noProof/>
          <w:sz w:val="20"/>
          <w:szCs w:val="20"/>
        </w:rPr>
        <w:t xml:space="preserve">(por exemplo, os enumerados nos anexos da Diretiva </w:t>
      </w:r>
      <w:r>
        <w:rPr>
          <w:rFonts w:ascii="Verdana" w:hAnsi="Verdana"/>
          <w:i/>
          <w:iCs/>
          <w:noProof/>
          <w:sz w:val="20"/>
          <w:szCs w:val="20"/>
        </w:rPr>
        <w:t>Habitats</w:t>
      </w:r>
      <w:r>
        <w:rPr>
          <w:rFonts w:ascii="Verdana" w:hAnsi="Verdana"/>
          <w:noProof/>
          <w:sz w:val="20"/>
          <w:szCs w:val="20"/>
        </w:rPr>
        <w:t xml:space="preserve">) são mais suscetíveis de serem abrangidos por este motivo, que visaria efetivamente reduzir o impacto negativo de uma determinada espécie nestes </w:t>
      </w:r>
      <w:r>
        <w:rPr>
          <w:rFonts w:ascii="Verdana" w:hAnsi="Verdana"/>
          <w:i/>
          <w:iCs/>
          <w:noProof/>
          <w:sz w:val="20"/>
          <w:szCs w:val="20"/>
        </w:rPr>
        <w:t>habitats</w:t>
      </w:r>
      <w:r>
        <w:rPr>
          <w:rFonts w:ascii="Verdana" w:hAnsi="Verdana"/>
          <w:noProof/>
          <w:sz w:val="20"/>
          <w:szCs w:val="20"/>
        </w:rPr>
        <w:t>. Seria estranho dar prioridade aos interesses de uma espécie que é comum e está bem desenvolvida em detrimento dos interesses de uma espécie que cumpre os critérios do artigo 1.º, alínea g), da diretiva.</w:t>
      </w:r>
    </w:p>
    <w:p>
      <w:pPr>
        <w:spacing w:after="240"/>
        <w:jc w:val="both"/>
        <w:rPr>
          <w:rFonts w:ascii="Verdana" w:hAnsi="Verdana"/>
          <w:noProof/>
          <w:sz w:val="20"/>
          <w:szCs w:val="20"/>
        </w:rPr>
      </w:pPr>
      <w:r>
        <w:rPr>
          <w:rFonts w:ascii="Verdana" w:hAnsi="Verdana"/>
          <w:noProof/>
          <w:sz w:val="20"/>
          <w:szCs w:val="20"/>
        </w:rPr>
        <w:t>(3-20)</w:t>
      </w:r>
      <w:r>
        <w:rPr>
          <w:rFonts w:ascii="Verdana" w:hAnsi="Verdana"/>
          <w:noProof/>
          <w:sz w:val="20"/>
          <w:szCs w:val="20"/>
        </w:rPr>
        <w:tab/>
        <w:t xml:space="preserve">A autoridade competente deve examinar minuciosamente e numa base casuística se os interesses de proteção de um </w:t>
      </w:r>
      <w:r>
        <w:rPr>
          <w:rFonts w:ascii="Verdana" w:hAnsi="Verdana"/>
          <w:i/>
          <w:iCs/>
          <w:noProof/>
          <w:sz w:val="20"/>
          <w:szCs w:val="20"/>
        </w:rPr>
        <w:t>habitat</w:t>
      </w:r>
      <w:r>
        <w:rPr>
          <w:rFonts w:ascii="Verdana" w:hAnsi="Verdana"/>
          <w:noProof/>
          <w:sz w:val="20"/>
          <w:szCs w:val="20"/>
        </w:rPr>
        <w:t xml:space="preserve"> ou espécie de interesse comunitário podem justificar afetar outras espécies de interesse comunitário, por exemplo quando uma espécie-presa possa estar localmente ameaçada por uma espécie carnívora</w:t>
      </w:r>
      <w:r>
        <w:rPr>
          <w:rFonts w:ascii="Verdana" w:hAnsi="Verdana"/>
          <w:noProof/>
          <w:sz w:val="20"/>
          <w:szCs w:val="20"/>
          <w:vertAlign w:val="superscript"/>
        </w:rPr>
        <w:footnoteReference w:id="109"/>
      </w:r>
      <w:r>
        <w:rPr>
          <w:rFonts w:ascii="Verdana" w:hAnsi="Verdana"/>
          <w:noProof/>
          <w:sz w:val="20"/>
          <w:szCs w:val="20"/>
        </w:rPr>
        <w:t xml:space="preserve">. Antes de considerar conceder uma derrogação para proteger uma espécie-presa, deve avaliar e abordar todas as outras eventuais ameaças (por exemplo, deterioração do </w:t>
      </w:r>
      <w:r>
        <w:rPr>
          <w:rFonts w:ascii="Verdana" w:hAnsi="Verdana"/>
          <w:i/>
          <w:iCs/>
          <w:noProof/>
          <w:sz w:val="20"/>
          <w:szCs w:val="20"/>
        </w:rPr>
        <w:t>habitat</w:t>
      </w:r>
      <w:r>
        <w:rPr>
          <w:rFonts w:ascii="Verdana" w:hAnsi="Verdana"/>
          <w:noProof/>
          <w:sz w:val="20"/>
          <w:szCs w:val="20"/>
        </w:rPr>
        <w:t xml:space="preserve">, caça indiscriminada, perturbação, concorrência de espécies domésticas). A avaliação deve abranger o estado de conservação da espécie abrangida pela eventual derrogação em comparação com o estado de conservação da «fauna, flora e dos </w:t>
      </w:r>
      <w:r>
        <w:rPr>
          <w:rFonts w:ascii="Verdana" w:hAnsi="Verdana"/>
          <w:i/>
          <w:iCs/>
          <w:noProof/>
          <w:sz w:val="20"/>
          <w:szCs w:val="20"/>
        </w:rPr>
        <w:t>habitats</w:t>
      </w:r>
      <w:r>
        <w:rPr>
          <w:rFonts w:ascii="Verdana" w:hAnsi="Verdana"/>
          <w:noProof/>
          <w:sz w:val="20"/>
          <w:szCs w:val="20"/>
        </w:rPr>
        <w:t>» em questão, o impacto de longo prazo na(s) população(ões) afetada(s), a eficácia a longo prazo na redução da ameaça, etc. A avaliação deve seguir o princípio da proporcionalidade: as desvantagens provocadas não podem ser desproporcionais aos objetivos pretendidos.</w:t>
      </w:r>
    </w:p>
    <w:p>
      <w:pPr>
        <w:spacing w:after="240"/>
        <w:jc w:val="both"/>
        <w:rPr>
          <w:rFonts w:ascii="Verdana" w:hAnsi="Verdana"/>
          <w:b/>
          <w:i/>
          <w:noProof/>
          <w:sz w:val="20"/>
          <w:szCs w:val="20"/>
        </w:rPr>
      </w:pPr>
      <w:r>
        <w:rPr>
          <w:rFonts w:ascii="Verdana" w:hAnsi="Verdana"/>
          <w:b/>
          <w:i/>
          <w:noProof/>
          <w:sz w:val="20"/>
          <w:szCs w:val="20"/>
        </w:rPr>
        <w:t>b) Para evitar prejuízos sérios, nomeadamente às culturas, à criação de gado, às florestas, às zonas de pesca e às águas e a outras formas de propriedade</w:t>
      </w:r>
    </w:p>
    <w:p>
      <w:pPr>
        <w:spacing w:after="240"/>
        <w:jc w:val="both"/>
        <w:rPr>
          <w:rFonts w:ascii="Verdana" w:hAnsi="Verdana"/>
          <w:noProof/>
          <w:sz w:val="20"/>
          <w:szCs w:val="20"/>
        </w:rPr>
      </w:pPr>
      <w:r>
        <w:rPr>
          <w:rFonts w:ascii="Verdana" w:hAnsi="Verdana"/>
          <w:noProof/>
          <w:sz w:val="20"/>
          <w:szCs w:val="20"/>
        </w:rPr>
        <w:t>(3-21) O segundo motivo para conceder uma derrogação consiste em evitar prejuízos sérios, nomeadamente às culturas, à criação de gado, às florestas, às zonas de pesca e às águas e a outras formas de propriedade. Esta derrogação tem em conta os interesses económicos e, tal como é observado, os prejuízos a evitar têm de ser sérios. Porém, a lista não é exaustiva; pode abranger outras formas de propriedade. Os prejuízos sérios dizem respeito a interesses específicos, ou seja, conduzem, ou podem conduzir, nomeadamente, a uma perda económica e/ou financeira direta ou indireta, à perda de valor da propriedade ou à perda de material de produção.</w:t>
      </w:r>
    </w:p>
    <w:p>
      <w:pPr>
        <w:spacing w:after="240"/>
        <w:jc w:val="both"/>
        <w:rPr>
          <w:rFonts w:ascii="Verdana" w:hAnsi="Verdana"/>
          <w:noProof/>
          <w:sz w:val="20"/>
          <w:szCs w:val="20"/>
        </w:rPr>
      </w:pPr>
      <w:r>
        <w:rPr>
          <w:rFonts w:ascii="Verdana" w:hAnsi="Verdana"/>
          <w:noProof/>
          <w:sz w:val="20"/>
          <w:szCs w:val="20"/>
        </w:rPr>
        <w:t>(3-22)</w:t>
      </w:r>
      <w:r>
        <w:rPr>
          <w:rFonts w:ascii="Verdana" w:hAnsi="Verdana"/>
          <w:noProof/>
          <w:sz w:val="20"/>
          <w:szCs w:val="20"/>
        </w:rPr>
        <w:tab/>
        <w:t>Todavia, como foi realçado pelo Tribunal de Justiça no acórdão no processo C</w:t>
      </w:r>
      <w:r>
        <w:rPr>
          <w:rFonts w:ascii="Verdana" w:hAnsi="Verdana"/>
          <w:noProof/>
          <w:sz w:val="20"/>
          <w:szCs w:val="20"/>
        </w:rPr>
        <w:noBreakHyphen/>
        <w:t xml:space="preserve">46/11, </w:t>
      </w:r>
      <w:r>
        <w:rPr>
          <w:rFonts w:ascii="Verdana" w:hAnsi="Verdana"/>
          <w:b/>
          <w:noProof/>
          <w:sz w:val="20"/>
          <w:szCs w:val="20"/>
        </w:rPr>
        <w:t>o artigo 16.º, n.º 1, alínea b), não permite às autoridades concederem derrogações às proibições previstas no artigo 12.º apenas porque o cumprimento de tais proibições obriga a alterações nas atividades agrícolas, silvícolas ou piscícolas</w:t>
      </w:r>
      <w:r>
        <w:rPr>
          <w:rFonts w:ascii="Verdana" w:hAnsi="Verdana"/>
          <w:noProof/>
          <w:sz w:val="20"/>
          <w:szCs w:val="20"/>
        </w:rPr>
        <w:t>. No processo C-46/11, o acórdão do Tribunal de Justiça afirmou que o artigo 16.º, n.º 1, alínea b), não autoriza a concessão de derrogações às proibições previstas no artigo 12.º com base no argumento de que tais proibições não permitiriam a utilização de tecnologias utilizadas normalmente na agricultura, na silvicultura ou na piscicultura</w:t>
      </w:r>
      <w:r>
        <w:rPr>
          <w:rFonts w:ascii="Verdana" w:hAnsi="Verdana"/>
          <w:noProof/>
          <w:sz w:val="20"/>
          <w:szCs w:val="20"/>
          <w:vertAlign w:val="superscript"/>
        </w:rPr>
        <w:footnoteReference w:id="110"/>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(3-23)</w:t>
      </w:r>
      <w:r>
        <w:rPr>
          <w:rFonts w:ascii="Verdana" w:hAnsi="Verdana"/>
          <w:noProof/>
          <w:sz w:val="20"/>
          <w:szCs w:val="20"/>
        </w:rPr>
        <w:tab/>
        <w:t>Ao decidir sobre o procedimento de derrogação comparável ao abrigo do artigo 9.º da Diretiva Aves (2009/147/CE), o Tribunal de Justiça observou que a diretiva não se destina a evitar a danos de reduzida importância, mas apenas danos importantes, ou seja, que ultrapassem uma certa importância</w:t>
      </w:r>
      <w:r>
        <w:rPr>
          <w:rFonts w:ascii="Verdana" w:hAnsi="Verdana"/>
          <w:noProof/>
          <w:sz w:val="20"/>
          <w:szCs w:val="20"/>
          <w:vertAlign w:val="superscript"/>
        </w:rPr>
        <w:footnoteReference w:id="111"/>
      </w:r>
      <w:r>
        <w:rPr>
          <w:rFonts w:ascii="Verdana" w:hAnsi="Verdana"/>
          <w:noProof/>
          <w:sz w:val="20"/>
          <w:szCs w:val="20"/>
        </w:rPr>
        <w:t xml:space="preserve">. Daí decorre que um mero transtorno ou os riscos comerciais normais não podem constituir motivos legítimos para a concessão de derrogações. Aquilo que se entende por dano importante/prejuízo sério deve ser avaliado </w:t>
      </w:r>
      <w:r>
        <w:rPr>
          <w:rFonts w:ascii="Verdana" w:hAnsi="Verdana"/>
          <w:b/>
          <w:noProof/>
          <w:sz w:val="20"/>
          <w:szCs w:val="20"/>
        </w:rPr>
        <w:t>caso a caso, na altura em que surge o problema</w:t>
      </w:r>
      <w:r>
        <w:rPr>
          <w:rFonts w:ascii="Verdana" w:hAnsi="Verdana"/>
          <w:noProof/>
          <w:sz w:val="20"/>
          <w:szCs w:val="20"/>
        </w:rPr>
        <w:t>.</w:t>
      </w:r>
    </w:p>
    <w:p>
      <w:pPr>
        <w:jc w:val="both"/>
        <w:rPr>
          <w:rFonts w:ascii="Verdana" w:hAnsi="Verdana"/>
          <w:noProof/>
          <w:sz w:val="20"/>
          <w:szCs w:val="20"/>
        </w:rPr>
      </w:pPr>
      <w:r>
        <w:rPr>
          <w:rFonts w:ascii="Verdana" w:hAnsi="Verdana"/>
          <w:noProof/>
          <w:sz w:val="20"/>
          <w:szCs w:val="20"/>
        </w:rPr>
        <w:t>(3-24)</w:t>
      </w:r>
      <w:r>
        <w:rPr>
          <w:rFonts w:ascii="Verdana" w:hAnsi="Verdana"/>
          <w:noProof/>
          <w:sz w:val="20"/>
          <w:szCs w:val="20"/>
        </w:rPr>
        <w:tab/>
        <w:t xml:space="preserve">O Tribunal de Justiça especificou que «o artigo 16.º, n.º 1, da [D]iretiva </w:t>
      </w:r>
      <w:r>
        <w:rPr>
          <w:rFonts w:ascii="Verdana" w:hAnsi="Verdana"/>
          <w:i/>
          <w:iCs/>
          <w:noProof/>
          <w:sz w:val="20"/>
          <w:szCs w:val="20"/>
        </w:rPr>
        <w:t>[H]abitats</w:t>
      </w:r>
      <w:r>
        <w:rPr>
          <w:rFonts w:ascii="Verdana" w:hAnsi="Verdana"/>
          <w:noProof/>
          <w:sz w:val="20"/>
          <w:szCs w:val="20"/>
        </w:rPr>
        <w:t xml:space="preserve"> não exige que ocorram prejuízos sérios como requisito prévio para a adoção de medidas derrogatórias»</w:t>
      </w:r>
      <w:r>
        <w:rPr>
          <w:rFonts w:ascii="Verdana" w:hAnsi="Verdana"/>
          <w:noProof/>
          <w:sz w:val="20"/>
          <w:szCs w:val="20"/>
          <w:vertAlign w:val="superscript"/>
        </w:rPr>
        <w:footnoteReference w:id="112"/>
      </w:r>
      <w:r>
        <w:rPr>
          <w:rFonts w:ascii="Verdana" w:hAnsi="Verdana"/>
          <w:noProof/>
          <w:sz w:val="20"/>
          <w:szCs w:val="20"/>
        </w:rPr>
        <w:t xml:space="preserve">. Uma vez que esta disposição tem por objetivo </w:t>
      </w:r>
      <w:r>
        <w:rPr>
          <w:rFonts w:ascii="Verdana" w:hAnsi="Verdana"/>
          <w:i/>
          <w:noProof/>
          <w:sz w:val="20"/>
          <w:szCs w:val="20"/>
        </w:rPr>
        <w:t>evitar</w:t>
      </w:r>
      <w:r>
        <w:rPr>
          <w:rFonts w:ascii="Verdana" w:hAnsi="Verdana"/>
          <w:noProof/>
          <w:sz w:val="20"/>
          <w:szCs w:val="20"/>
        </w:rPr>
        <w:t xml:space="preserve"> prejuízos sérios, não é necessário que tais prejuízos sérios já tenham ocorrido; a probabilidade de virem a ocorrer é suficiente. Todavia, </w:t>
      </w:r>
      <w:r>
        <w:rPr>
          <w:rFonts w:ascii="Verdana" w:hAnsi="Verdana"/>
          <w:b/>
          <w:noProof/>
          <w:sz w:val="20"/>
          <w:szCs w:val="20"/>
        </w:rPr>
        <w:t xml:space="preserve">a simples hipótese de poderem ocorrer prejuízos não basta; a probabilidade da ocorrência de prejuízos, bem como a extensão desses prejuízos, têm de ser elevadas. </w:t>
      </w:r>
      <w:r>
        <w:rPr>
          <w:rFonts w:ascii="Verdana" w:hAnsi="Verdana"/>
          <w:noProof/>
          <w:sz w:val="20"/>
          <w:szCs w:val="20"/>
        </w:rPr>
        <w:t>A probabilidade elevada de ocorrência de prejuízos sérios tem de ser demonstrada por elementos de prova suficientes. Têm de existir igualmente elementos de prova suficientes de que o risco de prejuízos sérios é em grande parte imputável à espécie visada pela derrogação e de que há uma forte probabilidade de ocorrerem prejuízos sérios se não forem tomadas medidas. As experiências anteriores devem demonstrar uma elevada probabilidade de ocorrência de prejuízos.</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(3-25)</w:t>
      </w:r>
      <w:r>
        <w:rPr>
          <w:rFonts w:ascii="Verdana" w:hAnsi="Verdana"/>
          <w:noProof/>
          <w:sz w:val="20"/>
          <w:szCs w:val="20"/>
        </w:rPr>
        <w:tab/>
        <w:t xml:space="preserve">Ao concederem derrogações, </w:t>
      </w:r>
      <w:r>
        <w:rPr>
          <w:rFonts w:ascii="Verdana" w:hAnsi="Verdana"/>
          <w:b/>
          <w:noProof/>
          <w:sz w:val="20"/>
          <w:szCs w:val="20"/>
        </w:rPr>
        <w:t>os Estados-Membros têm de ser capazes de demonstrar que</w:t>
      </w:r>
      <w:r>
        <w:rPr>
          <w:rFonts w:ascii="Verdana" w:hAnsi="Verdana"/>
          <w:noProof/>
          <w:sz w:val="20"/>
          <w:szCs w:val="20"/>
        </w:rPr>
        <w:t xml:space="preserve"> </w:t>
      </w:r>
      <w:r>
        <w:rPr>
          <w:rFonts w:ascii="Verdana" w:hAnsi="Verdana"/>
          <w:b/>
          <w:noProof/>
          <w:sz w:val="20"/>
          <w:szCs w:val="20"/>
        </w:rPr>
        <w:t>qualquer método de controlo utilizado ao abrigo da derrogação é eficaz e duradouro na prevenção ou limitação dos prejuízos sérios</w:t>
      </w:r>
      <w:r>
        <w:rPr>
          <w:rFonts w:ascii="Verdana" w:hAnsi="Verdana"/>
          <w:noProof/>
          <w:sz w:val="20"/>
          <w:szCs w:val="20"/>
        </w:rPr>
        <w:t>, por exemplo, sendo especificamente dirigido à localização e ao momento em que os prejuízos ocorrem ou são suscetíveis de ocorrer e dirigido aos espécimes que causam prejuízos, etc. No processo C-342/05</w:t>
      </w:r>
      <w:r>
        <w:rPr>
          <w:rFonts w:ascii="Verdana" w:hAnsi="Verdana"/>
          <w:noProof/>
          <w:sz w:val="20"/>
          <w:szCs w:val="20"/>
          <w:vertAlign w:val="superscript"/>
        </w:rPr>
        <w:footnoteReference w:id="113"/>
      </w:r>
      <w:r>
        <w:rPr>
          <w:rFonts w:ascii="Verdana" w:hAnsi="Verdana"/>
          <w:noProof/>
          <w:sz w:val="20"/>
          <w:szCs w:val="20"/>
        </w:rPr>
        <w:t xml:space="preserve">, o Tribunal de Justiça considerou que a Finlândia não cumpriu as obrigações que lhe incumbem por força dos artigos 12.º, n.º 1, e 16.º, n.º 1, alínea b), da Diretiva </w:t>
      </w:r>
      <w:r>
        <w:rPr>
          <w:rFonts w:ascii="Verdana" w:hAnsi="Verdana"/>
          <w:i/>
          <w:iCs/>
          <w:noProof/>
          <w:sz w:val="20"/>
          <w:szCs w:val="20"/>
        </w:rPr>
        <w:t>Habitats</w:t>
      </w:r>
      <w:r>
        <w:rPr>
          <w:rFonts w:ascii="Verdana" w:hAnsi="Verdana"/>
          <w:noProof/>
          <w:sz w:val="20"/>
          <w:szCs w:val="20"/>
        </w:rPr>
        <w:t xml:space="preserve"> por ter autorizado a caça ao lobo a título preventivo, sem que esteja provado que essa autorização pode evitar prejuízos sérios na aceção do artigo 16.º, n.º 1, alínea b). Daí decorre que as derrogações devem </w:t>
      </w:r>
      <w:r>
        <w:rPr>
          <w:rFonts w:ascii="Verdana" w:hAnsi="Verdana"/>
          <w:b/>
          <w:noProof/>
          <w:sz w:val="20"/>
          <w:szCs w:val="20"/>
        </w:rPr>
        <w:t>incidir sobre a escala necessária</w:t>
      </w:r>
      <w:r>
        <w:rPr>
          <w:rFonts w:ascii="Verdana" w:hAnsi="Verdana"/>
          <w:noProof/>
          <w:sz w:val="20"/>
          <w:szCs w:val="20"/>
        </w:rPr>
        <w:t>, mesmo que seja à escala de um espécime isolado (por exemplo, um único urso problemático).</w:t>
      </w:r>
    </w:p>
    <w:p>
      <w:pPr>
        <w:spacing w:after="240"/>
        <w:jc w:val="both"/>
        <w:rPr>
          <w:rFonts w:ascii="Verdana" w:hAnsi="Verdana"/>
          <w:noProof/>
          <w:sz w:val="20"/>
          <w:szCs w:val="20"/>
        </w:rPr>
      </w:pPr>
      <w:r>
        <w:rPr>
          <w:rFonts w:ascii="Verdana" w:hAnsi="Verdana"/>
          <w:noProof/>
          <w:sz w:val="20"/>
          <w:szCs w:val="20"/>
        </w:rPr>
        <w:t>(3-26)</w:t>
      </w:r>
      <w:r>
        <w:rPr>
          <w:rFonts w:ascii="Verdana" w:hAnsi="Verdana"/>
          <w:noProof/>
          <w:sz w:val="20"/>
          <w:szCs w:val="20"/>
        </w:rPr>
        <w:tab/>
        <w:t>As derrogações para a prevenção de prejuízos sérios são principalmente concedidas no caso de espécies que têm um impacto significativo em diferentes setores, como os grandes carnívoros, o castor (</w:t>
      </w:r>
      <w:r>
        <w:rPr>
          <w:rFonts w:ascii="Verdana" w:hAnsi="Verdana"/>
          <w:i/>
          <w:noProof/>
          <w:sz w:val="20"/>
          <w:szCs w:val="20"/>
        </w:rPr>
        <w:t>Castor fiber</w:t>
      </w:r>
      <w:r>
        <w:rPr>
          <w:rFonts w:ascii="Verdana" w:hAnsi="Verdana"/>
          <w:noProof/>
          <w:sz w:val="20"/>
          <w:szCs w:val="20"/>
        </w:rPr>
        <w:t>) e, em menor escala, a lontra (</w:t>
      </w:r>
      <w:r>
        <w:rPr>
          <w:rFonts w:ascii="Verdana" w:hAnsi="Verdana"/>
          <w:i/>
          <w:noProof/>
          <w:sz w:val="20"/>
          <w:szCs w:val="20"/>
        </w:rPr>
        <w:t>Lutra lutra</w:t>
      </w:r>
      <w:r>
        <w:rPr>
          <w:rFonts w:ascii="Verdana" w:hAnsi="Verdana"/>
          <w:noProof/>
          <w:sz w:val="20"/>
          <w:szCs w:val="20"/>
        </w:rPr>
        <w:t>). Estes são exemplos claros de espécies cuja presença e expansão podem levar a uma série de conflitos com interesses humanos em diferentes Estados</w:t>
      </w:r>
      <w:r>
        <w:rPr>
          <w:rFonts w:ascii="Verdana" w:hAnsi="Verdana"/>
          <w:noProof/>
          <w:sz w:val="20"/>
          <w:szCs w:val="20"/>
        </w:rPr>
        <w:noBreakHyphen/>
        <w:t>Membros. A atenuação destes conflitos pode exigir o desenvolvimento de estratégias abrangentes de conservação e o ajuste, se possível, das práticas humanas que suscitam conflitos, a fim de desenvolver uma cultura de coexistência. Pode também implicar o desenvolvimento de planos que sejam adaptados localmente às características específicas da espécie e das atividades visadas, o que pode incluir derrogações em conformidade com o artigo 16.º, n.º 1, alínea b).</w:t>
      </w:r>
    </w:p>
    <w:p>
      <w:pPr>
        <w:spacing w:after="240"/>
        <w:jc w:val="both"/>
        <w:rPr>
          <w:rFonts w:ascii="Verdana" w:hAnsi="Verdana"/>
          <w:noProof/>
          <w:sz w:val="20"/>
          <w:szCs w:val="20"/>
        </w:rPr>
      </w:pPr>
      <w:r>
        <w:rPr>
          <w:rFonts w:ascii="Verdana" w:hAnsi="Verdana"/>
          <w:noProof/>
          <w:sz w:val="20"/>
          <w:szCs w:val="20"/>
        </w:rPr>
        <w:t xml:space="preserve">(3.27) A Comissão Europeia apoiou vários projetos e iniciativas LIFE que desenvolveram orientações de boas práticas para a gestão de conflitos que envolvem espécies protegidas (por exemplo, a </w:t>
      </w:r>
      <w:r>
        <w:rPr>
          <w:rFonts w:ascii="Verdana" w:hAnsi="Verdana"/>
          <w:i/>
          <w:noProof/>
          <w:sz w:val="20"/>
          <w:szCs w:val="20"/>
        </w:rPr>
        <w:t>Plataforma da UE para a Coexistência entre o Homem e os Grandes Carnívoros</w:t>
      </w:r>
      <w:r>
        <w:rPr>
          <w:rFonts w:ascii="Verdana" w:hAnsi="Verdana"/>
          <w:noProof/>
          <w:sz w:val="20"/>
          <w:szCs w:val="20"/>
          <w:vertAlign w:val="superscript"/>
        </w:rPr>
        <w:footnoteReference w:id="114"/>
      </w:r>
      <w:r>
        <w:rPr>
          <w:rFonts w:ascii="Verdana" w:hAnsi="Verdana"/>
          <w:noProof/>
          <w:sz w:val="20"/>
          <w:szCs w:val="20"/>
        </w:rPr>
        <w:t xml:space="preserve"> descrita na caixa abaixo). Em vários Estados-Membros, foram elaboradas orientações específicas para determinadas espécies, a nível nacional ou regional</w:t>
      </w:r>
      <w:r>
        <w:rPr>
          <w:rFonts w:ascii="Verdana" w:hAnsi="Verdana"/>
          <w:noProof/>
          <w:sz w:val="20"/>
          <w:szCs w:val="20"/>
          <w:vertAlign w:val="superscript"/>
        </w:rPr>
        <w:footnoteReference w:id="115"/>
      </w:r>
      <w:r>
        <w:rPr>
          <w:rFonts w:ascii="Verdana" w:hAnsi="Verdana"/>
          <w:noProof/>
          <w:sz w:val="20"/>
          <w:szCs w:val="20"/>
        </w:rPr>
        <w:t>. Quando se pretende obter uma derrogação, é aconselhável explorar as medidas, as práticas e os instrumentos sugeridos nestas orientações ou experimentados noutros locais, a fim de encontrar as soluções mais bem adaptadas a nível local para reduzir os prejuízos e conflitos, seguindo o princípio da proporcionalidade.</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b/>
          <w:noProof/>
          <w:sz w:val="18"/>
          <w:szCs w:val="20"/>
        </w:rPr>
      </w:pPr>
      <w:bookmarkStart w:id="9" w:name="_Toc526255281"/>
      <w:bookmarkStart w:id="10" w:name="_Toc400878384"/>
      <w:r>
        <w:rPr>
          <w:rFonts w:ascii="Verdana" w:hAnsi="Verdana"/>
          <w:b/>
          <w:noProof/>
          <w:sz w:val="18"/>
          <w:szCs w:val="20"/>
        </w:rPr>
        <w:t xml:space="preserve">21 — Exemplo de boas práticas: a </w:t>
      </w:r>
      <w:r>
        <w:rPr>
          <w:rFonts w:ascii="Verdana" w:hAnsi="Verdana"/>
          <w:b/>
          <w:i/>
          <w:noProof/>
          <w:sz w:val="18"/>
          <w:szCs w:val="20"/>
        </w:rPr>
        <w:t>Plataforma da UE para a Coexistência entre o Homem e os Grandes Carnívoros</w:t>
      </w:r>
      <w:bookmarkEnd w:id="9"/>
      <w:bookmarkEnd w:id="10"/>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Quatro espécies de grandes carnívoros, o urso-pardo (</w:t>
      </w:r>
      <w:r>
        <w:rPr>
          <w:rFonts w:ascii="Verdana" w:hAnsi="Verdana"/>
          <w:i/>
          <w:noProof/>
          <w:sz w:val="18"/>
          <w:szCs w:val="20"/>
        </w:rPr>
        <w:t>Ursus arctos</w:t>
      </w:r>
      <w:r>
        <w:rPr>
          <w:rFonts w:ascii="Verdana" w:hAnsi="Verdana"/>
          <w:noProof/>
          <w:sz w:val="18"/>
          <w:szCs w:val="20"/>
        </w:rPr>
        <w:t>), o lobo (</w:t>
      </w:r>
      <w:r>
        <w:rPr>
          <w:rFonts w:ascii="Verdana" w:hAnsi="Verdana"/>
          <w:i/>
          <w:noProof/>
          <w:sz w:val="18"/>
          <w:szCs w:val="20"/>
        </w:rPr>
        <w:t>Canis lupus</w:t>
      </w:r>
      <w:r>
        <w:rPr>
          <w:rFonts w:ascii="Verdana" w:hAnsi="Verdana"/>
          <w:noProof/>
          <w:sz w:val="18"/>
          <w:szCs w:val="20"/>
        </w:rPr>
        <w:t>), o lince</w:t>
      </w:r>
      <w:r>
        <w:rPr>
          <w:rFonts w:ascii="Verdana" w:hAnsi="Verdana"/>
          <w:noProof/>
          <w:sz w:val="18"/>
          <w:szCs w:val="20"/>
        </w:rPr>
        <w:noBreakHyphen/>
        <w:t>europeu (</w:t>
      </w:r>
      <w:r>
        <w:rPr>
          <w:rFonts w:ascii="Verdana" w:hAnsi="Verdana"/>
          <w:i/>
          <w:noProof/>
          <w:sz w:val="18"/>
          <w:szCs w:val="20"/>
        </w:rPr>
        <w:t>Lynx lynx</w:t>
      </w:r>
      <w:r>
        <w:rPr>
          <w:rFonts w:ascii="Verdana" w:hAnsi="Verdana"/>
          <w:noProof/>
          <w:sz w:val="18"/>
          <w:szCs w:val="20"/>
        </w:rPr>
        <w:t>) e o glutão (</w:t>
      </w:r>
      <w:r>
        <w:rPr>
          <w:rFonts w:ascii="Verdana" w:hAnsi="Verdana"/>
          <w:i/>
          <w:noProof/>
          <w:sz w:val="18"/>
          <w:szCs w:val="20"/>
        </w:rPr>
        <w:t>Gulo gulo</w:t>
      </w:r>
      <w:r>
        <w:rPr>
          <w:rFonts w:ascii="Verdana" w:hAnsi="Verdana"/>
          <w:noProof/>
          <w:sz w:val="18"/>
          <w:szCs w:val="20"/>
        </w:rPr>
        <w:t>), fazem parte do grupo de espécies cuja conservação é mais complicada a nível da UE. Tal acontece porque estas espécies têm vastas áreas de repartição que atravessam fronteiras regionais e nacionais e porque podem implicar conflitos com atividades económicas humanas, como a agricultura. A questão complica-se ainda mais devido ao facto de diferentes populações terem diferentes estados de conservação, diferentes regimes de proteção e gestão e diferentes contextos socioeconómicos.</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 xml:space="preserve">A </w:t>
      </w:r>
      <w:r>
        <w:rPr>
          <w:rFonts w:ascii="Verdana" w:hAnsi="Verdana"/>
          <w:i/>
          <w:noProof/>
          <w:sz w:val="18"/>
          <w:szCs w:val="20"/>
        </w:rPr>
        <w:t>Plataforma da UE para a Coexistência entre o Homem e os Grandes Carnívoros</w:t>
      </w:r>
      <w:r>
        <w:rPr>
          <w:rFonts w:ascii="Verdana" w:hAnsi="Verdana"/>
          <w:noProof/>
          <w:sz w:val="18"/>
          <w:szCs w:val="20"/>
        </w:rPr>
        <w:t>, apoiada pela Comissão Europeia desde o seu lançamento, em 2014, é um agrupamento de organizações que representam diferentes grupos de interesse e que chegaram a acordo quanto a uma missão comum: «</w:t>
      </w:r>
      <w:r>
        <w:rPr>
          <w:rFonts w:ascii="Verdana" w:hAnsi="Verdana"/>
          <w:i/>
          <w:noProof/>
          <w:sz w:val="18"/>
          <w:szCs w:val="20"/>
        </w:rPr>
        <w:t>promover formas e meios para reduzir ao mínimo e, sempre que possível, encontrar soluções para os conflitos entre os interesses das pessoas e a presença de espécies de grandes carnívoros, através do intercâmbio de conhecimentos e de uma colaboração aberta e construtiva, baseada no respeito mútuo</w:t>
      </w:r>
      <w:r>
        <w:rPr>
          <w:rFonts w:ascii="Verdana" w:hAnsi="Verdana"/>
          <w:noProof/>
          <w:sz w:val="18"/>
          <w:szCs w:val="20"/>
        </w:rPr>
        <w:t>». As reuniões contam com a participação de representantes de diferentes grupos de interesse, incluindo caçadores, proprietários de terrenos, criadores de renas e</w:t>
      </w:r>
      <w:r>
        <w:rPr>
          <w:noProof/>
        </w:rPr>
        <w:t xml:space="preserve"> </w:t>
      </w:r>
      <w:r>
        <w:rPr>
          <w:rFonts w:ascii="Verdana" w:hAnsi="Verdana"/>
          <w:noProof/>
          <w:sz w:val="18"/>
          <w:szCs w:val="20"/>
        </w:rPr>
        <w:t>ONG no domínio da proteção da natureza.</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A plataforma compila informações e boas práticas de diferentes Estados-Membros e promove as conclusões no respetivo sítio Web e através dos seus canais informativos. Promover e apoiar a adoção de medidas de prevenção de prejuízos através do financiamento da UE para o desenvolvimento rural e a recolha e avaliação de estudos de caso são vertentes consagradas do trabalho da plataforma.</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O plano de comunicação da plataforma descreve os ensinamentos retirados até à data. As atividades conjuntas são as mais bem-sucedidas, na medida em que é mais fácil interagir com um conjunto de partes interessadas diferentes se estas sentirem que os seus interesses são representados. A presença de representantes internacionais da plataforma e da Comissão Europeia nos eventos regionais é útil não apenas no que respeita aos temas abrangidos, mas também como forma de transmitir aos participantes a sensação de que as suas preocupações são escutadas por um grupo mais alargado. Após os eventos, são geralmente acordadas declarações conjuntas que definem um ponto de referência para eventos futuros e permitem à plataforma trabalhar com base em atividades anteriores</w:t>
      </w:r>
      <w:r>
        <w:rPr>
          <w:rFonts w:ascii="Verdana" w:hAnsi="Verdana" w:cs="HelveticaNeue-Light"/>
          <w:noProof/>
          <w:sz w:val="18"/>
          <w:szCs w:val="20"/>
          <w:vertAlign w:val="superscript"/>
        </w:rPr>
        <w:footnoteReference w:id="116"/>
      </w:r>
      <w:r>
        <w:rPr>
          <w:rFonts w:ascii="Verdana" w:hAnsi="Verdana"/>
          <w:noProof/>
          <w:sz w:val="18"/>
          <w:szCs w:val="20"/>
        </w:rPr>
        <w:t>.</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22 — Exemplo de boas práticas: gestão do castor-europeu em França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Em França, o castor-europeu é uma espécie sujeita a proteção rigorosa e o seu estado de conservação está a melhorar. Porém, em certas zonas, os castores causam prejuízos à atividade florestal, pois destroem povoamentos florestais e inundam superfícies de matas e florestas devido às suas atividades de construção de barragens.</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 xml:space="preserve">Após uma recorrência regular destes prejuízos, as pessoas e organizações afetadas solicitaram às autoridades nacionais que concedessem derrogações à proteção rigorosa da espécie. A continuação do conflito poderia promover o abate ilegal de espécimes ou intervenções descontroladas nos </w:t>
      </w:r>
      <w:r>
        <w:rPr>
          <w:rFonts w:ascii="Verdana" w:hAnsi="Verdana"/>
          <w:i/>
          <w:iCs/>
          <w:noProof/>
          <w:sz w:val="18"/>
          <w:szCs w:val="20"/>
        </w:rPr>
        <w:t>habitats</w:t>
      </w:r>
      <w:r>
        <w:rPr>
          <w:rFonts w:ascii="Verdana" w:hAnsi="Verdana"/>
          <w:noProof/>
          <w:sz w:val="18"/>
          <w:szCs w:val="20"/>
        </w:rPr>
        <w:t xml:space="preserve"> da espécie (destruição de barragens) passíveis de afetarem a manutenção de populações em certas zonas. A fim de encontrar uma solução satisfatória que permitisse manter o estado de conservação da espécie e o seu significado simbólico, foram concedidas derrogações para deslocar espécimes para outras zonas sempre que necessário e nos casos em que outras medidas tomadas para promover a coexistência não tenham sido suficientes. Todavia, a execução desta operação não é fácil e requer a aceitação das partes interessadas na nova zona, que podem recear também os futuros impactos da espécie.</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 xml:space="preserve">Face a esta situação, a agência nacional responsável pela caça e pela vida selvagem (ONCFS — </w:t>
      </w:r>
      <w:r>
        <w:rPr>
          <w:rFonts w:ascii="Verdana" w:hAnsi="Verdana"/>
          <w:i/>
          <w:noProof/>
          <w:sz w:val="18"/>
          <w:szCs w:val="20"/>
        </w:rPr>
        <w:t>Office national de la chasse et de la faune sauvage</w:t>
      </w:r>
      <w:r>
        <w:rPr>
          <w:rFonts w:ascii="Verdana" w:hAnsi="Verdana"/>
          <w:noProof/>
          <w:sz w:val="18"/>
          <w:szCs w:val="20"/>
        </w:rPr>
        <w:t xml:space="preserve">) criou uma rede técnica de peritos relativa ao castor, a fim de reforçar o conhecimento sobre a espécie e prestar assistência no terreno às pessoas afetadas por prejuízos causados pelos castores. A experiência obtida está atualmente a ser convertida num guia de boas práticas para evitar prejuízos nas plantações de árvores e para conciliar a manutenção da funcionalidade ecológica dos </w:t>
      </w:r>
      <w:r>
        <w:rPr>
          <w:rFonts w:ascii="Verdana" w:hAnsi="Verdana"/>
          <w:i/>
          <w:iCs/>
          <w:noProof/>
          <w:sz w:val="18"/>
          <w:szCs w:val="20"/>
        </w:rPr>
        <w:t>habitats</w:t>
      </w:r>
      <w:r>
        <w:rPr>
          <w:rFonts w:ascii="Verdana" w:hAnsi="Verdana"/>
          <w:noProof/>
          <w:sz w:val="18"/>
          <w:szCs w:val="20"/>
        </w:rPr>
        <w:t xml:space="preserve"> da espécie evitando simultaneamente as inundações.</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As medidas que visam reduzir os conflitos estão a ser desenvolvidas progressivamente, pelo que a sua eficácia tem de ser avaliada a longo prazo. Estas medidas são variadas e incluem soluções técnicas, tais como a instalação de sistemas que impedem os castores de escavar, tubagens para desvio de águas, dispositivos para controlo de caudais, proteção mecânica de árvores e culturas recorrendo a mangas, barricadas ou cercas elétricas, bem como a utilização de derrogações para remoção, deslocação ou abertura de orifícios nas barragens, etc. Estas medidas são adotadas de forma casuística.</w:t>
      </w:r>
    </w:p>
    <w:p>
      <w:pPr>
        <w:pBdr>
          <w:top w:val="single" w:sz="4" w:space="1" w:color="auto"/>
          <w:left w:val="single" w:sz="4" w:space="4" w:color="auto"/>
          <w:bottom w:val="single" w:sz="4" w:space="1" w:color="auto"/>
          <w:right w:val="single" w:sz="4" w:space="4" w:color="auto"/>
        </w:pBdr>
        <w:shd w:val="clear" w:color="auto" w:fill="92D050"/>
        <w:spacing w:after="360"/>
        <w:jc w:val="both"/>
        <w:rPr>
          <w:rFonts w:ascii="Verdana" w:hAnsi="Verdana"/>
          <w:noProof/>
          <w:sz w:val="18"/>
          <w:szCs w:val="20"/>
        </w:rPr>
      </w:pPr>
      <w:r>
        <w:rPr>
          <w:rFonts w:ascii="Verdana" w:hAnsi="Verdana"/>
          <w:noProof/>
          <w:sz w:val="18"/>
          <w:szCs w:val="20"/>
        </w:rPr>
        <w:t xml:space="preserve">A uma escala mais alargada, são elaborados planos de gestão locais com domínios de ação diferenciados em função do risco e respetivas medidas de prevenção, atenuação e compensação. Estas medidas podem incluir a criação de zonas naturais para recuperação dos </w:t>
      </w:r>
      <w:r>
        <w:rPr>
          <w:rFonts w:ascii="Verdana" w:hAnsi="Verdana"/>
          <w:i/>
          <w:iCs/>
          <w:noProof/>
          <w:sz w:val="18"/>
          <w:szCs w:val="20"/>
        </w:rPr>
        <w:t>habitats</w:t>
      </w:r>
      <w:r>
        <w:rPr>
          <w:rFonts w:ascii="Verdana" w:hAnsi="Verdana"/>
          <w:noProof/>
          <w:sz w:val="18"/>
          <w:szCs w:val="20"/>
        </w:rPr>
        <w:t xml:space="preserve"> dos castores e onde as barragens dos castores podem criar zonas húmidas. As medidas de gestão envolvem também a vigilância da espécie e do seu impacto, bem como atividades de comunicação e informação.</w:t>
      </w:r>
    </w:p>
    <w:p>
      <w:pPr>
        <w:spacing w:after="240"/>
        <w:jc w:val="both"/>
        <w:rPr>
          <w:rFonts w:ascii="Verdana" w:hAnsi="Verdana"/>
          <w:b/>
          <w:i/>
          <w:noProof/>
          <w:sz w:val="20"/>
          <w:szCs w:val="20"/>
        </w:rPr>
      </w:pPr>
      <w:r>
        <w:rPr>
          <w:rFonts w:ascii="Verdana" w:hAnsi="Verdana"/>
          <w:b/>
          <w:i/>
          <w:noProof/>
          <w:sz w:val="20"/>
          <w:szCs w:val="20"/>
        </w:rPr>
        <w:t>c) No interesse da saúde e da segurança públicas ou por outras razões imperativas ou de interesse público prioritário, incluindo razões de caráter social ou económico e a consequências benéficas de importância primordial para o ambiente</w:t>
      </w:r>
    </w:p>
    <w:p>
      <w:pPr>
        <w:spacing w:after="240"/>
        <w:jc w:val="both"/>
        <w:rPr>
          <w:rFonts w:ascii="Verdana" w:hAnsi="Verdana"/>
          <w:noProof/>
          <w:sz w:val="20"/>
          <w:szCs w:val="20"/>
        </w:rPr>
      </w:pPr>
      <w:r>
        <w:rPr>
          <w:rFonts w:ascii="Verdana" w:hAnsi="Verdana"/>
          <w:noProof/>
          <w:sz w:val="20"/>
          <w:szCs w:val="20"/>
        </w:rPr>
        <w:t>(3-28) O terceiro motivo possível para conceder uma derrogação consiste em «razões imperativas ou de interesse público prioritário». Este conceito não é definido na diretiva, mas a alínea em questão refere razões de interesse público como a saúde e a segurança públicas. Também abrange outros motivos não especificados, como razões de caráter social ou económico, razões relacionadas com consequências benéficas de importância primordial para o ambiente, etc. (a lista é não exaustiva).</w:t>
      </w:r>
    </w:p>
    <w:p>
      <w:pPr>
        <w:spacing w:after="240"/>
        <w:jc w:val="both"/>
        <w:rPr>
          <w:rFonts w:ascii="Verdana" w:hAnsi="Verdana"/>
          <w:noProof/>
          <w:sz w:val="20"/>
          <w:szCs w:val="20"/>
        </w:rPr>
      </w:pPr>
      <w:r>
        <w:rPr>
          <w:rFonts w:ascii="Verdana" w:hAnsi="Verdana"/>
          <w:noProof/>
          <w:sz w:val="20"/>
          <w:szCs w:val="20"/>
        </w:rPr>
        <w:t>(3-29) Noutros domínios do direito da UE em que surgem conceitos semelhantes, como, por exemplo, a livre circulação de mercadorias, o Tribunal de Justiça da União Europeia considerou que requisitos imperiosos ou o interesse público justificam medidas nacionais que limitam o princípio da liberdade de circulação. Neste contexto, reconheceu a saúde pública, a proteção do ambiente e a prossecução de objetivos legítimos da política económica e social como requisitos imperiosos desta natureza.</w:t>
      </w:r>
    </w:p>
    <w:p>
      <w:pPr>
        <w:spacing w:after="240"/>
        <w:jc w:val="both"/>
        <w:rPr>
          <w:rFonts w:ascii="Verdana" w:hAnsi="Verdana"/>
          <w:noProof/>
          <w:sz w:val="20"/>
          <w:szCs w:val="20"/>
        </w:rPr>
      </w:pPr>
      <w:r>
        <w:rPr>
          <w:rFonts w:ascii="Verdana" w:hAnsi="Verdana"/>
          <w:noProof/>
          <w:sz w:val="20"/>
          <w:szCs w:val="20"/>
        </w:rPr>
        <w:t>(3-30)</w:t>
      </w:r>
      <w:r>
        <w:rPr>
          <w:rFonts w:ascii="Verdana" w:hAnsi="Verdana"/>
          <w:noProof/>
          <w:sz w:val="20"/>
          <w:szCs w:val="20"/>
        </w:rPr>
        <w:tab/>
        <w:t>O mesmo conceito figura no artigo 6.º, n.º 4, da diretiva. Até ao momento, o Tribunal de Justiça ainda não criou jurisprudência sobre o modo como este conceito específico deve ser interpretado, mas pode considerar-se que a demonstração das razões imperiosas de um plano ou projeto deve ser igualmente aplicável às derrogações. A análise realizada pela Comissão no documento de orientação sobre o artigo 6.º</w:t>
      </w:r>
      <w:r>
        <w:rPr>
          <w:rFonts w:ascii="Verdana" w:hAnsi="Verdana"/>
          <w:noProof/>
          <w:sz w:val="20"/>
          <w:szCs w:val="20"/>
          <w:vertAlign w:val="superscript"/>
        </w:rPr>
        <w:footnoteReference w:id="117"/>
      </w:r>
      <w:r>
        <w:rPr>
          <w:rFonts w:ascii="Verdana" w:hAnsi="Verdana"/>
          <w:noProof/>
          <w:sz w:val="20"/>
          <w:szCs w:val="20"/>
        </w:rPr>
        <w:t xml:space="preserve"> é útil para explicar este conceito.</w:t>
      </w:r>
    </w:p>
    <w:p>
      <w:pPr>
        <w:spacing w:after="240"/>
        <w:jc w:val="both"/>
        <w:rPr>
          <w:rFonts w:ascii="Verdana" w:hAnsi="Verdana"/>
          <w:noProof/>
          <w:sz w:val="20"/>
          <w:szCs w:val="20"/>
        </w:rPr>
      </w:pPr>
      <w:r>
        <w:rPr>
          <w:rFonts w:ascii="Verdana" w:hAnsi="Verdana"/>
          <w:noProof/>
          <w:sz w:val="20"/>
          <w:szCs w:val="20"/>
        </w:rPr>
        <w:t>(3-31)</w:t>
      </w:r>
      <w:r>
        <w:rPr>
          <w:rFonts w:ascii="Verdana" w:hAnsi="Verdana"/>
          <w:noProof/>
          <w:sz w:val="20"/>
          <w:szCs w:val="20"/>
        </w:rPr>
        <w:tab/>
        <w:t xml:space="preserve">Em primeiro lugar, resulta claramente da redação que </w:t>
      </w:r>
      <w:r>
        <w:rPr>
          <w:rFonts w:ascii="Verdana" w:hAnsi="Verdana"/>
          <w:b/>
          <w:noProof/>
          <w:sz w:val="20"/>
          <w:szCs w:val="20"/>
        </w:rPr>
        <w:t>apenas o interesse público</w:t>
      </w:r>
      <w:r>
        <w:rPr>
          <w:rFonts w:ascii="Verdana" w:hAnsi="Verdana"/>
          <w:noProof/>
          <w:sz w:val="20"/>
          <w:szCs w:val="20"/>
        </w:rPr>
        <w:t xml:space="preserve">, promovido por organismos públicos ou privados, </w:t>
      </w:r>
      <w:r>
        <w:rPr>
          <w:rFonts w:ascii="Verdana" w:hAnsi="Verdana"/>
          <w:b/>
          <w:noProof/>
          <w:sz w:val="20"/>
          <w:szCs w:val="20"/>
        </w:rPr>
        <w:t>pode ser ponderado em relação aos objetivos de conservação da diretiva</w:t>
      </w:r>
      <w:r>
        <w:rPr>
          <w:rFonts w:ascii="Verdana" w:hAnsi="Verdana"/>
          <w:noProof/>
          <w:sz w:val="20"/>
          <w:szCs w:val="20"/>
        </w:rPr>
        <w:t>. Assim, normalmente, os projetos que sejam totalmente do interesse de empresas ou pessoas individuais não são considerados de interesse público.</w:t>
      </w:r>
    </w:p>
    <w:p>
      <w:pPr>
        <w:spacing w:after="240"/>
        <w:jc w:val="both"/>
        <w:rPr>
          <w:rFonts w:ascii="Verdana" w:hAnsi="Verdana"/>
          <w:noProof/>
          <w:sz w:val="20"/>
        </w:rPr>
      </w:pPr>
      <w:r>
        <w:rPr>
          <w:rFonts w:ascii="Verdana" w:hAnsi="Verdana"/>
          <w:noProof/>
          <w:sz w:val="20"/>
          <w:szCs w:val="20"/>
        </w:rPr>
        <w:t>(3-32)</w:t>
      </w:r>
      <w:r>
        <w:rPr>
          <w:rFonts w:ascii="Verdana" w:hAnsi="Verdana"/>
          <w:noProof/>
          <w:sz w:val="20"/>
          <w:szCs w:val="20"/>
        </w:rPr>
        <w:tab/>
        <w:t xml:space="preserve">Em segundo lugar, é necessário destacar o caráter «prioritário» deste interesse público, que implica que nem todas as formas de interesse público de caráter social ou económico são suficientes, especialmente em comparação com o peso específico dos interesses protegidos pela diretiva. Neste caso, é necessário um cuidadoso equilíbrio de interesses. Também se afigura razoável pressupor que, </w:t>
      </w:r>
      <w:r>
        <w:rPr>
          <w:rFonts w:ascii="Verdana" w:hAnsi="Verdana"/>
          <w:b/>
          <w:noProof/>
          <w:sz w:val="20"/>
          <w:szCs w:val="20"/>
        </w:rPr>
        <w:t>na maioria dos casos, o</w:t>
      </w:r>
      <w:r>
        <w:rPr>
          <w:rFonts w:ascii="Verdana" w:hAnsi="Verdana"/>
          <w:noProof/>
          <w:sz w:val="20"/>
          <w:szCs w:val="20"/>
        </w:rPr>
        <w:t xml:space="preserve"> </w:t>
      </w:r>
      <w:r>
        <w:rPr>
          <w:rFonts w:ascii="Verdana" w:hAnsi="Verdana"/>
          <w:b/>
          <w:noProof/>
          <w:sz w:val="20"/>
          <w:szCs w:val="20"/>
        </w:rPr>
        <w:t>interesse público só é suscetível de ser prioritário se se tratar de um interesse de longo prazo</w:t>
      </w:r>
      <w:r>
        <w:rPr>
          <w:rFonts w:ascii="Verdana" w:hAnsi="Verdana"/>
          <w:noProof/>
          <w:sz w:val="20"/>
          <w:szCs w:val="20"/>
        </w:rPr>
        <w:t>: os interesses de curto prazo que apenas produzem benefícios de curto prazo não seriam suficientes para suplantar o interesse de longo prazo da conservação das espécies.</w:t>
      </w:r>
    </w:p>
    <w:p>
      <w:pPr>
        <w:spacing w:after="240"/>
        <w:jc w:val="both"/>
        <w:rPr>
          <w:rFonts w:ascii="Verdana" w:hAnsi="Verdana"/>
          <w:noProof/>
          <w:sz w:val="20"/>
          <w:szCs w:val="20"/>
        </w:rPr>
      </w:pPr>
      <w:r>
        <w:rPr>
          <w:rFonts w:ascii="Verdana" w:hAnsi="Verdana"/>
          <w:noProof/>
          <w:sz w:val="20"/>
          <w:szCs w:val="20"/>
        </w:rPr>
        <w:t>(3-33)</w:t>
      </w:r>
      <w:r>
        <w:rPr>
          <w:rFonts w:ascii="Verdana" w:hAnsi="Verdana"/>
          <w:noProof/>
          <w:sz w:val="20"/>
          <w:szCs w:val="20"/>
        </w:rPr>
        <w:tab/>
        <w:t>A autoridade competente tem de examinar minuciosamente o caráter «prioritário» do interesse público caso a caso e obter um equilíbrio adequado com o interesse público geral de concretizar os objetivos da diretiva. Afigura-se razoável considerar, como no caso do artigo 16.º, n.º 1, alínea b), que a utilização de derrogações ao abrigo do artigo 16.º, n.º 1, alínea c), não implica que haja prejuízos para a saúde ou segurança humanas antes da adoção das medidas de derrogação. Porém, quando recorrem a esta derrogação, os Estados-Membros têm de poder demonstrar, com elementos de prova suficientes, uma ligação entre a derrogação e os objetivos de interesse público prioritário citados.</w:t>
      </w:r>
    </w:p>
    <w:p>
      <w:pPr>
        <w:spacing w:after="240"/>
        <w:jc w:val="both"/>
        <w:rPr>
          <w:rFonts w:ascii="Verdana" w:hAnsi="Verdana"/>
          <w:noProof/>
          <w:sz w:val="20"/>
          <w:szCs w:val="20"/>
        </w:rPr>
      </w:pPr>
      <w:r>
        <w:rPr>
          <w:rFonts w:ascii="Verdana" w:hAnsi="Verdana"/>
          <w:noProof/>
          <w:sz w:val="20"/>
          <w:szCs w:val="20"/>
        </w:rPr>
        <w:t>(3-34) Podem ser necessárias derrogações face a determinadas espécies por interesses públicos prioritários para planos ou projetos que afetem sítios Natura 2000, sujeitos aos requisitos do artigo 6.º, n.</w:t>
      </w:r>
      <w:r>
        <w:rPr>
          <w:rFonts w:ascii="Verdana" w:hAnsi="Verdana"/>
          <w:noProof/>
          <w:sz w:val="20"/>
          <w:szCs w:val="20"/>
          <w:vertAlign w:val="superscript"/>
        </w:rPr>
        <w:t>os</w:t>
      </w:r>
      <w:r>
        <w:rPr>
          <w:rFonts w:ascii="Verdana" w:hAnsi="Verdana"/>
          <w:noProof/>
          <w:sz w:val="20"/>
          <w:szCs w:val="20"/>
        </w:rPr>
        <w:t> 3 e 4. Por conseguinte, as medidas de prevenção, atenuação e compensação previstas ao abrigo do artigo 6.º também devem ter em conta a espécie a que a derrogação diz respeito. A fim de garantir a coerência e simplificar os procedimentos previstos no artigo 16.º com as avaliações ao abrigo do artigo 6.º, é aconselhável simplificar também, sempre que necessário, a verificação das condições de derrogação (ausência de outras soluções satisfatórias e de efeitos prejudiciais na espécie) no contexto da avaliação adequada, se for caso disso.</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b/>
          <w:noProof/>
          <w:sz w:val="18"/>
          <w:szCs w:val="20"/>
        </w:rPr>
      </w:pPr>
      <w:bookmarkStart w:id="11" w:name="_Toc526255277"/>
      <w:bookmarkStart w:id="12" w:name="_Toc400878380"/>
      <w:r>
        <w:rPr>
          <w:rFonts w:ascii="Verdana" w:hAnsi="Verdana"/>
          <w:b/>
          <w:noProof/>
          <w:sz w:val="18"/>
          <w:szCs w:val="20"/>
        </w:rPr>
        <w:t>23 — Boas práticas aplicadas na concessão de derrogações ao abrigo do artigo 16.º, n.º 1, alínea c</w:t>
      </w:r>
      <w:bookmarkEnd w:id="11"/>
      <w:bookmarkEnd w:id="12"/>
      <w:r>
        <w:rPr>
          <w:rFonts w:ascii="Verdana" w:hAnsi="Verdana"/>
          <w:b/>
          <w:noProof/>
          <w:sz w:val="18"/>
          <w:szCs w:val="20"/>
        </w:rPr>
        <w:t>)</w:t>
      </w: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r>
        <w:rPr>
          <w:rFonts w:ascii="Verdana" w:hAnsi="Verdana"/>
          <w:noProof/>
          <w:sz w:val="18"/>
          <w:szCs w:val="20"/>
        </w:rPr>
        <w:t>Com base numa análise dos relatórios dos Estados-Membros sobre as derrogações, o artigo 16.º, n.º 1, alínea c), «por outras razões imperativas ou de interesse público prioritário», é um dos motivos mais frequentemente utilizados para a concessão de derrogações em muitos países. Estas derrogações estão normalmente associadas a trabalhos de construção, frequentemente no âmbito de projetos ou planos de desenvolvimento. As atividades permitidas traduzem-se amiúde na perturbação de espécies, na deterioração ou destruição de locais de reprodução ou áreas de repouso e, por vezes, no abate de espécimes. Na maioria dos casos, estas derrogações incidem sobre várias espécies e frequentemente afetam morcegos, anfíbios e répteis, bem como insetos e outros mamíferos.</w:t>
      </w: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r>
        <w:rPr>
          <w:rFonts w:ascii="Verdana" w:hAnsi="Verdana"/>
          <w:noProof/>
          <w:sz w:val="18"/>
          <w:szCs w:val="20"/>
        </w:rPr>
        <w:t>Os Estados-Membros estipularam a aplicação de diferentes medidas antes de concederem estas derrogações, tanto durante como após a aplicação. As medidas incluem:</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 xml:space="preserve">Um estudo de viabilidade sobre todas as opções alternativas, contrabalançando o impacto noutras espécies ou </w:t>
      </w:r>
      <w:r>
        <w:rPr>
          <w:rFonts w:ascii="Verdana" w:hAnsi="Verdana"/>
          <w:i/>
          <w:iCs/>
          <w:noProof/>
          <w:sz w:val="18"/>
        </w:rPr>
        <w:t>habitats</w:t>
      </w:r>
      <w:r>
        <w:rPr>
          <w:rFonts w:ascii="Verdana" w:hAnsi="Verdana"/>
          <w:noProof/>
          <w:sz w:val="18"/>
        </w:rPr>
        <w:t>, bem como outros aspetos ecológicos/sociais/económicos;</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Uma avaliação do efeito da atividade na espécie, tanto durante como depois dos trabalhos;</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Providências para reduzir ao mínimo os impactos negativos (calendário dos trabalhos, supervisão por ecologistas, etc.);</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Medidas para aumentar a atratividade e acessibilidade do local para a espécie após os trabalhos;</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 xml:space="preserve">Disponibilização de abrigos temporários caso o </w:t>
      </w:r>
      <w:r>
        <w:rPr>
          <w:rFonts w:ascii="Verdana" w:hAnsi="Verdana"/>
          <w:i/>
          <w:iCs/>
          <w:noProof/>
          <w:sz w:val="18"/>
        </w:rPr>
        <w:t>habitat</w:t>
      </w:r>
      <w:r>
        <w:rPr>
          <w:rFonts w:ascii="Verdana" w:hAnsi="Verdana"/>
          <w:noProof/>
          <w:sz w:val="18"/>
        </w:rPr>
        <w:t xml:space="preserve"> fique temporariamente indisponível;</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Medidas compensatórias, tais como um local de substituição na proximidade da área do projeto antes do início dos trabalhos ou na nova construção após a sua conclusão;</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Acompanhamento de alterações na utilização do local e da resposta da população afetada às medidas tomadas;</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Um sistema de controlo para acompanhar a aplicação da derrogação, a fim de garantir que todas as condições são cumpridas;</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Um levantamento do estado de conservação da espécie afetada na sua área de repartição natural;</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A aplicação de procedimentos em orientações específicas para a realização dos trabalhos.</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 xml:space="preserve">Algumas destas medidas são necessárias para garantir que as derrogações não prejudicam o estado de conservação das populações da espécie em causa. Outras ultrapassam o que é exigido, uma vez que podem melhorar ativamente as condições iniciais do local ou criar </w:t>
      </w:r>
      <w:r>
        <w:rPr>
          <w:rFonts w:ascii="Verdana" w:hAnsi="Verdana"/>
          <w:i/>
          <w:iCs/>
          <w:noProof/>
          <w:sz w:val="18"/>
          <w:szCs w:val="20"/>
        </w:rPr>
        <w:t>habitats</w:t>
      </w:r>
      <w:r>
        <w:rPr>
          <w:rFonts w:ascii="Verdana" w:hAnsi="Verdana"/>
          <w:noProof/>
          <w:sz w:val="18"/>
          <w:szCs w:val="20"/>
        </w:rPr>
        <w:t xml:space="preserve"> novos, mais amplos ou mais adequados.</w:t>
      </w:r>
    </w:p>
    <w:p>
      <w:pPr>
        <w:pBdr>
          <w:top w:val="single" w:sz="4" w:space="1" w:color="auto"/>
          <w:left w:val="single" w:sz="4" w:space="0" w:color="auto"/>
          <w:bottom w:val="single" w:sz="4" w:space="1" w:color="auto"/>
          <w:right w:val="single" w:sz="4" w:space="1" w:color="auto"/>
        </w:pBdr>
        <w:shd w:val="clear" w:color="auto" w:fill="92D050"/>
        <w:spacing w:after="360"/>
        <w:jc w:val="both"/>
        <w:rPr>
          <w:rFonts w:ascii="Verdana" w:hAnsi="Verdana" w:cs="HelveticaNeue-Light"/>
          <w:noProof/>
          <w:sz w:val="18"/>
          <w:szCs w:val="20"/>
        </w:rPr>
      </w:pPr>
      <w:r>
        <w:rPr>
          <w:rFonts w:ascii="Verdana" w:hAnsi="Verdana"/>
          <w:noProof/>
          <w:sz w:val="18"/>
          <w:szCs w:val="20"/>
        </w:rPr>
        <w:t>Estas medidas são semelhantes às previstas nos procedimentos de avaliação ao abrigo do artigo 6.º, n.</w:t>
      </w:r>
      <w:r>
        <w:rPr>
          <w:rFonts w:ascii="Verdana" w:hAnsi="Verdana"/>
          <w:noProof/>
          <w:sz w:val="18"/>
          <w:szCs w:val="20"/>
          <w:vertAlign w:val="superscript"/>
        </w:rPr>
        <w:t>os</w:t>
      </w:r>
      <w:r>
        <w:rPr>
          <w:rFonts w:ascii="Verdana" w:hAnsi="Verdana"/>
          <w:noProof/>
          <w:sz w:val="18"/>
          <w:szCs w:val="20"/>
        </w:rPr>
        <w:t xml:space="preserve"> 3 e 4. Quando as derrogações previstas no artigo 16.º, n.º 1, alínea c), estão associadas a projetos ou planos sujeitos ao artigo 6.º (por exemplo, para a destruição de </w:t>
      </w:r>
      <w:r>
        <w:rPr>
          <w:rFonts w:ascii="Verdana" w:hAnsi="Verdana"/>
          <w:i/>
          <w:iCs/>
          <w:noProof/>
          <w:sz w:val="18"/>
          <w:szCs w:val="20"/>
        </w:rPr>
        <w:t>habitats</w:t>
      </w:r>
      <w:r>
        <w:rPr>
          <w:rFonts w:ascii="Verdana" w:hAnsi="Verdana"/>
          <w:noProof/>
          <w:sz w:val="18"/>
          <w:szCs w:val="20"/>
        </w:rPr>
        <w:t xml:space="preserve"> de espécies constantes do anexo II/IV num sítio Natura 2000), é possível realizar uma avaliação em função dos critérios do artigo 16.º e enquadrar novas medidas no âmbito da avaliação adequada. Esta abordagem poupa tempo e evita o custo de uma dupla avaliação, garantindo simultaneamente a coerência no cumprimento dos requisitos dos artigos 6.º e 16.º, dando origem a um resultado mais abrangente no que se refere à concretização dos objetivos de conservação.</w:t>
      </w:r>
    </w:p>
    <w:p>
      <w:pPr>
        <w:spacing w:after="240"/>
        <w:jc w:val="both"/>
        <w:rPr>
          <w:rFonts w:ascii="Verdana" w:hAnsi="Verdana"/>
          <w:b/>
          <w:i/>
          <w:noProof/>
          <w:sz w:val="20"/>
          <w:szCs w:val="20"/>
        </w:rPr>
      </w:pPr>
      <w:r>
        <w:rPr>
          <w:rFonts w:ascii="Verdana" w:hAnsi="Verdana"/>
          <w:b/>
          <w:i/>
          <w:noProof/>
          <w:sz w:val="20"/>
          <w:szCs w:val="20"/>
        </w:rPr>
        <w:t>d) Para fins de investigação e de educação, de repovoamento e de reintrodução dessas espécies e para as operações de reprodução necessárias a esses fins, incluindo a reprodução artificial das plantas</w:t>
      </w:r>
    </w:p>
    <w:p>
      <w:pPr>
        <w:spacing w:after="240"/>
        <w:jc w:val="both"/>
        <w:rPr>
          <w:rFonts w:ascii="Verdana" w:hAnsi="Verdana"/>
          <w:noProof/>
          <w:sz w:val="20"/>
          <w:szCs w:val="20"/>
        </w:rPr>
      </w:pPr>
      <w:r>
        <w:rPr>
          <w:rFonts w:ascii="Verdana" w:hAnsi="Verdana"/>
          <w:noProof/>
          <w:sz w:val="20"/>
          <w:szCs w:val="20"/>
        </w:rPr>
        <w:t>(3-35)</w:t>
      </w:r>
      <w:r>
        <w:rPr>
          <w:rFonts w:ascii="Verdana" w:hAnsi="Verdana"/>
          <w:noProof/>
          <w:sz w:val="20"/>
          <w:szCs w:val="20"/>
        </w:rPr>
        <w:tab/>
        <w:t>Estas derrogações poderiam, por exemplo, abranger a marcação de certos espécimes de uma espécie para efeitos de investigação (por exemplo, coleiras emissoras), para compreender melhor o seu comportamento, ou para projetos de conservação que visam a reintrodução da espécie. Como é evidente, os projetos de investigação têm também de ter em consideração métodos alternativos. Por exemplo, quando a investigação implica o abate de um espécime, deve ser incentivada a utilização de carcaças e amostras de espécimes abatidos por outros motivos</w:t>
      </w:r>
      <w:r>
        <w:rPr>
          <w:rFonts w:ascii="Verdana" w:hAnsi="Verdana"/>
          <w:noProof/>
          <w:sz w:val="20"/>
          <w:szCs w:val="20"/>
          <w:vertAlign w:val="superscript"/>
        </w:rPr>
        <w:footnoteReference w:id="118"/>
      </w:r>
      <w:r>
        <w:rPr>
          <w:rFonts w:ascii="Verdana" w:hAnsi="Verdana"/>
          <w:noProof/>
          <w:sz w:val="20"/>
          <w:szCs w:val="20"/>
        </w:rPr>
        <w:t>. É também necessário demonstrar que a finalidade da investigação prevalece sobre os interesses de proteção rigorosa da espécie.</w:t>
      </w:r>
    </w:p>
    <w:p>
      <w:pPr>
        <w:spacing w:after="240"/>
        <w:jc w:val="both"/>
        <w:rPr>
          <w:rFonts w:ascii="Verdana" w:hAnsi="Verdana"/>
          <w:noProof/>
          <w:sz w:val="20"/>
          <w:szCs w:val="20"/>
        </w:rPr>
      </w:pPr>
      <w:r>
        <w:rPr>
          <w:rFonts w:ascii="Verdana" w:hAnsi="Verdana"/>
          <w:noProof/>
          <w:sz w:val="20"/>
          <w:szCs w:val="20"/>
        </w:rPr>
        <w:t>(3-36) A recolha de ovos, a captura e reprodução em cativeiro, a translocação, etc. podem ser permitidas para efeitos de reconstituição de populações em declínio, aumento da sua diversidade genética ou reintrodução de uma espécie. Contudo, embora o objetivo destas derrogações seja a conservação das espécies, elas podem ter vários impactos potencialmente negativos, envolvendo aspetos ecológicos, sociais e económicos e considerações em matéria de bem-estar animal. Por conseguinte, é aconselhável que, ao conceder derrogações deste género, se utilizem os melhores dados, mecanismos e ferramentas disponíveis (</w:t>
      </w:r>
      <w:r>
        <w:rPr>
          <w:rFonts w:ascii="Verdana" w:hAnsi="Verdana"/>
          <w:i/>
          <w:noProof/>
          <w:sz w:val="20"/>
          <w:szCs w:val="20"/>
        </w:rPr>
        <w:t>Guidelines for Reintroductions and Other Conservation Translocations</w:t>
      </w:r>
      <w:r>
        <w:rPr>
          <w:rFonts w:ascii="Verdana" w:hAnsi="Verdana"/>
          <w:noProof/>
          <w:sz w:val="20"/>
          <w:szCs w:val="20"/>
          <w:vertAlign w:val="superscript"/>
        </w:rPr>
        <w:footnoteReference w:id="119"/>
      </w:r>
      <w:r>
        <w:rPr>
          <w:rFonts w:ascii="Verdana" w:hAnsi="Verdana"/>
          <w:noProof/>
          <w:sz w:val="20"/>
          <w:szCs w:val="20"/>
        </w:rPr>
        <w:t xml:space="preserve"> da UICN) e experiências pertinentes com espécies específicas, a fim de aumentar as hipóteses de sucesso e evitar eventuais riscos para a espécie reintroduzida ou outras espécies.</w:t>
      </w:r>
    </w:p>
    <w:p>
      <w:pPr>
        <w:spacing w:after="240"/>
        <w:jc w:val="both"/>
        <w:rPr>
          <w:rFonts w:ascii="Verdana" w:hAnsi="Verdana"/>
          <w:noProof/>
          <w:sz w:val="20"/>
          <w:szCs w:val="20"/>
        </w:rPr>
      </w:pPr>
      <w:r>
        <w:rPr>
          <w:rFonts w:ascii="Verdana" w:hAnsi="Verdana"/>
          <w:noProof/>
          <w:sz w:val="20"/>
          <w:szCs w:val="20"/>
        </w:rPr>
        <w:t xml:space="preserve">Quando a espécie a repovoar ou reintroduzir consta tanto do anexo IV como do anexo II da Diretiva </w:t>
      </w:r>
      <w:r>
        <w:rPr>
          <w:rFonts w:ascii="Verdana" w:hAnsi="Verdana"/>
          <w:i/>
          <w:iCs/>
          <w:noProof/>
          <w:sz w:val="20"/>
          <w:szCs w:val="20"/>
        </w:rPr>
        <w:t>Habitats</w:t>
      </w:r>
      <w:r>
        <w:rPr>
          <w:rFonts w:ascii="Verdana" w:hAnsi="Verdana"/>
          <w:noProof/>
          <w:sz w:val="20"/>
          <w:szCs w:val="20"/>
        </w:rPr>
        <w:t>, e as zonas de destino se situam fora da rede Natura 2000, as autoridades devem igualmente avaliar a oportunidade/necessidade de designar as principais zonas de reprodução e alimentação da população da espécie repovoada ou reintroduzida como sítios Natura 2000, especialmente no que toca a espécies prioritárias. Além disso, as eventuais alternativas à reintrodução ou translocação deverão ter sido previamente avaliadas como menos eficazes ou ter-se mostrado inviáveis como meio de alcançar os objetivos de conservação específicos e claramente definidos da reintrodução ou translocação.</w:t>
      </w:r>
    </w:p>
    <w:p>
      <w:pPr>
        <w:spacing w:after="240"/>
        <w:jc w:val="both"/>
        <w:rPr>
          <w:rFonts w:ascii="Verdana" w:hAnsi="Verdana"/>
          <w:b/>
          <w:i/>
          <w:noProof/>
          <w:sz w:val="20"/>
          <w:szCs w:val="20"/>
        </w:rPr>
      </w:pPr>
      <w:r>
        <w:rPr>
          <w:rFonts w:ascii="Verdana" w:hAnsi="Verdana"/>
          <w:b/>
          <w:i/>
          <w:noProof/>
          <w:sz w:val="20"/>
          <w:szCs w:val="20"/>
        </w:rPr>
        <w:t>e) Para permitir, em condições estritamente controladas e de uma forma seletiva e numa dimensão limitada, a captura ou detenção de um número limitado especificado pelas autoridades nacionais competentes de determinados espécimes das espécies constantes do anexo IV</w:t>
      </w:r>
    </w:p>
    <w:p>
      <w:pPr>
        <w:spacing w:after="240"/>
        <w:jc w:val="both"/>
        <w:rPr>
          <w:rFonts w:ascii="Verdana" w:hAnsi="Verdana"/>
          <w:noProof/>
          <w:sz w:val="20"/>
          <w:szCs w:val="20"/>
        </w:rPr>
      </w:pPr>
      <w:r>
        <w:rPr>
          <w:rFonts w:ascii="Verdana" w:hAnsi="Verdana"/>
          <w:noProof/>
          <w:sz w:val="20"/>
          <w:szCs w:val="20"/>
        </w:rPr>
        <w:t>(3-37) O quinto e último motivo para a concessão de uma derrogação consiste na captura ou detenção de determinados espécimes das espécies constantes do anexo IV, em condições estritamente controladas e de uma forma seletiva e numa dimensão limitada.</w:t>
      </w:r>
    </w:p>
    <w:p>
      <w:pPr>
        <w:spacing w:after="240"/>
        <w:jc w:val="both"/>
        <w:rPr>
          <w:rFonts w:ascii="Verdana" w:hAnsi="Verdana"/>
          <w:noProof/>
          <w:sz w:val="20"/>
          <w:szCs w:val="20"/>
        </w:rPr>
      </w:pPr>
      <w:r>
        <w:rPr>
          <w:rFonts w:ascii="Verdana" w:hAnsi="Verdana"/>
          <w:noProof/>
          <w:sz w:val="20"/>
          <w:szCs w:val="20"/>
        </w:rPr>
        <w:t xml:space="preserve">(3-38) Contrariamente às disposições do artigo 16.º, n.º 1, alíneas a) a d), o artigo 16.º, n.º 1, alínea e), não especifica um objetivo que deve ser alcançado ao utilizar esta derrogação. Não obstante, </w:t>
      </w:r>
      <w:r>
        <w:rPr>
          <w:rFonts w:ascii="Verdana" w:hAnsi="Verdana"/>
          <w:b/>
          <w:noProof/>
          <w:sz w:val="20"/>
          <w:szCs w:val="20"/>
        </w:rPr>
        <w:t>é ainda assim necessário indicar um objetivo quando se recorre ao artigo 16.º, n.º 1, alínea e), e este tem de ser plenamente justificado.</w:t>
      </w:r>
      <w:r>
        <w:rPr>
          <w:rFonts w:ascii="Verdana" w:hAnsi="Verdana"/>
          <w:noProof/>
          <w:sz w:val="20"/>
          <w:szCs w:val="20"/>
        </w:rPr>
        <w:t xml:space="preserve"> O objetivo tem também de estar em conformidade com os objetivos gerais da diretiva. No processo C-674/17, o TJUE esclareceu que «os objetivos invocados em apoio de uma derrogação devem ser definidos de forma clara, precisa e fundamentada na decisão de derrogação». O Tribunal de Justiça considerou também que uma derrogação baseada no artigo 16.º, n.º 1, da Diretiva </w:t>
      </w:r>
      <w:r>
        <w:rPr>
          <w:rFonts w:ascii="Verdana" w:hAnsi="Verdana"/>
          <w:i/>
          <w:iCs/>
          <w:noProof/>
          <w:sz w:val="20"/>
          <w:szCs w:val="20"/>
        </w:rPr>
        <w:t>Habitats</w:t>
      </w:r>
      <w:r>
        <w:rPr>
          <w:rFonts w:ascii="Verdana" w:hAnsi="Verdana"/>
          <w:noProof/>
          <w:sz w:val="20"/>
          <w:szCs w:val="20"/>
        </w:rPr>
        <w:t xml:space="preserve"> «só pode constituir uma aplicação concreta e pontual para responder a exigências precisas e a situações específicas»</w:t>
      </w:r>
      <w:r>
        <w:rPr>
          <w:rFonts w:ascii="Verdana" w:hAnsi="Verdana"/>
          <w:noProof/>
          <w:sz w:val="20"/>
          <w:szCs w:val="20"/>
          <w:vertAlign w:val="superscript"/>
        </w:rPr>
        <w:footnoteReference w:id="120"/>
      </w:r>
      <w:r>
        <w:rPr>
          <w:rFonts w:ascii="Verdana" w:hAnsi="Verdana"/>
          <w:noProof/>
          <w:sz w:val="20"/>
          <w:szCs w:val="20"/>
        </w:rPr>
        <w:t>. Torna-se, por conseguinte, evidente que é necessário que haja um objetivo específico para que a derrogação seja concedida.</w:t>
      </w:r>
    </w:p>
    <w:p>
      <w:pPr>
        <w:spacing w:after="240"/>
        <w:jc w:val="both"/>
        <w:rPr>
          <w:rFonts w:ascii="Verdana" w:hAnsi="Verdana"/>
          <w:i/>
          <w:noProof/>
          <w:sz w:val="20"/>
          <w:szCs w:val="20"/>
        </w:rPr>
      </w:pPr>
      <w:r>
        <w:rPr>
          <w:rFonts w:ascii="Verdana" w:hAnsi="Verdana"/>
          <w:noProof/>
          <w:sz w:val="20"/>
          <w:szCs w:val="20"/>
        </w:rPr>
        <w:t>(3-39) No processo C-674/17</w:t>
      </w:r>
      <w:r>
        <w:rPr>
          <w:rFonts w:ascii="Verdana" w:hAnsi="Verdana"/>
          <w:noProof/>
          <w:sz w:val="20"/>
          <w:szCs w:val="20"/>
          <w:vertAlign w:val="superscript"/>
        </w:rPr>
        <w:footnoteReference w:id="121"/>
      </w:r>
      <w:r>
        <w:rPr>
          <w:rFonts w:ascii="Verdana" w:hAnsi="Verdana"/>
          <w:noProof/>
          <w:sz w:val="20"/>
          <w:szCs w:val="20"/>
        </w:rPr>
        <w:t xml:space="preserve"> o Tribunal de Justiça determinou que «o objetivo de uma derrogação baseada no artigo 16.º, n.º 1, alínea e), da Diretiva </w:t>
      </w:r>
      <w:r>
        <w:rPr>
          <w:rFonts w:ascii="Verdana" w:hAnsi="Verdana"/>
          <w:i/>
          <w:iCs/>
          <w:noProof/>
          <w:sz w:val="20"/>
          <w:szCs w:val="20"/>
        </w:rPr>
        <w:t>Habitats</w:t>
      </w:r>
      <w:r>
        <w:rPr>
          <w:rFonts w:ascii="Verdana" w:hAnsi="Verdana"/>
          <w:noProof/>
          <w:sz w:val="20"/>
          <w:szCs w:val="20"/>
        </w:rPr>
        <w:t xml:space="preserve"> não pode, em princípio, ser confundido com os objetivos das derrogações baseadas no artigo 16.º, n.º 1, alíneas a) a d), desta diretiva, de modo que a primeira disposição apenas pode servir de fundamento à adoção de uma derrogação nos casos em que estas últimas disposições não sejam pertinentes» e que «[o] artigo 16.º, n.º 1, alínea e), da Diretiva </w:t>
      </w:r>
      <w:r>
        <w:rPr>
          <w:rFonts w:ascii="Verdana" w:hAnsi="Verdana"/>
          <w:i/>
          <w:iCs/>
          <w:noProof/>
          <w:sz w:val="20"/>
          <w:szCs w:val="20"/>
        </w:rPr>
        <w:t>Habitats</w:t>
      </w:r>
      <w:r>
        <w:rPr>
          <w:rFonts w:ascii="Verdana" w:hAnsi="Verdana"/>
          <w:noProof/>
          <w:sz w:val="20"/>
          <w:szCs w:val="20"/>
        </w:rPr>
        <w:t xml:space="preserve"> não pode […] constituir uma base jurídica geral para a concessão de derrogações ao artigo 12.º, n.º 1, desta diretiva, sob pena de privar de efeito útil os outros casos do artigo 16.º, n.º 1, da mesma diretiva e o referido sistema de proteção rigorosa».</w:t>
      </w:r>
    </w:p>
    <w:p>
      <w:pPr>
        <w:spacing w:after="240"/>
        <w:jc w:val="both"/>
        <w:rPr>
          <w:rFonts w:ascii="Verdana" w:hAnsi="Verdana"/>
          <w:noProof/>
          <w:sz w:val="20"/>
          <w:szCs w:val="20"/>
        </w:rPr>
      </w:pPr>
      <w:r>
        <w:rPr>
          <w:rFonts w:ascii="Verdana" w:hAnsi="Verdana"/>
          <w:b/>
          <w:noProof/>
          <w:sz w:val="20"/>
          <w:szCs w:val="20"/>
        </w:rPr>
        <w:t>Por conseguinte, o artigo 16.º, n.º 1, alínea e), não constitui uma base jurídica geral para a concessão de derrogações, podendo apenas ser aplicado se os objetivos prosseguidos com a derrogação não forem abrangidos pelo artigo 16.º, n.º 1, alíneas a) a d)</w:t>
      </w:r>
      <w:r>
        <w:rPr>
          <w:rFonts w:ascii="Verdana" w:hAnsi="Verdana"/>
          <w:noProof/>
          <w:sz w:val="20"/>
          <w:szCs w:val="20"/>
        </w:rPr>
        <w:t xml:space="preserve">. Caso contrário, as disposições do artigo 16.º, n.º 1, alíneas a) a d), e o sistema de proteção rigorosa perdem a sua eficácia. Neste processo específico, o TJUE lidou explicitamente com o problema da caça furtiva de uma espécie protegida, reconhecida pelo Tribunal de Justiça como um desafio importante para a preservação das espécies ameaçadas. O Tribunal de Justiça reconheceu que, em princípio, o combate à caça furtiva pode ser invocado como método que contribui para a manutenção ou para o restabelecimento num estado de conservação favorável da espécie em causa e, portanto, como um objetivo abrangido pelo artigo 16.º, n.º 1, alínea e), da Diretiva </w:t>
      </w:r>
      <w:r>
        <w:rPr>
          <w:rFonts w:ascii="Verdana" w:hAnsi="Verdana"/>
          <w:i/>
          <w:iCs/>
          <w:noProof/>
          <w:sz w:val="20"/>
          <w:szCs w:val="20"/>
        </w:rPr>
        <w:t>Habitats</w:t>
      </w:r>
      <w:r>
        <w:rPr>
          <w:rFonts w:ascii="Verdana" w:hAnsi="Verdana"/>
          <w:noProof/>
          <w:sz w:val="20"/>
          <w:szCs w:val="20"/>
          <w:vertAlign w:val="superscript"/>
        </w:rPr>
        <w:footnoteReference w:id="122"/>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(3-40) Decorre do acórdão no processo C-674/17 que o artigo 16.º, n.º 1, alínea e), não limita a variedade de objetivos passíveis de serem prosseguidos legitimamente com uma derrogação. Além do combate à caça furtiva, há outros motivos que podem justificar a utilização do artigo 16.º, n.º 1, alínea e), desde que o objetivo da derrogação esteja em conformidade com o objetivo geral da diretiva de garantir a conservação ou o restabelecimento das espécies em questão num estado de conservação favorável.</w:t>
      </w:r>
    </w:p>
    <w:p>
      <w:pPr>
        <w:spacing w:after="240"/>
        <w:jc w:val="both"/>
        <w:rPr>
          <w:rFonts w:ascii="Verdana" w:hAnsi="Verdana"/>
          <w:noProof/>
          <w:sz w:val="20"/>
          <w:szCs w:val="20"/>
        </w:rPr>
      </w:pPr>
      <w:r>
        <w:rPr>
          <w:rFonts w:ascii="Verdana" w:hAnsi="Verdana"/>
          <w:noProof/>
          <w:sz w:val="20"/>
          <w:szCs w:val="20"/>
        </w:rPr>
        <w:t xml:space="preserve">Porém, o TJUE, no processo C-674/17, também decidiu que «compete à autoridade nacional fundamentar, </w:t>
      </w:r>
      <w:r>
        <w:rPr>
          <w:rFonts w:ascii="Verdana" w:hAnsi="Verdana"/>
          <w:b/>
          <w:noProof/>
          <w:sz w:val="20"/>
          <w:szCs w:val="20"/>
        </w:rPr>
        <w:t>com base em dados científicos rigorosos, incluindo</w:t>
      </w:r>
      <w:r>
        <w:rPr>
          <w:rFonts w:ascii="Verdana" w:hAnsi="Verdana"/>
          <w:noProof/>
          <w:sz w:val="20"/>
          <w:szCs w:val="20"/>
        </w:rPr>
        <w:t>, se for caso disso, dados comparativos sobre as consequências da caça de controlo para o estado de conservação do lobo, a hipótese segundo a qual a autorização da caça de controlo pode realmente fazer reduzir a caça ilegal, de tal forma que exerce um efeito positivo líquido no estado de conservação da população de lobos, tendo simultaneamente em conta o número de derrogações previstas e as estimativas mais recentes do número de capturas ilegais»</w:t>
      </w:r>
      <w:r>
        <w:rPr>
          <w:rFonts w:ascii="Verdana" w:hAnsi="Verdana"/>
          <w:i/>
          <w:noProof/>
          <w:sz w:val="20"/>
          <w:szCs w:val="20"/>
          <w:vertAlign w:val="superscript"/>
          <w:lang w:val="en-US"/>
        </w:rPr>
        <w:footnoteReference w:id="123"/>
      </w:r>
      <w:r>
        <w:rPr>
          <w:rFonts w:ascii="Verdana" w:hAnsi="Verdana"/>
          <w:noProof/>
          <w:sz w:val="20"/>
          <w:szCs w:val="20"/>
        </w:rPr>
        <w:t>.</w:t>
      </w:r>
    </w:p>
    <w:p>
      <w:pPr>
        <w:spacing w:after="240"/>
        <w:jc w:val="both"/>
        <w:rPr>
          <w:rFonts w:ascii="Verdana" w:hAnsi="Verdana"/>
          <w:i/>
          <w:noProof/>
          <w:sz w:val="20"/>
          <w:szCs w:val="20"/>
        </w:rPr>
      </w:pPr>
      <w:r>
        <w:rPr>
          <w:rFonts w:ascii="Verdana" w:hAnsi="Verdana"/>
          <w:noProof/>
          <w:sz w:val="20"/>
          <w:szCs w:val="20"/>
        </w:rPr>
        <w:t xml:space="preserve">O TJUE sublinhou igualmente que «há que considerar que a simples existência de uma atividade ilegal como a caça furtiva ou as dificuldades encontradas na execução do controlo desta não podem bastar para dispensar um Estado‑Membro da sua obrigação de garantir a proteção das espécies protegidas ao abrigo do anexo IV da Diretiva </w:t>
      </w:r>
      <w:r>
        <w:rPr>
          <w:rFonts w:ascii="Verdana" w:hAnsi="Verdana"/>
          <w:i/>
          <w:iCs/>
          <w:noProof/>
          <w:sz w:val="20"/>
          <w:szCs w:val="20"/>
        </w:rPr>
        <w:t>Habitats</w:t>
      </w:r>
      <w:r>
        <w:rPr>
          <w:rFonts w:ascii="Verdana" w:hAnsi="Verdana"/>
          <w:noProof/>
          <w:sz w:val="20"/>
          <w:szCs w:val="20"/>
        </w:rPr>
        <w:t>. Nessa situação, incumbe‑lhe, pelo contrário, privilegiar o controlo estrito e eficaz dessa atividade ilegal, por um lado, e a aplicação de meios que não impliquem a inobservância das proibições impostas nos termos dos artigos 12.º a 14.º e do artigo 15.º, alíneas a) e b), desta diretiva, por outro»</w:t>
      </w:r>
      <w:r>
        <w:rPr>
          <w:rFonts w:ascii="Verdana" w:hAnsi="Verdana"/>
          <w:i/>
          <w:noProof/>
          <w:sz w:val="20"/>
          <w:szCs w:val="20"/>
          <w:vertAlign w:val="superscript"/>
          <w:lang w:val="en-US"/>
        </w:rPr>
        <w:footnoteReference w:id="124"/>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(3-41) Mesmo que tenha sido demonstrado que uma derrogação se baseia num objetivo legítimo que satisfaz as condições anteriores, </w:t>
      </w:r>
      <w:r>
        <w:rPr>
          <w:rFonts w:ascii="Verdana" w:hAnsi="Verdana"/>
          <w:b/>
          <w:noProof/>
          <w:sz w:val="20"/>
          <w:szCs w:val="20"/>
        </w:rPr>
        <w:t xml:space="preserve">a mesma só pode ser concedida se também cumprir uma série de outros critérios, </w:t>
      </w:r>
      <w:r>
        <w:rPr>
          <w:rFonts w:ascii="Verdana" w:hAnsi="Verdana"/>
          <w:noProof/>
          <w:sz w:val="20"/>
          <w:szCs w:val="20"/>
        </w:rPr>
        <w:t>nomeadamente, só pode dizer respeito a um número limitado de espécimes da espécie, tem de ser aplicada de forma seletiva e numa dimensão limitada e em condições estritamente controladas</w:t>
      </w:r>
      <w:r>
        <w:rPr>
          <w:rFonts w:ascii="Verdana" w:hAnsi="Verdana"/>
          <w:noProof/>
          <w:sz w:val="20"/>
          <w:szCs w:val="20"/>
          <w:vertAlign w:val="superscript"/>
        </w:rPr>
        <w:footnoteReference w:id="125"/>
      </w:r>
      <w:r>
        <w:rPr>
          <w:rFonts w:ascii="Verdana" w:hAnsi="Verdana"/>
          <w:noProof/>
          <w:sz w:val="20"/>
          <w:szCs w:val="20"/>
        </w:rPr>
        <w:t>. Abaixo aprofunda-se cada um destes critérios.</w:t>
      </w:r>
    </w:p>
    <w:p>
      <w:pPr>
        <w:pStyle w:val="ListParagraph"/>
        <w:numPr>
          <w:ilvl w:val="0"/>
          <w:numId w:val="34"/>
        </w:numPr>
        <w:spacing w:after="240"/>
        <w:rPr>
          <w:rFonts w:ascii="Verdana" w:hAnsi="Verdana"/>
          <w:noProof/>
        </w:rPr>
      </w:pPr>
      <w:r>
        <w:rPr>
          <w:rFonts w:ascii="Verdana" w:hAnsi="Verdana"/>
          <w:noProof/>
        </w:rPr>
        <w:t>Número limitado</w:t>
      </w:r>
    </w:p>
    <w:p>
      <w:pPr>
        <w:spacing w:after="240"/>
        <w:jc w:val="both"/>
        <w:rPr>
          <w:rFonts w:ascii="Verdana" w:hAnsi="Verdana"/>
          <w:b/>
          <w:noProof/>
          <w:sz w:val="20"/>
          <w:szCs w:val="20"/>
        </w:rPr>
      </w:pPr>
      <w:r>
        <w:rPr>
          <w:rFonts w:ascii="Verdana" w:hAnsi="Verdana"/>
          <w:noProof/>
          <w:sz w:val="20"/>
          <w:szCs w:val="20"/>
        </w:rPr>
        <w:t>(3-42)</w:t>
      </w:r>
      <w:r>
        <w:rPr>
          <w:rFonts w:ascii="Verdana" w:hAnsi="Verdana"/>
          <w:noProof/>
          <w:sz w:val="20"/>
          <w:szCs w:val="20"/>
        </w:rPr>
        <w:tab/>
        <w:t>Trata-se de um critério relativo que tem de ser comparado com o nível populacional de uma espécie, as respetivas taxas de reprodução e mortalidade anuais e está diretamente associado ao estado de conservação da espécie</w:t>
      </w:r>
      <w:r>
        <w:rPr>
          <w:rFonts w:ascii="Verdana" w:hAnsi="Verdana"/>
          <w:noProof/>
          <w:sz w:val="20"/>
          <w:szCs w:val="20"/>
          <w:vertAlign w:val="superscript"/>
        </w:rPr>
        <w:footnoteReference w:id="126"/>
      </w:r>
      <w:r>
        <w:rPr>
          <w:rFonts w:ascii="Verdana" w:hAnsi="Verdana"/>
          <w:noProof/>
          <w:sz w:val="20"/>
          <w:szCs w:val="20"/>
        </w:rPr>
        <w:t xml:space="preserve">. Por conseguinte, é essencial definir um limiar para o número de espécimes que podem ser capturados/detidos. No processo C-674/17, o TJUE esclareceu que </w:t>
      </w:r>
      <w:r>
        <w:rPr>
          <w:rFonts w:ascii="Verdana" w:hAnsi="Verdana"/>
          <w:b/>
          <w:noProof/>
          <w:sz w:val="20"/>
          <w:szCs w:val="20"/>
        </w:rPr>
        <w:t>este número depende do nível da população da espécie (número de espécimes), do seu estado de conservação e das suas características biológicas.</w:t>
      </w:r>
      <w:r>
        <w:rPr>
          <w:rFonts w:ascii="Verdana" w:hAnsi="Verdana"/>
          <w:noProof/>
          <w:sz w:val="20"/>
          <w:szCs w:val="20"/>
        </w:rPr>
        <w:t xml:space="preserve"> O «número limitado» terá de ser determinado, sob a responsabilidade da autoridade nacional competente, com base em informações científicas rigorosas de dados geográficos, climáticos, ambientais e biológicos e à luz das taxas de reprodução e da mortalidade anual total por causas naturais mas também das perdas em virtude de outras causas, como acidentes, outras derrogações [por exemplo, ao abrigo do artigo 16.º, n.º 1, alínea b)] e espécimes que estejam «em falta».</w:t>
      </w:r>
    </w:p>
    <w:p>
      <w:pPr>
        <w:spacing w:after="240"/>
        <w:jc w:val="both"/>
        <w:rPr>
          <w:rFonts w:ascii="Verdana" w:hAnsi="Verdana"/>
          <w:noProof/>
          <w:sz w:val="20"/>
          <w:szCs w:val="20"/>
        </w:rPr>
      </w:pPr>
      <w:r>
        <w:rPr>
          <w:rFonts w:ascii="Verdana" w:hAnsi="Verdana"/>
          <w:noProof/>
          <w:sz w:val="20"/>
          <w:szCs w:val="20"/>
        </w:rPr>
        <w:t xml:space="preserve">O número de capturas também tem de </w:t>
      </w:r>
      <w:r>
        <w:rPr>
          <w:rFonts w:ascii="Verdana" w:hAnsi="Verdana"/>
          <w:b/>
          <w:noProof/>
          <w:sz w:val="20"/>
          <w:szCs w:val="20"/>
        </w:rPr>
        <w:t>garantir que não implique o risco de um impacto negativo significativo na estrutura da população em causa, ainda que não prejudique, em si mesmo, a manutenção, num estado de conservação favorável, das populações das espécies em causa na sua área de repartição natural</w:t>
      </w:r>
      <w:r>
        <w:rPr>
          <w:rFonts w:ascii="Verdana" w:hAnsi="Verdana"/>
          <w:noProof/>
          <w:sz w:val="20"/>
          <w:szCs w:val="20"/>
          <w:vertAlign w:val="superscript"/>
        </w:rPr>
        <w:footnoteReference w:id="127"/>
      </w:r>
      <w:r>
        <w:rPr>
          <w:rFonts w:ascii="Verdana" w:hAnsi="Verdana"/>
          <w:noProof/>
          <w:sz w:val="20"/>
          <w:szCs w:val="20"/>
        </w:rPr>
        <w:t>.</w:t>
      </w:r>
      <w:r>
        <w:rPr>
          <w:rFonts w:ascii="Verdana" w:hAnsi="Verdana"/>
          <w:b/>
          <w:noProof/>
          <w:sz w:val="20"/>
          <w:szCs w:val="20"/>
        </w:rPr>
        <w:t xml:space="preserve"> </w:t>
      </w:r>
      <w:r>
        <w:rPr>
          <w:rFonts w:ascii="Verdana" w:hAnsi="Verdana"/>
          <w:noProof/>
          <w:sz w:val="20"/>
          <w:szCs w:val="20"/>
        </w:rPr>
        <w:t>O «número limitado» tem de ser claramente mencionado nas decisões de derrogação</w:t>
      </w:r>
      <w:r>
        <w:rPr>
          <w:rFonts w:ascii="Verdana" w:hAnsi="Verdana"/>
          <w:noProof/>
          <w:sz w:val="20"/>
          <w:szCs w:val="20"/>
          <w:vertAlign w:val="superscript"/>
        </w:rPr>
        <w:footnoteReference w:id="128"/>
      </w:r>
      <w:r>
        <w:rPr>
          <w:rFonts w:ascii="Verdana" w:hAnsi="Verdana"/>
          <w:noProof/>
          <w:sz w:val="20"/>
          <w:szCs w:val="20"/>
        </w:rPr>
        <w:t>. Este limite deve ser definido ao nível da população; para tal, é necessária coordenação entre todas as unidades de gestão que partilham a população em questão. No caso dos vertebrados com grandes áreas de repartição e populações transfronteiriças, como os grandes carnívoros, os Estados-Membros que partilham uma população têm de se articular para estabelecer uma posição comum sobre aquilo que pode ser considerado um número limitado para efeitos de concessão de derrogações.</w:t>
      </w:r>
    </w:p>
    <w:p>
      <w:pPr>
        <w:spacing w:after="240"/>
        <w:jc w:val="both"/>
        <w:rPr>
          <w:rFonts w:ascii="Verdana" w:hAnsi="Verdana"/>
          <w:noProof/>
          <w:sz w:val="20"/>
          <w:szCs w:val="20"/>
        </w:rPr>
      </w:pPr>
      <w:r>
        <w:rPr>
          <w:rFonts w:ascii="Verdana" w:hAnsi="Verdana"/>
          <w:noProof/>
          <w:sz w:val="20"/>
          <w:szCs w:val="20"/>
        </w:rPr>
        <w:t>(3-43) Não devem ser concedidas derrogações se houver risco de a derrogação poder ter um impacto negativo significativo na conservação da população local em questão em termos quantitativos ou qualitativos (por exemplo, na estrutura da população) (ver também o capítulo 3.2.3). Uma vez que, em qualquer caso, todas as derrogações têm de cumprir a condição precisa do artigo 16.º, n.º 1, de não «prejudi[carem] a manutenção das populações da espécie em causa na sua área de repartição natural, num estado de conservação favorável», a referência expressa no artigo 16.º, n.º 1, alínea e), a um «número limitado» sugere que o legislador pretendia um maior nível de limitação.</w:t>
      </w:r>
    </w:p>
    <w:p>
      <w:pPr>
        <w:spacing w:after="240"/>
        <w:jc w:val="both"/>
        <w:rPr>
          <w:rFonts w:ascii="Verdana" w:hAnsi="Verdana"/>
          <w:noProof/>
          <w:sz w:val="20"/>
          <w:szCs w:val="20"/>
        </w:rPr>
      </w:pPr>
      <w:r>
        <w:rPr>
          <w:rFonts w:ascii="Verdana" w:hAnsi="Verdana"/>
          <w:noProof/>
          <w:sz w:val="20"/>
          <w:szCs w:val="20"/>
        </w:rPr>
        <w:t>(3-44)</w:t>
      </w:r>
      <w:r>
        <w:rPr>
          <w:rFonts w:ascii="Verdana" w:hAnsi="Verdana"/>
          <w:noProof/>
          <w:sz w:val="20"/>
          <w:szCs w:val="20"/>
        </w:rPr>
        <w:tab/>
      </w:r>
      <w:r>
        <w:rPr>
          <w:rFonts w:ascii="Verdana" w:hAnsi="Verdana"/>
          <w:b/>
          <w:noProof/>
          <w:sz w:val="20"/>
          <w:szCs w:val="20"/>
        </w:rPr>
        <w:t>O conceito de «número limitado» para espécies sujeitas a proteção rigorosa é muito mais restritivo do que a «quota máxima sustentável» ou o «rendimento sustentável ideal» para as espécies sujeitas a gestão da caça e enumeradas no anexo V da diretiva</w:t>
      </w:r>
      <w:r>
        <w:rPr>
          <w:rFonts w:ascii="Verdana" w:hAnsi="Verdana"/>
          <w:noProof/>
          <w:sz w:val="20"/>
          <w:szCs w:val="20"/>
        </w:rPr>
        <w:t>. A condição do «número limitado» está em conformidade com o nível de proteção procurado pela diretiva para as espécies não exploráveis. A condição é mais restritiva do que a condição geral de derrogação de garantir a manutenção das populações das espécies em questão num estado de conservação favorável. Por conseguinte, é mais restritiva do que a utilização «sustentável» exigida para as espécies constantes do anexo V ao abrigo do artigo 14.º, que garante que a sua exploração é compatível com a manutenção da espécie num estado de conservação favorável</w:t>
      </w:r>
      <w:r>
        <w:rPr>
          <w:rFonts w:ascii="Verdana" w:hAnsi="Verdana"/>
          <w:noProof/>
          <w:sz w:val="20"/>
          <w:szCs w:val="20"/>
          <w:vertAlign w:val="superscript"/>
        </w:rPr>
        <w:footnoteReference w:id="12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(3-45)</w:t>
      </w:r>
      <w:r>
        <w:rPr>
          <w:rFonts w:ascii="Verdana" w:hAnsi="Verdana"/>
          <w:noProof/>
          <w:sz w:val="20"/>
          <w:szCs w:val="20"/>
        </w:rPr>
        <w:tab/>
        <w:t xml:space="preserve">O limiar do «número limitado» deve ser determinado com base em critérios específicos para cada espécie, uma vez que depende das exigências ecológicas de cada espécie. Estas podem incluir a escala espacial de distribuição, a fragmentação do </w:t>
      </w:r>
      <w:r>
        <w:rPr>
          <w:rFonts w:ascii="Verdana" w:hAnsi="Verdana"/>
          <w:i/>
          <w:iCs/>
          <w:noProof/>
          <w:sz w:val="20"/>
          <w:szCs w:val="20"/>
        </w:rPr>
        <w:t>habitat</w:t>
      </w:r>
      <w:r>
        <w:rPr>
          <w:rFonts w:ascii="Verdana" w:hAnsi="Verdana"/>
          <w:noProof/>
          <w:sz w:val="20"/>
          <w:szCs w:val="20"/>
        </w:rPr>
        <w:t xml:space="preserve"> e da paisagem, a disponibilidade de presas, a organização social da espécie, os padrões e os níveis de ameaça, incluindo doenças, poluição e contaminantes, a mortalidade ilegal e acidental e as alterações climáticas. Em todos os casos, o limite do «número limitado» deve «</w:t>
      </w:r>
      <w:r>
        <w:rPr>
          <w:rFonts w:ascii="Verdana" w:hAnsi="Verdana"/>
          <w:b/>
          <w:noProof/>
          <w:sz w:val="20"/>
          <w:szCs w:val="20"/>
        </w:rPr>
        <w:t>ser determinado com base em dados científicos rigorosos</w:t>
      </w:r>
      <w:r>
        <w:rPr>
          <w:rFonts w:ascii="Verdana" w:hAnsi="Verdana"/>
          <w:noProof/>
          <w:sz w:val="20"/>
          <w:szCs w:val="20"/>
        </w:rPr>
        <w:t>»</w:t>
      </w:r>
      <w:r>
        <w:rPr>
          <w:rFonts w:ascii="Verdana" w:hAnsi="Verdana"/>
          <w:noProof/>
          <w:sz w:val="20"/>
          <w:szCs w:val="20"/>
          <w:vertAlign w:val="superscript"/>
        </w:rPr>
        <w:footnoteReference w:id="130"/>
      </w:r>
      <w:r>
        <w:rPr>
          <w:rFonts w:ascii="Verdana" w:hAnsi="Verdana"/>
          <w:noProof/>
          <w:sz w:val="20"/>
          <w:szCs w:val="20"/>
        </w:rPr>
        <w:t>.</w:t>
      </w:r>
    </w:p>
    <w:p>
      <w:pPr>
        <w:numPr>
          <w:ilvl w:val="0"/>
          <w:numId w:val="5"/>
        </w:numPr>
        <w:spacing w:after="240"/>
        <w:jc w:val="both"/>
        <w:rPr>
          <w:rFonts w:ascii="Verdana" w:hAnsi="Verdana"/>
          <w:noProof/>
          <w:sz w:val="20"/>
          <w:szCs w:val="20"/>
        </w:rPr>
      </w:pPr>
      <w:r>
        <w:rPr>
          <w:rFonts w:ascii="Verdana" w:hAnsi="Verdana"/>
          <w:noProof/>
          <w:sz w:val="20"/>
          <w:szCs w:val="20"/>
        </w:rPr>
        <w:t>Em condições estritamente controladas e de uma forma seletiva e numa dimensão limitada</w:t>
      </w:r>
    </w:p>
    <w:p>
      <w:pPr>
        <w:spacing w:after="240"/>
        <w:jc w:val="both"/>
        <w:rPr>
          <w:rFonts w:ascii="Verdana" w:hAnsi="Verdana"/>
          <w:noProof/>
          <w:sz w:val="20"/>
          <w:szCs w:val="20"/>
        </w:rPr>
      </w:pPr>
      <w:r>
        <w:rPr>
          <w:rFonts w:ascii="Verdana" w:hAnsi="Verdana"/>
          <w:noProof/>
          <w:sz w:val="20"/>
          <w:szCs w:val="20"/>
        </w:rPr>
        <w:t>(3-46) Esta qualificação demonstra claramente que o legislador da UE pretendia definir limitações significativas. O princípio de condições estritamente controladas implica que qualquer utilização deste tipo de derrogação deve implicar autorizações claras que estejam relacionadas com determinados indivíduos ou grupos de indivíduos, locais, momentos e quantidades. A expressão «numa dimensão limitada» sustenta esta interpretação. Implica também a necessidade de controlos territoriais, temporais e pessoais rigorosos para executar as derrogações e garantir o cumprimento.</w:t>
      </w:r>
    </w:p>
    <w:p>
      <w:pPr>
        <w:spacing w:after="240"/>
        <w:jc w:val="both"/>
        <w:rPr>
          <w:rFonts w:ascii="Verdana" w:hAnsi="Verdana"/>
          <w:noProof/>
          <w:sz w:val="20"/>
          <w:szCs w:val="20"/>
        </w:rPr>
      </w:pPr>
      <w:r>
        <w:rPr>
          <w:rFonts w:ascii="Verdana" w:hAnsi="Verdana"/>
          <w:noProof/>
          <w:sz w:val="20"/>
          <w:szCs w:val="20"/>
        </w:rPr>
        <w:t>(3-47)</w:t>
      </w:r>
      <w:r>
        <w:rPr>
          <w:rFonts w:ascii="Verdana" w:hAnsi="Verdana"/>
          <w:noProof/>
          <w:sz w:val="20"/>
          <w:szCs w:val="20"/>
        </w:rPr>
        <w:tab/>
        <w:t xml:space="preserve">Por sua vez, o princípio da </w:t>
      </w:r>
      <w:r>
        <w:rPr>
          <w:rFonts w:ascii="Verdana" w:hAnsi="Verdana"/>
          <w:b/>
          <w:noProof/>
          <w:sz w:val="20"/>
          <w:szCs w:val="20"/>
        </w:rPr>
        <w:t>seletividade significa que a atividade em questão tem de ser altamente específica no seu efeito</w:t>
      </w:r>
      <w:r>
        <w:rPr>
          <w:rFonts w:ascii="Verdana" w:hAnsi="Verdana"/>
          <w:noProof/>
          <w:sz w:val="20"/>
          <w:szCs w:val="20"/>
        </w:rPr>
        <w:t>, visando determinados espécimes de uma espécie, ou até mesmo um género ou classe etária dessa espécie (por exemplo, apenas machos adultos), e excluindo todos os outros. Esta abordagem é confirmada pela especificação do artigo 16.º, n.º 1, alínea e), de que a captura ou detenção tem de ser limitada a «determinados espécimes». Implica também que certos aspetos técnicos do método utilizado devem, de forma verificável, demonstrar a seletividade.</w:t>
      </w:r>
    </w:p>
    <w:p>
      <w:pPr>
        <w:spacing w:after="240"/>
        <w:jc w:val="both"/>
        <w:rPr>
          <w:rFonts w:ascii="Verdana" w:hAnsi="Verdana"/>
          <w:i/>
          <w:noProof/>
          <w:sz w:val="20"/>
          <w:szCs w:val="20"/>
        </w:rPr>
      </w:pPr>
      <w:r>
        <w:rPr>
          <w:rFonts w:ascii="Verdana" w:hAnsi="Verdana"/>
          <w:noProof/>
          <w:sz w:val="20"/>
          <w:szCs w:val="20"/>
        </w:rPr>
        <w:t>No processo C-674/17, o TJUE sublinhou este aspeto ao decidir: «No que se refere, em seguida, às condições de seletividade e de limitação da captura ou detenção de certos espécimes das espécies, há que considerar que estas impõem que a derrogação incida sobre um número de espécimes determinado da forma mais restrita, específica e oportuna possível, tendo em conta o objetivo prosseguido pela derrogação em causa. Pode, assim, ser necessário, atendendo ao nível da população da espécie em causa, ao seu estado de conservação e às suas características biológicas, que a derrogação seja limitada não apenas à espécie em causa ou aos tipos ou grupos de espécimes desta mas também aos espécimes individualmente identificados»</w:t>
      </w:r>
      <w:r>
        <w:rPr>
          <w:rFonts w:ascii="Verdana" w:hAnsi="Verdana"/>
          <w:bCs/>
          <w:noProof/>
          <w:sz w:val="20"/>
          <w:szCs w:val="20"/>
          <w:vertAlign w:val="superscript"/>
          <w:lang w:val="en-IE"/>
        </w:rPr>
        <w:footnoteReference w:id="131"/>
      </w:r>
      <w:r>
        <w:rPr>
          <w:rFonts w:ascii="Verdana" w:hAnsi="Verdana"/>
          <w:noProof/>
          <w:sz w:val="20"/>
          <w:szCs w:val="20"/>
        </w:rPr>
        <w:t>.</w:t>
      </w:r>
    </w:p>
    <w:p>
      <w:pPr>
        <w:spacing w:after="240"/>
        <w:jc w:val="both"/>
        <w:rPr>
          <w:rFonts w:ascii="Verdana" w:hAnsi="Verdana"/>
          <w:i/>
          <w:noProof/>
          <w:sz w:val="20"/>
          <w:szCs w:val="20"/>
        </w:rPr>
      </w:pPr>
      <w:r>
        <w:rPr>
          <w:rFonts w:ascii="Verdana" w:hAnsi="Verdana"/>
          <w:noProof/>
          <w:sz w:val="20"/>
          <w:szCs w:val="20"/>
        </w:rPr>
        <w:t>O mesmo acórdão esclareceu que a expressão «em condições estritamente controladas» implica:</w:t>
      </w:r>
      <w:r>
        <w:rPr>
          <w:rFonts w:ascii="Verdana" w:hAnsi="Verdana"/>
          <w:i/>
          <w:noProof/>
          <w:sz w:val="20"/>
          <w:szCs w:val="20"/>
        </w:rPr>
        <w:t xml:space="preserve"> </w:t>
      </w:r>
      <w:r>
        <w:rPr>
          <w:rFonts w:ascii="Verdana" w:hAnsi="Verdana"/>
          <w:noProof/>
          <w:sz w:val="20"/>
          <w:szCs w:val="20"/>
        </w:rPr>
        <w:t xml:space="preserve">«[…], em especial, que essas condições e a maneira como o seu respeito é assegurado permitam garantir o caráter seletivo e limitado das capturas ou detenção de espécimes das espécies em questão. Assim, para qualquer derrogação baseada nesta disposição, a autoridade nacional competente deve certificar‑se do respeito das condições aí previstas antes da sua adoção </w:t>
      </w:r>
      <w:r>
        <w:rPr>
          <w:rFonts w:ascii="Verdana" w:hAnsi="Verdana"/>
          <w:b/>
          <w:noProof/>
          <w:sz w:val="20"/>
          <w:szCs w:val="20"/>
        </w:rPr>
        <w:t xml:space="preserve">e vigiar os seus efeitos </w:t>
      </w:r>
      <w:r>
        <w:rPr>
          <w:rFonts w:ascii="Verdana" w:hAnsi="Verdana"/>
          <w:b/>
          <w:i/>
          <w:iCs/>
          <w:noProof/>
          <w:sz w:val="20"/>
          <w:szCs w:val="20"/>
        </w:rPr>
        <w:t>a posteriori</w:t>
      </w:r>
      <w:r>
        <w:rPr>
          <w:rFonts w:ascii="Verdana" w:hAnsi="Verdana"/>
          <w:b/>
          <w:noProof/>
          <w:sz w:val="20"/>
          <w:szCs w:val="20"/>
        </w:rPr>
        <w:t xml:space="preserve">. </w:t>
      </w:r>
      <w:r>
        <w:rPr>
          <w:rFonts w:ascii="Verdana" w:hAnsi="Verdana"/>
          <w:noProof/>
          <w:sz w:val="20"/>
          <w:szCs w:val="20"/>
        </w:rPr>
        <w:t xml:space="preserve">Com efeito, a regulamentação nacional deve </w:t>
      </w:r>
      <w:r>
        <w:rPr>
          <w:rFonts w:ascii="Verdana" w:hAnsi="Verdana"/>
          <w:b/>
          <w:noProof/>
          <w:sz w:val="20"/>
          <w:szCs w:val="20"/>
        </w:rPr>
        <w:t>garantir</w:t>
      </w:r>
      <w:r>
        <w:rPr>
          <w:rFonts w:ascii="Verdana" w:hAnsi="Verdana"/>
          <w:noProof/>
          <w:sz w:val="20"/>
          <w:szCs w:val="20"/>
        </w:rPr>
        <w:t xml:space="preserve"> que a legalidade das decisões</w:t>
      </w:r>
      <w:r>
        <w:rPr>
          <w:rFonts w:ascii="Verdana" w:hAnsi="Verdana"/>
          <w:i/>
          <w:noProof/>
          <w:sz w:val="20"/>
          <w:szCs w:val="20"/>
        </w:rPr>
        <w:t xml:space="preserve"> </w:t>
      </w:r>
      <w:r>
        <w:rPr>
          <w:rFonts w:ascii="Verdana" w:hAnsi="Verdana"/>
          <w:noProof/>
          <w:sz w:val="20"/>
          <w:szCs w:val="20"/>
        </w:rPr>
        <w:t xml:space="preserve">que concedem derrogações ao abrigo dessa disposição e a maneira como essas decisões são aplicadas, incluindo no que se refere </w:t>
      </w:r>
      <w:r>
        <w:rPr>
          <w:rFonts w:ascii="Verdana" w:hAnsi="Verdana"/>
          <w:b/>
          <w:noProof/>
          <w:sz w:val="20"/>
          <w:szCs w:val="20"/>
        </w:rPr>
        <w:t>ao respeito das condições relativas, nomeadamente, aos locais, datas, quantidades e tipos de espécimes em causa, a que são sujeitas, sejam controladas de maneira efetiva e em tempo útil</w:t>
      </w:r>
      <w:r>
        <w:rPr>
          <w:rFonts w:ascii="Verdana" w:hAnsi="Verdana"/>
          <w:b/>
          <w:i/>
          <w:noProof/>
          <w:sz w:val="20"/>
          <w:szCs w:val="20"/>
          <w:vertAlign w:val="superscript"/>
          <w:lang w:val="en-US"/>
        </w:rPr>
        <w:footnoteReference w:id="132"/>
      </w:r>
      <w:r>
        <w:rPr>
          <w:rFonts w:ascii="Verdana" w:hAnsi="Verdana"/>
          <w:noProof/>
          <w:sz w:val="20"/>
          <w:szCs w:val="20"/>
        </w:rPr>
        <w:t>».</w:t>
      </w:r>
    </w:p>
    <w:p>
      <w:pPr>
        <w:spacing w:after="360"/>
        <w:jc w:val="both"/>
        <w:rPr>
          <w:rFonts w:ascii="Verdana" w:hAnsi="Verdana"/>
          <w:noProof/>
          <w:sz w:val="20"/>
          <w:szCs w:val="20"/>
        </w:rPr>
      </w:pPr>
      <w:r>
        <w:rPr>
          <w:rFonts w:ascii="Verdana" w:hAnsi="Verdana"/>
          <w:noProof/>
          <w:sz w:val="20"/>
          <w:szCs w:val="20"/>
        </w:rPr>
        <w:t>(3-48)</w:t>
      </w:r>
      <w:r>
        <w:rPr>
          <w:rFonts w:ascii="Verdana" w:hAnsi="Verdana"/>
          <w:noProof/>
          <w:sz w:val="20"/>
          <w:szCs w:val="20"/>
        </w:rPr>
        <w:tab/>
        <w:t>A condição da «forma seletiva» reflete a proibição prevista no artigo 15.º, alínea a), da utilização de meios de captura ou de abate não seletivos enumerados no anexo VI, alínea a) para a recolha, captura ou abate das espécies enumeradas no anexo IV, alínea a), ao abrigo das derrogações. Sempre que se apliquem derrogações ao abrigo do artigo 16.º, n.º 1, alínea e), o método utilizado para a captura ou armadilhagem tem de ser seletivo.</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b/>
          <w:noProof/>
          <w:sz w:val="18"/>
          <w:szCs w:val="18"/>
        </w:rPr>
      </w:pPr>
      <w:r>
        <w:rPr>
          <w:rFonts w:ascii="Verdana" w:hAnsi="Verdana"/>
          <w:b/>
          <w:noProof/>
          <w:sz w:val="18"/>
          <w:szCs w:val="18"/>
        </w:rPr>
        <w:t>24 — Jurisprudência do TJUE: processo Tapiola. A utilização de derrogações para a caça de lobos para efeitos de gestão da população — processo C-674/17</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b/>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Contexto:</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Em 2015, o Ministério da Agricultura e das Florestas da Finlândia adotou um novo plano de controlo da população de lobos na Finlândia, cujo objetivo era restabelecer e manter a população de lobos num estado de conservação favorável. O plano apresentava dados que mostravam a crescente aceitação social da caça ilegal de lobos em certas circunstâncias e indicava uma potencial relação entre a caça furtiva e variações consideráveis nos números recentes de lobos.</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Com base neste facto, observava que os objetivos não seriam cumpridos se não fossem tidas em conta as necessidades das pessoas que vivem e trabalham nos territórios das alcateias e defendia a utilização de autorizações excecionais contra os espécimes que causavam danos e, desse modo, evitar o abate ilegal de lobos. Estas autorizações excecionais tinham de estar relacionadas com zonas com uma forte presença de lobos e não podiam exceder o limite do número de capturas fixado pelas autoridades em 53 espécimes por ano, para o período 2016-2018, fora da área de exploração da rena.</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Em dezembro de 2015, o Instituto Finlandês da Fauna Selvagem concedeu duas autorizações excecionais para o abate de um total de sete lobos na região da Savónia do Norte, recomendando que os titulares da autorização visassem espécimes jovens ou que causassem danos e não machos dominantes. A Tapiola, uma associação finlandesa de defesa da natureza, contestou esta decisão e intentou uma ação junto do Supremo Tribunal Administrativo da Finlândia. Este decidiu suspender a instância e solicitar ao Tribunal de Justiça da União Europeia (TJUE) orientações sobre a interpretação do artigo 16.º, n.º 1, alínea 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Pergunta 1: Ao abrigo do artigo 16.º, n.º 1, alínea e), cujo objetivo é combater a caça furtiva, é possível conceder, a pedido de caçadores individuais, autorizações excecionais para a caça de controlo em áreas geograficamente limitadas?</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O TJUE relembra que a utilização do artigo 16.º, n.º 1, constitui uma exceção ao sistema de proteção de espécies previsto pela diretiva, pelo que o artigo deve ser interpretado restritivamente. Só são permitidas derrogações se tiver sido demonstrado que não existe outra solução satisfatória e que a derrogação não prejudica a manutenção das populações da espécie em causa na sua área de repartição natural, num estado de conservação favorável.</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O artigo 16.º, n.º 1, alínea e), só pode ser utilizado se os motivos para a concessão de uma derrogação ao abrigo do artigo 16.º, n.º 1, alíneas a) a d), não forem pertinentes. Neste processo, o Tribunal de Justiça observa que resultava do conteúdo das decisões de derrogação e do plano de controlo do lobo que a caça furtiva constituía um desafio importante para a manutenção ou o restabelecimento do lobo num estado de conservação favorável, na sua área de repartição natural. Conclui assim que, em princípio, se for possível demonstrar que essas derrogações ajudariam, de facto, a combater a caça furtiva, então este poderia ser considerado um objetivo pertinente abrangido pelo artigo 16.º, n.º 1, alínea 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Todavia, antes de conceder uma derrogação ao abrigo do artigo 16.º, n.º 1, alínea e), a autoridade nacional tem de conseguir demonstrar, com base em dados científicos rigorosos, que tais derrogações podem realmente fazer reduzir o abate ilegal, de tal forma que exerça um efeito positivo líquido no estado de conservação da população de lobos. No caso em apreço, não foi facultada nenhuma prova científica nesse sentido.</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Além disso, as autoridades nacionais competentes têm de demonstrar que, tendo em conta os melhores conhecimentos científicos e técnicos pertinentes e à luz das circunstâncias relativas à situação específica em causa, não existe outra solução satisfatória que permita alcançar o objetivo prosseguido. O Instituto Finlandês da Fauna Selvagem não conseguiu demonstrar este facto.</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Por fim, o Tribunal de Justiça sublinhou igualmente que a simples existência de uma atividade ilegal como a caça furtiva ou as dificuldades encontradas na execução do controlo desta não podem bastar para dispensar um Estado‑Membro da sua obrigação de proteger as espécies. Nessa situação, incumbe‑lhe, pelo contrário, privilegiar o controlo estrito e eficaz dessa atividade ilegal, por um lado, e a aplicação de meios que garantam a observância das proibições impostas nos termos dos artigos 12.º a 14.º, por outro.</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Pergunta 2: Como deve ser apreciado o requisito referido no artigo 16.º, n.º 1, que diz respeito ao estado de conservação das populações das espécies para efeitos de atribuição de autorizações excecionais regionalmente limitadas?</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O Tribunal de Justiça observa que a avaliação do impacto de uma derrogação a nível do território de uma população local é geralmente necessária para determinar o seu efeito no estado de conservação da população em causa em maior escala. Por outro lado, o estado de conservação de uma população à escala nacional ou biogeográfica depende igualmente do efeito cumulativo das várias autorizações excecionais que afetam zonas locais. Por conseguinte, tal derrogação não pode ser adotada sem terem sido avaliados o estado de conservação das populações da espécie em causa e o impacto que a derrogação prevista é suscetível de ter nesse estado de conservação, a nível local e a nível do território desse Estado‑Membro ou, sendo caso disso, a nível da região biogeográfica em causa e, ainda, tanto quanto possível, no plano transfronteiriço.</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Em princípio, um plano de controlo que fixe o número máximo de espécimes que podem ser abatidos num determinado ano cinegético no território nacional pode garantir que o efeito cumulativo anual das derrogações individuais não prejudica a manutenção ou o restabelecimento das populações da espécie em causa, num estado de conservação favorável. Porém, se o número fixado for demasiado elevado, é evidente que esta condição prévia não será respeitada.</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Neste caso, durante o ano cinegético de 2015‑2016, foram abatidos mais de 14 % da população total de lobos na Finlândia (43 ou 44 num total entre 275 e 310 lobos) com base em autorizações excecionais a título da caça de controlo, incluindo inúmeros espécimes reprodutores. Por outro lado, estes espécimes acrescem aos cerca de 30 lobos abatidos ilegalmente todos os anos (segundo as estimativas do plano de controlo). Por fim, afigura-se que as derrogações aumentaram o número global de lobos abatidos, causando assim um efeito líquido negativo na população de lobos.</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No que respeita ao impacto do estado de conservação desfavorável de uma espécie na possibilidade de se autorizarem derrogações ao abrigo do artigo 16.º, n.º 1, o Tribunal de Justiça relembra que a concessão dessas derrogações continua a ser possível, </w:t>
      </w:r>
      <w:r>
        <w:rPr>
          <w:rFonts w:ascii="Verdana" w:hAnsi="Verdana"/>
          <w:i/>
          <w:noProof/>
          <w:sz w:val="18"/>
          <w:szCs w:val="18"/>
        </w:rPr>
        <w:t>a título excecional</w:t>
      </w:r>
      <w:r>
        <w:rPr>
          <w:rFonts w:ascii="Verdana" w:hAnsi="Verdana"/>
          <w:noProof/>
          <w:sz w:val="18"/>
          <w:szCs w:val="18"/>
        </w:rPr>
        <w:t>, quando ficar devidamente provado que não são suscetíveis de agravar o estado de conservação não favorável das referidas populações ou de impedir o seu restabelecimento, num estado de conservação favorável. Por conseguinte, tais derrogações teriam de ser neutras para a espécie em causa. (C</w:t>
      </w:r>
      <w:r>
        <w:rPr>
          <w:rFonts w:ascii="Verdana" w:hAnsi="Verdana"/>
          <w:noProof/>
          <w:sz w:val="18"/>
          <w:szCs w:val="18"/>
        </w:rPr>
        <w:noBreakHyphen/>
        <w:t xml:space="preserve">342/05, </w:t>
      </w:r>
      <w:r>
        <w:rPr>
          <w:rFonts w:ascii="Verdana" w:hAnsi="Verdana"/>
          <w:i/>
          <w:iCs/>
          <w:noProof/>
          <w:sz w:val="18"/>
          <w:szCs w:val="18"/>
        </w:rPr>
        <w:t>Comissão</w:t>
      </w:r>
      <w:r>
        <w:rPr>
          <w:rFonts w:ascii="Verdana" w:hAnsi="Verdana"/>
          <w:noProof/>
          <w:sz w:val="18"/>
          <w:szCs w:val="18"/>
        </w:rPr>
        <w:t>/</w:t>
      </w:r>
      <w:r>
        <w:rPr>
          <w:rFonts w:ascii="Verdana" w:hAnsi="Verdana"/>
          <w:i/>
          <w:iCs/>
          <w:noProof/>
          <w:sz w:val="18"/>
          <w:szCs w:val="18"/>
        </w:rPr>
        <w:t>Finlândia</w:t>
      </w:r>
      <w:r>
        <w:rPr>
          <w:rFonts w:ascii="Verdana" w:hAnsi="Verdana"/>
          <w:noProof/>
          <w:sz w:val="18"/>
          <w:szCs w:val="18"/>
        </w:rPr>
        <w:t>, ECLI:EU:C:2007:341, n.º 29).</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Todavia, como salientado pelo Tribunal de Justiça, em conformidade com o princípio da precaução, se o exame dos melhores dados científicos disponíveis deixar subsistir uma incerteza sobre a questão de saber se tal derrogação prejudicará ou não a manutenção ou o restabelecimento das populações de uma espécie ameaçada de extinção, num estado de conservação favorável, o Estado‑Membro deve abster‑se de a adotar ou de a aplicar.</w:t>
      </w:r>
    </w:p>
    <w:p>
      <w:pPr>
        <w:jc w:val="both"/>
        <w:rPr>
          <w:rFonts w:ascii="Verdana" w:hAnsi="Verdana"/>
          <w:noProof/>
          <w:sz w:val="18"/>
          <w:szCs w:val="18"/>
          <w:lang w:eastAsia="cs-CZ" w:bidi="si-LK"/>
        </w:rPr>
      </w:pPr>
    </w:p>
    <w:p>
      <w:pPr>
        <w:spacing w:after="360"/>
        <w:jc w:val="both"/>
        <w:rPr>
          <w:rFonts w:ascii="Verdana" w:hAnsi="Verdana"/>
          <w:noProof/>
          <w:sz w:val="20"/>
          <w:szCs w:val="20"/>
        </w:rPr>
      </w:pPr>
    </w:p>
    <w:p>
      <w:pPr>
        <w:spacing w:after="360"/>
        <w:jc w:val="both"/>
        <w:rPr>
          <w:rFonts w:ascii="Verdana" w:hAnsi="Verdana"/>
          <w:noProof/>
          <w:sz w:val="20"/>
          <w:szCs w:val="20"/>
        </w:rPr>
      </w:pPr>
    </w:p>
    <w:p>
      <w:pPr>
        <w:pStyle w:val="h4"/>
        <w:rPr>
          <w:noProof/>
        </w:rPr>
      </w:pPr>
      <w:r>
        <w:rPr>
          <w:noProof/>
        </w:rPr>
        <w:t xml:space="preserve">3.2.2. </w:t>
      </w:r>
      <w:r>
        <w:rPr>
          <w:noProof/>
        </w:rPr>
        <w:tab/>
        <w:t>TESTE 2: ausência de outra solução satisfatória</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A segunda consideração consiste em saber se existe uma outra solução satisfatória à derrogação, ou seja, se o problema com que se depara a autoridade pode ser resolvido de uma forma que não implique uma derrogação.</w:t>
      </w:r>
    </w:p>
    <w:p>
      <w:pPr>
        <w:spacing w:after="240"/>
        <w:jc w:val="both"/>
        <w:rPr>
          <w:rFonts w:ascii="Verdana" w:hAnsi="Verdana"/>
          <w:noProof/>
          <w:sz w:val="20"/>
          <w:szCs w:val="20"/>
        </w:rPr>
      </w:pPr>
      <w:r>
        <w:rPr>
          <w:rFonts w:ascii="Verdana" w:hAnsi="Verdana"/>
          <w:noProof/>
          <w:sz w:val="20"/>
          <w:szCs w:val="20"/>
        </w:rPr>
        <w:t>(3-49)</w:t>
      </w:r>
      <w:r>
        <w:rPr>
          <w:rFonts w:ascii="Verdana" w:hAnsi="Verdana"/>
          <w:noProof/>
          <w:sz w:val="20"/>
          <w:szCs w:val="20"/>
        </w:rPr>
        <w:tab/>
        <w:t xml:space="preserve">Nos termos do artigo 16.º, n.º 1, os Estados-Membros têm de ter a certeza de que não existe outra solução satisfatória para poderem utilizar uma derrogação. Esta é uma condição dominante aplicável a todas as derrogações. Cabe às autoridades nacionais competentes procederem às comparações necessárias e avaliarem soluções alternativas. Este poder discricionário está, não obstante, </w:t>
      </w:r>
      <w:r>
        <w:rPr>
          <w:rFonts w:ascii="Verdana" w:hAnsi="Verdana"/>
          <w:b/>
          <w:noProof/>
          <w:sz w:val="20"/>
          <w:szCs w:val="20"/>
        </w:rPr>
        <w:t>sujeito a várias limitações</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(3-50) Com base na jurisprudência do Tribunal de Justiça sobre a disposição comparável do artigo 9.º da Diretiva Aves (79/409/CEE)</w:t>
      </w:r>
      <w:r>
        <w:rPr>
          <w:rFonts w:ascii="Verdana" w:hAnsi="Verdana"/>
          <w:noProof/>
          <w:sz w:val="20"/>
          <w:szCs w:val="20"/>
        </w:rPr>
        <w:footnoteReference w:id="133"/>
      </w:r>
      <w:r>
        <w:rPr>
          <w:rFonts w:ascii="Verdana" w:hAnsi="Verdana"/>
          <w:noProof/>
          <w:sz w:val="20"/>
          <w:szCs w:val="20"/>
        </w:rPr>
        <w:t xml:space="preserve">, especialmente no processo C-10/96, pode considerar-se que a análise da questão da existência ou não de «outra solução satisfatória» se divide em três partes: </w:t>
      </w:r>
      <w:r>
        <w:rPr>
          <w:rFonts w:ascii="Verdana" w:hAnsi="Verdana"/>
          <w:b/>
          <w:noProof/>
          <w:sz w:val="20"/>
          <w:szCs w:val="20"/>
        </w:rPr>
        <w:t>Qual é o problema ou situação específica que deve ser analisado? Existem outras soluções?</w:t>
      </w:r>
      <w:r>
        <w:rPr>
          <w:rFonts w:ascii="Verdana" w:hAnsi="Verdana"/>
          <w:noProof/>
          <w:sz w:val="20"/>
          <w:szCs w:val="20"/>
        </w:rPr>
        <w:t xml:space="preserve"> Em caso afirmativo, </w:t>
      </w:r>
      <w:r>
        <w:rPr>
          <w:rFonts w:ascii="Verdana" w:hAnsi="Verdana"/>
          <w:b/>
          <w:noProof/>
          <w:sz w:val="20"/>
          <w:szCs w:val="20"/>
        </w:rPr>
        <w:t>estas soluções resolverão o problema ou situação específica</w:t>
      </w:r>
      <w:r>
        <w:rPr>
          <w:rFonts w:ascii="Verdana" w:hAnsi="Verdana"/>
          <w:noProof/>
          <w:sz w:val="20"/>
          <w:szCs w:val="20"/>
        </w:rPr>
        <w:t xml:space="preserve"> para que é pedida a derrogação? As observações que se seguem baseiam-se na jurisprudência do TJUE relativa à disposição comparável em matéria de derrogações do artigo 9.º da Diretiva Aves e podem ser aplicáveis, por analogia, ao artigo 16.º.</w:t>
      </w:r>
    </w:p>
    <w:p>
      <w:pPr>
        <w:spacing w:after="240"/>
        <w:jc w:val="both"/>
        <w:rPr>
          <w:rFonts w:ascii="Verdana" w:hAnsi="Verdana"/>
          <w:noProof/>
          <w:sz w:val="20"/>
          <w:szCs w:val="20"/>
        </w:rPr>
      </w:pPr>
      <w:r>
        <w:rPr>
          <w:rFonts w:ascii="Verdana" w:hAnsi="Verdana"/>
          <w:noProof/>
          <w:sz w:val="20"/>
          <w:szCs w:val="20"/>
        </w:rPr>
        <w:t>(3-51)</w:t>
      </w:r>
      <w:r>
        <w:rPr>
          <w:rFonts w:ascii="Verdana" w:hAnsi="Verdana"/>
          <w:noProof/>
          <w:sz w:val="20"/>
          <w:szCs w:val="20"/>
        </w:rPr>
        <w:tab/>
        <w:t>A análise da questão da existência ou não de «outra solução satisfatória» pressupõe a existência de um problema ou situação específico e que este tem de ser analisado. As autoridades nacionais competentes são instadas a resolver este problema ou situação escolhendo, de entre as alternativas possíveis, a mais adequada que garantirá a melhor proteção da espécie, resolvendo simultaneamente o problema/situação. A fim de garantir a proteção rigorosa das espécies, as alternativas têm de ser avaliadas relativamente às proibições previstas no artigo 12.º. Por exemplo, podem implicar outra localização para projetos, diferentes escalas ou conceções de desenvolvimento ou atividades, processos ou métodos alternativos.</w:t>
      </w:r>
    </w:p>
    <w:p>
      <w:pPr>
        <w:spacing w:after="240"/>
        <w:jc w:val="both"/>
        <w:rPr>
          <w:rFonts w:ascii="Verdana" w:hAnsi="Verdana"/>
          <w:noProof/>
          <w:sz w:val="20"/>
          <w:szCs w:val="20"/>
        </w:rPr>
      </w:pPr>
      <w:r>
        <w:rPr>
          <w:rFonts w:ascii="Verdana" w:hAnsi="Verdana"/>
          <w:noProof/>
          <w:sz w:val="20"/>
          <w:szCs w:val="20"/>
        </w:rPr>
        <w:t xml:space="preserve">Por exemplo, ao avaliar a existência de «outras soluções satisfatórias» às medidas previstas no artigo 16.º, n.º 1, alínea b), que visam evitar prejuízos sérios, nomeadamente às culturas, à criação de gado, às florestas, às zonas de pesca e às águas e a outras formas de propriedade, é necessário aplicar primeiro, ou pelo menos analisar seriamente, meios de prevenção não letais compatíveis com o artigo 12.º. Na maioria dos casos, as </w:t>
      </w:r>
      <w:r>
        <w:rPr>
          <w:rFonts w:ascii="Verdana" w:hAnsi="Verdana"/>
          <w:b/>
          <w:noProof/>
          <w:sz w:val="20"/>
          <w:szCs w:val="20"/>
        </w:rPr>
        <w:t>medidas de prevenção</w:t>
      </w:r>
      <w:r>
        <w:rPr>
          <w:rFonts w:ascii="Verdana" w:hAnsi="Verdana"/>
          <w:noProof/>
          <w:sz w:val="20"/>
          <w:szCs w:val="20"/>
        </w:rPr>
        <w:t xml:space="preserve"> de prejuízos nas colheitas ou na criação de gado (como a utilização de cercas adequadas, dispositivos de dissuasão de animais selvagens, cães de proteção de rebanhos, pastoreio ou alterações nas práticas de gestão pecuária, bem como a promoção de melhorias nas condições do </w:t>
      </w:r>
      <w:r>
        <w:rPr>
          <w:rFonts w:ascii="Verdana" w:hAnsi="Verdana"/>
          <w:i/>
          <w:iCs/>
          <w:noProof/>
          <w:sz w:val="20"/>
          <w:szCs w:val="20"/>
        </w:rPr>
        <w:t>habitat</w:t>
      </w:r>
      <w:r>
        <w:rPr>
          <w:rFonts w:ascii="Verdana" w:hAnsi="Verdana"/>
          <w:noProof/>
          <w:sz w:val="20"/>
          <w:szCs w:val="20"/>
        </w:rPr>
        <w:t xml:space="preserve"> ou das populações de presas da espécie em questão) podem constituir uma alternativa satisfatória à utilização das derrogações previstas no artigo 16.º, n.º 1, alínea b). Outras medidas de prevenção, como a divulgação de informações baseadas na ciência com o objetivo de reduzir conflitos (por exemplo, métodos de criação animal ou comportamentos humanos), podem fazer parte das alternativas satisfatórias à utilização do controlo letal ao abrigo das derrogações previstas tanto no artigo 16.º, n.º 1, alínea b), como no artigo 16.º, n.º 1, alínea c).</w:t>
      </w:r>
    </w:p>
    <w:p>
      <w:pPr>
        <w:spacing w:after="240"/>
        <w:jc w:val="both"/>
        <w:rPr>
          <w:rFonts w:ascii="Verdana" w:hAnsi="Verdana"/>
          <w:noProof/>
          <w:sz w:val="20"/>
          <w:szCs w:val="20"/>
        </w:rPr>
      </w:pPr>
      <w:r>
        <w:rPr>
          <w:rFonts w:ascii="Verdana" w:hAnsi="Verdana"/>
          <w:noProof/>
          <w:sz w:val="20"/>
          <w:szCs w:val="20"/>
        </w:rPr>
        <w:t>(3-52)</w:t>
      </w:r>
      <w:r>
        <w:rPr>
          <w:rFonts w:ascii="Verdana" w:hAnsi="Verdana"/>
          <w:noProof/>
          <w:sz w:val="20"/>
          <w:szCs w:val="20"/>
        </w:rPr>
        <w:tab/>
        <w:t xml:space="preserve">Na análise sobre se existe ou não outra solução satisfatória para uma situação específica, devem ser tidas em conta todas as vantagens e desvantagens ecológicas, económicas e sociais, a fim de identificar a alternativa ideal para o caso em apreço. Esta </w:t>
      </w:r>
      <w:r>
        <w:rPr>
          <w:rFonts w:ascii="Verdana" w:hAnsi="Verdana"/>
          <w:b/>
          <w:noProof/>
          <w:sz w:val="20"/>
          <w:szCs w:val="20"/>
        </w:rPr>
        <w:t>análise de vantagens e desvantagens</w:t>
      </w:r>
      <w:r>
        <w:rPr>
          <w:rFonts w:ascii="Verdana" w:hAnsi="Verdana"/>
          <w:noProof/>
          <w:sz w:val="20"/>
          <w:szCs w:val="20"/>
        </w:rPr>
        <w:t xml:space="preserve"> deve prestar atenção aos potenciais efeitos negativos das soluções possíveis, bem como às opções e ferramentas para anular ou reduzir ao mínimo eventuais efeitos negativos. O resultado líquido, no que respeita a resolver o problema ao mesmo tempo que se evita ou reduz ao mínimo os efeitos secundários, deve ser depois sopesado face aos efeitos de uma derrogação, tendo em conta o objetivo global da diretiva.</w:t>
      </w:r>
    </w:p>
    <w:p>
      <w:pPr>
        <w:spacing w:after="240"/>
        <w:jc w:val="both"/>
        <w:rPr>
          <w:rFonts w:ascii="Verdana" w:hAnsi="Verdana"/>
          <w:noProof/>
          <w:sz w:val="20"/>
          <w:szCs w:val="20"/>
        </w:rPr>
      </w:pPr>
      <w:r>
        <w:rPr>
          <w:rFonts w:ascii="Verdana" w:hAnsi="Verdana"/>
          <w:noProof/>
          <w:sz w:val="20"/>
          <w:szCs w:val="20"/>
        </w:rPr>
        <w:t xml:space="preserve">(3-53) Uma vez mais, no contexto da autorização de derrogações, as autoridades nacionais competentes têm de demonstrar que, tendo em conta, nomeadamente, os melhores conhecimentos científicos e técnicos pertinentes, e à luz das circunstâncias relativas à situação específica em causa, não existe outra solução satisfatória que permita alcançar o objetivo prosseguido, com observância das proibições estabelecidas na Diretiva </w:t>
      </w:r>
      <w:r>
        <w:rPr>
          <w:rFonts w:ascii="Verdana" w:hAnsi="Verdana"/>
          <w:i/>
          <w:iCs/>
          <w:noProof/>
          <w:sz w:val="20"/>
          <w:szCs w:val="20"/>
        </w:rPr>
        <w:t>Habitats</w:t>
      </w:r>
      <w:r>
        <w:rPr>
          <w:rFonts w:ascii="Verdana" w:hAnsi="Verdana"/>
          <w:noProof/>
          <w:sz w:val="20"/>
          <w:szCs w:val="20"/>
          <w:vertAlign w:val="superscript"/>
          <w:lang w:val="en-US"/>
        </w:rPr>
        <w:footnoteReference w:id="134"/>
      </w:r>
      <w:r>
        <w:rPr>
          <w:rFonts w:ascii="Verdana" w:hAnsi="Verdana"/>
          <w:i/>
          <w:iCs/>
          <w:noProof/>
          <w:sz w:val="20"/>
          <w:szCs w:val="20"/>
        </w:rPr>
        <w:t>.</w:t>
      </w:r>
    </w:p>
    <w:p>
      <w:pPr>
        <w:spacing w:after="240"/>
        <w:jc w:val="both"/>
        <w:rPr>
          <w:rFonts w:ascii="Verdana" w:hAnsi="Verdana"/>
          <w:noProof/>
          <w:sz w:val="20"/>
          <w:szCs w:val="20"/>
        </w:rPr>
      </w:pPr>
      <w:r>
        <w:rPr>
          <w:rFonts w:ascii="Verdana" w:hAnsi="Verdana"/>
          <w:noProof/>
          <w:sz w:val="20"/>
          <w:szCs w:val="20"/>
        </w:rPr>
        <w:t xml:space="preserve"> (3-54) No processo C-674/17, por exemplo, o TJUE considerou que a simples existência de uma atividade ilegal como a caça furtiva ou as dificuldades encontradas na execução do controlo desta não podem bastar para dispensar um Estado‑Membro da sua obrigação de garantir a proteção das espécies protegidas ao abrigo do anexo IV da Diretiva </w:t>
      </w:r>
      <w:r>
        <w:rPr>
          <w:rFonts w:ascii="Verdana" w:hAnsi="Verdana"/>
          <w:i/>
          <w:iCs/>
          <w:noProof/>
          <w:sz w:val="20"/>
          <w:szCs w:val="20"/>
        </w:rPr>
        <w:t>Habitats</w:t>
      </w:r>
      <w:r>
        <w:rPr>
          <w:rFonts w:ascii="Verdana" w:hAnsi="Verdana"/>
          <w:noProof/>
          <w:sz w:val="20"/>
          <w:szCs w:val="20"/>
        </w:rPr>
        <w:t>. Nessa situação, tem de privilegiar o controlo estrito e eficaz dessa atividade ilegal, por um lado, e a adoção de medidas que estejam em conformidade com as proibições impostas nos termos dos artigos 12.º a 14.º e do artigo 15.º, alíneas a) e b), desta diretiva, por outro</w:t>
      </w:r>
      <w:r>
        <w:rPr>
          <w:rFonts w:ascii="Verdana" w:hAnsi="Verdana"/>
          <w:noProof/>
          <w:sz w:val="20"/>
          <w:szCs w:val="20"/>
          <w:vertAlign w:val="superscript"/>
        </w:rPr>
        <w:footnoteReference w:id="135"/>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(3-55) Só quando for suficientemente demonstrado que as alternativas potenciais não são satisfatórias, quer porque não conseguem resolver o problema, quer porque são inviáveis do ponto de vista técnico, e quando estiverem também preenchidas as outras condições, é que a utilização da derrogação pode ser justificada.</w:t>
      </w:r>
    </w:p>
    <w:p>
      <w:pPr>
        <w:spacing w:after="240"/>
        <w:jc w:val="both"/>
        <w:rPr>
          <w:rFonts w:ascii="Verdana" w:hAnsi="Verdana"/>
          <w:noProof/>
          <w:sz w:val="20"/>
          <w:szCs w:val="20"/>
        </w:rPr>
      </w:pPr>
      <w:r>
        <w:rPr>
          <w:rFonts w:ascii="Verdana" w:hAnsi="Verdana"/>
          <w:noProof/>
          <w:sz w:val="20"/>
          <w:szCs w:val="20"/>
        </w:rPr>
        <w:t xml:space="preserve">Todavia, </w:t>
      </w:r>
      <w:r>
        <w:rPr>
          <w:rFonts w:ascii="Verdana" w:hAnsi="Verdana"/>
          <w:b/>
          <w:noProof/>
          <w:sz w:val="20"/>
          <w:szCs w:val="20"/>
        </w:rPr>
        <w:t>se uma medida for parcialmente satisfatória ainda que não resolva suficientemente o problema, embora o possa reduzir ou atenuar, esta medida deve ser aplicada em primeiro lugar</w:t>
      </w:r>
      <w:r>
        <w:rPr>
          <w:rFonts w:ascii="Verdana" w:hAnsi="Verdana"/>
          <w:noProof/>
          <w:sz w:val="20"/>
          <w:szCs w:val="20"/>
        </w:rPr>
        <w:t>. As derrogações para intervenções letais só podem ser justificadas para o problema residual se não for possível recorrer as outros métodos, mas têm de ser proporcionais ao problema remanescente após a aplicação de medidas não letais.</w:t>
      </w:r>
    </w:p>
    <w:p>
      <w:pPr>
        <w:spacing w:after="240"/>
        <w:jc w:val="both"/>
        <w:rPr>
          <w:rFonts w:ascii="Verdana" w:hAnsi="Verdana"/>
          <w:noProof/>
          <w:sz w:val="20"/>
          <w:szCs w:val="20"/>
        </w:rPr>
      </w:pPr>
      <w:r>
        <w:rPr>
          <w:rFonts w:ascii="Verdana" w:hAnsi="Verdana"/>
          <w:noProof/>
          <w:sz w:val="20"/>
          <w:szCs w:val="20"/>
        </w:rPr>
        <w:t>(3-56)</w:t>
      </w:r>
      <w:r>
        <w:rPr>
          <w:rFonts w:ascii="Verdana" w:hAnsi="Verdana"/>
          <w:noProof/>
          <w:sz w:val="20"/>
          <w:szCs w:val="20"/>
        </w:rPr>
        <w:tab/>
        <w:t>O processo para averiguar se outra alternativa é insatisfatória deve basear-se numa avaliação bem documentada de todas as opções disponíveis possíveis, nomeadamente no que se refere à sua eficácia, com base nos melhores factos e dados disponíveis. A avaliação de outras soluções deve ser contrabalançada em relação ao objetivo global da manutenção ou do restabelecimento num estado de conservação favorável da espécie de interesse comunitário em causa (por conseguinte, deve ter em conta o estado de conservação, o impacto do abate suplementar, acidental ou ilegal, de espécimes e as perspetivas da população em questão). A avaliação também pode ter em conta a proporcionalidade em termos de custos. Todavia, o custo económico não pode ser o único fator determinante na análise de soluções alternativas. Em especial, não se podem rejeitar à partida outras soluções satisfatórias só porque o seu custo seria demasiado elevado</w:t>
      </w:r>
      <w:r>
        <w:rPr>
          <w:rFonts w:ascii="Verdana" w:hAnsi="Verdana"/>
          <w:noProof/>
          <w:sz w:val="20"/>
          <w:szCs w:val="20"/>
          <w:vertAlign w:val="superscript"/>
        </w:rPr>
        <w:footnoteReference w:id="13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(3-57)</w:t>
      </w:r>
      <w:r>
        <w:rPr>
          <w:rFonts w:ascii="Verdana" w:hAnsi="Verdana"/>
          <w:noProof/>
          <w:sz w:val="20"/>
          <w:szCs w:val="20"/>
        </w:rPr>
        <w:tab/>
        <w:t xml:space="preserve">De qualquer forma, </w:t>
      </w:r>
      <w:r>
        <w:rPr>
          <w:rFonts w:ascii="Verdana" w:hAnsi="Verdana"/>
          <w:b/>
          <w:noProof/>
          <w:sz w:val="20"/>
          <w:szCs w:val="20"/>
        </w:rPr>
        <w:t>a concessão de uma derrogação prevista no artigo 16.º tem de ser uma solução em último recurso</w:t>
      </w:r>
      <w:r>
        <w:rPr>
          <w:rFonts w:ascii="Verdana" w:hAnsi="Verdana"/>
          <w:noProof/>
          <w:sz w:val="20"/>
          <w:szCs w:val="20"/>
          <w:vertAlign w:val="superscript"/>
        </w:rPr>
        <w:footnoteReference w:id="137"/>
      </w:r>
      <w:r>
        <w:rPr>
          <w:rFonts w:ascii="Verdana" w:hAnsi="Verdana"/>
          <w:noProof/>
          <w:sz w:val="20"/>
          <w:szCs w:val="20"/>
        </w:rPr>
        <w:t>. A característica comum essencial de qualquer sistema de derrogações é que este tem de estar subordinado a outras condições estabelecidas na diretiva no interesse da conservação.</w:t>
      </w:r>
    </w:p>
    <w:p>
      <w:pPr>
        <w:spacing w:after="240"/>
        <w:jc w:val="both"/>
        <w:rPr>
          <w:rFonts w:ascii="Verdana" w:hAnsi="Verdana"/>
          <w:noProof/>
          <w:sz w:val="20"/>
          <w:szCs w:val="20"/>
        </w:rPr>
      </w:pPr>
      <w:r>
        <w:rPr>
          <w:rFonts w:ascii="Verdana" w:hAnsi="Verdana"/>
          <w:noProof/>
          <w:sz w:val="20"/>
          <w:szCs w:val="20"/>
        </w:rPr>
        <w:t>(3-58)</w:t>
      </w:r>
      <w:r>
        <w:rPr>
          <w:rFonts w:ascii="Verdana" w:hAnsi="Verdana"/>
          <w:noProof/>
          <w:sz w:val="20"/>
          <w:szCs w:val="20"/>
        </w:rPr>
        <w:tab/>
        <w:t>A mesma abordagem é aplicável à interpretação do termo «satisfatória». Dada a natureza excecional do regime de derrogações e a obrigação dos Estados-Membros de, nos termos do artigo 4.º, n.º 3, do TUE, ajudarem a UE no cumprimento da sua missão, uma derrogação só se justificaria com base numa demonstração objetiva de que não existe outra solução satisfatória</w:t>
      </w:r>
      <w:r>
        <w:rPr>
          <w:rFonts w:ascii="Verdana" w:hAnsi="Verdana"/>
          <w:noProof/>
          <w:sz w:val="20"/>
          <w:szCs w:val="20"/>
          <w:vertAlign w:val="superscript"/>
        </w:rPr>
        <w:footnoteReference w:id="138"/>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(3-59)</w:t>
      </w:r>
      <w:r>
        <w:rPr>
          <w:rFonts w:ascii="Verdana" w:hAnsi="Verdana"/>
          <w:noProof/>
          <w:sz w:val="20"/>
          <w:szCs w:val="20"/>
        </w:rPr>
        <w:tab/>
        <w:t>O advogado-geral no processo C-342/05 clarificou o princípio da proporcionalidade, segundo o qual</w:t>
      </w:r>
      <w:r>
        <w:rPr>
          <w:rFonts w:ascii="Verdana" w:hAnsi="Verdana"/>
          <w:noProof/>
          <w:sz w:val="20"/>
          <w:szCs w:val="20"/>
          <w:vertAlign w:val="superscript"/>
        </w:rPr>
        <w:footnoteReference w:id="139"/>
      </w:r>
      <w:r>
        <w:rPr>
          <w:rFonts w:ascii="Verdana" w:hAnsi="Verdana"/>
          <w:noProof/>
          <w:sz w:val="20"/>
          <w:szCs w:val="20"/>
        </w:rPr>
        <w:t xml:space="preserve"> uma «medida não pode ser adotada se o seu objetivo puder ser alcançado com o recurso a meios menos restritivos, ou seja, através de uma outra solução satisfatória, na aceção do artigo 16.º, n.º 1, da diretiva». «Uma outra solução é […] satisfatória não apenas quando permite alcançar os objetivos da derrogação de modo semelhante, mas também quando os inconvenientes causados pela derrogação seriam desproporcionados em relação aos objetivos visados e uma outra solução garantiria a proporcionalidade razoável».</w:t>
      </w:r>
    </w:p>
    <w:p>
      <w:pPr>
        <w:spacing w:after="240"/>
        <w:jc w:val="both"/>
        <w:rPr>
          <w:rFonts w:ascii="Verdana" w:hAnsi="Verdana"/>
          <w:noProof/>
          <w:sz w:val="20"/>
          <w:szCs w:val="20"/>
        </w:rPr>
      </w:pPr>
      <w:r>
        <w:rPr>
          <w:rFonts w:ascii="Verdana" w:hAnsi="Verdana"/>
          <w:noProof/>
          <w:sz w:val="20"/>
          <w:szCs w:val="20"/>
        </w:rPr>
        <w:t>(3-60)</w:t>
      </w:r>
      <w:r>
        <w:rPr>
          <w:rFonts w:ascii="Verdana" w:hAnsi="Verdana"/>
          <w:noProof/>
          <w:sz w:val="20"/>
          <w:szCs w:val="20"/>
        </w:rPr>
        <w:tab/>
      </w:r>
      <w:r>
        <w:rPr>
          <w:rFonts w:ascii="Verdana" w:hAnsi="Verdana"/>
          <w:b/>
          <w:noProof/>
          <w:sz w:val="20"/>
          <w:szCs w:val="20"/>
        </w:rPr>
        <w:t xml:space="preserve">Determinar se existe outra solução satisfatória numa dada situação factual deve basear-se em fatores objetivamente verificáveis, tais como considerações científicas e técnicas. </w:t>
      </w:r>
      <w:r>
        <w:rPr>
          <w:rFonts w:ascii="Verdana" w:hAnsi="Verdana"/>
          <w:noProof/>
          <w:sz w:val="20"/>
          <w:szCs w:val="20"/>
        </w:rPr>
        <w:t xml:space="preserve">Dada a natureza excecional do regime de derrogações, uma derrogação só se justificaria nas circunstâncias em que, com base numa demonstração objetiva, não se pudessem adotar outras soluções </w:t>
      </w:r>
      <w:r>
        <w:rPr>
          <w:rFonts w:ascii="Verdana" w:hAnsi="Verdana"/>
          <w:i/>
          <w:iCs/>
          <w:noProof/>
          <w:sz w:val="20"/>
          <w:szCs w:val="20"/>
        </w:rPr>
        <w:t>prima facie</w:t>
      </w:r>
      <w:r>
        <w:rPr>
          <w:rFonts w:ascii="Verdana" w:hAnsi="Verdana"/>
          <w:noProof/>
          <w:sz w:val="20"/>
          <w:szCs w:val="20"/>
        </w:rPr>
        <w:t xml:space="preserve"> satisfatórias</w:t>
      </w:r>
      <w:r>
        <w:rPr>
          <w:rFonts w:ascii="Verdana" w:hAnsi="Verdana"/>
          <w:b/>
          <w:noProof/>
          <w:sz w:val="20"/>
          <w:szCs w:val="20"/>
          <w:vertAlign w:val="superscript"/>
        </w:rPr>
        <w:footnoteReference w:id="140"/>
      </w:r>
      <w:r>
        <w:rPr>
          <w:rFonts w:ascii="Verdana" w:hAnsi="Verdana"/>
          <w:noProof/>
          <w:sz w:val="20"/>
          <w:szCs w:val="20"/>
        </w:rPr>
        <w:t>. Evidentemente, a exigência de ter seriamente em consideração outras soluções é de importância primordial. Os Estados-Membros têm um poder discricionário limitado e, nos casos em que existe outra solução, eventuais argumentos de que a mesma não é satisfatória terão de ser convincentes. O acórdão no processo C-182/02 ilustra a abordagem restrita assumida pelo Tribunal de Justiça para as derrogações ao abrigo da Diretiva Aves. A fim de averiguar se existia uma solução satisfatória, o Tribunal de Justiça avaliou simultaneamente a «necessidade» e o «objetivo» da derrogação</w:t>
      </w:r>
      <w:r>
        <w:rPr>
          <w:rFonts w:ascii="Verdana" w:hAnsi="Verdana"/>
          <w:noProof/>
          <w:sz w:val="20"/>
          <w:szCs w:val="20"/>
          <w:vertAlign w:val="superscript"/>
        </w:rPr>
        <w:footnoteReference w:id="14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Este acórdão confirma a importância de demonstrar que existem motivos imperiosos que justificam uma derrogação</w:t>
      </w:r>
      <w:r>
        <w:rPr>
          <w:rFonts w:ascii="Verdana" w:hAnsi="Verdana"/>
          <w:noProof/>
          <w:sz w:val="20"/>
          <w:szCs w:val="20"/>
          <w:vertAlign w:val="superscript"/>
        </w:rPr>
        <w:footnoteReference w:id="142"/>
      </w:r>
      <w:r>
        <w:rPr>
          <w:rFonts w:ascii="Verdana" w:hAnsi="Verdana"/>
          <w:noProof/>
          <w:sz w:val="20"/>
          <w:szCs w:val="20"/>
        </w:rPr>
        <w:t xml:space="preserve">. </w:t>
      </w:r>
      <w:r>
        <w:rPr>
          <w:rFonts w:ascii="Verdana" w:hAnsi="Verdana"/>
          <w:b/>
          <w:noProof/>
          <w:sz w:val="20"/>
          <w:szCs w:val="20"/>
        </w:rPr>
        <w:t>Outra solução não pode ser considerada insatisfatória simplesmente porque causaria mais inconvenientes ou obrigaria a uma mudança de comportamentos</w:t>
      </w:r>
      <w:r>
        <w:rPr>
          <w:rFonts w:ascii="Verdana" w:hAnsi="Verdana"/>
          <w:noProof/>
          <w:sz w:val="20"/>
          <w:szCs w:val="20"/>
        </w:rPr>
        <w:t xml:space="preserve"> dos beneficiários da derrogação. Neste contexto, os argumentos baseados na «tradição fortemente arreigada» ou nos aspetos «ancestrais»</w:t>
      </w:r>
      <w:r>
        <w:rPr>
          <w:rFonts w:ascii="Verdana" w:hAnsi="Verdana"/>
          <w:i/>
          <w:noProof/>
          <w:sz w:val="20"/>
          <w:szCs w:val="20"/>
        </w:rPr>
        <w:t xml:space="preserve"> </w:t>
      </w:r>
      <w:r>
        <w:rPr>
          <w:rFonts w:ascii="Verdana" w:hAnsi="Verdana"/>
          <w:noProof/>
          <w:sz w:val="20"/>
          <w:szCs w:val="20"/>
        </w:rPr>
        <w:t>das práticas cinegéticas foram considerados insuficientes para justificar a necessidade de uma derrogação à Diretiva Aves</w:t>
      </w:r>
      <w:r>
        <w:rPr>
          <w:rFonts w:ascii="Verdana" w:hAnsi="Verdana"/>
          <w:noProof/>
          <w:sz w:val="20"/>
          <w:szCs w:val="20"/>
          <w:vertAlign w:val="superscript"/>
        </w:rPr>
        <w:footnoteReference w:id="143"/>
      </w:r>
      <w:r>
        <w:rPr>
          <w:rFonts w:ascii="Verdana" w:hAnsi="Verdana"/>
          <w:noProof/>
          <w:sz w:val="20"/>
          <w:szCs w:val="20"/>
        </w:rPr>
        <w:t xml:space="preserve">. A mesma lógica é aplicável às derrogações ao abrigo da Diretiva </w:t>
      </w:r>
      <w:r>
        <w:rPr>
          <w:rFonts w:ascii="Verdana" w:hAnsi="Verdana"/>
          <w:i/>
          <w:iCs/>
          <w:noProof/>
          <w:sz w:val="20"/>
          <w:szCs w:val="20"/>
        </w:rPr>
        <w:t>Habitats</w:t>
      </w:r>
      <w:r>
        <w:rPr>
          <w:rFonts w:ascii="Verdana" w:hAnsi="Verdana"/>
          <w:noProof/>
          <w:sz w:val="20"/>
          <w:szCs w:val="20"/>
        </w:rPr>
        <w:t>.</w:t>
      </w:r>
    </w:p>
    <w:p>
      <w:pPr>
        <w:spacing w:after="360"/>
        <w:jc w:val="both"/>
        <w:rPr>
          <w:rFonts w:ascii="Verdana" w:hAnsi="Verdana"/>
          <w:noProof/>
          <w:sz w:val="20"/>
          <w:szCs w:val="20"/>
        </w:rPr>
      </w:pPr>
      <w:r>
        <w:rPr>
          <w:rFonts w:ascii="Verdana" w:hAnsi="Verdana"/>
          <w:noProof/>
          <w:sz w:val="20"/>
          <w:szCs w:val="20"/>
        </w:rPr>
        <w:t>(3-61)</w:t>
      </w:r>
      <w:r>
        <w:rPr>
          <w:rFonts w:ascii="Verdana" w:hAnsi="Verdana"/>
          <w:noProof/>
          <w:sz w:val="20"/>
          <w:szCs w:val="20"/>
        </w:rPr>
        <w:tab/>
        <w:t>Além disso, a solução selecionada, ainda que implique uma derrogação, tem de ser objetivamente limitada ao necessário para resolver o problema ou situação específico</w:t>
      </w:r>
      <w:r>
        <w:rPr>
          <w:rFonts w:ascii="Verdana" w:hAnsi="Verdana"/>
          <w:noProof/>
          <w:sz w:val="20"/>
          <w:szCs w:val="20"/>
          <w:vertAlign w:val="superscript"/>
        </w:rPr>
        <w:footnoteReference w:id="144"/>
      </w:r>
      <w:r>
        <w:rPr>
          <w:rFonts w:ascii="Verdana" w:hAnsi="Verdana"/>
          <w:noProof/>
          <w:sz w:val="20"/>
          <w:szCs w:val="20"/>
        </w:rPr>
        <w:t xml:space="preserve">. Significa isto que as </w:t>
      </w:r>
      <w:r>
        <w:rPr>
          <w:rFonts w:ascii="Verdana" w:hAnsi="Verdana"/>
          <w:b/>
          <w:noProof/>
          <w:sz w:val="20"/>
          <w:szCs w:val="20"/>
        </w:rPr>
        <w:t>derrogações têm de ser</w:t>
      </w:r>
      <w:r>
        <w:rPr>
          <w:rFonts w:ascii="Verdana" w:hAnsi="Verdana"/>
          <w:noProof/>
          <w:sz w:val="20"/>
          <w:szCs w:val="20"/>
        </w:rPr>
        <w:t xml:space="preserve"> </w:t>
      </w:r>
      <w:r>
        <w:rPr>
          <w:rFonts w:ascii="Verdana" w:hAnsi="Verdana"/>
          <w:b/>
          <w:noProof/>
          <w:sz w:val="20"/>
          <w:szCs w:val="20"/>
        </w:rPr>
        <w:t>limitadas em termos de duração, localização, número</w:t>
      </w:r>
      <w:r>
        <w:rPr>
          <w:rFonts w:ascii="Verdana" w:hAnsi="Verdana"/>
          <w:noProof/>
          <w:sz w:val="20"/>
          <w:szCs w:val="20"/>
        </w:rPr>
        <w:t xml:space="preserve"> de espécimes envolvidos, espécimes específicos envolvidos, pessoas autorizadas, etc. A necessidade de limitar a derrogação ao necessário para resolver o problema voltou a ser confirmada no processo C-10/96 relativo à disposição comparável do artigo 9.º da Diretiva Aves</w:t>
      </w:r>
      <w:r>
        <w:rPr>
          <w:rFonts w:ascii="Verdana" w:hAnsi="Verdana"/>
          <w:noProof/>
          <w:sz w:val="20"/>
          <w:szCs w:val="20"/>
          <w:vertAlign w:val="superscript"/>
        </w:rPr>
        <w:footnoteReference w:id="145"/>
      </w:r>
      <w:r>
        <w:rPr>
          <w:rFonts w:ascii="Verdana" w:hAnsi="Verdana"/>
          <w:noProof/>
          <w:sz w:val="20"/>
          <w:szCs w:val="20"/>
        </w:rPr>
        <w:t>. Segundo o Tribunal de Justiça, o número de espécimes abrangidos pela derrogação tem de ser «fixado no limite do que for objetivamente necessário para obviar a esses inconvenientes». Este limite é distinto do «número limitado» referido no artigo 16.º, n.º 1, alínea e), que serve de «pico» global para a aplicação desta derrogação específica</w:t>
      </w:r>
      <w:r>
        <w:rPr>
          <w:rFonts w:ascii="Verdana" w:hAnsi="Verdana"/>
          <w:noProof/>
          <w:sz w:val="20"/>
          <w:szCs w:val="20"/>
          <w:vertAlign w:val="superscript"/>
        </w:rPr>
        <w:footnoteReference w:id="146"/>
      </w:r>
      <w:r>
        <w:rPr>
          <w:rFonts w:ascii="Verdana" w:hAnsi="Verdana"/>
          <w:noProof/>
          <w:sz w:val="20"/>
          <w:szCs w:val="20"/>
        </w:rPr>
        <w:t>.</w:t>
      </w:r>
    </w:p>
    <w:p>
      <w:pPr>
        <w:pStyle w:val="h4"/>
        <w:rPr>
          <w:noProof/>
        </w:rPr>
      </w:pPr>
      <w:r>
        <w:rPr>
          <w:noProof/>
        </w:rPr>
        <w:t>3.2.3.</w:t>
      </w:r>
      <w:r>
        <w:rPr>
          <w:noProof/>
        </w:rPr>
        <w:tab/>
        <w:t>TESTE 3: impacto de uma derrogação no estado de conservação</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Em conformidade com o quadro harmonizado de comunicação de informações acordado para o artigo 17.º da diretiva, o estado de conservação global de uma espécie num Estado-Membro é avaliado ao nível biogeográfico em cada Estado-Membro. No entanto, a avaliação do impacto de uma derrogação específica deve ser feita a um nível inferior (por exemplo, ao nível do local ou da população), a fim de ter significado no contexto específico da derrogação.</w:t>
      </w:r>
    </w:p>
    <w:p>
      <w:pPr>
        <w:spacing w:after="240"/>
        <w:jc w:val="both"/>
        <w:rPr>
          <w:rFonts w:ascii="Verdana" w:hAnsi="Verdana" w:cs="Arial"/>
          <w:noProof/>
          <w:sz w:val="20"/>
          <w:szCs w:val="20"/>
        </w:rPr>
      </w:pPr>
      <w:r>
        <w:rPr>
          <w:rFonts w:ascii="Verdana" w:hAnsi="Verdana"/>
          <w:noProof/>
          <w:sz w:val="20"/>
          <w:szCs w:val="20"/>
        </w:rPr>
        <w:t>(3-62)</w:t>
      </w:r>
      <w:r>
        <w:rPr>
          <w:rFonts w:ascii="Verdana" w:hAnsi="Verdana"/>
          <w:noProof/>
          <w:sz w:val="20"/>
          <w:szCs w:val="20"/>
        </w:rPr>
        <w:tab/>
        <w:t>Segundo o artigo 16.º, n.º 1, as derrogações não podem «prejudi[car] a manutenção das populações da espécie em causa na sua área de repartição natural, num estado de conservação favorável». A aplicação desta disposição deve incluir uma avaliação em duas fases: em primeiro lugar, para avaliar o estado de conservação das populações específicas de uma espécie na sua área de repartição natural no Estado-Membro em questão (e, eventualmente, para além das fronteiras nacionais caso as populações sejam partilhadas com países vizinhos) e, em segundo lugar, uma avaliação do impacto da derrogação no estado de conservação da população específica ou das populações em questão. Por uma questão de clareza, entende-se por «população» um grupo de espécimes da mesma espécie que vive na mesma altura numa área geográfica delimitada e que (potencialmente) se cruzam entre si (ou seja, partilham um património genético comum)</w:t>
      </w:r>
      <w:r>
        <w:rPr>
          <w:rFonts w:ascii="Verdana" w:hAnsi="Verdana"/>
          <w:noProof/>
          <w:sz w:val="20"/>
          <w:szCs w:val="20"/>
          <w:vertAlign w:val="superscript"/>
        </w:rPr>
        <w:footnoteReference w:id="147"/>
      </w:r>
      <w:r>
        <w:rPr>
          <w:rFonts w:ascii="Verdana" w:hAnsi="Verdana"/>
          <w:noProof/>
          <w:sz w:val="20"/>
          <w:szCs w:val="20"/>
        </w:rPr>
        <w:t>.</w:t>
      </w:r>
    </w:p>
    <w:p>
      <w:pPr>
        <w:spacing w:after="240"/>
        <w:rPr>
          <w:rFonts w:ascii="Verdana" w:hAnsi="Verdana"/>
          <w:b/>
          <w:i/>
          <w:noProof/>
          <w:sz w:val="20"/>
          <w:szCs w:val="20"/>
        </w:rPr>
      </w:pPr>
    </w:p>
    <w:p>
      <w:pPr>
        <w:spacing w:after="240"/>
        <w:rPr>
          <w:rFonts w:ascii="Verdana" w:hAnsi="Verdana"/>
          <w:b/>
          <w:i/>
          <w:noProof/>
          <w:sz w:val="20"/>
          <w:szCs w:val="20"/>
        </w:rPr>
      </w:pPr>
      <w:r>
        <w:rPr>
          <w:rFonts w:ascii="Verdana" w:hAnsi="Verdana"/>
          <w:b/>
          <w:i/>
          <w:noProof/>
          <w:sz w:val="20"/>
          <w:szCs w:val="20"/>
        </w:rPr>
        <w:t>3.2.3.a) Escala de avaliação</w:t>
      </w:r>
    </w:p>
    <w:p>
      <w:pPr>
        <w:spacing w:after="240"/>
        <w:jc w:val="both"/>
        <w:rPr>
          <w:rFonts w:ascii="Verdana" w:hAnsi="Verdana"/>
          <w:noProof/>
          <w:sz w:val="20"/>
          <w:szCs w:val="20"/>
        </w:rPr>
      </w:pPr>
      <w:r>
        <w:rPr>
          <w:rFonts w:ascii="Verdana" w:hAnsi="Verdana"/>
          <w:noProof/>
          <w:sz w:val="20"/>
          <w:szCs w:val="20"/>
        </w:rPr>
        <w:t>(3-63)</w:t>
      </w:r>
      <w:r>
        <w:rPr>
          <w:rFonts w:ascii="Verdana" w:hAnsi="Verdana"/>
          <w:noProof/>
          <w:sz w:val="20"/>
          <w:szCs w:val="20"/>
        </w:rPr>
        <w:tab/>
        <w:t xml:space="preserve">Coloca-se então a questão de saber que nível deve ser considerado para avaliar se o impacto de uma derrogação é prejudicial, neutro ou se pode ser positivo para o estado de conservação de uma espécie. Em última análise, é necessário ter em conta o estado de conservação de uma espécie em toda a sua área de repartição natural, em conformidade com o artigo 1.º, alínea i). Em conversações com o Comité </w:t>
      </w:r>
      <w:r>
        <w:rPr>
          <w:rFonts w:ascii="Verdana" w:hAnsi="Verdana"/>
          <w:i/>
          <w:iCs/>
          <w:noProof/>
          <w:sz w:val="20"/>
          <w:szCs w:val="20"/>
        </w:rPr>
        <w:t>Habitats</w:t>
      </w:r>
      <w:r>
        <w:rPr>
          <w:rFonts w:ascii="Verdana" w:hAnsi="Verdana"/>
          <w:noProof/>
          <w:sz w:val="20"/>
          <w:szCs w:val="20"/>
        </w:rPr>
        <w:t>, decidiu-se que, para efeitos de elaboração dos relatórios previstos no artigo 17.º (em articulação com o artigo 11.º), o estado de conservação deve ser avaliado ao nível biogeográfico em cada Estado-Membro. Em última análise, tal permitiria agregar informações para regiões biogeográficas inteiras em toda a UE. Por conseguinte, o estado de conservação de uma espécie dentro da região biogeográfica específica de um Estado-Membro constitui uma informação muito pertinente quando se pondera a concessão de uma derrogação.</w:t>
      </w:r>
    </w:p>
    <w:p>
      <w:pPr>
        <w:spacing w:after="240"/>
        <w:jc w:val="both"/>
        <w:rPr>
          <w:rFonts w:ascii="Verdana" w:hAnsi="Verdana"/>
          <w:noProof/>
          <w:sz w:val="20"/>
          <w:szCs w:val="20"/>
        </w:rPr>
      </w:pPr>
      <w:r>
        <w:rPr>
          <w:rFonts w:ascii="Verdana" w:hAnsi="Verdana"/>
          <w:noProof/>
          <w:sz w:val="20"/>
          <w:szCs w:val="20"/>
        </w:rPr>
        <w:t>(3-64)</w:t>
      </w:r>
      <w:r>
        <w:rPr>
          <w:rFonts w:ascii="Verdana" w:hAnsi="Verdana"/>
          <w:noProof/>
          <w:sz w:val="20"/>
          <w:szCs w:val="20"/>
        </w:rPr>
        <w:tab/>
      </w:r>
      <w:r>
        <w:rPr>
          <w:rFonts w:ascii="Verdana" w:hAnsi="Verdana"/>
          <w:b/>
          <w:noProof/>
          <w:sz w:val="20"/>
          <w:szCs w:val="20"/>
        </w:rPr>
        <w:t xml:space="preserve">Porém, a avaliação do impacto de uma derrogação específica, na maioria dos casos, terá de ser feita a um nível inferior </w:t>
      </w:r>
      <w:r>
        <w:rPr>
          <w:rFonts w:ascii="Verdana" w:hAnsi="Verdana"/>
          <w:noProof/>
          <w:sz w:val="20"/>
          <w:szCs w:val="20"/>
        </w:rPr>
        <w:t xml:space="preserve">ao da região biogeográfica para que possa ter significado em termos ecológicos. Um nível útil poderia ser o da população (local). A redação do artigo 16.º, que refere </w:t>
      </w:r>
      <w:r>
        <w:rPr>
          <w:rFonts w:ascii="Verdana" w:hAnsi="Verdana"/>
          <w:i/>
          <w:noProof/>
          <w:sz w:val="20"/>
          <w:szCs w:val="20"/>
        </w:rPr>
        <w:t>«populações da espécie em causa»</w:t>
      </w:r>
      <w:r>
        <w:rPr>
          <w:rFonts w:ascii="Verdana" w:hAnsi="Verdana"/>
          <w:noProof/>
          <w:sz w:val="20"/>
          <w:szCs w:val="20"/>
        </w:rPr>
        <w:t>, confirma esta interpretação.</w:t>
      </w:r>
    </w:p>
    <w:p>
      <w:pPr>
        <w:spacing w:after="240"/>
        <w:jc w:val="both"/>
        <w:rPr>
          <w:rFonts w:ascii="Verdana" w:hAnsi="Verdana"/>
          <w:noProof/>
          <w:sz w:val="20"/>
          <w:szCs w:val="20"/>
        </w:rPr>
      </w:pPr>
      <w:r>
        <w:rPr>
          <w:rFonts w:ascii="Verdana" w:hAnsi="Verdana"/>
          <w:noProof/>
          <w:sz w:val="20"/>
          <w:szCs w:val="20"/>
        </w:rPr>
        <w:t>Como é evidente, a abordagem tem de ser adaptada à espécie em causa: os efeitos cumulativos do abate de espécimes de um grande carnívoro com uma vasta área de repartição terão de ser avaliados ao nível da população (transfronteiriça, se for caso disso</w:t>
      </w:r>
      <w:r>
        <w:rPr>
          <w:rFonts w:ascii="Verdana" w:hAnsi="Verdana"/>
          <w:noProof/>
          <w:sz w:val="20"/>
          <w:szCs w:val="20"/>
          <w:vertAlign w:val="superscript"/>
        </w:rPr>
        <w:footnoteReference w:id="148"/>
      </w:r>
      <w:r>
        <w:rPr>
          <w:rFonts w:ascii="Verdana" w:hAnsi="Verdana"/>
          <w:noProof/>
          <w:sz w:val="20"/>
          <w:szCs w:val="20"/>
        </w:rPr>
        <w:t xml:space="preserve">), enquanto o impacto da destruição de um local de reprodução num </w:t>
      </w:r>
      <w:r>
        <w:rPr>
          <w:rFonts w:ascii="Verdana" w:hAnsi="Verdana"/>
          <w:i/>
          <w:iCs/>
          <w:noProof/>
          <w:sz w:val="20"/>
          <w:szCs w:val="20"/>
        </w:rPr>
        <w:t>habitat</w:t>
      </w:r>
      <w:r>
        <w:rPr>
          <w:rFonts w:ascii="Verdana" w:hAnsi="Verdana"/>
          <w:noProof/>
          <w:sz w:val="20"/>
          <w:szCs w:val="20"/>
        </w:rPr>
        <w:t xml:space="preserve"> de anfíbios bastante fragmentado poderá ser avaliado mais adequadamente ao nível do local específico ou da metapopulação</w:t>
      </w:r>
      <w:r>
        <w:rPr>
          <w:rFonts w:ascii="Verdana" w:hAnsi="Verdana"/>
          <w:noProof/>
          <w:sz w:val="20"/>
          <w:szCs w:val="20"/>
          <w:vertAlign w:val="superscript"/>
        </w:rPr>
        <w:footnoteReference w:id="14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Segundo a jurisprudência constante, as derrogações só podem constituir uma aplicação concreta e pontual para responder a exigências precisas e a situações específicas</w:t>
      </w:r>
      <w:r>
        <w:rPr>
          <w:rFonts w:ascii="Verdana" w:hAnsi="Verdana"/>
          <w:noProof/>
          <w:sz w:val="20"/>
          <w:szCs w:val="20"/>
          <w:vertAlign w:val="superscript"/>
        </w:rPr>
        <w:footnoteReference w:id="150"/>
      </w:r>
      <w:r>
        <w:rPr>
          <w:rFonts w:ascii="Verdana" w:hAnsi="Verdana"/>
          <w:noProof/>
          <w:sz w:val="20"/>
          <w:szCs w:val="20"/>
        </w:rPr>
        <w:t xml:space="preserve">. Daí decorre que, normalmente, as avaliações aos níveis inferiores são essenciais, na medida em que as derrogações têm de fazer face a problemas específicos e providenciar soluções adequadas. Por conseguinte, as derrogações têm de ser </w:t>
      </w:r>
      <w:r>
        <w:rPr>
          <w:rFonts w:ascii="Verdana" w:hAnsi="Verdana"/>
          <w:b/>
          <w:noProof/>
          <w:sz w:val="20"/>
          <w:szCs w:val="20"/>
        </w:rPr>
        <w:t>concedidas para um local específico, uma vez que o seu impacto principal é sentido a nível local</w:t>
      </w:r>
      <w:r>
        <w:rPr>
          <w:rFonts w:ascii="Verdana" w:hAnsi="Verdana"/>
          <w:noProof/>
          <w:sz w:val="20"/>
          <w:szCs w:val="20"/>
        </w:rPr>
        <w:t>. A avaliação a um nível inferior teria depois de ser avaliada em função da situação a uma escala maior (por exemplo, biogeográfica, transfronteiriça ou nacional), para se obter um retrato completo da situação.</w:t>
      </w:r>
    </w:p>
    <w:p>
      <w:pPr>
        <w:spacing w:after="240"/>
        <w:jc w:val="both"/>
        <w:rPr>
          <w:rFonts w:ascii="Verdana" w:hAnsi="Verdana"/>
          <w:noProof/>
          <w:sz w:val="20"/>
          <w:szCs w:val="20"/>
        </w:rPr>
      </w:pPr>
      <w:r>
        <w:rPr>
          <w:rFonts w:ascii="Verdana" w:hAnsi="Verdana"/>
          <w:noProof/>
          <w:sz w:val="20"/>
          <w:szCs w:val="20"/>
        </w:rPr>
        <w:t xml:space="preserve">No seu acórdão no processo C-674/17, relativo às derrogações para os lobos, o TJUE segue este raciocínio, afirmando que, antes de concederem derrogações, as autoridades nacionais têm de </w:t>
      </w:r>
      <w:r>
        <w:rPr>
          <w:rFonts w:ascii="Verdana" w:hAnsi="Verdana"/>
          <w:b/>
          <w:noProof/>
          <w:sz w:val="20"/>
          <w:szCs w:val="20"/>
        </w:rPr>
        <w:t>avaliar o estado de conservação da população em causa e o impacto que as derrogações previstas são suscetíveis de ter a nível local e a nível do território desse Estado‑Membro</w:t>
      </w:r>
      <w:r>
        <w:rPr>
          <w:rFonts w:ascii="Verdana" w:hAnsi="Verdana"/>
          <w:noProof/>
          <w:sz w:val="20"/>
          <w:szCs w:val="20"/>
        </w:rPr>
        <w:t xml:space="preserve"> ou, sendo caso disso, a nível da região biogeográfica em causa quando as fronteiras desse Estado‑Membro abranjam várias regiões biogeográficas ou, ainda, se a área de repartição natural da espécie o exigir e, tanto quanto possível, no plano transfronteiriço. O TJUE esclareceu que: «a avaliação do impacto de uma derrogação a nível do território de uma população local é geralmente necessária para determinar o seu efeito no estado de conservação da população em causa em maior escala. […] [A]s consequências de tal derrogação serão geralmente sentidas mais imediatamente na zona local objeto dessa decisão. Por outro lado […], o estado de conservação de uma população à escala nacional ou biogeográfica depende igualmente do efeito cumulativo das várias autorizações excecionais que afetam zonas locais»</w:t>
      </w:r>
      <w:r>
        <w:rPr>
          <w:rFonts w:ascii="Verdana" w:hAnsi="Verdana"/>
          <w:noProof/>
          <w:sz w:val="20"/>
          <w:szCs w:val="20"/>
          <w:vertAlign w:val="superscript"/>
        </w:rPr>
        <w:footnoteReference w:id="151"/>
      </w:r>
      <w:r>
        <w:rPr>
          <w:rFonts w:ascii="Verdana" w:hAnsi="Verdana"/>
          <w:noProof/>
          <w:sz w:val="20"/>
          <w:szCs w:val="20"/>
        </w:rPr>
        <w:t>. «Por conseguinte, tal derrogação não pode ser adotada sem terem sido avaliados o estado de conservação das populações da espécie em causa e o impacto que a derrogação prevista é suscetível de ter nesse estado de conservação, a nível local e a nível do território desse Estado‑Membro ou, sendo caso disso, a nível da região biogeográfica em causa quando as fronteiras desse Estado‑Membro abranjam várias regiões biogeográficas ou, ainda, se a área de repartição natural da espécie o exigir e, tanto quanto possível, no plano transfronteiriço»</w:t>
      </w:r>
      <w:r>
        <w:rPr>
          <w:rFonts w:ascii="Verdana" w:hAnsi="Verdana"/>
          <w:noProof/>
          <w:sz w:val="20"/>
          <w:szCs w:val="20"/>
          <w:vertAlign w:val="superscript"/>
        </w:rPr>
        <w:footnoteReference w:id="152"/>
      </w:r>
      <w:r>
        <w:rPr>
          <w:rFonts w:ascii="Verdana" w:hAnsi="Verdana"/>
          <w:noProof/>
          <w:sz w:val="20"/>
          <w:szCs w:val="20"/>
        </w:rPr>
        <w:t>. Porém, «não se pode ter em conta, para efeitos dessa avaliação, a parte da área de repartição natural da população em causa que se estende a certas partes do território de um Estado terceiro, que não está vinculado pelas obrigações de proteção rigorosa das espécies de interesse para a União»</w:t>
      </w:r>
      <w:r>
        <w:rPr>
          <w:rFonts w:ascii="Verdana" w:hAnsi="Verdana"/>
          <w:noProof/>
          <w:sz w:val="20"/>
          <w:szCs w:val="20"/>
          <w:vertAlign w:val="superscript"/>
        </w:rPr>
        <w:footnoteReference w:id="15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(3-65) Quando a autorização para conceder derrogações é dada a níveis subnacionais (por exemplo, pela administração regional), é necessário coordenar e ter uma </w:t>
      </w:r>
      <w:r>
        <w:rPr>
          <w:rFonts w:ascii="Verdana" w:hAnsi="Verdana"/>
          <w:b/>
          <w:noProof/>
          <w:sz w:val="20"/>
          <w:szCs w:val="20"/>
        </w:rPr>
        <w:t>visão de conjunto e supervisão</w:t>
      </w:r>
      <w:r>
        <w:rPr>
          <w:rFonts w:ascii="Verdana" w:hAnsi="Verdana"/>
          <w:noProof/>
          <w:sz w:val="20"/>
          <w:szCs w:val="20"/>
        </w:rPr>
        <w:t xml:space="preserve"> da concessão de derrogações a nível do Estado-Membro (e também para além das fronteiras nacionais no caso das populações transfronteiriças), a fim de evitar o risco de que a soma das derrogações se traduza em efeitos prejudiciais para o estado de conservação das populações da espécie em causa na sua área de repartição natural (nacional) (ver também 3.1.2).</w:t>
      </w: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rPr>
          <w:rFonts w:ascii="Verdana" w:hAnsi="Verdana"/>
          <w:b/>
          <w:i/>
          <w:noProof/>
          <w:sz w:val="20"/>
          <w:szCs w:val="20"/>
        </w:rPr>
      </w:pPr>
      <w:r>
        <w:rPr>
          <w:rFonts w:ascii="Verdana" w:hAnsi="Verdana"/>
          <w:b/>
          <w:i/>
          <w:noProof/>
          <w:sz w:val="20"/>
          <w:szCs w:val="20"/>
        </w:rPr>
        <w:t xml:space="preserve">3.2.3.b) </w:t>
      </w:r>
      <w:r>
        <w:rPr>
          <w:rFonts w:ascii="Verdana" w:hAnsi="Verdana"/>
          <w:b/>
          <w:i/>
          <w:noProof/>
          <w:sz w:val="20"/>
          <w:szCs w:val="20"/>
        </w:rPr>
        <w:tab/>
        <w:t>Derrogações e o seu impacto no estado de conservação</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O resultado líquido de uma derrogação para o estado de conservação de uma espécie deverá ser neutro ou positivo. As medidas compensatórias podem, em certas circunstâncias, ser utilizadas para compensar, por exemplo, o impacto de uma derrogação em locais de reprodução e áreas de repouso, mas não para substituir ou reduzir a necessidade de cumprir qualquer um dos três testes. Os planos de conservação por espécie não são obrigatórios, mas são recomendados, na medida em que ajudam a garantir que as derrogações sejam concedidas em conformidade com os objetivos da diretiva.</w:t>
      </w:r>
    </w:p>
    <w:p>
      <w:pPr>
        <w:spacing w:after="240"/>
        <w:jc w:val="both"/>
        <w:rPr>
          <w:rFonts w:ascii="Verdana" w:hAnsi="Verdana"/>
          <w:noProof/>
          <w:sz w:val="20"/>
          <w:szCs w:val="20"/>
        </w:rPr>
      </w:pPr>
      <w:r>
        <w:rPr>
          <w:rFonts w:ascii="Verdana" w:hAnsi="Verdana"/>
          <w:noProof/>
          <w:sz w:val="20"/>
          <w:szCs w:val="20"/>
        </w:rPr>
        <w:t>(3-66) Como é realçado na jurisprudência aplicável do TJUE</w:t>
      </w:r>
      <w:r>
        <w:rPr>
          <w:rFonts w:ascii="Verdana" w:hAnsi="Verdana"/>
          <w:noProof/>
          <w:sz w:val="20"/>
          <w:szCs w:val="20"/>
          <w:vertAlign w:val="superscript"/>
        </w:rPr>
        <w:footnoteReference w:id="154"/>
      </w:r>
      <w:r>
        <w:rPr>
          <w:rFonts w:ascii="Verdana" w:hAnsi="Verdana"/>
          <w:noProof/>
          <w:sz w:val="20"/>
          <w:szCs w:val="20"/>
        </w:rPr>
        <w:t>, «nos termos do artigo 16.º, n.º 1, da diretiva, o estado de conservação favorável dessas populações na sua área de repartição natural constitui uma condição necessária e prévia à concessão das derrogações previstas nesta disposição». A diretiva não prevê explicitamente a concessão de derrogações para espécies que estejam num estado de conservação desfavorável, nem a utilização de medidas compensatórias. Porém, ao interpretar e aplicar a disposição do artigo 16.º, n.º 1, de forma a colocar a ênfase na consecução do objetivo global do estado de conservação favorável, ambos os conceitos podem ser incorporados na interpretação, desde que a consecução deste objetivo não seja comprometida de forma alguma.</w:t>
      </w:r>
    </w:p>
    <w:p>
      <w:pPr>
        <w:spacing w:after="240"/>
        <w:jc w:val="both"/>
        <w:rPr>
          <w:rFonts w:ascii="Verdana" w:hAnsi="Verdana"/>
          <w:bCs/>
          <w:noProof/>
          <w:sz w:val="20"/>
          <w:szCs w:val="20"/>
        </w:rPr>
      </w:pPr>
      <w:r>
        <w:rPr>
          <w:rFonts w:ascii="Verdana" w:hAnsi="Verdana"/>
          <w:noProof/>
          <w:sz w:val="20"/>
          <w:szCs w:val="20"/>
        </w:rPr>
        <w:t>(3-67)</w:t>
      </w:r>
      <w:r>
        <w:rPr>
          <w:rFonts w:ascii="Verdana" w:hAnsi="Verdana"/>
          <w:noProof/>
          <w:sz w:val="20"/>
          <w:szCs w:val="20"/>
        </w:rPr>
        <w:tab/>
        <w:t>O estado de conservação favorável das populações da espécie em causa na sua área de repartição natural constitui, em princípio, uma condição necessária e prévia à concessão de uma derrogação</w:t>
      </w:r>
      <w:r>
        <w:rPr>
          <w:rFonts w:ascii="Verdana" w:hAnsi="Verdana"/>
          <w:noProof/>
          <w:sz w:val="20"/>
          <w:szCs w:val="20"/>
          <w:vertAlign w:val="superscript"/>
        </w:rPr>
        <w:footnoteReference w:id="155"/>
      </w:r>
      <w:r>
        <w:rPr>
          <w:rFonts w:ascii="Verdana" w:hAnsi="Verdana"/>
          <w:noProof/>
          <w:sz w:val="20"/>
          <w:szCs w:val="20"/>
        </w:rPr>
        <w:t>. Porém, no processo C-342/05, tendo determinado que o estado de conservação do lobo na Finlândia não era favorável, o Tribunal de Justiça considerou</w:t>
      </w:r>
      <w:r>
        <w:rPr>
          <w:rFonts w:ascii="Verdana" w:hAnsi="Verdana"/>
          <w:noProof/>
          <w:sz w:val="20"/>
          <w:szCs w:val="20"/>
          <w:vertAlign w:val="superscript"/>
        </w:rPr>
        <w:footnoteReference w:id="156"/>
      </w:r>
      <w:r>
        <w:rPr>
          <w:rFonts w:ascii="Verdana" w:hAnsi="Verdana"/>
          <w:noProof/>
          <w:sz w:val="20"/>
          <w:szCs w:val="20"/>
        </w:rPr>
        <w:t xml:space="preserve"> que a concessão de derrogações para o abate de espécimes de lobo continua a ser possível, «a título excecional» e «quando ficar devidamente provado que não são suscetíveis de agravar o estado de conservação não favorável das referidas populações ou de impedir o seu restabelecimento, num estado de conservação favorável». O abate de um número limitado de espécimes pode ter um efeito negligenciável no objetivo previsto no artigo 16.º, n.º 1, da Diretiva </w:t>
      </w:r>
      <w:r>
        <w:rPr>
          <w:rFonts w:ascii="Verdana" w:hAnsi="Verdana"/>
          <w:i/>
          <w:iCs/>
          <w:noProof/>
          <w:sz w:val="20"/>
          <w:szCs w:val="20"/>
        </w:rPr>
        <w:t>Habitats</w:t>
      </w:r>
      <w:r>
        <w:rPr>
          <w:rFonts w:ascii="Verdana" w:hAnsi="Verdana"/>
          <w:noProof/>
          <w:sz w:val="20"/>
          <w:szCs w:val="20"/>
        </w:rPr>
        <w:t xml:space="preserve">, nomeadamente o de manter ou restabelecer num estado de conservação favorável a população dos lobos na sua área de repartição natural. Tal derrogação poderia, por conseguinte, ser neutra para a espécie em causa. Nesse contexto, se o estado de conservação da espécie em causa não é favorável, só se pode conceder uma derrogação se esta se justificar por ocorrer em circunstâncias excecionais e apenas se o estado de conservação não for agravado e se o seu restabelecimento num estado favorável não for impedido (efeito neutro), e desde que todas as condições necessárias previstas no artigo 16.º sejam igualmente satisfeitas. No processo C-342/05, o Tribunal de Justiça considerou que, de facto, as autoridades nacionais pertinentes concederam as derrogações «sem se basearem numa avaliação do estado de conservação da espécie, sem apresentarem uma fundamentação precisa e adequada quanto à inexistência de outra solução satisfatória e sem identificarem de forma precisa os lobos causadores de prejuízos sérios que podiam ser abatidos». Além disso, o Tribunal de Justiça afirmou que tais derrogações, «que, por um lado, não se baseiam numa avaliação do impacto do abate autorizado dos lobos sobre a manutenção, num estado de conservação favorável, da população desta espécie na sua área de repartição natural e que, por outro, não contêm uma fundamentação precisa e adequada quanto à inexistência de outra solução satisfatória, são contrárias ao artigo 16.º, n.º 1, da [D]iretiva </w:t>
      </w:r>
      <w:r>
        <w:rPr>
          <w:rFonts w:ascii="Verdana" w:hAnsi="Verdana"/>
          <w:i/>
          <w:iCs/>
          <w:noProof/>
          <w:sz w:val="20"/>
          <w:szCs w:val="20"/>
        </w:rPr>
        <w:t>[H]abitats</w:t>
      </w:r>
      <w:r>
        <w:rPr>
          <w:rFonts w:ascii="Verdana" w:hAnsi="Verdana"/>
          <w:noProof/>
          <w:sz w:val="20"/>
          <w:szCs w:val="20"/>
        </w:rPr>
        <w:t>»</w:t>
      </w:r>
      <w:r>
        <w:rPr>
          <w:rFonts w:ascii="Verdana" w:hAnsi="Verdana"/>
          <w:noProof/>
          <w:sz w:val="20"/>
          <w:szCs w:val="20"/>
          <w:vertAlign w:val="superscript"/>
        </w:rPr>
        <w:footnoteReference w:id="157"/>
      </w:r>
      <w:r>
        <w:rPr>
          <w:rFonts w:ascii="Verdana" w:hAnsi="Verdana"/>
          <w:noProof/>
          <w:sz w:val="20"/>
          <w:szCs w:val="20"/>
        </w:rPr>
        <w:t>. No processo C-674/17, o TJUE salientou que a avaliação supramencionada</w:t>
      </w:r>
      <w:r>
        <w:rPr>
          <w:rFonts w:ascii="Verdana" w:hAnsi="Verdana"/>
          <w:bCs/>
          <w:noProof/>
          <w:sz w:val="20"/>
          <w:szCs w:val="20"/>
        </w:rPr>
        <w:t xml:space="preserve"> do efeito das derrogações previstas no estado de conservação favorável deve ser feita à luz do princípio da precaução</w:t>
      </w:r>
      <w:r>
        <w:rPr>
          <w:rFonts w:ascii="Verdana" w:hAnsi="Verdana"/>
          <w:bCs/>
          <w:noProof/>
          <w:sz w:val="20"/>
          <w:szCs w:val="20"/>
          <w:vertAlign w:val="superscript"/>
          <w:lang w:val="en-IE"/>
        </w:rPr>
        <w:footnoteReference w:id="158"/>
      </w:r>
      <w:r>
        <w:rPr>
          <w:rFonts w:ascii="Verdana" w:hAnsi="Verdana"/>
          <w:bCs/>
          <w:noProof/>
          <w:sz w:val="20"/>
          <w:szCs w:val="20"/>
        </w:rPr>
        <w:t>. Por outras palavras, «se o exame dos melhores dados científicos disponíveis deixar subsistir uma incerteza sobre a questão de saber se tal derrogação prejudicará ou não a manutenção ou o restabelecimento das populações de uma espécie ameaçada de extinção, num estado de conservação favorável, o Estado‑Membro deve abster‑se de a adotar ou de a aplicar»</w:t>
      </w:r>
      <w:r>
        <w:rPr>
          <w:rFonts w:ascii="Verdana" w:hAnsi="Verdana"/>
          <w:bCs/>
          <w:noProof/>
          <w:sz w:val="20"/>
          <w:szCs w:val="20"/>
          <w:vertAlign w:val="superscript"/>
          <w:lang w:val="en-IE"/>
        </w:rPr>
        <w:footnoteReference w:id="159"/>
      </w:r>
      <w:r>
        <w:rPr>
          <w:rFonts w:ascii="Verdana" w:hAnsi="Verdana"/>
          <w:bCs/>
          <w:noProof/>
          <w:sz w:val="20"/>
          <w:szCs w:val="20"/>
        </w:rPr>
        <w:t>.</w:t>
      </w:r>
    </w:p>
    <w:p>
      <w:pPr>
        <w:spacing w:after="240"/>
        <w:jc w:val="both"/>
        <w:rPr>
          <w:rFonts w:ascii="Verdana" w:hAnsi="Verdana"/>
          <w:strike/>
          <w:noProof/>
          <w:sz w:val="20"/>
          <w:szCs w:val="20"/>
        </w:rPr>
      </w:pPr>
      <w:r>
        <w:rPr>
          <w:rFonts w:ascii="Verdana" w:hAnsi="Verdana"/>
          <w:bCs/>
          <w:noProof/>
          <w:sz w:val="20"/>
          <w:szCs w:val="20"/>
        </w:rPr>
        <w:t>Deverá adotar-se uma abordagem semelhante sempre que o estado de conservação da espécie em causa for desconhecido. Neste caso, seria impossível avaliar o impacto da derrogação no estado de conservação, pelo que a derrogação não poderia ser concedida.</w:t>
      </w:r>
    </w:p>
    <w:p>
      <w:pPr>
        <w:spacing w:after="240"/>
        <w:jc w:val="both"/>
        <w:rPr>
          <w:rFonts w:ascii="Verdana" w:hAnsi="Verdana" w:cs="Arial"/>
          <w:noProof/>
          <w:sz w:val="20"/>
          <w:szCs w:val="20"/>
        </w:rPr>
      </w:pPr>
      <w:r>
        <w:rPr>
          <w:rFonts w:ascii="Verdana" w:hAnsi="Verdana"/>
          <w:noProof/>
          <w:sz w:val="20"/>
          <w:szCs w:val="20"/>
        </w:rPr>
        <w:t>(3-68)</w:t>
      </w:r>
      <w:r>
        <w:rPr>
          <w:rFonts w:ascii="Verdana" w:hAnsi="Verdana"/>
          <w:noProof/>
          <w:sz w:val="20"/>
          <w:szCs w:val="20"/>
        </w:rPr>
        <w:tab/>
        <w:t>Como é evidente, quanto menos favorável for o estado de conservação e as tendências, menos provável será que uma derrogação possa ser justificada, salvo em condições absolutamente excecionais.</w:t>
      </w:r>
    </w:p>
    <w:p>
      <w:pPr>
        <w:spacing w:after="240"/>
        <w:jc w:val="both"/>
        <w:rPr>
          <w:rFonts w:ascii="Verdana" w:hAnsi="Verdana"/>
          <w:noProof/>
          <w:sz w:val="20"/>
          <w:szCs w:val="20"/>
        </w:rPr>
      </w:pPr>
      <w:r>
        <w:rPr>
          <w:rFonts w:ascii="Verdana" w:hAnsi="Verdana"/>
          <w:noProof/>
          <w:sz w:val="20"/>
          <w:szCs w:val="20"/>
        </w:rPr>
        <w:t>É também óbvio que é melhor utilizar esta abordagem para a concessão de derrogações com um quadro claro e bem desenvolvido de medidas de conservação de espécies. Uma vez mais (como no caso das medidas de proteção), o estado de conservação de uma espécie é a principal consideração a ter em conta na avaliação e justificação da utilização de derrogações. Por conseguinte, importa não só ter em conta o estado de conservação atual, mas também examinar a forma como este muda.</w:t>
      </w:r>
    </w:p>
    <w:p>
      <w:pPr>
        <w:ind w:left="72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(3-69) Em relação ao estado de conservação atual da espécie afetada, o estado e a condição da população local de uma espécie numa determinada zona geográfica pode perfeitamente ser diferente do estado de conservação global das populações na região biogeográfica do Estado-Membro (ou até da área de repartição natural). Por conseguinte, deve conhecer-se e avaliar-se devidamente o estado de conservação a todos os níveis antes de decidir quanto à concessão de uma derrogação.</w:t>
      </w:r>
    </w:p>
    <w:p>
      <w:pPr>
        <w:spacing w:after="240"/>
        <w:jc w:val="both"/>
        <w:rPr>
          <w:rFonts w:ascii="Verdana" w:hAnsi="Verdana"/>
          <w:b/>
          <w:noProof/>
          <w:sz w:val="20"/>
          <w:szCs w:val="20"/>
        </w:rPr>
      </w:pPr>
      <w:r>
        <w:rPr>
          <w:rFonts w:ascii="Verdana" w:hAnsi="Verdana"/>
          <w:noProof/>
          <w:sz w:val="20"/>
          <w:szCs w:val="20"/>
        </w:rPr>
        <w:t xml:space="preserve">(3-70) Não pode ser concedida uma derrogação se a mesma tiver — a qualquer nível — um efeito prejudicial no estado de conservação ou na consecução de um estado de conservação favorável para uma espécie. Por outras palavras, se uma derrogação for suscetível de ter um impacto significativamente negativo na população em causa (ou nas perspetivas desta população) ou até mesmo numa população local dentro de um Estado-Membro, a autoridade competente não deve concedê-la. </w:t>
      </w:r>
      <w:r>
        <w:rPr>
          <w:rFonts w:ascii="Verdana" w:hAnsi="Verdana"/>
          <w:b/>
          <w:noProof/>
          <w:sz w:val="20"/>
          <w:szCs w:val="20"/>
        </w:rPr>
        <w:t>O resultado líquido de uma derrogação para as populações pertinentes da espécie deverá ser neutro ou positivo.</w:t>
      </w:r>
    </w:p>
    <w:p>
      <w:pPr>
        <w:spacing w:after="240"/>
        <w:jc w:val="both"/>
        <w:rPr>
          <w:rFonts w:ascii="Verdana" w:hAnsi="Verdana"/>
          <w:noProof/>
          <w:sz w:val="20"/>
          <w:szCs w:val="20"/>
        </w:rPr>
      </w:pPr>
      <w:r>
        <w:rPr>
          <w:rFonts w:ascii="Verdana" w:hAnsi="Verdana"/>
          <w:noProof/>
          <w:sz w:val="20"/>
          <w:szCs w:val="20"/>
        </w:rPr>
        <w:t>(3-71) Quando os dados não são suficientemente robustos e fiáveis para comprovar que o estado de conservação é favorável e/ou para garantir que a derrogação não afeta negativamente o estado de conservação, deve aplicar-se o princípio da precaução (que obriga a que os objetivos de conservação prevaleçam em caso de incerteza) e não devem ser concedidas derrogações. Tal como foi referido pelo TJUE no processo C-674/17, «importa igualmente sublinhar que, em conformidade com o princípio da precaução consagrado no artigo 191.º, n.º 2, TFUE, se o exame dos melhores dados científicos disponíveis deixar subsistir uma incerteza sobre a questão de saber se tal derrogação prejudicará ou não a manutenção ou o restabelecimento das populações de uma espécie ameaçada de extinção, num estado de conservação favorável, o Estado‑Membro deve abster‑se de a adotar ou de a aplicar»</w:t>
      </w:r>
      <w:r>
        <w:rPr>
          <w:rFonts w:ascii="Verdana" w:hAnsi="Verdana"/>
          <w:noProof/>
          <w:sz w:val="20"/>
          <w:szCs w:val="20"/>
          <w:vertAlign w:val="superscript"/>
        </w:rPr>
        <w:footnoteReference w:id="160"/>
      </w:r>
      <w:r>
        <w:rPr>
          <w:rFonts w:ascii="Verdana" w:hAnsi="Verdana"/>
          <w:noProof/>
          <w:sz w:val="20"/>
          <w:szCs w:val="20"/>
        </w:rPr>
        <w:t>.</w:t>
      </w:r>
    </w:p>
    <w:p>
      <w:pPr>
        <w:spacing w:after="240"/>
        <w:jc w:val="both"/>
        <w:rPr>
          <w:rFonts w:ascii="Verdana" w:hAnsi="Verdana"/>
          <w:strike/>
          <w:noProof/>
          <w:sz w:val="20"/>
          <w:szCs w:val="20"/>
        </w:rPr>
      </w:pPr>
      <w:r>
        <w:rPr>
          <w:rFonts w:ascii="Verdana" w:hAnsi="Verdana"/>
          <w:noProof/>
          <w:sz w:val="20"/>
          <w:szCs w:val="20"/>
        </w:rPr>
        <w:t>(3-72) Nos casos em que o estado e a condição da espécie for diferente nos diferentes níveis geográficos, a avaliação deve começar por analisar o nível da população local e subsequentemente o impacto da derrogação na população na região biogeográfica, tendo também em conta o efeito cumulativo de outras derrogações para a mesma espécie nessa região biogeográfica.</w:t>
      </w:r>
    </w:p>
    <w:p>
      <w:pPr>
        <w:pStyle w:val="h3"/>
        <w:rPr>
          <w:noProof/>
        </w:rPr>
      </w:pPr>
      <w:r>
        <w:rPr>
          <w:noProof/>
        </w:rPr>
        <w:t>3.3.</w:t>
      </w:r>
      <w:r>
        <w:rPr>
          <w:noProof/>
        </w:rPr>
        <w:tab/>
        <w:t>Considerações adicionais</w:t>
      </w:r>
    </w:p>
    <w:p>
      <w:pPr>
        <w:spacing w:after="240"/>
        <w:jc w:val="both"/>
        <w:rPr>
          <w:rFonts w:ascii="Verdana" w:hAnsi="Verdana" w:cs="Arial"/>
          <w:strike/>
          <w:noProof/>
          <w:sz w:val="20"/>
          <w:szCs w:val="20"/>
        </w:rPr>
      </w:pPr>
      <w:r>
        <w:rPr>
          <w:rFonts w:ascii="Verdana" w:hAnsi="Verdana"/>
          <w:noProof/>
          <w:sz w:val="20"/>
          <w:szCs w:val="20"/>
        </w:rPr>
        <w:t>(3-73)</w:t>
      </w:r>
      <w:r>
        <w:rPr>
          <w:rFonts w:ascii="Verdana" w:hAnsi="Verdana"/>
          <w:noProof/>
          <w:sz w:val="20"/>
          <w:szCs w:val="20"/>
        </w:rPr>
        <w:tab/>
        <w:t>Ao avaliar se uma derrogação pode ser prejudicial à manutenção das populações da espécie num estado de conservação favorável, importa igualmente ter em conta, em especial, os seguintes elementos:</w:t>
      </w:r>
    </w:p>
    <w:p>
      <w:pPr>
        <w:spacing w:after="240"/>
        <w:ind w:left="720"/>
        <w:jc w:val="both"/>
        <w:rPr>
          <w:rFonts w:ascii="Verdana" w:hAnsi="Verdana"/>
          <w:noProof/>
          <w:sz w:val="20"/>
          <w:szCs w:val="20"/>
        </w:rPr>
      </w:pPr>
      <w:r>
        <w:rPr>
          <w:rFonts w:ascii="Verdana" w:hAnsi="Verdana"/>
          <w:noProof/>
          <w:sz w:val="20"/>
          <w:szCs w:val="20"/>
        </w:rPr>
        <w:t>a) Se as medidas necessárias (adequadas, eficazes e verificáveis) são estabelecidas, aplicadas e fiscalizadas efetivamente para uma espécie num Estado-Membro, a fim de garantir que a mesma é objeto de proteção rigorosa e atinge um estado de conservação favorável;</w:t>
      </w:r>
    </w:p>
    <w:p>
      <w:pPr>
        <w:spacing w:after="240"/>
        <w:ind w:left="720"/>
        <w:jc w:val="both"/>
        <w:rPr>
          <w:rFonts w:ascii="Verdana" w:hAnsi="Verdana"/>
          <w:noProof/>
          <w:sz w:val="20"/>
          <w:szCs w:val="20"/>
        </w:rPr>
      </w:pPr>
      <w:r>
        <w:rPr>
          <w:rFonts w:ascii="Verdana" w:hAnsi="Verdana"/>
          <w:noProof/>
          <w:sz w:val="20"/>
          <w:szCs w:val="20"/>
        </w:rPr>
        <w:t>b) Que a derrogação não é contrária às medidas necessárias, não as torna ineficazes nem as neutraliza;</w:t>
      </w:r>
    </w:p>
    <w:p>
      <w:pPr>
        <w:spacing w:after="360"/>
        <w:ind w:left="720"/>
        <w:jc w:val="both"/>
        <w:rPr>
          <w:rFonts w:ascii="Verdana" w:hAnsi="Verdana" w:cs="Arial"/>
          <w:noProof/>
          <w:sz w:val="20"/>
          <w:szCs w:val="20"/>
        </w:rPr>
      </w:pPr>
      <w:r>
        <w:rPr>
          <w:rFonts w:ascii="Verdana" w:hAnsi="Verdana"/>
          <w:noProof/>
          <w:sz w:val="20"/>
          <w:szCs w:val="20"/>
        </w:rPr>
        <w:t>c) Que os impactos (nomeadamente os efeitos cumulativos) das derrogações são vigiados de perto e que se retiram ensinamentos para o futuro.</w:t>
      </w:r>
    </w:p>
    <w:p>
      <w:pPr>
        <w:pStyle w:val="h4"/>
        <w:rPr>
          <w:noProof/>
        </w:rPr>
      </w:pPr>
      <w:r>
        <w:rPr>
          <w:noProof/>
        </w:rPr>
        <w:t>3.3.1.</w:t>
      </w:r>
      <w:r>
        <w:rPr>
          <w:noProof/>
        </w:rPr>
        <w:tab/>
        <w:t>O papel dos planos de ação para espécies</w:t>
      </w:r>
    </w:p>
    <w:p>
      <w:pPr>
        <w:spacing w:after="240"/>
        <w:jc w:val="both"/>
        <w:rPr>
          <w:rFonts w:ascii="Verdana" w:hAnsi="Verdana"/>
          <w:noProof/>
          <w:sz w:val="20"/>
          <w:szCs w:val="20"/>
        </w:rPr>
      </w:pPr>
      <w:r>
        <w:rPr>
          <w:rFonts w:ascii="Verdana" w:hAnsi="Verdana"/>
          <w:noProof/>
          <w:sz w:val="20"/>
          <w:szCs w:val="20"/>
        </w:rPr>
        <w:t xml:space="preserve">(3-74) Uma forma de garantir uma utilização adequada das derrogações, no âmbito de um sistema de proteção rigorosa, consistiria na </w:t>
      </w:r>
      <w:r>
        <w:rPr>
          <w:rFonts w:ascii="Verdana" w:hAnsi="Verdana"/>
          <w:b/>
          <w:noProof/>
          <w:sz w:val="20"/>
          <w:szCs w:val="20"/>
        </w:rPr>
        <w:t>elaboração e aplicação de planos de ação abrangentes para as espécies</w:t>
      </w:r>
      <w:r>
        <w:rPr>
          <w:rFonts w:ascii="Verdana" w:hAnsi="Verdana"/>
          <w:noProof/>
          <w:sz w:val="20"/>
          <w:szCs w:val="20"/>
        </w:rPr>
        <w:t xml:space="preserve"> </w:t>
      </w:r>
      <w:r>
        <w:rPr>
          <w:rFonts w:ascii="Verdana" w:hAnsi="Verdana"/>
          <w:b/>
          <w:noProof/>
          <w:sz w:val="20"/>
          <w:szCs w:val="20"/>
        </w:rPr>
        <w:t>ou planos de conservação/gestão,</w:t>
      </w:r>
      <w:r>
        <w:rPr>
          <w:noProof/>
        </w:rPr>
        <w:t xml:space="preserve"> </w:t>
      </w:r>
      <w:r>
        <w:rPr>
          <w:rFonts w:ascii="Verdana" w:hAnsi="Verdana"/>
          <w:noProof/>
          <w:sz w:val="20"/>
          <w:szCs w:val="20"/>
        </w:rPr>
        <w:t xml:space="preserve">embora estes não sejam obrigatórios ao abrigo da diretiva. Estes planos devem visar proteger a espécie e restabelecer ou manter o respetivo estado de conservação favorável. Devem incluir não apenas as medidas necessárias ao abrigo do artigo 12.º, mas também medidas para apoiar ou recuperar a viabilidade da população, a respetiva área de repartição natural e os </w:t>
      </w:r>
      <w:r>
        <w:rPr>
          <w:rFonts w:ascii="Verdana" w:hAnsi="Verdana"/>
          <w:i/>
          <w:iCs/>
          <w:noProof/>
          <w:sz w:val="20"/>
          <w:szCs w:val="20"/>
        </w:rPr>
        <w:t>habitats</w:t>
      </w:r>
      <w:r>
        <w:rPr>
          <w:rFonts w:ascii="Verdana" w:hAnsi="Verdana"/>
          <w:noProof/>
          <w:sz w:val="20"/>
          <w:szCs w:val="20"/>
        </w:rPr>
        <w:t xml:space="preserve"> da espécie. Os planos podem subsequentemente constituir uma base útil, e um quadro orientador, para a concessão de derrogações, desde que estas continuem a ser concedidas caso a caso, que todas as outras condições previstas no artigo 16.º sejam cumpridas e que tenha sido comprovado que a derrogação</w:t>
      </w:r>
      <w:r>
        <w:rPr>
          <w:noProof/>
        </w:rPr>
        <w:t xml:space="preserve"> </w:t>
      </w:r>
      <w:r>
        <w:rPr>
          <w:rFonts w:ascii="Verdana" w:hAnsi="Verdana"/>
          <w:noProof/>
          <w:sz w:val="20"/>
          <w:szCs w:val="20"/>
        </w:rPr>
        <w:t>não prejudica a manutenção das populações da espécie em causa num estado de conservação favorável.</w:t>
      </w:r>
    </w:p>
    <w:p>
      <w:pPr>
        <w:spacing w:after="240"/>
        <w:jc w:val="both"/>
        <w:rPr>
          <w:rFonts w:ascii="Verdana" w:hAnsi="Verdana"/>
          <w:noProof/>
          <w:sz w:val="20"/>
          <w:szCs w:val="20"/>
        </w:rPr>
      </w:pPr>
      <w:r>
        <w:rPr>
          <w:rFonts w:ascii="Verdana" w:hAnsi="Verdana"/>
          <w:noProof/>
          <w:sz w:val="20"/>
          <w:szCs w:val="20"/>
        </w:rPr>
        <w:t>(3-75) Por exemplo, as derrogações para evitar prejuízos sérios nas culturas ou propriedades podem ser menos eficazes para resolver o problema a longo prazo se forem aplicadas independentemente de outras medidas relativas à espécie. Todavia, se forem acompanhadas de uma série de outras medidas (ou seja, regimes não letais, medidas de prevenção, incentivos, indemnizações, etc.), no contexto do plano de conservação/gestão de uma espécie e no âmbito de um sistema de proteção rigorosa, as derrogações podem tornar-se muito mais eficazes. Nestas condições, um plano de conservação/gestão da espécie, se devidamente executado, pode constituir um quadro adequado para a concessão de derrogações em conformidade com os objetivos da diretiva.</w:t>
      </w:r>
      <w:r>
        <w:rPr>
          <w:noProof/>
        </w:rPr>
        <w:t xml:space="preserve"> </w:t>
      </w:r>
      <w:r>
        <w:rPr>
          <w:rFonts w:ascii="Verdana" w:hAnsi="Verdana"/>
          <w:noProof/>
          <w:sz w:val="20"/>
          <w:szCs w:val="20"/>
        </w:rPr>
        <w:t>Naturalmente, tais planos teriam de ser atualizados com regularidade, à luz do avanço dos conhecimentos e dos resultados do acompanhamento.</w:t>
      </w:r>
    </w:p>
    <w:p>
      <w:pPr>
        <w:spacing w:after="240"/>
        <w:jc w:val="both"/>
        <w:rPr>
          <w:rFonts w:ascii="Verdana" w:hAnsi="Verdana"/>
          <w:noProof/>
          <w:sz w:val="20"/>
          <w:szCs w:val="20"/>
        </w:rPr>
      </w:pPr>
      <w:r>
        <w:rPr>
          <w:rFonts w:ascii="Verdana" w:hAnsi="Verdana"/>
          <w:noProof/>
          <w:sz w:val="20"/>
          <w:szCs w:val="20"/>
        </w:rPr>
        <w:t>(3-76)</w:t>
      </w:r>
      <w:r>
        <w:rPr>
          <w:rFonts w:ascii="Verdana" w:hAnsi="Verdana"/>
          <w:noProof/>
          <w:sz w:val="20"/>
          <w:szCs w:val="20"/>
        </w:rPr>
        <w:tab/>
        <w:t xml:space="preserve">A fim de estabelecer um quadro adequado para a concessão de derrogações, os planos de conservação/gestão por espécie devem basear-se em </w:t>
      </w:r>
      <w:r>
        <w:rPr>
          <w:rFonts w:ascii="Verdana" w:hAnsi="Verdana"/>
          <w:b/>
          <w:noProof/>
          <w:sz w:val="20"/>
          <w:szCs w:val="20"/>
        </w:rPr>
        <w:t>informações científicas robustas e atualizadas</w:t>
      </w:r>
      <w:r>
        <w:rPr>
          <w:rFonts w:ascii="Verdana" w:hAnsi="Verdana"/>
          <w:noProof/>
          <w:sz w:val="20"/>
          <w:szCs w:val="20"/>
        </w:rPr>
        <w:t xml:space="preserve"> sobre o estado e as tendências da população da espécie e ter por objetivo principal a manutenção ou o restabelecimento da espécie num estado de conservação favorável (especificando as condições a cumprir para atingir este objetivo). Os planos devem incluir uma avaliação sólida e completa de todas as ameaças e pressões pertinentes que afetam a espécie, bem como uma análise dos níveis de mortalidade atuais, por causas naturais ou por fatores de origem humana, como o abate ilegal (caça furtiva) ou a captura e abate acidentais.</w:t>
      </w:r>
    </w:p>
    <w:p>
      <w:pPr>
        <w:spacing w:after="240"/>
        <w:jc w:val="both"/>
        <w:rPr>
          <w:rFonts w:ascii="Verdana" w:hAnsi="Verdana"/>
          <w:noProof/>
          <w:sz w:val="20"/>
          <w:szCs w:val="20"/>
        </w:rPr>
      </w:pPr>
      <w:r>
        <w:rPr>
          <w:rFonts w:ascii="Verdana" w:hAnsi="Verdana"/>
          <w:noProof/>
          <w:sz w:val="20"/>
          <w:szCs w:val="20"/>
        </w:rPr>
        <w:t>(3-77) Com base nas melhores informações disponíveis e em avaliações científicas e sistemas de vigilância sólidos, os planos de conservação/gestão por espécie poderiam subsequentemente estabelecer um conjunto coerente de medidas a aplicar e acompanhar, a fim de garantir que o estado de conservação favorável da população em causa é alcançado ou mantido. Só nestas circunstâncias é que os planos de conservação/gestão por espécie constituem um enquadramento adequado para a concessão de derrogações, passível, por sua vez, de ajudar a simplificar o procedimento de concessão de cada derrogação específica, desde que sejam igualmente cumpridas todas as condições necessárias previstas no artigo 16.º.</w:t>
      </w:r>
    </w:p>
    <w:p>
      <w:pPr>
        <w:jc w:val="both"/>
        <w:rPr>
          <w:noProof/>
          <w:sz w:val="20"/>
          <w:szCs w:val="20"/>
        </w:rPr>
      </w:pPr>
    </w:p>
    <w:p>
      <w:pPr>
        <w:pStyle w:val="h4"/>
        <w:rPr>
          <w:noProof/>
        </w:rPr>
      </w:pPr>
    </w:p>
    <w:p>
      <w:pPr>
        <w:pStyle w:val="h4"/>
        <w:rPr>
          <w:noProof/>
        </w:rPr>
      </w:pPr>
    </w:p>
    <w:p>
      <w:pPr>
        <w:pStyle w:val="h4"/>
        <w:rPr>
          <w:noProof/>
        </w:rPr>
      </w:pPr>
      <w:r>
        <w:rPr>
          <w:noProof/>
        </w:rPr>
        <w:t>3.3.2.</w:t>
      </w:r>
      <w:r>
        <w:rPr>
          <w:noProof/>
        </w:rPr>
        <w:tab/>
        <w:t>Avaliação do impacto para planos/projetos e proteção de espécies</w:t>
      </w:r>
    </w:p>
    <w:p>
      <w:pPr>
        <w:spacing w:after="240"/>
        <w:jc w:val="both"/>
        <w:rPr>
          <w:rFonts w:ascii="Verdana" w:hAnsi="Verdana"/>
          <w:noProof/>
          <w:sz w:val="20"/>
          <w:szCs w:val="20"/>
        </w:rPr>
      </w:pPr>
      <w:r>
        <w:rPr>
          <w:rFonts w:ascii="Verdana" w:hAnsi="Verdana"/>
          <w:noProof/>
          <w:sz w:val="20"/>
          <w:szCs w:val="20"/>
        </w:rPr>
        <w:t xml:space="preserve">(3-78) As disposições e os procedimentos específicos previstos no artigo 16.º têm de ser cumpridos também em caso de um plano ou projeto suscetível de afetar uma espécie protegida da UE, sujeito aos procedimentos de avaliação previstos no artigo 6.º, n.º 3, da Diretiva </w:t>
      </w:r>
      <w:r>
        <w:rPr>
          <w:rFonts w:ascii="Verdana" w:hAnsi="Verdana"/>
          <w:i/>
          <w:iCs/>
          <w:noProof/>
          <w:sz w:val="20"/>
          <w:szCs w:val="20"/>
        </w:rPr>
        <w:t>Habitats</w:t>
      </w:r>
      <w:r>
        <w:rPr>
          <w:rFonts w:ascii="Verdana" w:hAnsi="Verdana"/>
          <w:noProof/>
          <w:sz w:val="20"/>
          <w:szCs w:val="20"/>
        </w:rPr>
        <w:t xml:space="preserve"> ou ao abrigo das Diretivas Avaliação de Impacto Ambiental ou Avaliação Ambiental Estratégica. Neste caso, os procedimentos de avaliação do impacto efetuados para planos e projetos podem ser utilizados para avaliar o impacto dos requisitos previstos no artigo 12.º e para verificar se estão preenchidas as condições para uma derrogação nos termos do artigo 16.º.</w:t>
      </w:r>
    </w:p>
    <w:p>
      <w:pPr>
        <w:spacing w:after="240"/>
        <w:jc w:val="both"/>
        <w:rPr>
          <w:rFonts w:ascii="Verdana" w:hAnsi="Verdana"/>
          <w:noProof/>
          <w:sz w:val="20"/>
          <w:szCs w:val="20"/>
        </w:rPr>
      </w:pPr>
      <w:r>
        <w:rPr>
          <w:rFonts w:ascii="Verdana" w:hAnsi="Verdana"/>
          <w:noProof/>
          <w:sz w:val="20"/>
          <w:szCs w:val="20"/>
        </w:rPr>
        <w:t>Tal seria pertinente, por exemplo, quando a construção e/ou o funcionamento de um projeto é suscetível de causar a deterioração ou a destruição de locais de reprodução ou áreas de repouso ou a perturbação de qualquer espécie constante do anexo IV, alínea a), e que existe na área do projeto.</w:t>
      </w:r>
    </w:p>
    <w:p>
      <w:pPr>
        <w:spacing w:after="240"/>
        <w:jc w:val="both"/>
        <w:rPr>
          <w:rFonts w:ascii="Verdana" w:hAnsi="Verdana"/>
          <w:noProof/>
          <w:sz w:val="20"/>
          <w:szCs w:val="20"/>
        </w:rPr>
      </w:pPr>
      <w:r>
        <w:rPr>
          <w:rFonts w:ascii="Verdana" w:hAnsi="Verdana"/>
          <w:noProof/>
          <w:sz w:val="20"/>
          <w:szCs w:val="20"/>
        </w:rPr>
        <w:t>Nestas circunstâncias, é necessário avaliar:</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 xml:space="preserve">se qualquer uma das espécies constantes do anexo IV, alínea a), da Diretiva </w:t>
      </w:r>
      <w:r>
        <w:rPr>
          <w:rFonts w:ascii="Verdana" w:hAnsi="Verdana"/>
          <w:i/>
          <w:iCs/>
          <w:noProof/>
          <w:sz w:val="20"/>
          <w:szCs w:val="20"/>
        </w:rPr>
        <w:t>Habitats</w:t>
      </w:r>
      <w:r>
        <w:rPr>
          <w:rFonts w:ascii="Verdana" w:hAnsi="Verdana"/>
          <w:noProof/>
          <w:sz w:val="20"/>
          <w:szCs w:val="20"/>
        </w:rPr>
        <w:t xml:space="preserve"> está presente na área do projeto,</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 xml:space="preserve">se qualquer um dos locais de reprodução ou áreas de repouso enumerados no anexo IV, alínea a), da Diretiva </w:t>
      </w:r>
      <w:r>
        <w:rPr>
          <w:rFonts w:ascii="Verdana" w:hAnsi="Verdana"/>
          <w:i/>
          <w:iCs/>
          <w:noProof/>
          <w:sz w:val="20"/>
          <w:szCs w:val="20"/>
        </w:rPr>
        <w:t>Habitats</w:t>
      </w:r>
      <w:r>
        <w:rPr>
          <w:rFonts w:ascii="Verdana" w:hAnsi="Verdana"/>
          <w:noProof/>
          <w:sz w:val="20"/>
          <w:szCs w:val="20"/>
        </w:rPr>
        <w:t xml:space="preserve"> está presente na área do projeto,</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se qualquer uma destas espécies e/ou respetivos locais de reprodução ou áreas de repouso sofrerá um «impacto» (abate, perturbação, prejuízo, etc.) causado pela construção e/ou pelo funcionamento do projeto e, em caso afirmativo,</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se as condições do artigo 16.º estão cumpridas.</w:t>
      </w:r>
    </w:p>
    <w:p>
      <w:pPr>
        <w:spacing w:after="240"/>
        <w:jc w:val="both"/>
        <w:rPr>
          <w:rFonts w:ascii="Verdana" w:hAnsi="Verdana"/>
          <w:noProof/>
          <w:sz w:val="20"/>
          <w:szCs w:val="20"/>
        </w:rPr>
      </w:pPr>
      <w:r>
        <w:rPr>
          <w:rFonts w:ascii="Verdana" w:hAnsi="Verdana"/>
          <w:noProof/>
          <w:sz w:val="20"/>
          <w:szCs w:val="20"/>
        </w:rPr>
        <w:t>(3-79) Só após a realização dos controlos acima referidos é possível conceder uma derrogação ao abrigo do artigo 16.º e o projeto pode ser executado legalmente (após a obtenção da licença do projeto). Se, a título de exemplo, um local de reprodução de uma espécie constante do anexo IV, alínea a), estiver presente e for suscetível de ser destruído pela construção ou pelo funcionamento do projeto, a autorização do projeto constituiria uma violação do artigo 12.º, salvo se for concedida uma derrogação nos termos do artigo 16.º e as condições para a concessão da derrogação estiverem preenchidas.</w:t>
      </w:r>
    </w:p>
    <w:p>
      <w:pPr>
        <w:spacing w:after="240"/>
        <w:jc w:val="both"/>
        <w:rPr>
          <w:rFonts w:ascii="Verdana" w:hAnsi="Verdana"/>
          <w:noProof/>
          <w:sz w:val="20"/>
          <w:szCs w:val="20"/>
        </w:rPr>
      </w:pPr>
      <w:r>
        <w:rPr>
          <w:rFonts w:ascii="Verdana" w:hAnsi="Verdana"/>
          <w:noProof/>
          <w:sz w:val="20"/>
          <w:szCs w:val="20"/>
        </w:rPr>
        <w:t>(3-80) Quando os projetos são suscetíveis de afetar sítios Natura 2000 de forma significativa, individualmente ou em conjugação com outros planos e projetos, são objeto de uma avaliação adequada nos termos do artigo 6.º, n.º 3, da diretiva, que incluiria também os controlos da lista acima referida e o acompanhamento conforme necessário.</w:t>
      </w:r>
    </w:p>
    <w:p>
      <w:pPr>
        <w:spacing w:after="240"/>
        <w:jc w:val="both"/>
        <w:rPr>
          <w:rFonts w:ascii="Verdana" w:hAnsi="Verdana"/>
          <w:noProof/>
          <w:sz w:val="20"/>
          <w:szCs w:val="20"/>
        </w:rPr>
      </w:pPr>
      <w:r>
        <w:rPr>
          <w:rFonts w:ascii="Verdana" w:hAnsi="Verdana"/>
          <w:noProof/>
          <w:sz w:val="20"/>
          <w:szCs w:val="20"/>
        </w:rPr>
        <w:t>No caso de projetos não sujeitos ao artigo 6.º, n.º 3, porque não são suscetíveis de afetar sítios Natura 2000 de forma significativa, individualmente ou em conjugação com outros planos e projetos, os Estados-Membros podem adaptar os procedimentos existentes para cumprir os requisitos dos artigos 12.º e 16.º. Isto significa que os controlos da lista acima referida podem ser integrados nas avaliações que fazem parte dos processos de decisão a vários níveis no Estado-Membro, nomeadamente decisões de planeamento de utilização de terras ou procedimentos de avaliação ambiental para programas, planos e projetos.</w:t>
      </w:r>
    </w:p>
    <w:p>
      <w:pPr>
        <w:spacing w:after="240"/>
        <w:jc w:val="both"/>
        <w:rPr>
          <w:rFonts w:ascii="Verdana" w:hAnsi="Verdana"/>
          <w:noProof/>
          <w:sz w:val="20"/>
          <w:szCs w:val="20"/>
        </w:rPr>
      </w:pPr>
      <w:r>
        <w:rPr>
          <w:rFonts w:ascii="Verdana" w:hAnsi="Verdana"/>
          <w:noProof/>
          <w:sz w:val="20"/>
          <w:szCs w:val="20"/>
        </w:rPr>
        <w:t xml:space="preserve">O objetivo subjacente consiste em identificar correta e imediatamente os impactos de um projeto, nomeadamente o impacto em espécies protegidas constantes do anexo IV, alínea a), da Diretiva </w:t>
      </w:r>
      <w:r>
        <w:rPr>
          <w:rFonts w:ascii="Verdana" w:hAnsi="Verdana"/>
          <w:i/>
          <w:iCs/>
          <w:noProof/>
          <w:sz w:val="20"/>
          <w:szCs w:val="20"/>
        </w:rPr>
        <w:t>Habitats</w:t>
      </w:r>
      <w:r>
        <w:rPr>
          <w:rFonts w:ascii="Verdana" w:hAnsi="Verdana"/>
          <w:noProof/>
          <w:sz w:val="20"/>
          <w:szCs w:val="20"/>
        </w:rPr>
        <w:t xml:space="preserve"> e nos respetivos </w:t>
      </w:r>
      <w:r>
        <w:rPr>
          <w:rFonts w:ascii="Verdana" w:hAnsi="Verdana"/>
          <w:i/>
          <w:iCs/>
          <w:noProof/>
          <w:sz w:val="20"/>
          <w:szCs w:val="20"/>
        </w:rPr>
        <w:t>habitats</w:t>
      </w:r>
      <w:r>
        <w:rPr>
          <w:rFonts w:ascii="Verdana" w:hAnsi="Verdana"/>
          <w:noProof/>
          <w:sz w:val="20"/>
          <w:szCs w:val="20"/>
        </w:rPr>
        <w:t>, antes da realização do projeto. O procedimento de avaliação de impacto ambiental é uma forma possível de o fazer.</w:t>
      </w:r>
    </w:p>
    <w:p>
      <w:pPr>
        <w:spacing w:after="240"/>
        <w:jc w:val="both"/>
        <w:rPr>
          <w:rFonts w:ascii="Verdana" w:hAnsi="Verdana"/>
          <w:noProof/>
          <w:sz w:val="20"/>
          <w:szCs w:val="20"/>
        </w:rPr>
      </w:pPr>
      <w:r>
        <w:rPr>
          <w:rFonts w:ascii="Verdana" w:hAnsi="Verdana"/>
          <w:noProof/>
          <w:sz w:val="20"/>
          <w:szCs w:val="20"/>
        </w:rPr>
        <w:t xml:space="preserve">(3-81) A coordenação de procedimentos legais pode evitar complicações jurídicas. Idealmente, após a receção do pedido de licenciamento de um projeto que se enquadre no âmbito da Diretiva Avaliação de Impacto Ambiental, é iniciada uma avaliação de impacto ambiental (pelo menos a fase de verificação/apreciação prévia) para que se possam identificar todos os potenciais impactos. Desta forma, é possível identificar sem demora a necessidade de uma derrogação e avaliar se os requisitos do artigo 16.º da Diretiva </w:t>
      </w:r>
      <w:r>
        <w:rPr>
          <w:rFonts w:ascii="Verdana" w:hAnsi="Verdana"/>
          <w:i/>
          <w:iCs/>
          <w:noProof/>
          <w:sz w:val="20"/>
          <w:szCs w:val="20"/>
        </w:rPr>
        <w:t>Habitats</w:t>
      </w:r>
      <w:r>
        <w:rPr>
          <w:rFonts w:ascii="Verdana" w:hAnsi="Verdana"/>
          <w:noProof/>
          <w:sz w:val="20"/>
          <w:szCs w:val="20"/>
        </w:rPr>
        <w:t xml:space="preserve"> podem ser cumpridos. Em caso afirmativo, o licenciamento do projeto pode então ser concedido em conjunto com a derrogação. Se o projeto tiver de ser modificado devido às conclusões da avaliação de impacto ambiental, a derrogação pode basear-se no projeto modificado.</w:t>
      </w:r>
    </w:p>
    <w:p>
      <w:pPr>
        <w:spacing w:after="240"/>
        <w:jc w:val="both"/>
        <w:rPr>
          <w:rFonts w:ascii="Verdana" w:hAnsi="Verdana"/>
          <w:noProof/>
          <w:sz w:val="20"/>
          <w:szCs w:val="20"/>
        </w:rPr>
      </w:pPr>
      <w:r>
        <w:rPr>
          <w:rFonts w:ascii="Verdana" w:hAnsi="Verdana"/>
          <w:noProof/>
          <w:sz w:val="20"/>
          <w:szCs w:val="20"/>
        </w:rPr>
        <w:t xml:space="preserve">Idealmente, a avaliação de impacto ambiental realizada após o pedido da autorização única abrangerá todos os impactos pertinentes no ambiente [incluindo o impacto nas espécies constantes do anexo IV, alínea a), da Diretiva </w:t>
      </w:r>
      <w:r>
        <w:rPr>
          <w:rFonts w:ascii="Verdana" w:hAnsi="Verdana"/>
          <w:i/>
          <w:iCs/>
          <w:noProof/>
          <w:sz w:val="20"/>
          <w:szCs w:val="20"/>
        </w:rPr>
        <w:t>Habitats</w:t>
      </w:r>
      <w:r>
        <w:rPr>
          <w:rFonts w:ascii="Verdana" w:hAnsi="Verdana"/>
          <w:noProof/>
          <w:sz w:val="20"/>
          <w:szCs w:val="20"/>
        </w:rPr>
        <w:t xml:space="preserve"> e nos respetivos locais de reprodução ou áreas de repouso] que podem ser tratados aquando da concessão da autorização. A título de exemplo, é possível alcançar este objetivo definindo condições para atenuar os impactos negativos e/ou concedendo derrogações a determinadas proibições previstas na lei, caso as condições para as derrogações sejam cumpridas.</w:t>
      </w:r>
    </w:p>
    <w:p>
      <w:pPr>
        <w:spacing w:after="240"/>
        <w:jc w:val="both"/>
        <w:rPr>
          <w:rFonts w:ascii="Verdana" w:hAnsi="Verdana"/>
          <w:noProof/>
          <w:sz w:val="20"/>
          <w:szCs w:val="20"/>
        </w:rPr>
      </w:pPr>
      <w:r>
        <w:rPr>
          <w:rFonts w:ascii="Verdana" w:hAnsi="Verdana"/>
          <w:noProof/>
          <w:sz w:val="20"/>
          <w:szCs w:val="20"/>
        </w:rPr>
        <w:t xml:space="preserve">(3-82) Embora, nos termos dos artigos 12.º e 16.º da Diretiva </w:t>
      </w:r>
      <w:r>
        <w:rPr>
          <w:rFonts w:ascii="Verdana" w:hAnsi="Verdana"/>
          <w:i/>
          <w:iCs/>
          <w:noProof/>
          <w:sz w:val="20"/>
          <w:szCs w:val="20"/>
        </w:rPr>
        <w:t>Habitats</w:t>
      </w:r>
      <w:r>
        <w:rPr>
          <w:rFonts w:ascii="Verdana" w:hAnsi="Verdana"/>
          <w:noProof/>
          <w:sz w:val="20"/>
          <w:szCs w:val="20"/>
        </w:rPr>
        <w:t xml:space="preserve">, não seja obrigatório efetuar os controlos acima referidos no âmbito de uma avaliação adequada ao abrigo do artigo 6.º, n.º 3, da Diretiva </w:t>
      </w:r>
      <w:r>
        <w:rPr>
          <w:rFonts w:ascii="Verdana" w:hAnsi="Verdana"/>
          <w:i/>
          <w:iCs/>
          <w:noProof/>
          <w:sz w:val="20"/>
          <w:szCs w:val="20"/>
        </w:rPr>
        <w:t>Habitats</w:t>
      </w:r>
      <w:r>
        <w:rPr>
          <w:rFonts w:ascii="Verdana" w:hAnsi="Verdana"/>
          <w:noProof/>
          <w:sz w:val="20"/>
          <w:szCs w:val="20"/>
        </w:rPr>
        <w:t xml:space="preserve"> ou no âmbito do procedimento de avaliação de impacto ambiental, esta é a melhor forma de garantir a conformidade com os artigos 12.º e 16.º da Diretiva </w:t>
      </w:r>
      <w:r>
        <w:rPr>
          <w:rFonts w:ascii="Verdana" w:hAnsi="Verdana"/>
          <w:i/>
          <w:iCs/>
          <w:noProof/>
          <w:sz w:val="20"/>
          <w:szCs w:val="20"/>
        </w:rPr>
        <w:t>Habitats</w:t>
      </w:r>
      <w:r>
        <w:rPr>
          <w:rFonts w:ascii="Verdana" w:hAnsi="Verdana"/>
          <w:noProof/>
          <w:sz w:val="20"/>
          <w:szCs w:val="20"/>
        </w:rPr>
        <w:t xml:space="preserve">. O procedimento de avaliação de impacto ambiental permite identificar o impacto nas espécies constantes do anexo IV da Diretiva </w:t>
      </w:r>
      <w:r>
        <w:rPr>
          <w:rFonts w:ascii="Verdana" w:hAnsi="Verdana"/>
          <w:i/>
          <w:iCs/>
          <w:noProof/>
          <w:sz w:val="20"/>
          <w:szCs w:val="20"/>
        </w:rPr>
        <w:t>Habitats</w:t>
      </w:r>
      <w:r>
        <w:rPr>
          <w:rFonts w:ascii="Verdana" w:hAnsi="Verdana"/>
          <w:noProof/>
          <w:sz w:val="20"/>
          <w:szCs w:val="20"/>
        </w:rPr>
        <w:t xml:space="preserve"> associado a um projeto, bem como as potenciais consequências do projeto em termos de violação de alguma das proibições previstas no artigo 12.º da Diretiva </w:t>
      </w:r>
      <w:r>
        <w:rPr>
          <w:rFonts w:ascii="Verdana" w:hAnsi="Verdana"/>
          <w:i/>
          <w:iCs/>
          <w:noProof/>
          <w:sz w:val="20"/>
          <w:szCs w:val="20"/>
        </w:rPr>
        <w:t>Habitats</w:t>
      </w:r>
      <w:r>
        <w:rPr>
          <w:rFonts w:ascii="Verdana" w:hAnsi="Verdana"/>
          <w:noProof/>
          <w:sz w:val="20"/>
          <w:szCs w:val="20"/>
        </w:rPr>
        <w:t>. A realização da avaliação do impacto com as várias consultas necessárias antes da concessão de uma derrogação e do início do projeto é o melhor caminho a seguir, na medida em que facilita a coordenação na tomada de decisões.</w:t>
      </w:r>
    </w:p>
    <w:p>
      <w:pPr>
        <w:spacing w:after="240"/>
        <w:rPr>
          <w:rFonts w:ascii="Verdana" w:hAnsi="Verdana"/>
          <w:b/>
          <w:noProof/>
          <w:sz w:val="20"/>
          <w:szCs w:val="20"/>
        </w:rPr>
      </w:pPr>
    </w:p>
    <w:p>
      <w:pPr>
        <w:pStyle w:val="h4"/>
        <w:rPr>
          <w:noProof/>
        </w:rPr>
      </w:pPr>
      <w:r>
        <w:rPr>
          <w:noProof/>
        </w:rPr>
        <w:t>3.3.3.</w:t>
      </w:r>
      <w:r>
        <w:rPr>
          <w:noProof/>
        </w:rPr>
        <w:tab/>
        <w:t>O papel das medidas compensatórias [derrogações ao artigo 12.º, n.º 1, alínea d)]</w:t>
      </w:r>
    </w:p>
    <w:p>
      <w:pPr>
        <w:spacing w:after="240"/>
        <w:jc w:val="both"/>
        <w:rPr>
          <w:rFonts w:ascii="Verdana" w:hAnsi="Verdana" w:cs="Arial"/>
          <w:noProof/>
          <w:sz w:val="20"/>
          <w:szCs w:val="20"/>
        </w:rPr>
      </w:pPr>
      <w:r>
        <w:rPr>
          <w:rFonts w:ascii="Verdana" w:hAnsi="Verdana"/>
          <w:noProof/>
          <w:sz w:val="20"/>
          <w:szCs w:val="20"/>
        </w:rPr>
        <w:t>(3-83)</w:t>
      </w:r>
      <w:r>
        <w:rPr>
          <w:rFonts w:ascii="Verdana" w:hAnsi="Verdana"/>
          <w:noProof/>
          <w:sz w:val="20"/>
          <w:szCs w:val="20"/>
        </w:rPr>
        <w:tab/>
        <w:t>Podem ser previstas medidas compensatórias para derrogações que o justifiquem, nomeadamente ao artigo 12.º, n.º 1, alínea d), ou seja, nos casos em que há uma deterioração ou destruição de locais de reprodução e áreas de repouso. Dependendo da biologia, da ecologia e do comportamento das espécies, tais medidas podem funcionar bem para algumas espécies, mas não para outras.</w:t>
      </w:r>
    </w:p>
    <w:p>
      <w:pPr>
        <w:spacing w:after="240"/>
        <w:jc w:val="both"/>
        <w:rPr>
          <w:rFonts w:ascii="Verdana" w:hAnsi="Verdana" w:cs="Arial"/>
          <w:noProof/>
          <w:sz w:val="20"/>
          <w:szCs w:val="20"/>
        </w:rPr>
      </w:pPr>
      <w:r>
        <w:rPr>
          <w:rFonts w:ascii="Verdana" w:hAnsi="Verdana"/>
          <w:noProof/>
          <w:sz w:val="20"/>
          <w:szCs w:val="20"/>
        </w:rPr>
        <w:t>Contrariamente às medidas de atenuação, as medidas compensatórias são independentes da atividade que causa a deterioração ou destruição de um local de reprodução ou área de repouso. Estas medidas visam compensar efeitos negativos específicos num local de reprodução ou área de repouso, que de forma alguma se traduzem num impacto prejudicial no estado de conservação da espécie em causa</w:t>
      </w:r>
      <w:r>
        <w:rPr>
          <w:rFonts w:ascii="Verdana" w:hAnsi="Verdana"/>
          <w:bCs/>
          <w:noProof/>
          <w:sz w:val="20"/>
          <w:szCs w:val="20"/>
        </w:rPr>
        <w:t xml:space="preserve">. Idealmente, as medidas compensatórias devem corresponder aos efeitos negativos no local de reprodução ou área de repouso, e devem estar </w:t>
      </w:r>
      <w:r>
        <w:rPr>
          <w:rFonts w:ascii="Verdana" w:hAnsi="Verdana"/>
          <w:noProof/>
          <w:sz w:val="20"/>
          <w:szCs w:val="20"/>
        </w:rPr>
        <w:t>instituídas e em vigor antes da ocorrência do efeito negativo.</w:t>
      </w:r>
    </w:p>
    <w:p>
      <w:pPr>
        <w:jc w:val="both"/>
        <w:rPr>
          <w:rFonts w:ascii="Verdana" w:hAnsi="Verdana" w:cs="Arial"/>
          <w:noProof/>
          <w:sz w:val="20"/>
          <w:szCs w:val="20"/>
        </w:rPr>
      </w:pPr>
      <w:r>
        <w:rPr>
          <w:rFonts w:ascii="Verdana" w:hAnsi="Verdana"/>
          <w:noProof/>
          <w:sz w:val="20"/>
          <w:szCs w:val="20"/>
        </w:rPr>
        <w:t>(3-84)</w:t>
      </w:r>
      <w:r>
        <w:rPr>
          <w:rFonts w:ascii="Verdana" w:hAnsi="Verdana"/>
          <w:noProof/>
          <w:sz w:val="20"/>
          <w:szCs w:val="20"/>
        </w:rPr>
        <w:tab/>
        <w:t xml:space="preserve"> As medidas compensatórias não são referidas no artigo 16.º, pelo que não são obrigatórias. Além disso, também não podem justificar ou compensar uma violação do artigo 12.º, mas podem constituir um elemento para procurar garantir a conformidade com a exigência prevista no artigo 16.º, n.º 1, de que não exista um impacto prejudicial no estado de conservação da espécie em causa.</w:t>
      </w:r>
    </w:p>
    <w:p>
      <w:pPr>
        <w:jc w:val="both"/>
        <w:rPr>
          <w:rFonts w:ascii="Verdana" w:hAnsi="Verdana" w:cs="Arial"/>
          <w:noProof/>
          <w:sz w:val="20"/>
          <w:szCs w:val="20"/>
        </w:rPr>
      </w:pPr>
    </w:p>
    <w:p>
      <w:pPr>
        <w:jc w:val="both"/>
        <w:rPr>
          <w:rFonts w:ascii="Verdana" w:hAnsi="Verdana" w:cs="Arial"/>
          <w:noProof/>
          <w:sz w:val="20"/>
          <w:szCs w:val="20"/>
        </w:rPr>
      </w:pPr>
      <w:r>
        <w:rPr>
          <w:rFonts w:ascii="Verdana" w:hAnsi="Verdana"/>
          <w:noProof/>
          <w:sz w:val="20"/>
          <w:szCs w:val="20"/>
        </w:rPr>
        <w:t>Idealmente, as medidas compensatórias deveriam:</w:t>
      </w:r>
    </w:p>
    <w:p>
      <w:pPr>
        <w:numPr>
          <w:ilvl w:val="0"/>
          <w:numId w:val="13"/>
        </w:numPr>
        <w:jc w:val="both"/>
        <w:rPr>
          <w:rFonts w:ascii="Verdana" w:hAnsi="Verdana" w:cs="Arial"/>
          <w:noProof/>
          <w:sz w:val="20"/>
          <w:szCs w:val="20"/>
        </w:rPr>
      </w:pPr>
      <w:r>
        <w:rPr>
          <w:rFonts w:ascii="Verdana" w:hAnsi="Verdana"/>
          <w:noProof/>
          <w:sz w:val="20"/>
          <w:szCs w:val="20"/>
        </w:rPr>
        <w:t>compensar o impacto negativo da atividade nos locais de reprodução e áreas de repouso da espécie, em circunstâncias específicas (ao nível da população local),</w:t>
      </w:r>
    </w:p>
    <w:p>
      <w:pPr>
        <w:numPr>
          <w:ilvl w:val="0"/>
          <w:numId w:val="13"/>
        </w:numPr>
        <w:jc w:val="both"/>
        <w:rPr>
          <w:rFonts w:ascii="Verdana" w:hAnsi="Verdana" w:cs="Arial"/>
          <w:noProof/>
          <w:sz w:val="20"/>
          <w:szCs w:val="20"/>
        </w:rPr>
      </w:pPr>
      <w:r>
        <w:rPr>
          <w:rFonts w:ascii="Verdana" w:hAnsi="Verdana"/>
          <w:bCs/>
          <w:noProof/>
          <w:sz w:val="20"/>
          <w:szCs w:val="20"/>
        </w:rPr>
        <w:t>ter uma boa hipótese de êxito e basear-se em boas práticas,</w:t>
      </w:r>
    </w:p>
    <w:p>
      <w:pPr>
        <w:numPr>
          <w:ilvl w:val="0"/>
          <w:numId w:val="13"/>
        </w:numPr>
        <w:jc w:val="both"/>
        <w:rPr>
          <w:rFonts w:ascii="Verdana" w:hAnsi="Verdana" w:cs="Arial"/>
          <w:noProof/>
          <w:sz w:val="20"/>
          <w:szCs w:val="20"/>
        </w:rPr>
      </w:pPr>
      <w:r>
        <w:rPr>
          <w:rFonts w:ascii="Verdana" w:hAnsi="Verdana"/>
          <w:noProof/>
          <w:sz w:val="20"/>
          <w:szCs w:val="20"/>
        </w:rPr>
        <w:t>melhorar as perspetivas da espécie para alcançar um estado de conservação favorável,</w:t>
      </w:r>
    </w:p>
    <w:p>
      <w:pPr>
        <w:numPr>
          <w:ilvl w:val="0"/>
          <w:numId w:val="13"/>
        </w:numPr>
        <w:spacing w:after="240"/>
        <w:jc w:val="both"/>
        <w:rPr>
          <w:rFonts w:ascii="Verdana" w:hAnsi="Verdana" w:cs="Arial"/>
          <w:noProof/>
          <w:sz w:val="20"/>
          <w:szCs w:val="20"/>
        </w:rPr>
      </w:pPr>
      <w:r>
        <w:rPr>
          <w:rFonts w:ascii="Verdana" w:hAnsi="Verdana"/>
          <w:noProof/>
          <w:sz w:val="20"/>
          <w:szCs w:val="20"/>
        </w:rPr>
        <w:t>estar em vigor antes ou, o mais tardar, no momento em que começa a ter lugar a deterioração ou destruição do local de reprodução ou área de repouso.</w:t>
      </w:r>
    </w:p>
    <w:p>
      <w:pPr>
        <w:spacing w:after="240"/>
        <w:jc w:val="both"/>
        <w:rPr>
          <w:rFonts w:ascii="Verdana" w:hAnsi="Verdana" w:cs="Arial"/>
          <w:noProof/>
          <w:sz w:val="20"/>
          <w:szCs w:val="20"/>
        </w:rPr>
      </w:pPr>
      <w:r>
        <w:rPr>
          <w:rFonts w:ascii="Verdana" w:hAnsi="Verdana"/>
          <w:noProof/>
          <w:sz w:val="20"/>
          <w:szCs w:val="20"/>
        </w:rPr>
        <w:t>(3-85)</w:t>
      </w:r>
      <w:r>
        <w:rPr>
          <w:rFonts w:ascii="Verdana" w:hAnsi="Verdana"/>
          <w:noProof/>
          <w:sz w:val="20"/>
          <w:szCs w:val="20"/>
        </w:rPr>
        <w:tab/>
        <w:t xml:space="preserve">Utilizadas desta forma, as medidas compensatórias poderiam garantir a ausência de qualquer efeito prejudicial global nos locais de reprodução e áreas de repouso da espécie, quer a nível da população quer a nível biogeográfico. </w:t>
      </w:r>
      <w:r>
        <w:rPr>
          <w:rFonts w:ascii="Verdana" w:hAnsi="Verdana"/>
          <w:b/>
          <w:i/>
          <w:noProof/>
          <w:sz w:val="20"/>
          <w:szCs w:val="20"/>
        </w:rPr>
        <w:t xml:space="preserve">Porém, não substituem nem reduzem a necessidade de as derrogações ao abrigo do artigo 16.º cumprirem os três testes anteriormente referidos. </w:t>
      </w:r>
      <w:r>
        <w:rPr>
          <w:rFonts w:ascii="Verdana" w:hAnsi="Verdana"/>
          <w:noProof/>
          <w:sz w:val="20"/>
          <w:szCs w:val="20"/>
        </w:rPr>
        <w:t>Isto significa que a adoção de um regime compensatório não pode servir para contornar a necessidade de uma derrogação e a necessidade de passar nos três testes descritos no capítulo 3.2.</w:t>
      </w:r>
    </w:p>
    <w:p>
      <w:pPr>
        <w:pStyle w:val="h4"/>
        <w:rPr>
          <w:noProof/>
        </w:rPr>
      </w:pPr>
    </w:p>
    <w:p>
      <w:pPr>
        <w:pStyle w:val="h4"/>
        <w:rPr>
          <w:noProof/>
        </w:rPr>
      </w:pPr>
      <w:r>
        <w:rPr>
          <w:noProof/>
        </w:rPr>
        <w:t>3.3.4.</w:t>
      </w:r>
      <w:r>
        <w:rPr>
          <w:noProof/>
        </w:rPr>
        <w:tab/>
        <w:t>Derrogações para várias espécies</w:t>
      </w:r>
    </w:p>
    <w:p>
      <w:pPr>
        <w:spacing w:after="240"/>
        <w:jc w:val="both"/>
        <w:rPr>
          <w:rFonts w:ascii="Verdana" w:hAnsi="Verdana" w:cs="Arial"/>
          <w:noProof/>
          <w:sz w:val="20"/>
          <w:szCs w:val="20"/>
        </w:rPr>
      </w:pPr>
      <w:r>
        <w:rPr>
          <w:rFonts w:ascii="Verdana" w:hAnsi="Verdana"/>
          <w:noProof/>
          <w:sz w:val="20"/>
          <w:szCs w:val="20"/>
        </w:rPr>
        <w:t>(3-86)</w:t>
      </w:r>
      <w:r>
        <w:rPr>
          <w:rFonts w:ascii="Verdana" w:hAnsi="Verdana"/>
          <w:noProof/>
          <w:sz w:val="20"/>
          <w:szCs w:val="20"/>
        </w:rPr>
        <w:tab/>
        <w:t xml:space="preserve">Alguns projetos (por exemplo, grandes projetos de infraestruturas de interesse público, como redes de transporte) podem afetar várias espécies constantes do anexo IV. Nestes casos, deve avaliar-se o impacto em </w:t>
      </w:r>
      <w:r>
        <w:rPr>
          <w:rFonts w:ascii="Verdana" w:hAnsi="Verdana"/>
          <w:b/>
          <w:i/>
          <w:noProof/>
          <w:sz w:val="20"/>
          <w:szCs w:val="20"/>
        </w:rPr>
        <w:t>cada uma</w:t>
      </w:r>
      <w:r>
        <w:rPr>
          <w:rFonts w:ascii="Verdana" w:hAnsi="Verdana"/>
          <w:noProof/>
          <w:sz w:val="20"/>
          <w:szCs w:val="20"/>
        </w:rPr>
        <w:t xml:space="preserve"> das espécies afetadas e, com base nestas informações, deve formar-se uma panorâmica do impacto global, a fim de escolher as melhores soluções. As soluções têm igualmente de cumprir os três testes. Não basta apenas enumerar as espécies potencialmente afetadas sem tomar a medida complementar de avaliar a extensão dos problemas e encontrar formas de os evitar.</w:t>
      </w:r>
    </w:p>
    <w:p>
      <w:pPr>
        <w:spacing w:before="120" w:after="240" w:line="240" w:lineRule="atLeast"/>
        <w:jc w:val="both"/>
        <w:rPr>
          <w:rFonts w:ascii="Verdana" w:hAnsi="Verdana"/>
          <w:b/>
          <w:noProof/>
          <w:color w:val="000000"/>
          <w:sz w:val="20"/>
          <w:szCs w:val="20"/>
          <w:lang w:eastAsia="en-US"/>
        </w:rPr>
      </w:pPr>
    </w:p>
    <w:p>
      <w:pPr>
        <w:pStyle w:val="h4"/>
        <w:rPr>
          <w:noProof/>
        </w:rPr>
      </w:pPr>
      <w:r>
        <w:rPr>
          <w:noProof/>
        </w:rPr>
        <w:t>3.3.5.</w:t>
      </w:r>
      <w:r>
        <w:rPr>
          <w:noProof/>
        </w:rPr>
        <w:tab/>
        <w:t>Natureza temporária: lidar com a colonização de locais em desenvolvimento por espécies constantes do anexo IV</w:t>
      </w:r>
    </w:p>
    <w:p>
      <w:pPr>
        <w:spacing w:after="240"/>
        <w:jc w:val="both"/>
        <w:rPr>
          <w:rFonts w:ascii="Verdana" w:hAnsi="Verdana"/>
          <w:noProof/>
          <w:color w:val="000000"/>
          <w:sz w:val="20"/>
          <w:szCs w:val="20"/>
        </w:rPr>
      </w:pPr>
      <w:r>
        <w:rPr>
          <w:rFonts w:ascii="Verdana" w:hAnsi="Verdana"/>
          <w:noProof/>
          <w:sz w:val="20"/>
          <w:szCs w:val="20"/>
        </w:rPr>
        <w:t xml:space="preserve">(3-87) Haverá alturas em que atividades de desenvolvimento do território já licenciadas (por exemplo, a construção de novas infraestruturas, como estradas, habitações, etc., ou atividades de exploração de pedreiras em curso) levam à criação de novos </w:t>
      </w:r>
      <w:r>
        <w:rPr>
          <w:rFonts w:ascii="Verdana" w:hAnsi="Verdana"/>
          <w:i/>
          <w:iCs/>
          <w:noProof/>
          <w:sz w:val="20"/>
          <w:szCs w:val="20"/>
        </w:rPr>
        <w:t>habitats</w:t>
      </w:r>
      <w:r>
        <w:rPr>
          <w:rFonts w:ascii="Verdana" w:hAnsi="Verdana"/>
          <w:noProof/>
          <w:sz w:val="20"/>
          <w:szCs w:val="20"/>
        </w:rPr>
        <w:t xml:space="preserve"> favoráveis que começam a ser colonizados </w:t>
      </w:r>
      <w:r>
        <w:rPr>
          <w:rFonts w:ascii="Verdana" w:hAnsi="Verdana"/>
          <w:noProof/>
          <w:color w:val="000000"/>
          <w:sz w:val="20"/>
          <w:szCs w:val="20"/>
        </w:rPr>
        <w:t>por espécies constantes do anexo IV da diretiva. Tais elementos naturais típicos, como, por exemplo, em locais de extração, podem incluir novas lagoas (com benefícios para os anfíbios e as libélulas), terreno exposto, zonas de areia e cascalho (que atraem insetos e aves), pastagens pioneiras (que atraem insetos e aves), falésias móveis (com benefícios para as aves e para as abelhas solitárias) e a criação de zonas de abrigo (para répteis, anfíbios e insetos).</w:t>
      </w:r>
    </w:p>
    <w:p>
      <w:pPr>
        <w:jc w:val="both"/>
        <w:rPr>
          <w:rFonts w:ascii="Verdana" w:hAnsi="Verdana"/>
          <w:noProof/>
          <w:color w:val="000000"/>
          <w:sz w:val="20"/>
          <w:szCs w:val="20"/>
        </w:rPr>
      </w:pPr>
      <w:r>
        <w:rPr>
          <w:rFonts w:ascii="Verdana" w:hAnsi="Verdana"/>
          <w:noProof/>
          <w:color w:val="000000"/>
          <w:sz w:val="20"/>
          <w:szCs w:val="20"/>
        </w:rPr>
        <w:t xml:space="preserve">Uma vez que o regime de proteção rigorosa previsto no artigo 12.º não faz distinção entre ambientes temporários (por exemplo, até cinco a dez anos) ou permanentes, criados de forma artificial ou natural, deve considerar-se que as espécies animais ou vegetais protegidas constantes do anexo IV que começam a ocupar um novo local em consequência de atividades de desenvolvimento do território autorizadas </w:t>
      </w:r>
      <w:r>
        <w:rPr>
          <w:rFonts w:ascii="Verdana" w:hAnsi="Verdana"/>
          <w:b/>
          <w:noProof/>
          <w:color w:val="000000"/>
          <w:sz w:val="20"/>
          <w:szCs w:val="20"/>
        </w:rPr>
        <w:t>estão também totalmente abrangidas pelas disposições de proteção</w:t>
      </w:r>
      <w:r>
        <w:rPr>
          <w:rFonts w:ascii="Verdana" w:hAnsi="Verdana"/>
          <w:noProof/>
          <w:color w:val="000000"/>
          <w:sz w:val="20"/>
          <w:szCs w:val="20"/>
        </w:rPr>
        <w:t xml:space="preserve"> do artigo 12.º.</w:t>
      </w:r>
    </w:p>
    <w:p>
      <w:pPr>
        <w:jc w:val="both"/>
        <w:rPr>
          <w:rFonts w:ascii="Verdana" w:hAnsi="Verdana"/>
          <w:noProof/>
          <w:color w:val="000000"/>
          <w:sz w:val="20"/>
          <w:szCs w:val="20"/>
        </w:rPr>
      </w:pPr>
    </w:p>
    <w:p>
      <w:pPr>
        <w:jc w:val="both"/>
        <w:rPr>
          <w:rFonts w:ascii="Verdana" w:hAnsi="Verdana"/>
          <w:noProof/>
          <w:color w:val="000000"/>
          <w:sz w:val="20"/>
          <w:szCs w:val="20"/>
        </w:rPr>
      </w:pPr>
      <w:r>
        <w:rPr>
          <w:rFonts w:ascii="Verdana" w:hAnsi="Verdana"/>
          <w:noProof/>
          <w:color w:val="000000"/>
          <w:sz w:val="20"/>
          <w:szCs w:val="20"/>
        </w:rPr>
        <w:t xml:space="preserve">(3-88) A aplicação do regime de proteção rigorosa previsto no artigo 12.º a estes casos pode representar um desafio significativo para os promotores de projetos e proprietários de terrenos que, devido à natureza dos trabalhos, podem ter de remover estes </w:t>
      </w:r>
      <w:r>
        <w:rPr>
          <w:rFonts w:ascii="Verdana" w:hAnsi="Verdana"/>
          <w:i/>
          <w:iCs/>
          <w:noProof/>
          <w:color w:val="000000"/>
          <w:sz w:val="20"/>
          <w:szCs w:val="20"/>
        </w:rPr>
        <w:t>habitats</w:t>
      </w:r>
      <w:r>
        <w:rPr>
          <w:rFonts w:ascii="Verdana" w:hAnsi="Verdana"/>
          <w:noProof/>
          <w:color w:val="000000"/>
          <w:sz w:val="20"/>
          <w:szCs w:val="20"/>
        </w:rPr>
        <w:t xml:space="preserve"> «temporários» para avançarem com os seus trabalhos de acordo com a autorização. A remoção dos </w:t>
      </w:r>
      <w:r>
        <w:rPr>
          <w:rFonts w:ascii="Verdana" w:hAnsi="Verdana"/>
          <w:i/>
          <w:iCs/>
          <w:noProof/>
          <w:color w:val="000000"/>
          <w:sz w:val="20"/>
          <w:szCs w:val="20"/>
        </w:rPr>
        <w:t>habitats</w:t>
      </w:r>
      <w:r>
        <w:rPr>
          <w:rFonts w:ascii="Verdana" w:hAnsi="Verdana"/>
          <w:noProof/>
          <w:color w:val="000000"/>
          <w:sz w:val="20"/>
          <w:szCs w:val="20"/>
        </w:rPr>
        <w:t>, quer durante a fase preparatória, operacional ou de desativação do projeto, obriga a uma derrogação ao abrigo do artigo 16.º, n.º 1, caso as condições estejam preenchidas (ver abaixo).</w:t>
      </w:r>
    </w:p>
    <w:p>
      <w:pPr>
        <w:jc w:val="both"/>
        <w:rPr>
          <w:rFonts w:ascii="Verdana" w:hAnsi="Verdana"/>
          <w:noProof/>
          <w:color w:val="000000"/>
          <w:sz w:val="20"/>
          <w:szCs w:val="20"/>
        </w:rPr>
      </w:pPr>
    </w:p>
    <w:p>
      <w:pPr>
        <w:spacing w:after="240"/>
        <w:jc w:val="both"/>
        <w:rPr>
          <w:rFonts w:ascii="Verdana" w:hAnsi="Verdana"/>
          <w:noProof/>
          <w:color w:val="000000"/>
          <w:sz w:val="20"/>
          <w:szCs w:val="20"/>
        </w:rPr>
      </w:pPr>
      <w:r>
        <w:rPr>
          <w:rFonts w:ascii="Verdana" w:hAnsi="Verdana"/>
          <w:noProof/>
          <w:color w:val="000000"/>
          <w:sz w:val="20"/>
          <w:szCs w:val="20"/>
        </w:rPr>
        <w:t xml:space="preserve">Sem a segurança jurídica de que a zona em questão pode ser utilizada legitimamente para o objetivo autorizado de acordo com os planos, os proprietários de terrenos ou promotores de projetos podem querer evitar a intrusão de espécies protegidas (por exemplo, recorrendo a pesticidas ou a trabalhos no solo) no período intermédio em que o terreno não está a ser trabalhado ativamente, a fim de evitarem encargos, restrições ou limitações suplementares associados à presença de espécies protegidas que não estavam inicialmente presentes no terreno. Esta situação pode constituir uma oportunidade perdida, na medida em que eventuais novos </w:t>
      </w:r>
      <w:r>
        <w:rPr>
          <w:rFonts w:ascii="Verdana" w:hAnsi="Verdana"/>
          <w:i/>
          <w:iCs/>
          <w:noProof/>
          <w:color w:val="000000"/>
          <w:sz w:val="20"/>
          <w:szCs w:val="20"/>
        </w:rPr>
        <w:t>habitats</w:t>
      </w:r>
      <w:r>
        <w:rPr>
          <w:rFonts w:ascii="Verdana" w:hAnsi="Verdana"/>
          <w:noProof/>
          <w:color w:val="000000"/>
          <w:sz w:val="20"/>
          <w:szCs w:val="20"/>
        </w:rPr>
        <w:t xml:space="preserve"> temporários, que de outra forma não teriam prosperado na zona em causa, podem, em certas condições, contribuir positivamente para os objetivos da diretiva.</w:t>
      </w:r>
    </w:p>
    <w:p>
      <w:pPr>
        <w:spacing w:after="240"/>
        <w:jc w:val="both"/>
        <w:rPr>
          <w:rFonts w:ascii="Verdana" w:hAnsi="Verdana"/>
          <w:noProof/>
          <w:color w:val="000000"/>
          <w:sz w:val="20"/>
          <w:szCs w:val="20"/>
        </w:rPr>
      </w:pPr>
      <w:r>
        <w:rPr>
          <w:rFonts w:ascii="Verdana" w:hAnsi="Verdana"/>
          <w:noProof/>
          <w:color w:val="000000"/>
          <w:sz w:val="20"/>
          <w:szCs w:val="20"/>
        </w:rPr>
        <w:t xml:space="preserve">(3-89) A fim de proporcionar esta segurança jurídica e, dessa forma, um incentivo para permitir a criação ou manutenção de sítios naturais temporários, os promotores </w:t>
      </w:r>
      <w:r>
        <w:rPr>
          <w:rFonts w:ascii="Verdana" w:hAnsi="Verdana"/>
          <w:b/>
          <w:noProof/>
          <w:color w:val="000000"/>
          <w:sz w:val="20"/>
          <w:szCs w:val="20"/>
        </w:rPr>
        <w:t>podem solicitar uma derrogação ao abrigo do artigo 16.º numa fase inicial do processo de planeamento</w:t>
      </w:r>
      <w:r>
        <w:rPr>
          <w:rFonts w:ascii="Verdana" w:hAnsi="Verdana"/>
          <w:noProof/>
          <w:color w:val="000000"/>
          <w:sz w:val="20"/>
          <w:szCs w:val="20"/>
        </w:rPr>
        <w:t xml:space="preserve">, numa altura em que as espécies protegidas não tenham ainda colonizado o local mas em que tal colonização é expectável com algum grau de certeza (o que pode acontecer, por exemplo, quando a espécie já está presente nas zonas envolventes). Esta forma de derrogação prévia permitiria a remoção subsequente de elementos naturais temporários em consonância com as necessidades de desenvolvimento do projeto. Todavia, as normas jurídicas para tais derrogações não podem ser inferiores às das derrogações para espécies protegidas já presentes e para os respetivos </w:t>
      </w:r>
      <w:r>
        <w:rPr>
          <w:rFonts w:ascii="Verdana" w:hAnsi="Verdana"/>
          <w:i/>
          <w:iCs/>
          <w:noProof/>
          <w:color w:val="000000"/>
          <w:sz w:val="20"/>
          <w:szCs w:val="20"/>
        </w:rPr>
        <w:t>habitats</w:t>
      </w:r>
      <w:r>
        <w:rPr>
          <w:rFonts w:ascii="Verdana" w:hAnsi="Verdana"/>
          <w:noProof/>
          <w:color w:val="000000"/>
          <w:sz w:val="20"/>
          <w:szCs w:val="20"/>
        </w:rPr>
        <w:t xml:space="preserve"> e, em qualquer caso, têm de cumprir todas as condições estipuladas no artigo 16.º. Entre outras questões, isto significa que as derrogações concedidas antes da instalação efetiva da espécie colonizadora ou do respetivo </w:t>
      </w:r>
      <w:r>
        <w:rPr>
          <w:rFonts w:ascii="Verdana" w:hAnsi="Verdana"/>
          <w:i/>
          <w:iCs/>
          <w:noProof/>
          <w:color w:val="000000"/>
          <w:sz w:val="20"/>
          <w:szCs w:val="20"/>
        </w:rPr>
        <w:t>habitat</w:t>
      </w:r>
      <w:r>
        <w:rPr>
          <w:rFonts w:ascii="Verdana" w:hAnsi="Verdana"/>
          <w:noProof/>
          <w:color w:val="000000"/>
          <w:sz w:val="20"/>
          <w:szCs w:val="20"/>
        </w:rPr>
        <w:t xml:space="preserve"> têm de especificar os objetivos prosseguidos através da derrogação, de forma clara e precisa</w:t>
      </w:r>
      <w:r>
        <w:rPr>
          <w:rFonts w:ascii="Verdana" w:hAnsi="Verdana"/>
          <w:i/>
          <w:noProof/>
          <w:color w:val="000000"/>
          <w:sz w:val="20"/>
          <w:szCs w:val="20"/>
          <w:vertAlign w:val="superscript"/>
        </w:rPr>
        <w:footnoteReference w:id="161"/>
      </w:r>
      <w:r>
        <w:rPr>
          <w:rFonts w:ascii="Verdana" w:hAnsi="Verdana"/>
          <w:noProof/>
          <w:color w:val="000000"/>
          <w:sz w:val="20"/>
          <w:szCs w:val="20"/>
        </w:rPr>
        <w:t>.</w:t>
      </w:r>
    </w:p>
    <w:p>
      <w:pPr>
        <w:spacing w:after="240"/>
        <w:jc w:val="both"/>
        <w:rPr>
          <w:rFonts w:ascii="Verdana" w:hAnsi="Verdana"/>
          <w:noProof/>
          <w:color w:val="000000"/>
          <w:sz w:val="20"/>
          <w:szCs w:val="20"/>
        </w:rPr>
      </w:pPr>
      <w:r>
        <w:rPr>
          <w:rFonts w:ascii="Verdana" w:hAnsi="Verdana"/>
          <w:noProof/>
          <w:color w:val="000000"/>
          <w:sz w:val="20"/>
          <w:szCs w:val="20"/>
        </w:rPr>
        <w:t xml:space="preserve">(3-90) Por conseguinte, </w:t>
      </w:r>
      <w:r>
        <w:rPr>
          <w:rFonts w:ascii="Verdana" w:hAnsi="Verdana"/>
          <w:b/>
          <w:noProof/>
          <w:color w:val="000000"/>
          <w:sz w:val="20"/>
          <w:szCs w:val="20"/>
        </w:rPr>
        <w:t>será importante que os pedidos de derrogação ao abrigo do artigo 16.º sejam antecedidos de um inventário de campo completo</w:t>
      </w:r>
      <w:r>
        <w:rPr>
          <w:rFonts w:ascii="Verdana" w:hAnsi="Verdana"/>
          <w:noProof/>
          <w:color w:val="000000"/>
          <w:sz w:val="20"/>
          <w:szCs w:val="20"/>
        </w:rPr>
        <w:t xml:space="preserve">, com vista a detetar todas as espécies protegidas, não só na zona do projeto, mas também nas zonas envolventes. Este inventário garantirá a identificação de todas as espécies constantes do anexo IV «previsíveis», bem como da sua abundância e da probabilidade de colonizarem a zona do projeto. A decisão ao abrigo do artigo 16.º pode então ser utilizada para definir condições de manutenção da funcionalidade ecológica contínua do </w:t>
      </w:r>
      <w:r>
        <w:rPr>
          <w:rFonts w:ascii="Verdana" w:hAnsi="Verdana"/>
          <w:i/>
          <w:iCs/>
          <w:noProof/>
          <w:color w:val="000000"/>
          <w:sz w:val="20"/>
          <w:szCs w:val="20"/>
        </w:rPr>
        <w:t>habitat</w:t>
      </w:r>
      <w:r>
        <w:rPr>
          <w:rFonts w:ascii="Verdana" w:hAnsi="Verdana"/>
          <w:noProof/>
          <w:color w:val="000000"/>
          <w:sz w:val="20"/>
          <w:szCs w:val="20"/>
        </w:rPr>
        <w:t xml:space="preserve"> da espécie na eventualidade de o novo </w:t>
      </w:r>
      <w:r>
        <w:rPr>
          <w:rFonts w:ascii="Verdana" w:hAnsi="Verdana"/>
          <w:i/>
          <w:iCs/>
          <w:noProof/>
          <w:color w:val="000000"/>
          <w:sz w:val="20"/>
          <w:szCs w:val="20"/>
        </w:rPr>
        <w:t>habitat</w:t>
      </w:r>
      <w:r>
        <w:rPr>
          <w:rFonts w:ascii="Verdana" w:hAnsi="Verdana"/>
          <w:noProof/>
          <w:color w:val="000000"/>
          <w:sz w:val="20"/>
          <w:szCs w:val="20"/>
        </w:rPr>
        <w:t xml:space="preserve"> colonizado na zona do projeto ter de ser removido para efeitos do projeto/atividade autorizado. Estas condições podem, por exemplo, incluir a criação e proteção de </w:t>
      </w:r>
      <w:r>
        <w:rPr>
          <w:rFonts w:ascii="Verdana" w:hAnsi="Verdana"/>
          <w:i/>
          <w:iCs/>
          <w:noProof/>
          <w:color w:val="000000"/>
          <w:sz w:val="20"/>
          <w:szCs w:val="20"/>
        </w:rPr>
        <w:t>habitats</w:t>
      </w:r>
      <w:r>
        <w:rPr>
          <w:rFonts w:ascii="Verdana" w:hAnsi="Verdana"/>
          <w:noProof/>
          <w:color w:val="000000"/>
          <w:sz w:val="20"/>
          <w:szCs w:val="20"/>
        </w:rPr>
        <w:t xml:space="preserve"> semelhantes fora da zona do projeto e a relocalização da espécie na zona do projeto para estes </w:t>
      </w:r>
      <w:r>
        <w:rPr>
          <w:rFonts w:ascii="Verdana" w:hAnsi="Verdana"/>
          <w:i/>
          <w:iCs/>
          <w:noProof/>
          <w:color w:val="000000"/>
          <w:sz w:val="20"/>
          <w:szCs w:val="20"/>
        </w:rPr>
        <w:t>habitats</w:t>
      </w:r>
      <w:r>
        <w:rPr>
          <w:rFonts w:ascii="Verdana" w:hAnsi="Verdana"/>
          <w:noProof/>
          <w:color w:val="000000"/>
          <w:sz w:val="20"/>
          <w:szCs w:val="20"/>
        </w:rPr>
        <w:t>, apoiadas pela vigilância a longo prazo. Como acontece com todas as derrogações, é necessário verificar e registar a sua aplicação correta.</w:t>
      </w:r>
    </w:p>
    <w:p>
      <w:pPr>
        <w:spacing w:after="240"/>
        <w:jc w:val="both"/>
        <w:rPr>
          <w:rFonts w:ascii="Verdana" w:hAnsi="Verdana"/>
          <w:noProof/>
          <w:color w:val="000000"/>
          <w:sz w:val="20"/>
          <w:szCs w:val="20"/>
        </w:rPr>
      </w:pPr>
      <w:r>
        <w:rPr>
          <w:rFonts w:ascii="Verdana" w:hAnsi="Verdana"/>
          <w:noProof/>
          <w:color w:val="000000"/>
          <w:sz w:val="20"/>
          <w:szCs w:val="20"/>
        </w:rPr>
        <w:t xml:space="preserve">(3-91) As derrogações que dão resposta a situações naturais temporárias, como descrito anteriormente, exigem uma justificação objetiva com base num dos motivos previstos no artigo 16.º, n.º 1. Uma possibilidade consiste em fundamentar a derrogação nos motivos previstos no artigo 16.º, n.º 1, alínea a), que justifica uma derrogação «[n]o interesse da proteção da fauna e da flora selvagens e da conservação dos </w:t>
      </w:r>
      <w:r>
        <w:rPr>
          <w:rFonts w:ascii="Verdana" w:hAnsi="Verdana"/>
          <w:i/>
          <w:iCs/>
          <w:noProof/>
          <w:color w:val="000000"/>
          <w:sz w:val="20"/>
          <w:szCs w:val="20"/>
        </w:rPr>
        <w:t>habitats</w:t>
      </w:r>
      <w:r>
        <w:rPr>
          <w:rFonts w:ascii="Verdana" w:hAnsi="Verdana"/>
          <w:noProof/>
          <w:color w:val="000000"/>
          <w:sz w:val="20"/>
          <w:szCs w:val="20"/>
        </w:rPr>
        <w:t xml:space="preserve"> naturais».</w:t>
      </w:r>
      <w:r>
        <w:rPr>
          <w:rFonts w:ascii="Verdana" w:hAnsi="Verdana"/>
          <w:i/>
          <w:noProof/>
          <w:color w:val="000000"/>
          <w:sz w:val="20"/>
          <w:szCs w:val="20"/>
        </w:rPr>
        <w:t xml:space="preserve"> </w:t>
      </w:r>
      <w:r>
        <w:rPr>
          <w:rFonts w:ascii="Verdana" w:hAnsi="Verdana"/>
          <w:noProof/>
          <w:color w:val="000000"/>
          <w:sz w:val="20"/>
          <w:szCs w:val="20"/>
        </w:rPr>
        <w:t xml:space="preserve">O texto da disposição não se limita às derrogações concedidas para proteger uma espécie vegetal ou animal contra outras espécies protegidas concorrentes. O texto pode ser interpretado no sentido de permitir igualmente uma derrogação ao regime de proteção rigorosa relativo a uma espécie protegida para benefício próprio dessa espécie. A palavra «interesse» na disposição sugere que a </w:t>
      </w:r>
      <w:r>
        <w:rPr>
          <w:rFonts w:ascii="Verdana" w:hAnsi="Verdana"/>
          <w:b/>
          <w:noProof/>
          <w:color w:val="000000"/>
          <w:sz w:val="20"/>
          <w:szCs w:val="20"/>
        </w:rPr>
        <w:t>derrogação tem de proporcionar uma mais-valia para a espécie em causa</w:t>
      </w:r>
      <w:r>
        <w:rPr>
          <w:rFonts w:ascii="Verdana" w:hAnsi="Verdana"/>
          <w:noProof/>
          <w:color w:val="000000"/>
          <w:sz w:val="20"/>
          <w:szCs w:val="20"/>
        </w:rPr>
        <w:t>. Neste sentido, o artigo 16.º, n.º 1, alínea a), seria aplicável se fosse possível demonstrar que existe um benefício líquido para a espécie em causa, que só foi possível, antes de mais, graças à concessão da derrogação.</w:t>
      </w:r>
    </w:p>
    <w:p>
      <w:pPr>
        <w:spacing w:after="240"/>
        <w:jc w:val="both"/>
        <w:rPr>
          <w:rFonts w:ascii="Verdana" w:hAnsi="Verdana"/>
          <w:noProof/>
          <w:color w:val="000000"/>
          <w:sz w:val="20"/>
          <w:szCs w:val="20"/>
        </w:rPr>
      </w:pPr>
      <w:r>
        <w:rPr>
          <w:rFonts w:ascii="Verdana" w:hAnsi="Verdana"/>
          <w:noProof/>
          <w:color w:val="000000"/>
          <w:sz w:val="20"/>
          <w:szCs w:val="20"/>
        </w:rPr>
        <w:t>(3-92) O artigo 16.º, n.º 1, alínea c), prevê a possibilidade de conceder uma derrogação «por […] razões imperativas ou de interesse público prioritário, incluindo razões de caráter social ou económico e a consequências benéficas de importância primordial para o ambiente».</w:t>
      </w:r>
      <w:r>
        <w:rPr>
          <w:rFonts w:ascii="Verdana" w:hAnsi="Verdana"/>
          <w:i/>
          <w:noProof/>
          <w:color w:val="000000"/>
          <w:sz w:val="20"/>
          <w:szCs w:val="20"/>
        </w:rPr>
        <w:t xml:space="preserve"> </w:t>
      </w:r>
      <w:r>
        <w:rPr>
          <w:rFonts w:ascii="Verdana" w:hAnsi="Verdana"/>
          <w:noProof/>
          <w:color w:val="000000"/>
          <w:sz w:val="20"/>
          <w:szCs w:val="20"/>
        </w:rPr>
        <w:t xml:space="preserve">A referência à «importância primordial para o ambiente» pode ser interpretada de forma semelhante à sugerida acima relativamente à referência ao interesse da proteção da fauna e da flora selvagens e da conservação dos </w:t>
      </w:r>
      <w:r>
        <w:rPr>
          <w:rFonts w:ascii="Verdana" w:hAnsi="Verdana"/>
          <w:i/>
          <w:iCs/>
          <w:noProof/>
          <w:color w:val="000000"/>
          <w:sz w:val="20"/>
          <w:szCs w:val="20"/>
        </w:rPr>
        <w:t>habitats</w:t>
      </w:r>
      <w:r>
        <w:rPr>
          <w:rFonts w:ascii="Verdana" w:hAnsi="Verdana"/>
          <w:noProof/>
          <w:color w:val="000000"/>
          <w:sz w:val="20"/>
          <w:szCs w:val="20"/>
        </w:rPr>
        <w:t xml:space="preserve"> naturais, constante do artigo 16.º, n.º 1, alínea a), ou seja, pressupondo que uma derrogação ao regime de proteção rigorosa de uma espécie pode ser concedida também em benefício da mesma. Contudo, a mais-valia teria de ser de «</w:t>
      </w:r>
      <w:r>
        <w:rPr>
          <w:rFonts w:ascii="Verdana" w:hAnsi="Verdana"/>
          <w:iCs/>
          <w:noProof/>
          <w:color w:val="000000"/>
          <w:sz w:val="20"/>
          <w:szCs w:val="20"/>
        </w:rPr>
        <w:t>importância primordial»</w:t>
      </w:r>
      <w:r>
        <w:rPr>
          <w:rFonts w:ascii="Verdana" w:hAnsi="Verdana"/>
          <w:noProof/>
          <w:color w:val="000000"/>
          <w:sz w:val="20"/>
          <w:szCs w:val="20"/>
        </w:rPr>
        <w:t>, o que, neste caso, estabelece um limiar mais elevado do que ao abrigo do artigo 16.º, n.º 1, alínea a).</w:t>
      </w:r>
    </w:p>
    <w:p>
      <w:pPr>
        <w:spacing w:before="120" w:after="240" w:line="240" w:lineRule="atLeast"/>
        <w:jc w:val="both"/>
        <w:rPr>
          <w:rFonts w:ascii="Verdana" w:hAnsi="Verdana"/>
          <w:noProof/>
          <w:color w:val="000000"/>
          <w:sz w:val="20"/>
          <w:szCs w:val="20"/>
        </w:rPr>
      </w:pPr>
      <w:r>
        <w:rPr>
          <w:rFonts w:ascii="Verdana" w:hAnsi="Verdana"/>
          <w:noProof/>
          <w:color w:val="000000"/>
          <w:sz w:val="20"/>
          <w:szCs w:val="20"/>
        </w:rPr>
        <w:t xml:space="preserve">(3-93) A possibilidade de utilizar derrogações para sítios naturais temporários deve ser abordada cuidadosamente na fase de planeamento do projeto e deve incluir uma avaliação científica pormenorizada dos locais onde as espécies protegidas se podem instalar nas diferentes fases do projeto. A fase de planeamento deve incluir uma avaliação da forma como as espécies que colonizaram os </w:t>
      </w:r>
      <w:r>
        <w:rPr>
          <w:rFonts w:ascii="Verdana" w:hAnsi="Verdana"/>
          <w:i/>
          <w:iCs/>
          <w:noProof/>
          <w:color w:val="000000"/>
          <w:sz w:val="20"/>
          <w:szCs w:val="20"/>
        </w:rPr>
        <w:t>habitats</w:t>
      </w:r>
      <w:r>
        <w:rPr>
          <w:rFonts w:ascii="Verdana" w:hAnsi="Verdana"/>
          <w:noProof/>
          <w:color w:val="000000"/>
          <w:sz w:val="20"/>
          <w:szCs w:val="20"/>
        </w:rPr>
        <w:t xml:space="preserve"> temporários podem ser preservadas durante e após o projeto, na medida do possível, por exemplo, através da aplicação de medidas de atenuação adequadas e do apoio à relocalização.</w:t>
      </w:r>
    </w:p>
    <w:p>
      <w:pPr>
        <w:spacing w:before="120" w:after="240" w:line="240" w:lineRule="atLeast"/>
        <w:jc w:val="both"/>
        <w:rPr>
          <w:rFonts w:ascii="Verdana" w:hAnsi="Verdana"/>
          <w:noProof/>
          <w:color w:val="000000"/>
          <w:sz w:val="20"/>
          <w:szCs w:val="20"/>
        </w:rPr>
      </w:pPr>
      <w:r>
        <w:rPr>
          <w:rFonts w:ascii="Verdana" w:hAnsi="Verdana"/>
          <w:noProof/>
          <w:color w:val="000000"/>
          <w:sz w:val="20"/>
          <w:szCs w:val="20"/>
        </w:rPr>
        <w:t>(3-94) Não obstante, a decisão de derrogação continua a ter de cumprir todos os outros critérios previstos no artigo 16.º (ausência de alternativas, não prejudicar o estado de conservação) e deve estabelecer antecipadamente compromissos estritos de vigilância e acompanhamento</w:t>
      </w:r>
      <w:r>
        <w:rPr>
          <w:rFonts w:ascii="Verdana" w:hAnsi="Verdana"/>
          <w:noProof/>
          <w:color w:val="000000"/>
          <w:sz w:val="20"/>
          <w:szCs w:val="20"/>
          <w:vertAlign w:val="superscript"/>
          <w:lang w:eastAsia="en-US"/>
        </w:rPr>
        <w:footnoteReference w:id="162"/>
      </w:r>
      <w:r>
        <w:rPr>
          <w:rFonts w:ascii="Verdana" w:hAnsi="Verdana"/>
          <w:noProof/>
          <w:color w:val="000000"/>
          <w:sz w:val="20"/>
          <w:szCs w:val="20"/>
        </w:rPr>
        <w:t>. Estes garantirão que o desenvolvimento do local temporário corresponde à emergência/existência prevista da espécie protegida no local. Este trabalho de acompanhamento também facultaria os elementos de prova necessários para solicitar uma derrogação suplementar que permita fazer face a novas ocorrências não previstas à partida.</w:t>
      </w:r>
    </w:p>
    <w:p>
      <w:pPr>
        <w:jc w:val="both"/>
        <w:rPr>
          <w:rFonts w:ascii="Verdana" w:hAnsi="Verdana"/>
          <w:noProof/>
          <w:color w:val="000000"/>
        </w:rPr>
      </w:pPr>
    </w:p>
    <w:p>
      <w:pPr>
        <w:jc w:val="both"/>
        <w:rPr>
          <w:rFonts w:ascii="Verdana" w:hAnsi="Verdana"/>
          <w:noProof/>
          <w:color w:val="000000"/>
          <w:sz w:val="20"/>
          <w:szCs w:val="20"/>
          <w:lang w:eastAsia="en-US"/>
        </w:rPr>
      </w:pPr>
    </w:p>
    <w:p>
      <w:pPr>
        <w:jc w:val="both"/>
        <w:rPr>
          <w:rFonts w:ascii="Verdana" w:hAnsi="Verdana"/>
          <w:noProof/>
          <w:color w:val="000000"/>
          <w:sz w:val="20"/>
          <w:szCs w:val="20"/>
          <w:lang w:eastAsia="en-US"/>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bCs/>
          <w:noProof/>
          <w:sz w:val="18"/>
          <w:szCs w:val="20"/>
        </w:rPr>
      </w:pPr>
      <w:r>
        <w:rPr>
          <w:rFonts w:ascii="Verdana" w:hAnsi="Verdana"/>
          <w:b/>
          <w:bCs/>
          <w:noProof/>
          <w:sz w:val="18"/>
          <w:szCs w:val="20"/>
        </w:rPr>
        <w:t>25 — Exemplo de boas práticas: projeto «LIFE in quarries» na Bélgica: gestão dinâmica da biodiversidade no contexto de pedreiras ativas</w:t>
      </w:r>
    </w:p>
    <w:p>
      <w:pPr>
        <w:pBdr>
          <w:top w:val="single" w:sz="4" w:space="1" w:color="auto"/>
          <w:left w:val="single" w:sz="4" w:space="4" w:color="auto"/>
          <w:bottom w:val="single" w:sz="4" w:space="1" w:color="auto"/>
          <w:right w:val="single" w:sz="4" w:space="4" w:color="auto"/>
        </w:pBdr>
        <w:shd w:val="clear" w:color="auto" w:fill="92D050"/>
        <w:spacing w:after="240"/>
        <w:jc w:val="both"/>
        <w:rPr>
          <w:noProof/>
          <w:sz w:val="18"/>
          <w:szCs w:val="20"/>
        </w:rPr>
      </w:pPr>
      <w:r>
        <w:rPr>
          <w:rFonts w:ascii="Verdana" w:hAnsi="Verdana"/>
          <w:noProof/>
          <w:sz w:val="18"/>
          <w:szCs w:val="20"/>
        </w:rPr>
        <w:t xml:space="preserve">O projeto «LIFE in quarries» [LIFE14 NAT/BE/000364] tem por objetivo desenvolver métodos para otimizar o potencial de biodiversidade de locais de extração mineira em funcionamento. No âmbito de projetos de gestão da biodiversidade específicos para pedreiras, o projeto explorou abordagens científicas e jurídicas para apoiar </w:t>
      </w:r>
      <w:r>
        <w:rPr>
          <w:rFonts w:ascii="Verdana" w:hAnsi="Verdana"/>
          <w:bCs/>
          <w:i/>
          <w:iCs/>
          <w:noProof/>
          <w:sz w:val="18"/>
          <w:szCs w:val="20"/>
        </w:rPr>
        <w:t>habitats</w:t>
      </w:r>
      <w:r>
        <w:rPr>
          <w:rFonts w:ascii="Verdana" w:hAnsi="Verdana"/>
          <w:bCs/>
          <w:noProof/>
          <w:sz w:val="18"/>
          <w:szCs w:val="20"/>
        </w:rPr>
        <w:t xml:space="preserve"> temporários</w:t>
      </w:r>
      <w:r>
        <w:rPr>
          <w:rFonts w:ascii="Verdana" w:hAnsi="Verdana"/>
          <w:noProof/>
          <w:sz w:val="18"/>
          <w:szCs w:val="20"/>
        </w:rPr>
        <w:t xml:space="preserve"> (por exemplo, lagoas e aterros de areia temporários) criados pela atividade das pedreiras e dela dependentes, que podem albergar espécies protegidas (por exemplo, andorinhas-das-barreiras, lagartos, lagartixas, sapos-corredores ou algas típicas de ambientes pobres). Esta </w:t>
      </w:r>
      <w:r>
        <w:rPr>
          <w:rFonts w:ascii="Verdana" w:hAnsi="Verdana"/>
          <w:bCs/>
          <w:noProof/>
          <w:sz w:val="18"/>
          <w:szCs w:val="20"/>
        </w:rPr>
        <w:t>gestão dinâmica da biodiversidade</w:t>
      </w:r>
      <w:r>
        <w:rPr>
          <w:rFonts w:ascii="Verdana" w:hAnsi="Verdana"/>
          <w:noProof/>
          <w:sz w:val="18"/>
          <w:szCs w:val="20"/>
        </w:rPr>
        <w:t xml:space="preserve"> que promove espécies existentes e/ou novas em alinhamento com a atividade das pedreiras (tanto atividades existentes como atividades temporárias suplementares) pode ser conjugada com as medidas previstas de restauração de </w:t>
      </w:r>
      <w:r>
        <w:rPr>
          <w:rFonts w:ascii="Verdana" w:hAnsi="Verdana"/>
          <w:bCs/>
          <w:i/>
          <w:iCs/>
          <w:noProof/>
          <w:sz w:val="18"/>
          <w:szCs w:val="20"/>
        </w:rPr>
        <w:t>habitats</w:t>
      </w:r>
      <w:r>
        <w:rPr>
          <w:rFonts w:ascii="Verdana" w:hAnsi="Verdana"/>
          <w:bCs/>
          <w:noProof/>
          <w:sz w:val="18"/>
          <w:szCs w:val="20"/>
        </w:rPr>
        <w:t xml:space="preserve"> permanentes </w:t>
      </w:r>
      <w:r>
        <w:rPr>
          <w:rFonts w:ascii="Verdana" w:hAnsi="Verdana"/>
          <w:noProof/>
          <w:sz w:val="18"/>
          <w:szCs w:val="20"/>
        </w:rPr>
        <w:t>durante e após o período extrativo, a fim de maximizar ecossistemas estáveis e ricos em biodiversidade após a conclusão do projeto (natureza permanente suplementar)</w:t>
      </w:r>
      <w:r>
        <w:rPr>
          <w:rFonts w:ascii="Verdana" w:hAnsi="Verdana"/>
          <w:noProof/>
          <w:sz w:val="18"/>
          <w:szCs w:val="20"/>
          <w:vertAlign w:val="superscript"/>
          <w:lang w:bidi="en-US"/>
        </w:rPr>
        <w:footnoteReference w:id="163"/>
      </w:r>
      <w:r>
        <w:rPr>
          <w:rFonts w:ascii="Verdana" w:hAnsi="Verdana"/>
          <w:noProof/>
          <w:sz w:val="18"/>
          <w:szCs w:val="20"/>
        </w:rPr>
        <w:t>.</w:t>
      </w:r>
    </w:p>
    <w:p>
      <w:pPr>
        <w:jc w:val="both"/>
        <w:rPr>
          <w:rFonts w:ascii="Verdana" w:hAnsi="Verdana"/>
          <w:noProof/>
          <w:color w:val="000000"/>
          <w:sz w:val="20"/>
          <w:szCs w:val="20"/>
          <w:lang w:eastAsia="en-US"/>
        </w:rPr>
      </w:pPr>
    </w:p>
    <w:p>
      <w:pPr>
        <w:jc w:val="both"/>
        <w:rPr>
          <w:rFonts w:ascii="Verdana" w:hAnsi="Verdana"/>
          <w:noProof/>
          <w:color w:val="000000"/>
          <w:sz w:val="20"/>
          <w:szCs w:val="20"/>
          <w:lang w:eastAsia="en-US"/>
        </w:rPr>
      </w:pPr>
    </w:p>
    <w:p>
      <w:pPr>
        <w:pStyle w:val="h3"/>
        <w:rPr>
          <w:noProof/>
        </w:rPr>
      </w:pPr>
      <w:r>
        <w:rPr>
          <w:noProof/>
        </w:rPr>
        <w:t>3.4.</w:t>
      </w:r>
      <w:r>
        <w:rPr>
          <w:noProof/>
        </w:rPr>
        <w:tab/>
        <w:t>Acompanhamento e apresentação de relatórios sobre as derrogações</w:t>
      </w:r>
    </w:p>
    <w:p>
      <w:pPr>
        <w:pBdr>
          <w:top w:val="single" w:sz="4" w:space="1" w:color="auto"/>
          <w:left w:val="single" w:sz="4" w:space="4" w:color="auto"/>
          <w:bottom w:val="single" w:sz="4" w:space="1" w:color="auto"/>
          <w:right w:val="single" w:sz="4" w:space="4" w:color="auto"/>
        </w:pBdr>
        <w:shd w:val="clear" w:color="auto" w:fill="F3F3F3"/>
        <w:tabs>
          <w:tab w:val="left" w:pos="1800"/>
        </w:tabs>
        <w:spacing w:after="240"/>
        <w:jc w:val="both"/>
        <w:rPr>
          <w:rFonts w:ascii="Verdana" w:hAnsi="Verdana"/>
          <w:i/>
          <w:noProof/>
          <w:sz w:val="20"/>
          <w:szCs w:val="20"/>
        </w:rPr>
      </w:pPr>
      <w:r>
        <w:rPr>
          <w:rFonts w:ascii="Verdana" w:hAnsi="Verdana"/>
          <w:i/>
          <w:noProof/>
          <w:sz w:val="20"/>
          <w:szCs w:val="20"/>
        </w:rPr>
        <w:t>As autoridades nacionais competentes têm não só de garantir que todas as condições do regime de derrogações são cumpridas antes de concederem uma derrogação (ou seja, que esta cumpre os três testes), mas também de acompanhar os impactos da derrogação (e a eficácia de eventuais medidas compensatórias) após a sua aplicação. Os relatórios sobre as derrogações devem ser completos e incluir informações que permitam à Comissão avaliar se o regime de derrogações previsto no artigo 16.º foi corretamente aplicado.</w:t>
      </w:r>
    </w:p>
    <w:p>
      <w:pPr>
        <w:pStyle w:val="h4"/>
        <w:rPr>
          <w:noProof/>
        </w:rPr>
      </w:pPr>
      <w:r>
        <w:rPr>
          <w:noProof/>
        </w:rPr>
        <w:t>3.4.1.</w:t>
      </w:r>
      <w:r>
        <w:rPr>
          <w:noProof/>
        </w:rPr>
        <w:tab/>
        <w:t>Acompanhamento dos impactos das derrogações</w:t>
      </w:r>
    </w:p>
    <w:p>
      <w:pPr>
        <w:spacing w:after="240"/>
        <w:jc w:val="both"/>
        <w:rPr>
          <w:rFonts w:ascii="Verdana" w:hAnsi="Verdana"/>
          <w:noProof/>
          <w:sz w:val="20"/>
          <w:szCs w:val="20"/>
        </w:rPr>
      </w:pPr>
      <w:r>
        <w:rPr>
          <w:rFonts w:ascii="Verdana" w:hAnsi="Verdana"/>
          <w:noProof/>
          <w:sz w:val="20"/>
          <w:szCs w:val="20"/>
        </w:rPr>
        <w:t xml:space="preserve">(3-95) As autoridades nacionais competentes têm não só de garantir que todas as condições do regime de derrogações são cumpridas </w:t>
      </w:r>
      <w:r>
        <w:rPr>
          <w:rFonts w:ascii="Verdana" w:hAnsi="Verdana"/>
          <w:i/>
          <w:noProof/>
          <w:sz w:val="20"/>
          <w:szCs w:val="20"/>
        </w:rPr>
        <w:t>antes</w:t>
      </w:r>
      <w:r>
        <w:rPr>
          <w:rFonts w:ascii="Verdana" w:hAnsi="Verdana"/>
          <w:noProof/>
          <w:sz w:val="20"/>
          <w:szCs w:val="20"/>
        </w:rPr>
        <w:t xml:space="preserve"> de concederem uma derrogação, mas também de acompanhar os impactos das derrogações (e a eficácia de eventuais medidas compensatórias) após a sua aplicação</w:t>
      </w:r>
      <w:r>
        <w:rPr>
          <w:noProof/>
          <w:vertAlign w:val="superscript"/>
        </w:rPr>
        <w:footnoteReference w:id="164"/>
      </w:r>
      <w:r>
        <w:rPr>
          <w:rFonts w:ascii="Verdana" w:hAnsi="Verdana"/>
          <w:noProof/>
          <w:sz w:val="20"/>
          <w:szCs w:val="20"/>
        </w:rPr>
        <w:t>. O artigo 16.º, n.º 3, alínea e), exige que os relatórios sobre as derrogações especifiquem «[a]s medidas de controlo aplicadas e os resultados obtidos». Isto significa que têm de fiscalizar e acompanhar a aplicação das derrogações concedidas.</w:t>
      </w:r>
    </w:p>
    <w:p>
      <w:pPr>
        <w:spacing w:after="240"/>
        <w:jc w:val="both"/>
        <w:rPr>
          <w:rFonts w:ascii="Verdana" w:hAnsi="Verdana"/>
          <w:noProof/>
          <w:sz w:val="20"/>
          <w:szCs w:val="20"/>
        </w:rPr>
      </w:pPr>
      <w:r>
        <w:rPr>
          <w:rFonts w:ascii="Verdana" w:hAnsi="Verdana"/>
          <w:noProof/>
          <w:sz w:val="20"/>
          <w:szCs w:val="20"/>
        </w:rPr>
        <w:t>O acompanhamento do impacto das derrogações é igualmente necessário para verificar se as derrogações foram aplicadas corretamente e se atingiram o respetivo objetivo, com base em provas científicas, e, se necessário, para tomar medidas corretivas. Desta forma, garante-se a deteção de eventuais riscos ou prejuízos não intencionais para a espécie em consequência da aplicação da derrogação. Uma utilização adequada do sistema de derrogações exige que as condições de enquadramento sejam as mais adequadas para garantir que a abordagem não conduz a efeitos indesejados. Para este efeito, o acompanhamento é fundamental.</w:t>
      </w:r>
    </w:p>
    <w:p>
      <w:pPr>
        <w:spacing w:after="240"/>
        <w:jc w:val="both"/>
        <w:rPr>
          <w:rFonts w:ascii="Verdana" w:hAnsi="Verdana"/>
          <w:noProof/>
          <w:sz w:val="20"/>
          <w:szCs w:val="20"/>
        </w:rPr>
      </w:pPr>
      <w:r>
        <w:rPr>
          <w:rFonts w:ascii="Verdana" w:hAnsi="Verdana"/>
          <w:noProof/>
          <w:sz w:val="20"/>
          <w:szCs w:val="20"/>
        </w:rPr>
        <w:t>(3-96) Após a aplicação das derrogações, as autoridades nacionais têm também de acompanhar o impacto cumulativo de todas as derrogações concedidas no território nacional para cada espécie abrangida pelas derrogações, independentemente dos motivos pelos quais foram concedidas, e de confirmar a avaliação inicial de que as derrogações não são prejudiciais à manutenção das espécies num estado de conservação favorável. Como é evidente, os resultados deste acompanhamento devem ser tidos em conta em eventuais decisões futuras de concessão de derrogações.</w:t>
      </w:r>
    </w:p>
    <w:p>
      <w:pPr>
        <w:spacing w:after="240"/>
        <w:jc w:val="both"/>
        <w:rPr>
          <w:rFonts w:ascii="Verdana" w:hAnsi="Verdana"/>
          <w:noProof/>
          <w:sz w:val="20"/>
          <w:szCs w:val="20"/>
        </w:rPr>
      </w:pPr>
      <w:r>
        <w:rPr>
          <w:rFonts w:ascii="Verdana" w:hAnsi="Verdana"/>
          <w:noProof/>
          <w:sz w:val="20"/>
          <w:szCs w:val="20"/>
        </w:rPr>
        <w:t>(3-97) Este acompanhamento também pode enquadrar-se na obrigação geral de vigilância prevista no artigo 11.º da diretiva. Seria razoável que esta vigilância fosse sensível aos efeitos (incluindo efeitos cumulativos e efeitos das medidas compensatórias) das derrogações aplicadas para espécies em relação às quais são recorrentemente concedidas derrogações ou que estão num estado de conservação desfavorável (e que, não obstante, são objeto de derrogações em circunstâncias excecionais). Seria também razoável que tal vigilância incluísse o acompanhamento de outros fatores suscetíveis de terem um impacto negativo no estado de conservação da espécie (como o abate ilegal). Estes dados podem ser utilizados na avaliação do estado de conservação das espécies.</w:t>
      </w:r>
    </w:p>
    <w:p>
      <w:pPr>
        <w:pStyle w:val="h4"/>
        <w:rPr>
          <w:noProof/>
        </w:rPr>
      </w:pPr>
      <w:r>
        <w:rPr>
          <w:noProof/>
        </w:rPr>
        <w:t>3.4.2.</w:t>
      </w:r>
      <w:r>
        <w:rPr>
          <w:noProof/>
        </w:rPr>
        <w:tab/>
      </w:r>
      <w:bookmarkStart w:id="13" w:name="_Toc32299724"/>
      <w:r>
        <w:rPr>
          <w:noProof/>
        </w:rPr>
        <w:t>Obrigações de apresentação de relatórios ao abrigo do artigo 16.º, n.</w:t>
      </w:r>
      <w:r>
        <w:rPr>
          <w:noProof/>
          <w:vertAlign w:val="superscript"/>
        </w:rPr>
        <w:t>os</w:t>
      </w:r>
      <w:r>
        <w:rPr>
          <w:noProof/>
        </w:rPr>
        <w:t> 2</w:t>
      </w:r>
      <w:bookmarkEnd w:id="13"/>
      <w:r>
        <w:rPr>
          <w:noProof/>
        </w:rPr>
        <w:t xml:space="preserve"> e 3</w:t>
      </w:r>
    </w:p>
    <w:p>
      <w:pPr>
        <w:spacing w:after="240"/>
        <w:jc w:val="both"/>
        <w:rPr>
          <w:rFonts w:ascii="Verdana" w:hAnsi="Verdana"/>
          <w:i/>
          <w:noProof/>
          <w:sz w:val="20"/>
          <w:szCs w:val="20"/>
        </w:rPr>
      </w:pPr>
      <w:r>
        <w:rPr>
          <w:rFonts w:ascii="Verdana" w:hAnsi="Verdana"/>
          <w:noProof/>
          <w:sz w:val="20"/>
          <w:szCs w:val="20"/>
        </w:rPr>
        <w:t>(3-98) As derrogações têm igualmente de cumprir os critérios de forma previstos no artigo 16.º, n.</w:t>
      </w:r>
      <w:r>
        <w:rPr>
          <w:rFonts w:ascii="Verdana" w:hAnsi="Verdana"/>
          <w:noProof/>
          <w:sz w:val="20"/>
          <w:szCs w:val="20"/>
          <w:vertAlign w:val="superscript"/>
        </w:rPr>
        <w:t>os</w:t>
      </w:r>
      <w:r>
        <w:rPr>
          <w:rFonts w:ascii="Verdana" w:hAnsi="Verdana"/>
          <w:noProof/>
          <w:sz w:val="20"/>
          <w:szCs w:val="20"/>
        </w:rPr>
        <w:t> 2 e 3. Conforme referido pelo Tribunal de Justiça no processo C-118/94 (processo relativo à Diretiva Aves), esses critérios de forma «têm por objeto limitar as derrogações ao estritamente necessário e permitir a respetiva fiscalização pela Comissão».</w:t>
      </w:r>
    </w:p>
    <w:p>
      <w:pPr>
        <w:spacing w:after="240"/>
        <w:jc w:val="both"/>
        <w:rPr>
          <w:rFonts w:ascii="Verdana" w:hAnsi="Verdana"/>
          <w:noProof/>
          <w:sz w:val="20"/>
          <w:szCs w:val="20"/>
        </w:rPr>
      </w:pPr>
      <w:r>
        <w:rPr>
          <w:rFonts w:ascii="Verdana" w:hAnsi="Verdana"/>
          <w:noProof/>
          <w:sz w:val="20"/>
          <w:szCs w:val="20"/>
        </w:rPr>
        <w:t>(3-99) Os Estados-Membros não têm de consultar a Comissão antes de aplicarem derrogações, mas têm a obrigação de apresentar um relatório à Comissão de dois em dois anos sobre a aplicação do artigo 16.º. O artigo 16.º, n.º 2, não especifica o teor exato destes relatórios. É, contudo, evidente que as informações têm de ser exaustivas e factuais e abranger todos os elementos estipulados no artigo 16.º, n.º 3. Com base nas informações fornecidas nos relatórios sobre as derrogações, a Comissão terá de estar em posição de fiscalizar a aplicação do artigo 16.º nos Estados-Membros e de verificar a respetiva compatibilidade com a diretiva. Nos casos em que conclui que a utilização de derrogações viola as exigências da diretiva, a Comissão tem o direito de iniciar um processo por infração contra o Estado-Membro em questão.</w:t>
      </w:r>
    </w:p>
    <w:p>
      <w:pPr>
        <w:spacing w:after="240"/>
        <w:jc w:val="both"/>
        <w:rPr>
          <w:rFonts w:ascii="Verdana" w:hAnsi="Verdana"/>
          <w:noProof/>
          <w:sz w:val="20"/>
          <w:szCs w:val="20"/>
        </w:rPr>
      </w:pPr>
      <w:r>
        <w:rPr>
          <w:rFonts w:ascii="Verdana" w:hAnsi="Verdana"/>
          <w:noProof/>
          <w:sz w:val="20"/>
          <w:szCs w:val="20"/>
        </w:rPr>
        <w:t xml:space="preserve">(3-100) O formato atual de apresentação de relatórios sobre as derrogações abrange igualmente todas as obrigações de apresentação de relatórios ao abrigo do artigo 9.º da Convenção relativa à Conservação da Vida Selvagem e dos </w:t>
      </w:r>
      <w:r>
        <w:rPr>
          <w:rFonts w:ascii="Verdana" w:hAnsi="Verdana"/>
          <w:i/>
          <w:iCs/>
          <w:noProof/>
          <w:sz w:val="20"/>
          <w:szCs w:val="20"/>
        </w:rPr>
        <w:t>Habitats</w:t>
      </w:r>
      <w:r>
        <w:rPr>
          <w:rFonts w:ascii="Verdana" w:hAnsi="Verdana"/>
          <w:noProof/>
          <w:sz w:val="20"/>
          <w:szCs w:val="20"/>
        </w:rPr>
        <w:t xml:space="preserve"> Naturais da Europa (Convenção de Berna)</w:t>
      </w:r>
      <w:r>
        <w:rPr>
          <w:rFonts w:ascii="Verdana" w:hAnsi="Verdana"/>
          <w:noProof/>
          <w:sz w:val="20"/>
          <w:szCs w:val="20"/>
          <w:vertAlign w:val="superscript"/>
        </w:rPr>
        <w:footnoteReference w:id="165"/>
      </w:r>
      <w:r>
        <w:rPr>
          <w:rFonts w:ascii="Verdana" w:hAnsi="Verdana"/>
          <w:noProof/>
          <w:sz w:val="20"/>
          <w:szCs w:val="20"/>
        </w:rPr>
        <w:t xml:space="preserve"> e visa melhorar a eficiência e utilidade dos relatórios a todos os níveis (regional, nacional, UE). O novo formato de relatório e uma nova ferramenta informática, denominada «Habitats and Birds Directives Derogation System+» (HaBiDeS+), estão atualmente a ser utilizados pela Comissão e pelos Estados-Membros</w:t>
      </w:r>
      <w:r>
        <w:rPr>
          <w:rFonts w:ascii="Verdana" w:hAnsi="Verdana"/>
          <w:noProof/>
          <w:sz w:val="20"/>
          <w:szCs w:val="20"/>
          <w:vertAlign w:val="superscript"/>
        </w:rPr>
        <w:footnoteReference w:id="166"/>
      </w:r>
      <w:r>
        <w:rPr>
          <w:rFonts w:ascii="Verdana" w:hAnsi="Verdana"/>
          <w:noProof/>
          <w:sz w:val="20"/>
          <w:szCs w:val="20"/>
        </w:rPr>
        <w:t>.</w:t>
      </w:r>
    </w:p>
    <w:p>
      <w:pPr>
        <w:spacing w:after="240"/>
        <w:jc w:val="both"/>
        <w:rPr>
          <w:rFonts w:ascii="Verdana" w:hAnsi="Verdana"/>
          <w:strike/>
          <w:noProof/>
          <w:sz w:val="20"/>
          <w:szCs w:val="20"/>
        </w:rPr>
      </w:pPr>
      <w:r>
        <w:rPr>
          <w:rFonts w:ascii="Verdana" w:hAnsi="Verdana"/>
          <w:noProof/>
          <w:sz w:val="20"/>
          <w:szCs w:val="20"/>
        </w:rPr>
        <w:t>(3-101) O novo formato inclui os critérios de forma estabelecidos no artigo 16.º, n.º 3, que têm de ser cumpridos e especificados em qualquer derrogação concedida, bem como informações suplementares [por exemplo, pormenores úteis para compreender melhor o motivo, os meios e os métodos, comprovativos dos requisitos específicos do artigo 16.º, n.º 1, alínea e), referências a outras alternativas rejeitadas, elementos que comprovem que a derrogação não prejudica o estado de conservação da população] que permitam compreender a fundamentação das autoridades competentes para aplicar o sistema de derrogações ao abrigo do artigo 16.º.</w:t>
      </w:r>
    </w:p>
    <w:p>
      <w:pPr>
        <w:spacing w:after="240"/>
        <w:jc w:val="both"/>
        <w:rPr>
          <w:rFonts w:ascii="Verdana" w:hAnsi="Verdana"/>
          <w:noProof/>
          <w:sz w:val="20"/>
          <w:szCs w:val="20"/>
        </w:rPr>
      </w:pPr>
    </w:p>
    <w:p>
      <w:pPr>
        <w:pageBreakBefore/>
        <w:tabs>
          <w:tab w:val="left" w:pos="1800"/>
          <w:tab w:val="left" w:pos="8640"/>
        </w:tabs>
        <w:ind w:left="1077" w:hanging="1077"/>
        <w:jc w:val="both"/>
        <w:rPr>
          <w:rFonts w:ascii="Verdana" w:hAnsi="Verdana"/>
          <w:b/>
          <w:noProof/>
          <w:sz w:val="20"/>
          <w:szCs w:val="20"/>
          <w:u w:val="single"/>
        </w:rPr>
      </w:pPr>
      <w:r>
        <w:rPr>
          <w:rFonts w:ascii="Verdana" w:hAnsi="Verdana"/>
          <w:b/>
          <w:noProof/>
          <w:sz w:val="20"/>
          <w:szCs w:val="20"/>
          <w:u w:val="single"/>
        </w:rPr>
        <w:t>Anexos:</w:t>
      </w:r>
    </w:p>
    <w:p>
      <w:pPr>
        <w:tabs>
          <w:tab w:val="left" w:pos="1800"/>
          <w:tab w:val="left" w:pos="8640"/>
        </w:tabs>
        <w:ind w:left="1080" w:hanging="1080"/>
        <w:jc w:val="both"/>
        <w:rPr>
          <w:b/>
          <w:noProof/>
          <w:sz w:val="20"/>
          <w:szCs w:val="20"/>
        </w:rPr>
      </w:pPr>
    </w:p>
    <w:p>
      <w:pPr>
        <w:tabs>
          <w:tab w:val="left" w:pos="2127"/>
          <w:tab w:val="left" w:pos="8640"/>
        </w:tabs>
        <w:ind w:left="1080" w:hanging="1080"/>
        <w:jc w:val="both"/>
        <w:rPr>
          <w:noProof/>
          <w:sz w:val="20"/>
          <w:szCs w:val="20"/>
        </w:rPr>
      </w:pPr>
      <w:r>
        <w:rPr>
          <w:rFonts w:ascii="Verdana" w:hAnsi="Verdana"/>
          <w:b/>
          <w:noProof/>
          <w:sz w:val="20"/>
          <w:szCs w:val="20"/>
        </w:rPr>
        <w:t>Anexo I:</w:t>
      </w:r>
      <w:r>
        <w:rPr>
          <w:rFonts w:ascii="Verdana" w:hAnsi="Verdana"/>
          <w:b/>
          <w:noProof/>
          <w:sz w:val="20"/>
          <w:szCs w:val="20"/>
        </w:rPr>
        <w:tab/>
      </w:r>
      <w:r>
        <w:rPr>
          <w:rFonts w:ascii="Verdana" w:hAnsi="Verdana"/>
          <w:b/>
          <w:noProof/>
          <w:sz w:val="20"/>
          <w:szCs w:val="20"/>
        </w:rPr>
        <w:tab/>
        <w:t>Referências dos processos do Tribunal de Justiça</w:t>
      </w:r>
    </w:p>
    <w:p>
      <w:pPr>
        <w:tabs>
          <w:tab w:val="left" w:pos="2127"/>
          <w:tab w:val="left" w:pos="8640"/>
        </w:tabs>
        <w:ind w:left="1080" w:hanging="1080"/>
        <w:jc w:val="both"/>
        <w:rPr>
          <w:rFonts w:ascii="Verdana" w:hAnsi="Verdana"/>
          <w:b/>
          <w:noProof/>
          <w:sz w:val="20"/>
          <w:szCs w:val="20"/>
        </w:rPr>
      </w:pPr>
      <w:r>
        <w:rPr>
          <w:rFonts w:ascii="Verdana" w:hAnsi="Verdana"/>
          <w:b/>
          <w:noProof/>
          <w:sz w:val="20"/>
          <w:szCs w:val="20"/>
        </w:rPr>
        <w:t>Anexo II:</w:t>
      </w:r>
      <w:r>
        <w:rPr>
          <w:rFonts w:ascii="Verdana" w:hAnsi="Verdana"/>
          <w:b/>
          <w:noProof/>
          <w:sz w:val="20"/>
          <w:szCs w:val="20"/>
        </w:rPr>
        <w:tab/>
      </w:r>
      <w:r>
        <w:rPr>
          <w:rFonts w:ascii="Verdana" w:hAnsi="Verdana"/>
          <w:b/>
          <w:noProof/>
          <w:sz w:val="20"/>
          <w:szCs w:val="20"/>
        </w:rPr>
        <w:tab/>
        <w:t>Lista de espécies abrangidas pelos anexos II, IV e V</w:t>
      </w:r>
    </w:p>
    <w:p>
      <w:pPr>
        <w:tabs>
          <w:tab w:val="left" w:pos="2127"/>
          <w:tab w:val="left" w:pos="8640"/>
        </w:tabs>
        <w:ind w:left="2127" w:hanging="2127"/>
        <w:jc w:val="both"/>
        <w:rPr>
          <w:rFonts w:ascii="Verdana" w:hAnsi="Verdana"/>
          <w:b/>
          <w:noProof/>
          <w:sz w:val="20"/>
          <w:szCs w:val="20"/>
        </w:rPr>
      </w:pPr>
      <w:r>
        <w:rPr>
          <w:rFonts w:ascii="Verdana" w:hAnsi="Verdana"/>
          <w:b/>
          <w:noProof/>
          <w:sz w:val="20"/>
          <w:szCs w:val="20"/>
        </w:rPr>
        <w:t>Anexo III:</w:t>
      </w:r>
      <w:r>
        <w:rPr>
          <w:rFonts w:ascii="Verdana" w:hAnsi="Verdana"/>
          <w:b/>
          <w:noProof/>
          <w:sz w:val="20"/>
          <w:szCs w:val="20"/>
        </w:rPr>
        <w:tab/>
        <w:t xml:space="preserve">Aplicação do artigo 12.º da Diretiva </w:t>
      </w:r>
      <w:r>
        <w:rPr>
          <w:rFonts w:ascii="Verdana" w:hAnsi="Verdana"/>
          <w:b/>
          <w:i/>
          <w:iCs/>
          <w:noProof/>
          <w:sz w:val="20"/>
          <w:szCs w:val="20"/>
        </w:rPr>
        <w:t>Habitats</w:t>
      </w:r>
      <w:r>
        <w:rPr>
          <w:rFonts w:ascii="Verdana" w:hAnsi="Verdana"/>
          <w:b/>
          <w:noProof/>
          <w:sz w:val="20"/>
          <w:szCs w:val="20"/>
        </w:rPr>
        <w:t xml:space="preserve"> — o exemplo do lobo</w:t>
      </w:r>
    </w:p>
    <w:p>
      <w:pPr>
        <w:tabs>
          <w:tab w:val="left" w:pos="1800"/>
          <w:tab w:val="left" w:pos="8640"/>
        </w:tabs>
        <w:ind w:left="1080" w:hanging="1080"/>
        <w:rPr>
          <w:b/>
          <w:noProof/>
          <w:sz w:val="20"/>
          <w:szCs w:val="20"/>
        </w:rPr>
      </w:pPr>
    </w:p>
    <w:p>
      <w:pPr>
        <w:tabs>
          <w:tab w:val="left" w:pos="1800"/>
          <w:tab w:val="left" w:pos="8640"/>
        </w:tabs>
        <w:ind w:left="1080" w:hanging="1080"/>
        <w:rPr>
          <w:b/>
          <w:noProof/>
          <w:sz w:val="20"/>
          <w:szCs w:val="20"/>
        </w:rPr>
      </w:pPr>
    </w:p>
    <w:p>
      <w:pPr>
        <w:tabs>
          <w:tab w:val="left" w:pos="1800"/>
          <w:tab w:val="left" w:pos="8640"/>
        </w:tabs>
        <w:ind w:left="1080" w:hanging="1080"/>
        <w:rPr>
          <w:b/>
          <w:noProof/>
          <w:sz w:val="20"/>
          <w:szCs w:val="20"/>
        </w:rPr>
      </w:pPr>
    </w:p>
    <w:p>
      <w:pPr>
        <w:rPr>
          <w:rFonts w:ascii="Verdana" w:hAnsi="Verdana"/>
          <w:b/>
          <w:noProof/>
          <w:sz w:val="20"/>
          <w:szCs w:val="20"/>
        </w:rPr>
      </w:pPr>
      <w:r>
        <w:rPr>
          <w:noProof/>
        </w:rPr>
        <w:br w:type="page"/>
      </w:r>
    </w:p>
    <w:p>
      <w:pPr>
        <w:tabs>
          <w:tab w:val="left" w:pos="0"/>
        </w:tabs>
        <w:jc w:val="right"/>
        <w:rPr>
          <w:rFonts w:ascii="Verdana" w:hAnsi="Verdana"/>
          <w:b/>
          <w:noProof/>
          <w:sz w:val="20"/>
          <w:szCs w:val="20"/>
        </w:rPr>
      </w:pPr>
    </w:p>
    <w:p>
      <w:pPr>
        <w:pStyle w:val="h2"/>
        <w:rPr>
          <w:noProof/>
        </w:rPr>
      </w:pPr>
      <w:r>
        <w:rPr>
          <w:noProof/>
        </w:rPr>
        <w:t>ANEXO I</w:t>
      </w:r>
    </w:p>
    <w:p>
      <w:pPr>
        <w:pStyle w:val="anxsub"/>
        <w:rPr>
          <w:noProof/>
          <w:sz w:val="22"/>
          <w:szCs w:val="22"/>
        </w:rPr>
      </w:pPr>
      <w:r>
        <w:rPr>
          <w:noProof/>
          <w:sz w:val="22"/>
          <w:szCs w:val="22"/>
        </w:rPr>
        <w:t>Referências dos processos do Tribunal de Justiça</w:t>
      </w:r>
    </w:p>
    <w:p>
      <w:pPr>
        <w:tabs>
          <w:tab w:val="left" w:pos="1800"/>
        </w:tabs>
        <w:spacing w:line="276" w:lineRule="auto"/>
        <w:ind w:left="1080" w:hanging="1080"/>
        <w:jc w:val="center"/>
        <w:rPr>
          <w:rFonts w:ascii="Verdana" w:hAnsi="Verdana"/>
          <w:b/>
          <w:noProof/>
          <w:sz w:val="22"/>
          <w:szCs w:val="22"/>
        </w:rPr>
      </w:pPr>
      <w:r>
        <w:rPr>
          <w:rFonts w:ascii="Verdana" w:hAnsi="Verdana"/>
          <w:b/>
          <w:noProof/>
          <w:sz w:val="22"/>
          <w:szCs w:val="22"/>
        </w:rPr>
        <w:t xml:space="preserve">Disposições da Diretiva </w:t>
      </w:r>
      <w:r>
        <w:rPr>
          <w:rFonts w:ascii="Verdana" w:hAnsi="Verdana"/>
          <w:b/>
          <w:i/>
          <w:iCs/>
          <w:noProof/>
          <w:sz w:val="22"/>
          <w:szCs w:val="22"/>
        </w:rPr>
        <w:t>Habitats</w:t>
      </w:r>
      <w:r>
        <w:rPr>
          <w:rFonts w:ascii="Verdana" w:hAnsi="Verdana"/>
          <w:b/>
          <w:noProof/>
          <w:sz w:val="22"/>
          <w:szCs w:val="22"/>
        </w:rPr>
        <w:t xml:space="preserve"> em matéria de proteção de espécies</w:t>
      </w:r>
    </w:p>
    <w:p>
      <w:pPr>
        <w:spacing w:after="240"/>
        <w:rPr>
          <w:rFonts w:ascii="Verdana" w:hAnsi="Verdana"/>
          <w:noProof/>
          <w:sz w:val="20"/>
          <w:szCs w:val="20"/>
        </w:rPr>
      </w:pPr>
      <w:r>
        <w:rPr>
          <w:rFonts w:ascii="Verdana" w:hAnsi="Verdana"/>
          <w:noProof/>
          <w:sz w:val="20"/>
          <w:szCs w:val="20"/>
        </w:rPr>
        <w:t>12 de novembro de 1969, processo C-29/69, Stauder/Cidade de Ulm, ECLI:EU:C:1969:57</w:t>
      </w:r>
    </w:p>
    <w:p>
      <w:pPr>
        <w:spacing w:after="240"/>
        <w:rPr>
          <w:rFonts w:ascii="Verdana" w:hAnsi="Verdana"/>
          <w:noProof/>
          <w:sz w:val="20"/>
          <w:szCs w:val="20"/>
        </w:rPr>
      </w:pPr>
      <w:r>
        <w:rPr>
          <w:rFonts w:ascii="Verdana" w:hAnsi="Verdana"/>
          <w:noProof/>
          <w:sz w:val="20"/>
          <w:szCs w:val="20"/>
        </w:rPr>
        <w:t>27 de outubro de 1977, processo C-30/77, Regina/Bouchereau, ECLI:EU:C:1977:172</w:t>
      </w:r>
    </w:p>
    <w:p>
      <w:pPr>
        <w:spacing w:after="240"/>
        <w:rPr>
          <w:rFonts w:ascii="Verdana" w:hAnsi="Verdana"/>
          <w:noProof/>
          <w:sz w:val="20"/>
          <w:szCs w:val="20"/>
        </w:rPr>
      </w:pPr>
      <w:r>
        <w:rPr>
          <w:rFonts w:ascii="Verdana" w:hAnsi="Verdana"/>
          <w:noProof/>
          <w:sz w:val="20"/>
          <w:szCs w:val="20"/>
        </w:rPr>
        <w:t>12 de julho de 1979, processo C-9/79, Koschniske/Raad van Arbeid, ECLI:EU:C:1979:201</w:t>
      </w:r>
    </w:p>
    <w:p>
      <w:pPr>
        <w:spacing w:after="240"/>
        <w:rPr>
          <w:rFonts w:ascii="Verdana" w:hAnsi="Verdana"/>
          <w:noProof/>
          <w:sz w:val="20"/>
          <w:szCs w:val="20"/>
        </w:rPr>
      </w:pPr>
      <w:r>
        <w:rPr>
          <w:rFonts w:ascii="Verdana" w:hAnsi="Verdana"/>
          <w:noProof/>
          <w:sz w:val="20"/>
          <w:szCs w:val="20"/>
        </w:rPr>
        <w:t>23 de maio de 1985, processo C-29/84, Comissão/Alemanha, ECLI:EU:C:1985:229</w:t>
      </w:r>
    </w:p>
    <w:p>
      <w:pPr>
        <w:spacing w:after="240"/>
        <w:rPr>
          <w:rFonts w:ascii="Verdana" w:hAnsi="Verdana"/>
          <w:noProof/>
          <w:sz w:val="20"/>
          <w:szCs w:val="20"/>
        </w:rPr>
      </w:pPr>
      <w:r>
        <w:rPr>
          <w:rFonts w:ascii="Verdana" w:hAnsi="Verdana"/>
          <w:noProof/>
          <w:sz w:val="20"/>
          <w:szCs w:val="20"/>
        </w:rPr>
        <w:t>9 de abril de 1987, processo C-363/85, Comissão/Itália, ECLI:EU:C:1987:196</w:t>
      </w:r>
    </w:p>
    <w:p>
      <w:pPr>
        <w:spacing w:after="240"/>
        <w:rPr>
          <w:rFonts w:ascii="Verdana" w:hAnsi="Verdana"/>
          <w:noProof/>
          <w:sz w:val="20"/>
          <w:szCs w:val="20"/>
        </w:rPr>
      </w:pPr>
      <w:r>
        <w:rPr>
          <w:rFonts w:ascii="Verdana" w:hAnsi="Verdana"/>
          <w:noProof/>
          <w:sz w:val="20"/>
          <w:szCs w:val="20"/>
        </w:rPr>
        <w:t>8 de julho de 1987, processo C-247/85, Comissão/Bélgica, ECLI:EU:C:1987:339</w:t>
      </w:r>
    </w:p>
    <w:p>
      <w:pPr>
        <w:spacing w:after="240"/>
        <w:rPr>
          <w:rFonts w:ascii="Verdana" w:hAnsi="Verdana"/>
          <w:noProof/>
          <w:sz w:val="20"/>
          <w:szCs w:val="20"/>
        </w:rPr>
      </w:pPr>
      <w:r>
        <w:rPr>
          <w:rFonts w:ascii="Verdana" w:hAnsi="Verdana"/>
          <w:noProof/>
          <w:sz w:val="20"/>
          <w:szCs w:val="20"/>
        </w:rPr>
        <w:t>8 de julho de 1987, processo C-262/85, Comissão/Itália, ECLI:EU:C:1987:340</w:t>
      </w:r>
    </w:p>
    <w:p>
      <w:pPr>
        <w:spacing w:after="240"/>
        <w:rPr>
          <w:rFonts w:ascii="Verdana" w:hAnsi="Verdana"/>
          <w:noProof/>
          <w:sz w:val="20"/>
          <w:szCs w:val="20"/>
        </w:rPr>
      </w:pPr>
      <w:r>
        <w:rPr>
          <w:rFonts w:ascii="Verdana" w:hAnsi="Verdana"/>
          <w:noProof/>
          <w:sz w:val="20"/>
          <w:szCs w:val="20"/>
        </w:rPr>
        <w:t>23 de fevereiro de 1988, processo C-429/85, Comissão/Itália, ECLI:EU:C:1988:83</w:t>
      </w:r>
    </w:p>
    <w:p>
      <w:pPr>
        <w:spacing w:after="240"/>
        <w:rPr>
          <w:rFonts w:ascii="Verdana" w:hAnsi="Verdana"/>
          <w:noProof/>
          <w:sz w:val="20"/>
          <w:szCs w:val="20"/>
        </w:rPr>
      </w:pPr>
      <w:r>
        <w:rPr>
          <w:rFonts w:ascii="Verdana" w:hAnsi="Verdana"/>
          <w:noProof/>
          <w:sz w:val="20"/>
          <w:szCs w:val="20"/>
        </w:rPr>
        <w:t>27 de abril de 1988, processo C-252/85, Comissão/França, ECLI:EU:C:1988:202</w:t>
      </w:r>
    </w:p>
    <w:p>
      <w:pPr>
        <w:spacing w:after="240"/>
        <w:rPr>
          <w:rFonts w:ascii="Verdana" w:hAnsi="Verdana"/>
          <w:noProof/>
          <w:sz w:val="20"/>
          <w:szCs w:val="20"/>
        </w:rPr>
      </w:pPr>
      <w:r>
        <w:rPr>
          <w:rFonts w:ascii="Verdana" w:hAnsi="Verdana"/>
          <w:noProof/>
          <w:sz w:val="20"/>
          <w:szCs w:val="20"/>
        </w:rPr>
        <w:t>7 de julho de 1988, processo C-55/87, Moksel/BALM, ECLI:EU:C:1988:377</w:t>
      </w:r>
    </w:p>
    <w:p>
      <w:pPr>
        <w:spacing w:after="240"/>
        <w:rPr>
          <w:rFonts w:ascii="Verdana" w:hAnsi="Verdana"/>
          <w:noProof/>
          <w:sz w:val="20"/>
          <w:szCs w:val="20"/>
        </w:rPr>
      </w:pPr>
      <w:r>
        <w:rPr>
          <w:rFonts w:ascii="Verdana" w:hAnsi="Verdana"/>
          <w:noProof/>
          <w:sz w:val="20"/>
          <w:szCs w:val="20"/>
        </w:rPr>
        <w:t>15 de março de 1990, processo C-339/87, Comissão/Países Baixos, ECLI:EU:C:1990:119</w:t>
      </w:r>
    </w:p>
    <w:p>
      <w:pPr>
        <w:spacing w:after="240"/>
        <w:rPr>
          <w:rFonts w:ascii="Verdana" w:hAnsi="Verdana"/>
          <w:noProof/>
          <w:sz w:val="20"/>
          <w:szCs w:val="20"/>
        </w:rPr>
      </w:pPr>
      <w:r>
        <w:rPr>
          <w:rFonts w:ascii="Verdana" w:hAnsi="Verdana"/>
          <w:noProof/>
          <w:sz w:val="20"/>
          <w:szCs w:val="20"/>
        </w:rPr>
        <w:t>28 de março de 1990, processos apensos C-206 e 207/88, processos penais contra G. Vessoso e G. Zanetti, ECLI:EU:C:1990:145</w:t>
      </w:r>
    </w:p>
    <w:p>
      <w:pPr>
        <w:spacing w:after="240"/>
        <w:rPr>
          <w:rFonts w:ascii="Verdana" w:hAnsi="Verdana"/>
          <w:noProof/>
          <w:sz w:val="20"/>
          <w:szCs w:val="20"/>
        </w:rPr>
      </w:pPr>
      <w:r>
        <w:rPr>
          <w:rFonts w:ascii="Verdana" w:hAnsi="Verdana"/>
          <w:noProof/>
          <w:sz w:val="20"/>
          <w:szCs w:val="20"/>
        </w:rPr>
        <w:t>17 de janeiro de 1991, processo C-157/89, Comissão/Itália, ECLI:EU:C:1991:22</w:t>
      </w:r>
    </w:p>
    <w:p>
      <w:pPr>
        <w:spacing w:after="240"/>
        <w:rPr>
          <w:rFonts w:ascii="Verdana" w:hAnsi="Verdana"/>
          <w:noProof/>
          <w:sz w:val="20"/>
          <w:szCs w:val="20"/>
        </w:rPr>
      </w:pPr>
      <w:r>
        <w:rPr>
          <w:rFonts w:ascii="Verdana" w:hAnsi="Verdana"/>
          <w:noProof/>
          <w:sz w:val="20"/>
          <w:szCs w:val="20"/>
        </w:rPr>
        <w:t>28 de fevereiro de 1991, processo C-57/89, Comissão/Alemanha, ECLI:EU:C:1991:89</w:t>
      </w:r>
    </w:p>
    <w:p>
      <w:pPr>
        <w:spacing w:after="240"/>
        <w:rPr>
          <w:rFonts w:ascii="Verdana" w:hAnsi="Verdana"/>
          <w:noProof/>
          <w:sz w:val="20"/>
          <w:szCs w:val="20"/>
        </w:rPr>
      </w:pPr>
      <w:r>
        <w:rPr>
          <w:rFonts w:ascii="Verdana" w:hAnsi="Verdana"/>
          <w:noProof/>
          <w:sz w:val="20"/>
          <w:szCs w:val="20"/>
        </w:rPr>
        <w:t>28 de fevereiro de 1991, processo C-131/88, Comissão/Alemanha, ECLI:EU:C:1991:87</w:t>
      </w:r>
    </w:p>
    <w:p>
      <w:pPr>
        <w:spacing w:after="240"/>
        <w:rPr>
          <w:rFonts w:ascii="Verdana" w:hAnsi="Verdana"/>
          <w:noProof/>
          <w:sz w:val="20"/>
          <w:szCs w:val="20"/>
        </w:rPr>
      </w:pPr>
      <w:r>
        <w:rPr>
          <w:rFonts w:ascii="Verdana" w:hAnsi="Verdana"/>
          <w:noProof/>
          <w:sz w:val="20"/>
          <w:szCs w:val="20"/>
        </w:rPr>
        <w:t>30 de maio de 1991, processo C-59/89, Comissão/Alemanha, ECLI:EU:C:1991:225</w:t>
      </w:r>
    </w:p>
    <w:p>
      <w:pPr>
        <w:spacing w:after="240"/>
        <w:rPr>
          <w:rFonts w:ascii="Verdana" w:hAnsi="Verdana"/>
          <w:noProof/>
          <w:sz w:val="20"/>
          <w:szCs w:val="20"/>
        </w:rPr>
      </w:pPr>
      <w:r>
        <w:rPr>
          <w:rFonts w:ascii="Verdana" w:hAnsi="Verdana"/>
          <w:noProof/>
          <w:sz w:val="20"/>
          <w:szCs w:val="20"/>
        </w:rPr>
        <w:t>2 de agosto de 1993, processo C-355/90, Comissão/Espanha, ECLI:EU:C:1993:331</w:t>
      </w:r>
    </w:p>
    <w:p>
      <w:pPr>
        <w:spacing w:after="240"/>
        <w:rPr>
          <w:rFonts w:ascii="Verdana" w:hAnsi="Verdana"/>
          <w:noProof/>
          <w:sz w:val="20"/>
          <w:szCs w:val="20"/>
        </w:rPr>
      </w:pPr>
      <w:r>
        <w:rPr>
          <w:rFonts w:ascii="Verdana" w:hAnsi="Verdana"/>
          <w:noProof/>
          <w:sz w:val="20"/>
          <w:szCs w:val="20"/>
        </w:rPr>
        <w:t>7 de março de 1996, processo C-118/94, WWF Italy/Regione Veneto, ECLI:EU:C:1996:86</w:t>
      </w:r>
    </w:p>
    <w:p>
      <w:pPr>
        <w:spacing w:after="240"/>
        <w:rPr>
          <w:rFonts w:ascii="Verdana" w:hAnsi="Verdana"/>
          <w:noProof/>
          <w:sz w:val="20"/>
          <w:szCs w:val="20"/>
        </w:rPr>
      </w:pPr>
      <w:r>
        <w:rPr>
          <w:rFonts w:ascii="Verdana" w:hAnsi="Verdana"/>
          <w:noProof/>
          <w:sz w:val="20"/>
          <w:szCs w:val="20"/>
        </w:rPr>
        <w:t>19 de setembro de 1996, processo C-236/95, Comissão/Grécia, ECLI:EU:C:1996:341</w:t>
      </w:r>
    </w:p>
    <w:p>
      <w:pPr>
        <w:spacing w:after="240"/>
        <w:rPr>
          <w:rFonts w:ascii="Verdana" w:hAnsi="Verdana"/>
          <w:noProof/>
          <w:sz w:val="20"/>
          <w:szCs w:val="20"/>
        </w:rPr>
      </w:pPr>
      <w:r>
        <w:rPr>
          <w:rFonts w:ascii="Verdana" w:hAnsi="Verdana"/>
          <w:noProof/>
          <w:sz w:val="20"/>
          <w:szCs w:val="20"/>
        </w:rPr>
        <w:t>12 de dezembro de 1996, processo C-10/96, Ligue royale belge pour la protection des oiseaux e Société d’études ornithologiques/Região da Valónia, ECLI:EU:C:1996:504</w:t>
      </w:r>
    </w:p>
    <w:p>
      <w:pPr>
        <w:spacing w:after="240"/>
        <w:rPr>
          <w:rFonts w:ascii="Verdana" w:hAnsi="Verdana"/>
          <w:noProof/>
          <w:sz w:val="20"/>
          <w:szCs w:val="20"/>
        </w:rPr>
      </w:pPr>
      <w:r>
        <w:rPr>
          <w:rFonts w:ascii="Verdana" w:hAnsi="Verdana"/>
          <w:noProof/>
          <w:sz w:val="20"/>
          <w:szCs w:val="20"/>
        </w:rPr>
        <w:t>19 de maio de 1999, processo C-225/97, Comissão/França, ECLI:EU:C:1999:252</w:t>
      </w:r>
    </w:p>
    <w:p>
      <w:pPr>
        <w:spacing w:after="240"/>
        <w:rPr>
          <w:rFonts w:ascii="Verdana" w:hAnsi="Verdana"/>
          <w:noProof/>
          <w:sz w:val="20"/>
          <w:szCs w:val="20"/>
        </w:rPr>
      </w:pPr>
      <w:r>
        <w:rPr>
          <w:rFonts w:ascii="Verdana" w:hAnsi="Verdana"/>
          <w:noProof/>
          <w:sz w:val="20"/>
          <w:szCs w:val="20"/>
        </w:rPr>
        <w:t>11 de novembro de 1999, processo C-315/98, Comissão/Itália, ECLI:EU:C:1999:551</w:t>
      </w:r>
    </w:p>
    <w:p>
      <w:pPr>
        <w:spacing w:after="240"/>
        <w:rPr>
          <w:rFonts w:ascii="Verdana" w:hAnsi="Verdana"/>
          <w:noProof/>
          <w:sz w:val="20"/>
          <w:szCs w:val="20"/>
        </w:rPr>
      </w:pPr>
      <w:r>
        <w:rPr>
          <w:rFonts w:ascii="Verdana" w:hAnsi="Verdana"/>
          <w:noProof/>
          <w:sz w:val="20"/>
          <w:szCs w:val="20"/>
        </w:rPr>
        <w:t>7 de novembro de 2000, processo C-371/98, First Cooperate Shipping, ECLI:EU:C:2000:600.</w:t>
      </w:r>
    </w:p>
    <w:p>
      <w:pPr>
        <w:spacing w:after="240"/>
        <w:rPr>
          <w:rFonts w:ascii="Verdana" w:hAnsi="Verdana"/>
          <w:noProof/>
          <w:sz w:val="20"/>
          <w:szCs w:val="20"/>
        </w:rPr>
      </w:pPr>
      <w:r>
        <w:rPr>
          <w:rFonts w:ascii="Verdana" w:hAnsi="Verdana"/>
          <w:noProof/>
          <w:sz w:val="20"/>
          <w:szCs w:val="20"/>
        </w:rPr>
        <w:t>10 de maio de 2001, processo C-144/99, Comissão/Países Baixos, ECLI:EU:C:2001:257</w:t>
      </w:r>
    </w:p>
    <w:p>
      <w:pPr>
        <w:spacing w:after="240"/>
        <w:rPr>
          <w:rFonts w:ascii="Verdana" w:hAnsi="Verdana"/>
          <w:noProof/>
          <w:sz w:val="20"/>
          <w:szCs w:val="20"/>
        </w:rPr>
      </w:pPr>
      <w:r>
        <w:rPr>
          <w:rFonts w:ascii="Verdana" w:hAnsi="Verdana"/>
          <w:noProof/>
          <w:sz w:val="20"/>
          <w:szCs w:val="20"/>
        </w:rPr>
        <w:t>17 de maio de 2001, processo C-159/99, Comissão/Itália, ECLI:EU:C:2001:278</w:t>
      </w:r>
    </w:p>
    <w:p>
      <w:pPr>
        <w:spacing w:after="240"/>
        <w:rPr>
          <w:rFonts w:ascii="Verdana" w:hAnsi="Verdana"/>
          <w:noProof/>
          <w:sz w:val="20"/>
          <w:szCs w:val="20"/>
        </w:rPr>
      </w:pPr>
      <w:r>
        <w:rPr>
          <w:rFonts w:ascii="Verdana" w:hAnsi="Verdana"/>
          <w:noProof/>
          <w:sz w:val="20"/>
          <w:szCs w:val="20"/>
        </w:rPr>
        <w:t>30 de janeiro de 2002, processo C-103/00, Comissão/Grécia, ECLI:EU:C:2002:60</w:t>
      </w:r>
    </w:p>
    <w:p>
      <w:pPr>
        <w:spacing w:after="240"/>
        <w:rPr>
          <w:rFonts w:ascii="Verdana" w:hAnsi="Verdana"/>
          <w:noProof/>
          <w:sz w:val="20"/>
          <w:szCs w:val="20"/>
        </w:rPr>
      </w:pPr>
      <w:r>
        <w:rPr>
          <w:rFonts w:ascii="Verdana" w:hAnsi="Verdana"/>
          <w:noProof/>
          <w:sz w:val="20"/>
          <w:szCs w:val="20"/>
        </w:rPr>
        <w:t>13 de fevereiro de 2003, processo C-75/01, Comissão/Luxemburgo, ECLI:EU:C:2003:95</w:t>
      </w:r>
    </w:p>
    <w:p>
      <w:pPr>
        <w:spacing w:after="240"/>
        <w:rPr>
          <w:rFonts w:ascii="Verdana" w:hAnsi="Verdana"/>
          <w:noProof/>
          <w:sz w:val="20"/>
          <w:szCs w:val="20"/>
        </w:rPr>
      </w:pPr>
      <w:r>
        <w:rPr>
          <w:rFonts w:ascii="Verdana" w:hAnsi="Verdana"/>
          <w:noProof/>
          <w:sz w:val="20"/>
          <w:szCs w:val="20"/>
        </w:rPr>
        <w:t>16 de outubro de 2003, processo C-182/02, Ligue pour la protection des oiseaux e outros/Premier ministre e Ministre de l'Aménagement du territoire et de l'Environnement,</w:t>
      </w:r>
      <w:r>
        <w:rPr>
          <w:noProof/>
          <w:sz w:val="20"/>
          <w:szCs w:val="20"/>
        </w:rPr>
        <w:t xml:space="preserve"> </w:t>
      </w:r>
      <w:r>
        <w:rPr>
          <w:rFonts w:ascii="Verdana" w:hAnsi="Verdana"/>
          <w:noProof/>
          <w:sz w:val="20"/>
          <w:szCs w:val="20"/>
        </w:rPr>
        <w:t>ECLI:EU:C:2003:558</w:t>
      </w:r>
    </w:p>
    <w:p>
      <w:pPr>
        <w:spacing w:after="240"/>
        <w:rPr>
          <w:rFonts w:ascii="Verdana" w:hAnsi="Verdana"/>
          <w:noProof/>
          <w:sz w:val="20"/>
          <w:szCs w:val="20"/>
        </w:rPr>
      </w:pPr>
      <w:r>
        <w:rPr>
          <w:rFonts w:ascii="Verdana" w:hAnsi="Verdana"/>
          <w:noProof/>
          <w:sz w:val="20"/>
          <w:szCs w:val="20"/>
        </w:rPr>
        <w:t>6 de novembro de 2003, processo C-434/01, Comissão/Reino Unido, ECLI:EU:C:2003:601</w:t>
      </w:r>
    </w:p>
    <w:p>
      <w:pPr>
        <w:spacing w:after="240"/>
        <w:rPr>
          <w:rFonts w:ascii="Verdana" w:hAnsi="Verdana"/>
          <w:noProof/>
          <w:sz w:val="20"/>
          <w:szCs w:val="20"/>
        </w:rPr>
      </w:pPr>
      <w:r>
        <w:rPr>
          <w:rFonts w:ascii="Verdana" w:hAnsi="Verdana"/>
          <w:noProof/>
          <w:sz w:val="20"/>
          <w:szCs w:val="20"/>
        </w:rPr>
        <w:t>20 de outubro de 2005, processo C-6/04, Comissão/Reino Unido, ECLI:EU:C:2005:626</w:t>
      </w:r>
    </w:p>
    <w:p>
      <w:pPr>
        <w:spacing w:after="240"/>
        <w:rPr>
          <w:rFonts w:ascii="Verdana" w:hAnsi="Verdana"/>
          <w:noProof/>
          <w:sz w:val="20"/>
          <w:szCs w:val="20"/>
        </w:rPr>
      </w:pPr>
      <w:r>
        <w:rPr>
          <w:rFonts w:ascii="Verdana" w:hAnsi="Verdana"/>
          <w:noProof/>
          <w:sz w:val="20"/>
          <w:szCs w:val="20"/>
        </w:rPr>
        <w:t>15 de dezembro de 2005, processo C-344/03, Comissão/Finlândia, ECLI:EU:C:2005:770</w:t>
      </w:r>
    </w:p>
    <w:p>
      <w:pPr>
        <w:spacing w:after="240"/>
        <w:rPr>
          <w:rFonts w:ascii="Verdana" w:hAnsi="Verdana"/>
          <w:noProof/>
          <w:sz w:val="20"/>
          <w:szCs w:val="20"/>
        </w:rPr>
      </w:pPr>
      <w:r>
        <w:rPr>
          <w:rFonts w:ascii="Verdana" w:hAnsi="Verdana"/>
          <w:noProof/>
          <w:sz w:val="20"/>
          <w:szCs w:val="20"/>
        </w:rPr>
        <w:t>10 de janeiro de 2006, processo C-98/03, Comissão/Alemanha, ECLI:EU:C:2006:3</w:t>
      </w:r>
    </w:p>
    <w:p>
      <w:pPr>
        <w:spacing w:after="240"/>
        <w:rPr>
          <w:rFonts w:ascii="Verdana" w:hAnsi="Verdana"/>
          <w:noProof/>
          <w:sz w:val="20"/>
          <w:szCs w:val="20"/>
        </w:rPr>
      </w:pPr>
      <w:r>
        <w:rPr>
          <w:rFonts w:ascii="Verdana" w:hAnsi="Verdana"/>
          <w:noProof/>
          <w:sz w:val="20"/>
          <w:szCs w:val="20"/>
        </w:rPr>
        <w:t>16 de março de 2006, processo C-518/04, Comissão/Grécia, ECLI:EU:C:2006:183</w:t>
      </w:r>
    </w:p>
    <w:p>
      <w:pPr>
        <w:spacing w:after="240"/>
        <w:rPr>
          <w:rFonts w:ascii="Verdana" w:hAnsi="Verdana"/>
          <w:noProof/>
          <w:sz w:val="20"/>
          <w:szCs w:val="20"/>
        </w:rPr>
      </w:pPr>
      <w:r>
        <w:rPr>
          <w:rFonts w:ascii="Verdana" w:hAnsi="Verdana"/>
          <w:noProof/>
          <w:sz w:val="20"/>
          <w:szCs w:val="20"/>
        </w:rPr>
        <w:t>18 de maio de 2006, processo C-221/04, Comissão/Espanha, ECLI:EU:C:2006:329</w:t>
      </w:r>
    </w:p>
    <w:p>
      <w:pPr>
        <w:spacing w:after="240"/>
        <w:rPr>
          <w:rFonts w:ascii="Verdana" w:hAnsi="Verdana"/>
          <w:noProof/>
          <w:sz w:val="20"/>
          <w:szCs w:val="20"/>
        </w:rPr>
      </w:pPr>
      <w:r>
        <w:rPr>
          <w:rFonts w:ascii="Verdana" w:hAnsi="Verdana"/>
          <w:noProof/>
          <w:sz w:val="20"/>
          <w:szCs w:val="20"/>
        </w:rPr>
        <w:t>8 de junho de 2006, processo C-60/05, Comissão/Itália, ECLI:EU:C:2006:378</w:t>
      </w:r>
    </w:p>
    <w:p>
      <w:pPr>
        <w:spacing w:after="240"/>
        <w:rPr>
          <w:rFonts w:ascii="Verdana" w:hAnsi="Verdana"/>
          <w:noProof/>
          <w:sz w:val="20"/>
          <w:szCs w:val="20"/>
        </w:rPr>
      </w:pPr>
      <w:r>
        <w:rPr>
          <w:rFonts w:ascii="Verdana" w:hAnsi="Verdana"/>
          <w:noProof/>
          <w:sz w:val="20"/>
          <w:szCs w:val="20"/>
        </w:rPr>
        <w:t>19 de dezembro de 2006, processo C-503/06, Comissão/Itália, ECLI:EU:C:2008:279</w:t>
      </w:r>
    </w:p>
    <w:p>
      <w:pPr>
        <w:spacing w:after="240"/>
        <w:rPr>
          <w:rFonts w:ascii="Verdana" w:hAnsi="Verdana"/>
          <w:noProof/>
          <w:sz w:val="20"/>
          <w:szCs w:val="20"/>
        </w:rPr>
      </w:pPr>
      <w:r>
        <w:rPr>
          <w:rFonts w:ascii="Verdana" w:hAnsi="Verdana"/>
          <w:noProof/>
          <w:sz w:val="20"/>
          <w:szCs w:val="20"/>
        </w:rPr>
        <w:t>11 de janeiro de 2007, processo C-183/05, Comissão/Irlanda, ECLI:EU:C:2007:14</w:t>
      </w:r>
    </w:p>
    <w:p>
      <w:pPr>
        <w:spacing w:after="240"/>
        <w:rPr>
          <w:rFonts w:ascii="Verdana" w:hAnsi="Verdana"/>
          <w:noProof/>
          <w:sz w:val="20"/>
          <w:szCs w:val="20"/>
        </w:rPr>
      </w:pPr>
      <w:r>
        <w:rPr>
          <w:rFonts w:ascii="Verdana" w:hAnsi="Verdana"/>
          <w:noProof/>
          <w:sz w:val="20"/>
          <w:szCs w:val="20"/>
        </w:rPr>
        <w:t>10 de maio de 2007, processo C-508/04, Comissão/Áustria, ECLI:EU:C:2007:274</w:t>
      </w:r>
    </w:p>
    <w:p>
      <w:pPr>
        <w:spacing w:after="240"/>
        <w:rPr>
          <w:rFonts w:ascii="Verdana" w:hAnsi="Verdana"/>
          <w:noProof/>
          <w:sz w:val="20"/>
          <w:szCs w:val="20"/>
        </w:rPr>
      </w:pPr>
      <w:r>
        <w:rPr>
          <w:rFonts w:ascii="Verdana" w:hAnsi="Verdana"/>
          <w:noProof/>
          <w:sz w:val="20"/>
          <w:szCs w:val="20"/>
        </w:rPr>
        <w:t>14 de junho de 2007, processo C-342/05, Comissão/Finlândia, ECLI:EU:C:2007:341</w:t>
      </w:r>
    </w:p>
    <w:p>
      <w:pPr>
        <w:spacing w:after="240"/>
        <w:rPr>
          <w:rFonts w:ascii="Verdana" w:hAnsi="Verdana"/>
          <w:noProof/>
          <w:sz w:val="20"/>
          <w:szCs w:val="20"/>
        </w:rPr>
      </w:pPr>
      <w:r>
        <w:rPr>
          <w:rFonts w:ascii="Verdana" w:hAnsi="Verdana"/>
          <w:noProof/>
          <w:sz w:val="20"/>
          <w:szCs w:val="20"/>
        </w:rPr>
        <w:t>20 de maio de 2010, processo C-308/08, Comissão/Espanha, ECLI:EU:C:2010:281</w:t>
      </w:r>
    </w:p>
    <w:p>
      <w:pPr>
        <w:spacing w:after="240"/>
        <w:rPr>
          <w:rFonts w:ascii="Verdana" w:hAnsi="Verdana"/>
          <w:noProof/>
          <w:sz w:val="20"/>
          <w:szCs w:val="20"/>
        </w:rPr>
      </w:pPr>
      <w:r>
        <w:rPr>
          <w:rFonts w:ascii="Verdana" w:hAnsi="Verdana"/>
          <w:noProof/>
          <w:sz w:val="20"/>
          <w:szCs w:val="20"/>
        </w:rPr>
        <w:t>9 de junho de 2011, processo C-383/09, Comissão/França, ECLI:EU:C:2011:369</w:t>
      </w:r>
    </w:p>
    <w:p>
      <w:pPr>
        <w:spacing w:after="240"/>
        <w:rPr>
          <w:rFonts w:ascii="Verdana" w:hAnsi="Verdana"/>
          <w:noProof/>
          <w:sz w:val="20"/>
          <w:szCs w:val="20"/>
        </w:rPr>
      </w:pPr>
      <w:r>
        <w:rPr>
          <w:rFonts w:ascii="Verdana" w:hAnsi="Verdana"/>
          <w:noProof/>
          <w:sz w:val="20"/>
          <w:szCs w:val="20"/>
        </w:rPr>
        <w:t>26 de janeiro de 2012, processo C-192/11, Comissão/Polónia, ECLI:EU:C:2012:44</w:t>
      </w:r>
    </w:p>
    <w:p>
      <w:pPr>
        <w:spacing w:after="240"/>
        <w:rPr>
          <w:rFonts w:ascii="Verdana" w:hAnsi="Verdana"/>
          <w:noProof/>
          <w:sz w:val="20"/>
          <w:szCs w:val="20"/>
        </w:rPr>
      </w:pPr>
      <w:r>
        <w:rPr>
          <w:rFonts w:ascii="Verdana" w:hAnsi="Verdana"/>
          <w:noProof/>
          <w:sz w:val="20"/>
          <w:szCs w:val="20"/>
        </w:rPr>
        <w:t>15 de março de 2012, processo C-340/10, Comissão/Chipre, ECLI:EU:C:2012:143</w:t>
      </w:r>
    </w:p>
    <w:p>
      <w:pPr>
        <w:spacing w:after="240"/>
        <w:rPr>
          <w:rFonts w:ascii="Verdana" w:hAnsi="Verdana"/>
          <w:noProof/>
          <w:sz w:val="20"/>
          <w:szCs w:val="20"/>
        </w:rPr>
      </w:pPr>
      <w:r>
        <w:rPr>
          <w:rFonts w:ascii="Verdana" w:hAnsi="Verdana"/>
          <w:noProof/>
          <w:sz w:val="20"/>
          <w:szCs w:val="20"/>
        </w:rPr>
        <w:t>15 de março de 2012, processo C-46/11, Comissão/Polónia, ECLI:EU:C:2012:146</w:t>
      </w:r>
    </w:p>
    <w:p>
      <w:pPr>
        <w:spacing w:after="240"/>
        <w:rPr>
          <w:rFonts w:ascii="Verdana" w:hAnsi="Verdana"/>
          <w:noProof/>
          <w:sz w:val="20"/>
          <w:szCs w:val="20"/>
        </w:rPr>
      </w:pPr>
      <w:r>
        <w:rPr>
          <w:rFonts w:ascii="Verdana" w:hAnsi="Verdana"/>
          <w:noProof/>
          <w:sz w:val="20"/>
          <w:szCs w:val="20"/>
        </w:rPr>
        <w:t>10 de novembro de 2016, processo C-504/14, Comissão/Grécia, ECLI:EU:C:2016:847</w:t>
      </w:r>
    </w:p>
    <w:p>
      <w:pPr>
        <w:spacing w:after="240"/>
        <w:rPr>
          <w:rFonts w:ascii="Verdana" w:hAnsi="Verdana"/>
          <w:noProof/>
          <w:sz w:val="20"/>
          <w:szCs w:val="20"/>
        </w:rPr>
      </w:pPr>
      <w:r>
        <w:rPr>
          <w:rFonts w:ascii="Verdana" w:hAnsi="Verdana"/>
          <w:noProof/>
          <w:sz w:val="20"/>
          <w:szCs w:val="20"/>
        </w:rPr>
        <w:t>17 de abril de 2018, processo C-441/17, Comissão/Polónia, ECLI:EU:C:2018:255</w:t>
      </w:r>
    </w:p>
    <w:p>
      <w:pPr>
        <w:spacing w:after="240"/>
        <w:rPr>
          <w:rFonts w:ascii="Verdana" w:hAnsi="Verdana"/>
          <w:noProof/>
          <w:sz w:val="20"/>
          <w:szCs w:val="20"/>
        </w:rPr>
      </w:pPr>
      <w:r>
        <w:rPr>
          <w:rFonts w:ascii="Verdana" w:hAnsi="Verdana"/>
          <w:noProof/>
          <w:sz w:val="20"/>
          <w:szCs w:val="20"/>
        </w:rPr>
        <w:t>10 de outubro de 2019, decisão prejudicial no processo C-674/17, ECLI:EU:C:2019:851</w:t>
      </w:r>
    </w:p>
    <w:p>
      <w:pPr>
        <w:spacing w:after="240"/>
        <w:rPr>
          <w:rFonts w:ascii="Verdana" w:hAnsi="Verdana"/>
          <w:noProof/>
          <w:sz w:val="20"/>
          <w:szCs w:val="20"/>
        </w:rPr>
      </w:pPr>
      <w:r>
        <w:rPr>
          <w:rFonts w:ascii="Verdana" w:hAnsi="Verdana"/>
          <w:noProof/>
          <w:sz w:val="20"/>
          <w:szCs w:val="20"/>
        </w:rPr>
        <w:t>11 de junho de 2020, decisão prejudicial no processo C</w:t>
      </w:r>
      <w:r>
        <w:rPr>
          <w:rFonts w:ascii="Cambria Math" w:hAnsi="Cambria Math"/>
          <w:noProof/>
          <w:sz w:val="20"/>
          <w:szCs w:val="20"/>
        </w:rPr>
        <w:t>‑</w:t>
      </w:r>
      <w:r>
        <w:rPr>
          <w:rFonts w:ascii="Verdana" w:hAnsi="Verdana"/>
          <w:noProof/>
          <w:sz w:val="20"/>
          <w:szCs w:val="20"/>
        </w:rPr>
        <w:t>88/19, ECLI:EU:C:2020:458</w:t>
      </w:r>
    </w:p>
    <w:p>
      <w:pPr>
        <w:spacing w:after="240"/>
        <w:rPr>
          <w:rFonts w:ascii="Verdana" w:hAnsi="Verdana"/>
          <w:noProof/>
          <w:sz w:val="20"/>
          <w:szCs w:val="20"/>
        </w:rPr>
      </w:pPr>
      <w:r>
        <w:rPr>
          <w:rFonts w:ascii="Verdana" w:hAnsi="Verdana"/>
          <w:noProof/>
          <w:sz w:val="20"/>
          <w:szCs w:val="20"/>
        </w:rPr>
        <w:t>4 de março de 2021, processos apensos C-473/19 e C-474/19, Föreningen Skydda Skogen, ECLI:EU:C:2021:166</w:t>
      </w:r>
    </w:p>
    <w:p>
      <w:pPr>
        <w:spacing w:after="240"/>
        <w:rPr>
          <w:rFonts w:ascii="Verdana" w:hAnsi="Verdana"/>
          <w:noProof/>
          <w:sz w:val="20"/>
          <w:szCs w:val="20"/>
        </w:rPr>
      </w:pPr>
      <w:r>
        <w:rPr>
          <w:rFonts w:ascii="Verdana" w:hAnsi="Verdana"/>
          <w:noProof/>
          <w:sz w:val="20"/>
          <w:szCs w:val="20"/>
        </w:rPr>
        <w:t>Processo pendente C-477/19, Magistrat Stadt Wien</w:t>
      </w:r>
    </w:p>
    <w:p>
      <w:pPr>
        <w:rPr>
          <w:rFonts w:ascii="Verdana" w:hAnsi="Verdana"/>
          <w:b/>
          <w:noProof/>
          <w:sz w:val="20"/>
          <w:szCs w:val="20"/>
        </w:rPr>
      </w:pPr>
      <w:r>
        <w:rPr>
          <w:noProof/>
        </w:rPr>
        <w:br w:type="page"/>
      </w:r>
    </w:p>
    <w:p>
      <w:pPr>
        <w:pStyle w:val="h2"/>
        <w:rPr>
          <w:noProof/>
        </w:rPr>
      </w:pPr>
      <w:r>
        <w:rPr>
          <w:noProof/>
        </w:rPr>
        <w:t>ANEXO II</w:t>
      </w:r>
    </w:p>
    <w:p>
      <w:pPr>
        <w:jc w:val="both"/>
        <w:rPr>
          <w:b/>
          <w:noProof/>
        </w:rPr>
      </w:pPr>
    </w:p>
    <w:p>
      <w:pPr>
        <w:pStyle w:val="anxsub"/>
        <w:rPr>
          <w:noProof/>
        </w:rPr>
      </w:pPr>
      <w:r>
        <w:rPr>
          <w:noProof/>
        </w:rPr>
        <w:t>Lista de espécies animais abrangidas pelos anexos II, IV e V</w:t>
      </w:r>
    </w:p>
    <w:p>
      <w:pPr>
        <w:spacing w:line="360" w:lineRule="auto"/>
        <w:ind w:left="567"/>
        <w:jc w:val="center"/>
        <w:rPr>
          <w:rFonts w:ascii="Verdana" w:hAnsi="Verdana"/>
          <w:b/>
          <w:noProof/>
        </w:rPr>
      </w:pPr>
      <w:r>
        <w:rPr>
          <w:rFonts w:ascii="Verdana" w:hAnsi="Verdana"/>
          <w:b/>
          <w:noProof/>
        </w:rPr>
        <w:t xml:space="preserve">da Diretiva </w:t>
      </w:r>
      <w:r>
        <w:rPr>
          <w:rFonts w:ascii="Verdana" w:hAnsi="Verdana"/>
          <w:b/>
          <w:i/>
          <w:iCs/>
          <w:noProof/>
        </w:rPr>
        <w:t>Habitats</w:t>
      </w:r>
      <w:r>
        <w:rPr>
          <w:rFonts w:ascii="Verdana" w:hAnsi="Verdana"/>
          <w:b/>
          <w:noProof/>
        </w:rPr>
        <w:t xml:space="preserve"> (92/43/CEE)</w:t>
      </w:r>
    </w:p>
    <w:p>
      <w:pPr>
        <w:ind w:left="567"/>
        <w:jc w:val="both"/>
        <w:rPr>
          <w:rFonts w:ascii="Verdana" w:hAnsi="Verdana"/>
          <w:b/>
          <w:noProof/>
        </w:rPr>
      </w:pPr>
    </w:p>
    <w:p>
      <w:pPr>
        <w:pBdr>
          <w:top w:val="single" w:sz="4" w:space="1" w:color="auto"/>
          <w:left w:val="single" w:sz="4" w:space="4" w:color="auto"/>
          <w:bottom w:val="single" w:sz="4" w:space="1" w:color="auto"/>
          <w:right w:val="single" w:sz="4" w:space="4" w:color="auto"/>
        </w:pBdr>
        <w:ind w:left="567"/>
        <w:jc w:val="both"/>
        <w:rPr>
          <w:rFonts w:ascii="Verdana" w:hAnsi="Verdana"/>
          <w:i/>
          <w:noProof/>
          <w:sz w:val="18"/>
          <w:szCs w:val="18"/>
        </w:rPr>
      </w:pPr>
      <w:r>
        <w:rPr>
          <w:rFonts w:ascii="Verdana" w:hAnsi="Verdana"/>
          <w:i/>
          <w:noProof/>
          <w:sz w:val="18"/>
          <w:szCs w:val="18"/>
        </w:rPr>
        <w:t>Aviso legal: o quadro que se segue é um quadro consolidado produzido pela DG Ambiente. Visa exclusivamente apresentar uma visão geral. Não nos responsabilizamos pelo seu conteúdo. As versões juridicamente vinculativas dos anexos são as publicadas oficialmente nos atos jurídicos pertinentes. A versão mais recente destes anexos em que o quadro se baseia foi publicada na Diretiva 2013/17/UE do Conselho, de 13 de maio de 2013, que adapta determinadas diretivas no domínio do ambiente, devido à adesão da República da Croácia</w:t>
      </w:r>
      <w:r>
        <w:rPr>
          <w:rFonts w:ascii="Verdana" w:hAnsi="Verdana"/>
          <w:i/>
          <w:noProof/>
          <w:sz w:val="18"/>
          <w:szCs w:val="18"/>
        </w:rPr>
        <w:footnoteReference w:id="167"/>
      </w:r>
      <w:r>
        <w:rPr>
          <w:rFonts w:ascii="Verdana" w:hAnsi="Verdana"/>
          <w:i/>
          <w:noProof/>
          <w:sz w:val="18"/>
          <w:szCs w:val="18"/>
        </w:rPr>
        <w:t>.</w:t>
      </w:r>
    </w:p>
    <w:p>
      <w:pPr>
        <w:spacing w:line="360" w:lineRule="auto"/>
        <w:ind w:left="567"/>
        <w:rPr>
          <w:rFonts w:ascii="Verdana" w:hAnsi="Verdana"/>
          <w:noProof/>
          <w:sz w:val="20"/>
        </w:rPr>
      </w:pPr>
    </w:p>
    <w:p>
      <w:pPr>
        <w:spacing w:after="120"/>
        <w:ind w:left="567"/>
        <w:jc w:val="both"/>
        <w:rPr>
          <w:rFonts w:ascii="Verdana" w:hAnsi="Verdana"/>
          <w:noProof/>
          <w:sz w:val="20"/>
        </w:rPr>
      </w:pPr>
      <w:r>
        <w:rPr>
          <w:rFonts w:ascii="Verdana" w:hAnsi="Verdana"/>
          <w:noProof/>
          <w:sz w:val="20"/>
        </w:rPr>
        <w:t>As espécies que constam do presente anexo são indicadas:</w:t>
      </w:r>
    </w:p>
    <w:p>
      <w:pPr>
        <w:numPr>
          <w:ilvl w:val="0"/>
          <w:numId w:val="16"/>
        </w:numPr>
        <w:spacing w:after="120"/>
        <w:jc w:val="both"/>
        <w:rPr>
          <w:rFonts w:ascii="Verdana" w:hAnsi="Verdana"/>
          <w:noProof/>
          <w:sz w:val="20"/>
        </w:rPr>
      </w:pPr>
      <w:r>
        <w:rPr>
          <w:rFonts w:ascii="Verdana" w:hAnsi="Verdana"/>
          <w:noProof/>
          <w:sz w:val="20"/>
        </w:rPr>
        <w:t>pelo nome da espécie ou da subespécie (em negrito e itálico), ou</w:t>
      </w:r>
    </w:p>
    <w:p>
      <w:pPr>
        <w:numPr>
          <w:ilvl w:val="0"/>
          <w:numId w:val="16"/>
        </w:numPr>
        <w:jc w:val="both"/>
        <w:rPr>
          <w:rFonts w:ascii="Verdana" w:hAnsi="Verdana"/>
          <w:noProof/>
          <w:sz w:val="20"/>
        </w:rPr>
      </w:pPr>
      <w:r>
        <w:rPr>
          <w:rFonts w:ascii="Verdana" w:hAnsi="Verdana"/>
          <w:noProof/>
          <w:sz w:val="20"/>
        </w:rPr>
        <w:t>pelo conjunto das espécies pertencentes a um táxon superior ou a uma parte designada desse táxon. A abreviatura «spp.» após o nome de uma família ou de um género indica todas as espécies que pertencem a essa família ou a esse género.</w:t>
      </w:r>
    </w:p>
    <w:p>
      <w:pPr>
        <w:ind w:left="927"/>
        <w:jc w:val="both"/>
        <w:rPr>
          <w:rFonts w:ascii="Verdana" w:hAnsi="Verdana"/>
          <w:noProof/>
          <w:sz w:val="20"/>
        </w:rPr>
      </w:pPr>
    </w:p>
    <w:p>
      <w:pPr>
        <w:pStyle w:val="Par-numbera"/>
        <w:numPr>
          <w:ilvl w:val="0"/>
          <w:numId w:val="0"/>
        </w:numPr>
        <w:tabs>
          <w:tab w:val="left" w:pos="1134"/>
        </w:tabs>
        <w:spacing w:line="240" w:lineRule="auto"/>
        <w:ind w:left="567"/>
        <w:jc w:val="both"/>
        <w:rPr>
          <w:rFonts w:ascii="Verdana" w:hAnsi="Verdana"/>
          <w:noProof/>
          <w:sz w:val="20"/>
        </w:rPr>
      </w:pPr>
      <w:r>
        <w:rPr>
          <w:rFonts w:ascii="Verdana" w:hAnsi="Verdana"/>
          <w:noProof/>
          <w:sz w:val="20"/>
        </w:rPr>
        <w:t>Um asterisco (*) colocado antes do nome de uma espécie indica que se trata de uma espécie prioritária do anexo II (os anexos VI e V não fazem distinção entre espécies prioritárias e não prioritárias).</w:t>
      </w:r>
    </w:p>
    <w:p>
      <w:pPr>
        <w:ind w:left="567"/>
        <w:jc w:val="both"/>
        <w:rPr>
          <w:rFonts w:ascii="Verdana" w:hAnsi="Verdana"/>
          <w:noProof/>
          <w:sz w:val="20"/>
        </w:rPr>
      </w:pPr>
    </w:p>
    <w:p>
      <w:pPr>
        <w:ind w:left="567"/>
        <w:jc w:val="both"/>
        <w:rPr>
          <w:rFonts w:ascii="Verdana" w:hAnsi="Verdana"/>
          <w:noProof/>
          <w:sz w:val="20"/>
        </w:rPr>
      </w:pPr>
      <w:r>
        <w:rPr>
          <w:rFonts w:ascii="Verdana" w:hAnsi="Verdana"/>
          <w:noProof/>
          <w:sz w:val="20"/>
        </w:rPr>
        <w:t>Os anexos consolidados no presente quadro são os seguintes:</w:t>
      </w:r>
    </w:p>
    <w:p>
      <w:pPr>
        <w:ind w:left="567"/>
        <w:jc w:val="both"/>
        <w:rPr>
          <w:rFonts w:ascii="Verdana" w:hAnsi="Verdana"/>
          <w:noProof/>
          <w:sz w:val="20"/>
        </w:rPr>
      </w:pPr>
    </w:p>
    <w:p>
      <w:pPr>
        <w:ind w:left="567"/>
        <w:jc w:val="both"/>
        <w:rPr>
          <w:rFonts w:ascii="Verdana" w:hAnsi="Verdana"/>
          <w:noProof/>
          <w:sz w:val="20"/>
        </w:rPr>
      </w:pPr>
      <w:r>
        <w:rPr>
          <w:rFonts w:ascii="Verdana" w:hAnsi="Verdana"/>
          <w:b/>
          <w:noProof/>
          <w:sz w:val="20"/>
          <w:u w:val="single"/>
        </w:rPr>
        <w:t>ANEXO II</w:t>
      </w:r>
      <w:r>
        <w:rPr>
          <w:rFonts w:ascii="Verdana" w:hAnsi="Verdana"/>
          <w:noProof/>
          <w:sz w:val="20"/>
        </w:rPr>
        <w:t>: ESPÉCIES DE INTERESSE COMUNITÁRIO CUJA CONSERVAÇÃO EXIGE A DESIGNAÇÃO DE ZONAS ESPECIAIS DE CONSERVAÇÃO</w:t>
      </w:r>
    </w:p>
    <w:p>
      <w:pPr>
        <w:ind w:left="567"/>
        <w:jc w:val="both"/>
        <w:rPr>
          <w:rFonts w:ascii="Verdana" w:hAnsi="Verdana"/>
          <w:noProof/>
          <w:sz w:val="20"/>
        </w:rPr>
      </w:pPr>
    </w:p>
    <w:p>
      <w:pPr>
        <w:ind w:left="567"/>
        <w:jc w:val="both"/>
        <w:rPr>
          <w:rFonts w:ascii="Verdana" w:hAnsi="Verdana"/>
          <w:noProof/>
          <w:sz w:val="20"/>
        </w:rPr>
      </w:pPr>
      <w:r>
        <w:rPr>
          <w:rFonts w:ascii="Verdana" w:hAnsi="Verdana"/>
          <w:b/>
          <w:noProof/>
          <w:sz w:val="20"/>
          <w:u w:val="single"/>
        </w:rPr>
        <w:t>ANEXO IV</w:t>
      </w:r>
      <w:r>
        <w:rPr>
          <w:rFonts w:ascii="Verdana" w:hAnsi="Verdana"/>
          <w:b/>
          <w:noProof/>
          <w:sz w:val="20"/>
        </w:rPr>
        <w:t>:</w:t>
      </w:r>
      <w:r>
        <w:rPr>
          <w:rFonts w:ascii="Verdana" w:hAnsi="Verdana"/>
          <w:noProof/>
          <w:sz w:val="20"/>
        </w:rPr>
        <w:t xml:space="preserve"> ESPÉCIES DE INTERESSE DA COMUNIDADE QUE EXIGEM UMA PROTEÇÃO RIGOROSA</w:t>
      </w:r>
    </w:p>
    <w:p>
      <w:pPr>
        <w:ind w:left="567"/>
        <w:jc w:val="both"/>
        <w:rPr>
          <w:rFonts w:ascii="Verdana" w:hAnsi="Verdana"/>
          <w:noProof/>
          <w:sz w:val="20"/>
        </w:rPr>
      </w:pPr>
    </w:p>
    <w:p>
      <w:pPr>
        <w:ind w:left="567"/>
        <w:jc w:val="both"/>
        <w:rPr>
          <w:rFonts w:ascii="Verdana" w:hAnsi="Verdana"/>
          <w:noProof/>
          <w:sz w:val="20"/>
        </w:rPr>
      </w:pPr>
      <w:r>
        <w:rPr>
          <w:rFonts w:ascii="Verdana" w:hAnsi="Verdana"/>
          <w:b/>
          <w:noProof/>
          <w:sz w:val="20"/>
          <w:u w:val="single"/>
        </w:rPr>
        <w:t>ANEXO V</w:t>
      </w:r>
      <w:r>
        <w:rPr>
          <w:rFonts w:ascii="Verdana" w:hAnsi="Verdana"/>
          <w:b/>
          <w:noProof/>
          <w:sz w:val="20"/>
        </w:rPr>
        <w:t>:</w:t>
      </w:r>
      <w:r>
        <w:rPr>
          <w:rFonts w:ascii="Verdana" w:hAnsi="Verdana"/>
          <w:noProof/>
          <w:sz w:val="20"/>
        </w:rPr>
        <w:t xml:space="preserve"> ESPÉCIES DE INTERESSE COMUNITÁRIO CUJA CAPTURA OU COLHEITA NA NATUREZA E EXPLORAÇÃO PODEM SER OBJETO DE MEDIDAS DE GESTÃO</w:t>
      </w:r>
    </w:p>
    <w:p>
      <w:pPr>
        <w:ind w:left="567"/>
        <w:jc w:val="both"/>
        <w:rPr>
          <w:rFonts w:ascii="Verdana" w:hAnsi="Verdana"/>
          <w:b/>
          <w:noProof/>
          <w:sz w:val="20"/>
          <w:u w:val="single"/>
        </w:rPr>
      </w:pPr>
      <w:r>
        <w:rPr>
          <w:noProof/>
        </w:rPr>
        <w:br w:type="page"/>
      </w:r>
    </w:p>
    <w:tbl>
      <w:tblPr>
        <w:tblW w:w="0" w:type="auto"/>
        <w:tblInd w:w="-34" w:type="dxa"/>
        <w:tblLook w:val="01E0" w:firstRow="1" w:lastRow="1" w:firstColumn="1" w:lastColumn="1" w:noHBand="0" w:noVBand="0"/>
      </w:tblPr>
      <w:tblGrid>
        <w:gridCol w:w="4918"/>
        <w:gridCol w:w="403"/>
        <w:gridCol w:w="483"/>
        <w:gridCol w:w="403"/>
        <w:gridCol w:w="1589"/>
        <w:gridCol w:w="429"/>
        <w:gridCol w:w="430"/>
        <w:gridCol w:w="430"/>
        <w:gridCol w:w="11"/>
      </w:tblGrid>
      <w:tr>
        <w:trPr>
          <w:trHeight w:val="274"/>
          <w:tblHeader/>
        </w:trPr>
        <w:tc>
          <w:tcPr>
            <w:tcW w:w="4918" w:type="dxa"/>
            <w:tcBorders>
              <w:top w:val="single" w:sz="4" w:space="0" w:color="auto"/>
              <w:left w:val="single" w:sz="4" w:space="0" w:color="auto"/>
              <w:right w:val="single" w:sz="4" w:space="0" w:color="auto"/>
            </w:tcBorders>
            <w:shd w:val="clear" w:color="auto" w:fill="CCFFCC"/>
          </w:tcPr>
          <w:p>
            <w:pPr>
              <w:tabs>
                <w:tab w:val="left" w:pos="567"/>
                <w:tab w:val="left" w:pos="1134"/>
                <w:tab w:val="left" w:pos="1701"/>
              </w:tabs>
              <w:outlineLvl w:val="0"/>
              <w:rPr>
                <w:rFonts w:ascii="Verdana" w:hAnsi="Verdana"/>
                <w:b/>
                <w:i/>
                <w:noProof/>
                <w:sz w:val="18"/>
                <w:szCs w:val="18"/>
              </w:rPr>
            </w:pPr>
            <w:r>
              <w:rPr>
                <w:rFonts w:ascii="Verdana" w:hAnsi="Verdana"/>
                <w:b/>
                <w:i/>
                <w:noProof/>
                <w:sz w:val="18"/>
                <w:szCs w:val="18"/>
              </w:rPr>
              <w:t>Nome da espécie</w:t>
            </w:r>
          </w:p>
        </w:tc>
        <w:tc>
          <w:tcPr>
            <w:tcW w:w="1289" w:type="dxa"/>
            <w:gridSpan w:val="3"/>
            <w:tcBorders>
              <w:top w:val="single" w:sz="4" w:space="0" w:color="auto"/>
              <w:left w:val="single" w:sz="4" w:space="0" w:color="auto"/>
              <w:right w:val="single" w:sz="4" w:space="0" w:color="auto"/>
            </w:tcBorders>
            <w:shd w:val="clear" w:color="auto" w:fill="CCFFCC"/>
          </w:tcPr>
          <w:p>
            <w:pPr>
              <w:pBdr>
                <w:bottom w:val="single" w:sz="4" w:space="1" w:color="auto"/>
              </w:pBdr>
              <w:tabs>
                <w:tab w:val="left" w:pos="567"/>
                <w:tab w:val="left" w:pos="1134"/>
                <w:tab w:val="left" w:pos="1701"/>
              </w:tabs>
              <w:jc w:val="center"/>
              <w:outlineLvl w:val="0"/>
              <w:rPr>
                <w:rFonts w:ascii="Verdana" w:hAnsi="Verdana"/>
                <w:b/>
                <w:i/>
                <w:noProof/>
                <w:sz w:val="18"/>
                <w:szCs w:val="18"/>
              </w:rPr>
            </w:pPr>
            <w:r>
              <w:rPr>
                <w:rFonts w:ascii="Verdana" w:hAnsi="Verdana"/>
                <w:b/>
                <w:i/>
                <w:noProof/>
                <w:sz w:val="18"/>
                <w:szCs w:val="18"/>
              </w:rPr>
              <w:t>Anexo</w:t>
            </w:r>
          </w:p>
        </w:tc>
        <w:tc>
          <w:tcPr>
            <w:tcW w:w="2889" w:type="dxa"/>
            <w:gridSpan w:val="5"/>
            <w:tcBorders>
              <w:top w:val="single" w:sz="4" w:space="0" w:color="auto"/>
              <w:left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b/>
                <w:i/>
                <w:noProof/>
                <w:sz w:val="18"/>
                <w:szCs w:val="18"/>
              </w:rPr>
            </w:pPr>
            <w:r>
              <w:rPr>
                <w:rFonts w:ascii="Verdana" w:hAnsi="Verdana"/>
                <w:b/>
                <w:i/>
                <w:noProof/>
                <w:sz w:val="18"/>
                <w:szCs w:val="18"/>
              </w:rPr>
              <w:t>Restrições geográficas</w:t>
            </w:r>
          </w:p>
        </w:tc>
      </w:tr>
      <w:tr>
        <w:trPr>
          <w:trHeight w:val="285"/>
          <w:tblHeader/>
        </w:trPr>
        <w:tc>
          <w:tcPr>
            <w:tcW w:w="4918"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p>
        </w:tc>
        <w:tc>
          <w:tcPr>
            <w:tcW w:w="403"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r>
              <w:rPr>
                <w:rFonts w:ascii="Verdana" w:hAnsi="Verdana"/>
                <w:noProof/>
                <w:sz w:val="18"/>
                <w:szCs w:val="18"/>
              </w:rPr>
              <w:t>II</w:t>
            </w:r>
          </w:p>
        </w:tc>
        <w:tc>
          <w:tcPr>
            <w:tcW w:w="483"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r>
              <w:rPr>
                <w:rFonts w:ascii="Verdana" w:hAnsi="Verdana"/>
                <w:noProof/>
                <w:sz w:val="18"/>
                <w:szCs w:val="18"/>
              </w:rPr>
              <w:t>IV</w:t>
            </w:r>
          </w:p>
        </w:tc>
        <w:tc>
          <w:tcPr>
            <w:tcW w:w="403"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r>
              <w:rPr>
                <w:rFonts w:ascii="Verdana" w:hAnsi="Verdana"/>
                <w:noProof/>
                <w:sz w:val="18"/>
                <w:szCs w:val="18"/>
              </w:rPr>
              <w:t>V</w:t>
            </w:r>
          </w:p>
        </w:tc>
        <w:tc>
          <w:tcPr>
            <w:tcW w:w="2889" w:type="dxa"/>
            <w:gridSpan w:val="5"/>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outlineLvl w:val="0"/>
              <w:rPr>
                <w:rFonts w:ascii="Verdana" w:hAnsi="Verdana"/>
                <w:noProof/>
                <w:sz w:val="18"/>
                <w:szCs w:val="18"/>
              </w:rPr>
            </w:pPr>
          </w:p>
        </w:tc>
      </w:tr>
      <w:tr>
        <w:trPr>
          <w:trHeight w:val="325"/>
        </w:trPr>
        <w:tc>
          <w:tcPr>
            <w:tcW w:w="9096" w:type="dxa"/>
            <w:gridSpan w:val="9"/>
            <w:tcBorders>
              <w:top w:val="single" w:sz="4" w:space="0" w:color="auto"/>
              <w:left w:val="single" w:sz="4" w:space="0" w:color="auto"/>
              <w:bottom w:val="single" w:sz="4" w:space="0" w:color="auto"/>
              <w:right w:val="single" w:sz="4" w:space="0" w:color="auto"/>
            </w:tcBorders>
            <w:shd w:val="clear" w:color="auto" w:fill="FFCC99"/>
          </w:tcPr>
          <w:p>
            <w:pPr>
              <w:tabs>
                <w:tab w:val="left" w:pos="567"/>
                <w:tab w:val="left" w:pos="1134"/>
                <w:tab w:val="left" w:pos="1701"/>
              </w:tabs>
              <w:spacing w:before="60" w:after="60"/>
              <w:jc w:val="center"/>
              <w:outlineLvl w:val="0"/>
              <w:rPr>
                <w:rFonts w:ascii="Verdana" w:hAnsi="Verdana"/>
                <w:b/>
                <w:noProof/>
                <w:sz w:val="22"/>
                <w:szCs w:val="22"/>
              </w:rPr>
            </w:pPr>
            <w:r>
              <w:rPr>
                <w:rFonts w:ascii="Verdana" w:hAnsi="Verdana"/>
                <w:b/>
                <w:noProof/>
                <w:sz w:val="22"/>
                <w:szCs w:val="22"/>
              </w:rPr>
              <w:t>ANIMAIS</w:t>
            </w:r>
          </w:p>
        </w:tc>
      </w:tr>
      <w:tr>
        <w:tc>
          <w:tcPr>
            <w:tcW w:w="4918"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r>
              <w:rPr>
                <w:rFonts w:ascii="Verdana" w:hAnsi="Verdana"/>
                <w:b/>
                <w:noProof/>
                <w:color w:val="FFFFFF" w:themeColor="background1"/>
                <w:sz w:val="20"/>
                <w:szCs w:val="20"/>
              </w:rPr>
              <w:t>VERTEBRADOS</w:t>
            </w: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p>
        </w:tc>
      </w:tr>
      <w:tr>
        <w:tc>
          <w:tcPr>
            <w:tcW w:w="4918"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spacing w:before="60" w:after="60"/>
              <w:jc w:val="center"/>
              <w:outlineLvl w:val="0"/>
              <w:rPr>
                <w:rFonts w:ascii="Verdana" w:hAnsi="Verdana"/>
                <w:b/>
                <w:noProof/>
                <w:sz w:val="18"/>
                <w:szCs w:val="18"/>
              </w:rPr>
            </w:pPr>
            <w:r>
              <w:rPr>
                <w:rFonts w:ascii="Verdana" w:hAnsi="Verdana"/>
                <w:b/>
                <w:noProof/>
                <w:sz w:val="18"/>
                <w:szCs w:val="18"/>
              </w:rPr>
              <w:t>MAMÍFEROS</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jc w:val="center"/>
              <w:outlineLvl w:val="0"/>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jc w:val="center"/>
              <w:outlineLvl w:val="0"/>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jc w:val="center"/>
              <w:outlineLvl w:val="0"/>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outlineLvl w:val="0"/>
              <w:rP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INSECTIVORA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Erinaceidae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Erinaceus algirus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r>
              <w:rPr>
                <w:rStyle w:val="PageNumbe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Soricidae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PageNumber"/>
                <w:rFonts w:ascii="Verdana" w:hAnsi="Verdana"/>
                <w:i/>
                <w:noProof/>
                <w:sz w:val="18"/>
                <w:szCs w:val="18"/>
              </w:rPr>
              <w:t>Crocidura c</w:t>
            </w:r>
            <w:r>
              <w:rPr>
                <w:rStyle w:val="DontTranslate"/>
                <w:rFonts w:ascii="Verdana" w:hAnsi="Verdana"/>
                <w:i/>
                <w:noProof/>
                <w:sz w:val="18"/>
                <w:szCs w:val="18"/>
              </w:rPr>
              <w:t>anariensis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Crocidura sicula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Talpidae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Galemys pyrenaicus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outlineLvl w:val="0"/>
              <w:rPr>
                <w:rStyle w:val="DontTranslate"/>
                <w:rFonts w:ascii="Verdana" w:hAnsi="Verdana"/>
                <w:b/>
                <w:noProof/>
                <w:sz w:val="18"/>
                <w:szCs w:val="18"/>
              </w:rPr>
            </w:pPr>
            <w:r>
              <w:rPr>
                <w:rStyle w:val="DontTranslate"/>
                <w:rFonts w:ascii="Verdana" w:hAnsi="Verdana"/>
                <w:b/>
                <w:noProof/>
                <w:sz w:val="18"/>
                <w:szCs w:val="18"/>
              </w:rPr>
              <w:t>CHIROPTERA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outlineLvl w:val="0"/>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smallCaps/>
                <w:noProof/>
                <w:sz w:val="18"/>
                <w:szCs w:val="18"/>
              </w:rPr>
            </w:pPr>
            <w:r>
              <w:rPr>
                <w:rStyle w:val="DontTranslate"/>
                <w:rFonts w:ascii="Verdana" w:hAnsi="Verdana"/>
                <w:i/>
                <w:smallCaps/>
                <w:noProof/>
                <w:sz w:val="18"/>
                <w:szCs w:val="18"/>
              </w:rPr>
              <w:t>Microchiroptera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Rhinolophidae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blasii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euryale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ferrumequinum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hipposideros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mehelyi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Vespertilionidae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Barbastella barbastellus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Miniopterus schreibersi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bechsteini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blythii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capaccinii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dasycneme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emarginatus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myotis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Restantes Microchiroptera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smallCaps/>
                <w:noProof/>
                <w:sz w:val="18"/>
                <w:szCs w:val="18"/>
              </w:rPr>
            </w:pPr>
            <w:r>
              <w:rPr>
                <w:rStyle w:val="DontTranslate"/>
                <w:rFonts w:ascii="Verdana" w:hAnsi="Verdana"/>
                <w:i/>
                <w:smallCaps/>
                <w:noProof/>
                <w:sz w:val="18"/>
                <w:szCs w:val="18"/>
              </w:rPr>
              <w:t>Megachiroptera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Pteropodidae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r>
              <w:rPr>
                <w:rStyle w:val="DontTranslate"/>
                <w:rFonts w:ascii="Verdana" w:hAnsi="Verdana"/>
                <w:i/>
                <w:noProof/>
                <w:sz w:val="18"/>
                <w:szCs w:val="18"/>
              </w:rPr>
              <w:t>Rousettus aegiptiacus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RODENTIA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Gliridae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Todas as espécies exceto</w:t>
            </w:r>
            <w:r>
              <w:rPr>
                <w:rStyle w:val="DontTranslate"/>
                <w:rFonts w:ascii="Verdana" w:hAnsi="Verdana"/>
                <w:i/>
                <w:noProof/>
                <w:sz w:val="18"/>
                <w:szCs w:val="18"/>
              </w:rPr>
              <w:t xml:space="preserve"> Glis glis </w:t>
            </w:r>
            <w:r>
              <w:rPr>
                <w:rStyle w:val="DontTranslate"/>
                <w:rFonts w:ascii="Verdana" w:hAnsi="Verdana"/>
                <w:noProof/>
                <w:sz w:val="18"/>
                <w:szCs w:val="18"/>
              </w:rPr>
              <w:t>e</w:t>
            </w:r>
            <w:r>
              <w:rPr>
                <w:rStyle w:val="DontTranslate"/>
                <w:rFonts w:ascii="Verdana" w:hAnsi="Verdana"/>
                <w:i/>
                <w:noProof/>
                <w:sz w:val="18"/>
                <w:szCs w:val="18"/>
              </w:rPr>
              <w:t xml:space="preserve"> Eliomys quercinus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Myomimus roachi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Sciuridae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Marmota marmota latirostris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Pteromys volans (Sciuropterus russicus)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Spermophilus citellus (Citellus citellus)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Spermophilus suslicus (Citellus suslicus)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Fonts w:ascii="Verdana" w:hAnsi="Verdana"/>
                <w:i/>
                <w:noProof/>
                <w:sz w:val="18"/>
                <w:szCs w:val="18"/>
              </w:rPr>
              <w:t>Sciurus anomalus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Castoridae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Castor fiber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Anexo II: exceto as populações estónias, letãs, lituanas, finlandesas e suecas</w:t>
            </w:r>
          </w:p>
          <w:p>
            <w:pPr>
              <w:rPr>
                <w:rStyle w:val="DontTranslate"/>
                <w:rFonts w:ascii="Verdana" w:hAnsi="Verdana"/>
                <w:noProof/>
                <w:sz w:val="18"/>
                <w:szCs w:val="18"/>
              </w:rPr>
            </w:pPr>
            <w:r>
              <w:rPr>
                <w:rStyle w:val="DontTranslate"/>
                <w:rFonts w:ascii="Verdana" w:hAnsi="Verdana"/>
                <w:noProof/>
                <w:sz w:val="18"/>
                <w:szCs w:val="18"/>
              </w:rPr>
              <w:t>Anexo IV: exceto as populações estónias, letãs, lituanas, polacas, finlandesas e suecas</w:t>
            </w:r>
          </w:p>
          <w:p>
            <w:pPr>
              <w:rPr>
                <w:rFonts w:ascii="Verdana" w:hAnsi="Verdana"/>
                <w:noProof/>
                <w:sz w:val="18"/>
                <w:szCs w:val="18"/>
              </w:rPr>
            </w:pPr>
            <w:r>
              <w:rPr>
                <w:rStyle w:val="DontTranslate"/>
                <w:rFonts w:ascii="Verdana" w:hAnsi="Verdana"/>
                <w:noProof/>
                <w:sz w:val="18"/>
                <w:szCs w:val="18"/>
              </w:rPr>
              <w:t xml:space="preserve">Anexo V: </w:t>
            </w:r>
            <w:r>
              <w:rPr>
                <w:rFonts w:ascii="Verdana" w:hAnsi="Verdana"/>
                <w:noProof/>
                <w:sz w:val="18"/>
                <w:szCs w:val="18"/>
              </w:rPr>
              <w:t>populações finlandesas, suecas, letãs, lituanas, estónias e polacas</w:t>
            </w:r>
          </w:p>
          <w:p>
            <w:pPr>
              <w:rPr>
                <w:rFonts w:ascii="Verdana" w:hAnsi="Verdana"/>
                <w:noProof/>
                <w:sz w:val="18"/>
                <w:szCs w:val="18"/>
              </w:rPr>
            </w:pPr>
          </w:p>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Cricetidae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Cricetus cricetus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Anexo IV: exceto as populações húngaras</w:t>
            </w:r>
          </w:p>
          <w:p>
            <w:pPr>
              <w:outlineLvl w:val="0"/>
              <w:rPr>
                <w:rStyle w:val="DontTranslate"/>
                <w:rFonts w:ascii="Verdana" w:hAnsi="Verdana"/>
                <w:noProof/>
                <w:sz w:val="18"/>
                <w:szCs w:val="18"/>
              </w:rPr>
            </w:pPr>
            <w:r>
              <w:rPr>
                <w:rStyle w:val="DontTranslate"/>
                <w:rFonts w:ascii="Verdana" w:hAnsi="Verdana"/>
                <w:noProof/>
                <w:sz w:val="18"/>
                <w:szCs w:val="18"/>
              </w:rPr>
              <w:t>Anexo V: populações húngaras</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Mesocricetus newtoni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Microtidae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Dinaromys bogdanovi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Microtus cabrerae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Microtus oeconomus arenicola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Microtus oeconomus mehelyi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Microtus tatricus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Zapodidae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Sicista betulina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Sicista subtilis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Hystricidae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Hystrix cristata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CARNIVORA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Canidae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Alopex lagopus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Canis aureus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Canis lupus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Anexo II: exceto a população estónia; populações gregas: apenas a sul do paralelo 39; populações espanholas: apenas a sul do Douro; populações letãs, lituanas e finlandesas</w:t>
            </w:r>
          </w:p>
          <w:p>
            <w:pPr>
              <w:rPr>
                <w:rFonts w:ascii="Verdana" w:hAnsi="Verdana"/>
                <w:noProof/>
                <w:sz w:val="18"/>
                <w:szCs w:val="18"/>
              </w:rPr>
            </w:pPr>
            <w:r>
              <w:rPr>
                <w:rFonts w:ascii="Verdana" w:hAnsi="Verdana"/>
                <w:noProof/>
                <w:sz w:val="18"/>
                <w:szCs w:val="18"/>
              </w:rPr>
              <w:t>Anexo IV: exceto as populações gregas a norte do paralelo 39; as populações estónias e as populações espanholas a norte do Douro; as populações letãs, lituanas, polacas, eslovacas, búlgaras e as populações finlandesas no interior da área de exploração da rena, tal como definida no n.º 2 da Lei finlandesa n.º 848/90, de 14 de setembro de 1990, relativa à exploração da rena</w:t>
            </w:r>
          </w:p>
          <w:p>
            <w:pPr>
              <w:rPr>
                <w:rStyle w:val="DontTranslate"/>
                <w:rFonts w:ascii="Verdana" w:hAnsi="Verdana"/>
                <w:i/>
                <w:noProof/>
                <w:sz w:val="18"/>
                <w:szCs w:val="18"/>
              </w:rPr>
            </w:pPr>
            <w:r>
              <w:rPr>
                <w:rFonts w:ascii="Verdana" w:hAnsi="Verdana"/>
                <w:noProof/>
                <w:sz w:val="18"/>
                <w:szCs w:val="18"/>
              </w:rPr>
              <w:t>Anexo V: as populações espanholas a norte do Douro, as populações gregas a norte do paralelo 39, as populações finlandesas no interior da área de exploração da rena, tal como definida no n.º 2 da Lei finlandesa n.º 848/90, de 14 de setembro de 1990, relativa à exploração da rena, as populações búlgaras, letãs, lituanas, estónias, polacas e eslovacas</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Ursidae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i/>
                <w:noProof/>
                <w:sz w:val="18"/>
                <w:szCs w:val="18"/>
              </w:rPr>
              <w:t xml:space="preserve">* </w:t>
            </w:r>
            <w:r>
              <w:rPr>
                <w:rStyle w:val="DontTranslate"/>
                <w:rFonts w:ascii="Verdana" w:hAnsi="Verdana"/>
                <w:i/>
                <w:noProof/>
                <w:sz w:val="18"/>
                <w:szCs w:val="18"/>
              </w:rPr>
              <w:t>Ursus arctos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noProof/>
                <w:sz w:val="18"/>
                <w:szCs w:val="18"/>
              </w:rPr>
              <w:t>Anexo II: exceto as populações estónias, finlandesas e suecas</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Mustelidae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Gulo gulo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Lutra lutra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Martes martes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Mustela eversmanii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Mustela putorius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Mustela lutreola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Vormela peregusna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Felidae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Felis silvestris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Lynx lynx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Anexo II: exceto as populações estónias, letãs e finlandesas</w:t>
            </w:r>
          </w:p>
          <w:p>
            <w:pPr>
              <w:rPr>
                <w:rFonts w:ascii="Verdana" w:hAnsi="Verdana"/>
                <w:noProof/>
                <w:sz w:val="18"/>
                <w:szCs w:val="18"/>
              </w:rPr>
            </w:pPr>
            <w:r>
              <w:rPr>
                <w:rFonts w:ascii="Verdana" w:hAnsi="Verdana"/>
                <w:noProof/>
                <w:sz w:val="18"/>
                <w:szCs w:val="18"/>
              </w:rPr>
              <w:t>Anexo IV: exceto a população estónia</w:t>
            </w:r>
          </w:p>
          <w:p>
            <w:pPr>
              <w:rPr>
                <w:rFonts w:ascii="Verdana" w:hAnsi="Verdana"/>
                <w:i/>
                <w:noProof/>
                <w:sz w:val="18"/>
                <w:szCs w:val="18"/>
              </w:rPr>
            </w:pPr>
            <w:r>
              <w:rPr>
                <w:rFonts w:ascii="Verdana" w:hAnsi="Verdana"/>
                <w:noProof/>
                <w:sz w:val="18"/>
                <w:szCs w:val="18"/>
              </w:rPr>
              <w:t>Anexo V: população estónia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Lynx pardinus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Phocidae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Halichoerus grypus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Monachus monachus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Phoca hispida bottnica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Phoca hispida saimensis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Phoca vitulina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Restantes Phocidae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Viverridae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Genetta genetta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Herpestes ichneumon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DUPLICIDENTATA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Leporidae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Lepus timidus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ARTIODACTYLA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Cervidae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Cervus elaphus corsicanus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Rangifer tarandus fennicus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Bovidae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Bison bonasus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Capra aegagrus</w:t>
            </w:r>
            <w:r>
              <w:rPr>
                <w:rStyle w:val="DontTranslate"/>
                <w:rFonts w:ascii="Verdana" w:hAnsi="Verdana"/>
                <w:noProof/>
                <w:sz w:val="18"/>
                <w:szCs w:val="18"/>
              </w:rPr>
              <w:t xml:space="preserve"> (populações naturais)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Capra ibex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Capra pyrenaica</w:t>
            </w:r>
            <w:r>
              <w:rPr>
                <w:rFonts w:ascii="Verdana" w:hAnsi="Verdana"/>
                <w:noProof/>
                <w:sz w:val="18"/>
                <w:szCs w:val="18"/>
              </w:rPr>
              <w:t xml:space="preserve"> (exceto </w:t>
            </w:r>
            <w:r>
              <w:rPr>
                <w:rStyle w:val="DontTranslate"/>
                <w:rFonts w:ascii="Verdana" w:hAnsi="Verdana"/>
                <w:i/>
                <w:noProof/>
                <w:sz w:val="18"/>
                <w:szCs w:val="18"/>
              </w:rPr>
              <w:t>Capra pyrenaica pyrenaica</w:t>
            </w:r>
            <w:r>
              <w:rPr>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Capra pyrenaica pyrenaica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Ovis gmelini musimon (Ovis ammon musimon)</w:t>
            </w:r>
            <w:r>
              <w:rPr>
                <w:rStyle w:val="DontTranslate"/>
                <w:rFonts w:ascii="Verdana" w:hAnsi="Verdana"/>
                <w:noProof/>
                <w:sz w:val="18"/>
                <w:szCs w:val="18"/>
              </w:rPr>
              <w:t xml:space="preserve"> (populações naturais — Córsega e Sardenha)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lang w:val="en-GB"/>
              </w:rPr>
            </w:pPr>
            <w:r>
              <w:rPr>
                <w:rStyle w:val="DontTranslate"/>
                <w:rFonts w:ascii="Verdana" w:hAnsi="Verdana"/>
                <w:i/>
                <w:noProof/>
                <w:sz w:val="18"/>
                <w:szCs w:val="18"/>
                <w:lang w:val="en-GB"/>
              </w:rPr>
              <w:t xml:space="preserve">Ovis orientalis ophion </w:t>
            </w:r>
            <w:r>
              <w:rPr>
                <w:rStyle w:val="DontTranslate"/>
                <w:rFonts w:ascii="Verdana" w:hAnsi="Verdana"/>
                <w:noProof/>
                <w:sz w:val="18"/>
                <w:szCs w:val="18"/>
                <w:lang w:val="en-GB"/>
              </w:rPr>
              <w:t>(</w:t>
            </w:r>
            <w:r>
              <w:rPr>
                <w:rStyle w:val="DontTranslate"/>
                <w:rFonts w:ascii="Verdana" w:hAnsi="Verdana"/>
                <w:i/>
                <w:noProof/>
                <w:sz w:val="18"/>
                <w:szCs w:val="18"/>
                <w:lang w:val="en-GB"/>
              </w:rPr>
              <w:t>Ovis gmelini ophion</w:t>
            </w:r>
            <w:r>
              <w:rPr>
                <w:rStyle w:val="DontTranslate"/>
                <w:rFonts w:ascii="Verdana" w:hAnsi="Verdana"/>
                <w:noProof/>
                <w:sz w:val="18"/>
                <w:szCs w:val="18"/>
                <w:lang w:val="en-GB"/>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Rupicapra pyrenaica ornata</w:t>
            </w:r>
            <w:r>
              <w:rPr>
                <w:rStyle w:val="DontTranslate"/>
                <w:rFonts w:ascii="Verdana" w:hAnsi="Verdana"/>
                <w:noProof/>
                <w:sz w:val="18"/>
                <w:szCs w:val="18"/>
              </w:rPr>
              <w:t xml:space="preserve"> (</w:t>
            </w:r>
            <w:r>
              <w:rPr>
                <w:rStyle w:val="DontTranslate"/>
                <w:rFonts w:ascii="Verdana" w:hAnsi="Verdana"/>
                <w:i/>
                <w:noProof/>
                <w:sz w:val="18"/>
                <w:szCs w:val="18"/>
              </w:rPr>
              <w:t>Rupicapra rupicapra ornata</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Rupicapra rupicapra</w:t>
            </w:r>
            <w:r>
              <w:rPr>
                <w:rFonts w:ascii="Verdana" w:hAnsi="Verdana"/>
                <w:noProof/>
                <w:sz w:val="18"/>
                <w:szCs w:val="18"/>
              </w:rPr>
              <w:t xml:space="preserve"> (exceto </w:t>
            </w:r>
            <w:r>
              <w:rPr>
                <w:rStyle w:val="DontTranslate"/>
                <w:rFonts w:ascii="Verdana" w:hAnsi="Verdana"/>
                <w:i/>
                <w:noProof/>
                <w:sz w:val="18"/>
                <w:szCs w:val="18"/>
              </w:rPr>
              <w:t>Rupicapra rupicapra balcanica</w:t>
            </w:r>
            <w:r>
              <w:rPr>
                <w:rFonts w:ascii="Verdana" w:hAnsi="Verdana"/>
                <w:noProof/>
                <w:sz w:val="18"/>
                <w:szCs w:val="18"/>
              </w:rPr>
              <w:t xml:space="preserve">, </w:t>
            </w:r>
            <w:r>
              <w:rPr>
                <w:rStyle w:val="DontTranslate"/>
                <w:rFonts w:ascii="Verdana" w:hAnsi="Verdana"/>
                <w:i/>
                <w:noProof/>
                <w:sz w:val="18"/>
                <w:szCs w:val="18"/>
              </w:rPr>
              <w:t>Rupicapra rupicapra ornata</w:t>
            </w:r>
            <w:r>
              <w:rPr>
                <w:rStyle w:val="DontTranslate"/>
                <w:rFonts w:ascii="Verdana" w:hAnsi="Verdana"/>
                <w:noProof/>
                <w:sz w:val="18"/>
                <w:szCs w:val="18"/>
              </w:rPr>
              <w:t xml:space="preserve"> e </w:t>
            </w:r>
            <w:r>
              <w:rPr>
                <w:rStyle w:val="DontTranslate"/>
                <w:rFonts w:ascii="Verdana" w:hAnsi="Verdana"/>
                <w:i/>
                <w:noProof/>
                <w:sz w:val="18"/>
                <w:szCs w:val="18"/>
              </w:rPr>
              <w:t>Rupicapra rupicapra tatrica</w:t>
            </w:r>
            <w:r>
              <w:rPr>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Rupicapra rupicapra balcanica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Rupicapra rupicapra tatrica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CETACEA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Phocoena phocoena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Tursiops truncatus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Restantes Cetacea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r>
              <w:rPr>
                <w:rFonts w:ascii="Verdana" w:hAnsi="Verdana"/>
                <w:b/>
                <w:noProof/>
                <w:sz w:val="20"/>
                <w:szCs w:val="20"/>
              </w:rPr>
              <w:t>RÉPTEIS</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spacing w:before="60" w:after="60"/>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CHELONIA (TESTUDINES)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Testudinidae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hermanni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marginata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Cheloniidae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*Caretta caretta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Chelonia mydas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Lepidochelys kempii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Eretmochelys imbricata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Dermochelyidae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Dermochelys coriacea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Emydidae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Emys orbicularis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Mauremys caspica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Mauremys leprosa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SAURIA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Lacertidae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fitzingeri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marchi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moreoticus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nigropunctatus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Dalmatolacertaoxycephala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Dinarolacerta mosorensis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atlantica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galloti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galloti insulanagae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Gallotia simonyi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stehlini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agilis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bedriagae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bonnali (Lacerta monticola)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Lacerta monticola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danfordi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dugesi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horvathi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Lacerta schreiberi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trilineata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viridis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vivipara pannonica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Ophisops elegans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erhardii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fifolensis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hispanica atrata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lilfordi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melisellensis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milensis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muralis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peloponnesiaca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pityusensis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sicula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taurica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tiliguerta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wagleriana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Scincidae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Ablepharus kitaibelli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bedriagai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ocellatus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sexlineatus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simonyi (Chalcides occidentalis)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Chalcides viridianus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Ophiomorus punctatissimus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Gekkonidae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Cyrtopodion kotschyi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Phyllodactylus europaeus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angustimentalis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boettgeri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delalandii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Tarentola gomerensis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Agamidae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Stellio stellio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Chamaeleontidae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Chamaeleo chamaeleon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Anguidae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Ophisaurus apodus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OPHIDIA (SERPENTES)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Colubridae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Coluber caspius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Coluber cypriensis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hippocrepis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jugularis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laurenti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najadum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nummifer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viridiflavus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Coronella austriaca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Eirenis modesta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Elaphe longissima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Elaphe quatuorlineata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Elaphe situla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Natrix natrix cetti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Natrix natrix corsa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 Natrix natrix cypriaca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Natrix tessellata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Telescopus falax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Viperidae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Vipera ammodytes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Macrovipera schweizeri (Vipera lebetina schweizeri)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Vipera seoanni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noProof/>
                <w:sz w:val="18"/>
                <w:szCs w:val="18"/>
              </w:rPr>
              <w:t>Anexo IV: exceto as populações espanholas</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 xml:space="preserve">Vipera ursinii </w:t>
            </w:r>
            <w:r>
              <w:rPr>
                <w:rStyle w:val="DontTranslate"/>
                <w:rFonts w:ascii="Verdana" w:hAnsi="Verdana"/>
                <w:noProof/>
                <w:sz w:val="18"/>
                <w:szCs w:val="18"/>
              </w:rPr>
              <w:t xml:space="preserve">(exceto </w:t>
            </w:r>
            <w:r>
              <w:rPr>
                <w:rStyle w:val="DontTranslate"/>
                <w:rFonts w:ascii="Verdana" w:hAnsi="Verdana"/>
                <w:i/>
                <w:noProof/>
                <w:sz w:val="18"/>
                <w:szCs w:val="18"/>
              </w:rPr>
              <w:t xml:space="preserve">Vipera ursinii rakosiensis </w:t>
            </w:r>
            <w:r>
              <w:rPr>
                <w:rStyle w:val="DontTranslate"/>
                <w:rFonts w:ascii="Verdana" w:hAnsi="Verdana"/>
                <w:noProof/>
                <w:sz w:val="18"/>
                <w:szCs w:val="18"/>
              </w:rPr>
              <w:t>e</w:t>
            </w:r>
            <w:r>
              <w:rPr>
                <w:rStyle w:val="DontTranslate"/>
                <w:rFonts w:ascii="Verdana" w:hAnsi="Verdana"/>
                <w:i/>
                <w:noProof/>
                <w:sz w:val="18"/>
                <w:szCs w:val="18"/>
              </w:rPr>
              <w:t xml:space="preserve"> Vipera ursinii macrops</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Vipera ursinii macrops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Vipera ursinii rakosiensis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Vipera xanthina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noProof/>
                <w:sz w:val="18"/>
                <w:szCs w:val="18"/>
              </w:rPr>
              <w:t>Boidae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Eryx jaculus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r>
              <w:rPr>
                <w:rFonts w:ascii="Verdana" w:hAnsi="Verdana"/>
                <w:b/>
                <w:noProof/>
                <w:sz w:val="20"/>
                <w:szCs w:val="20"/>
              </w:rPr>
              <w:t>ANFÍBIOS</w:t>
            </w:r>
          </w:p>
        </w:tc>
        <w:tc>
          <w:tcPr>
            <w:tcW w:w="403"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D9D9D9"/>
          </w:tcPr>
          <w:p>
            <w:pPr>
              <w:spacing w:before="60" w:after="60"/>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CAUDATA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Salamandridae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Chioglossa lusitanica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asper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montanus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platycephalus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Mertensiella luschani (Salamandra luschani)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Salamandra atra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Salamandra aurorae (Salamandra atra aurorae)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Salamandra lanzai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Salamandrina terdigitata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Triturus carnifex (Triturus cristatus carnifex)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Triturus cristatus (Triturus cristatus cristatus)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dobrogicus (Triturus cristatus dobrogicus)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italicus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Triturus karelinii (Triturus cristatus karelinii)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marmoratus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Triturus montandoni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vulgaris ampelensis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Proteidae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Proteus anguinus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Plethodontidae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Hydromantes (Speleomantes) ambrosii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flavus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genei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imperialis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strinatii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supramontis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rPr>
          <w:trHeight w:val="90"/>
        </w:trP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ANURA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Discoglossidae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Alytes cisternasii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 Alytes muletensis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Fonts w:ascii="Verdana" w:hAnsi="Verdana"/>
                <w:i/>
                <w:noProof/>
                <w:sz w:val="18"/>
                <w:szCs w:val="18"/>
              </w:rPr>
              <w:t>Alytes obstetricans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Bombina bombina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Bombina variegata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Discoglossus galganoi</w:t>
            </w:r>
            <w:r>
              <w:rPr>
                <w:rStyle w:val="DontTranslate"/>
                <w:rFonts w:ascii="Verdana" w:hAnsi="Verdana"/>
                <w:noProof/>
                <w:sz w:val="18"/>
                <w:szCs w:val="18"/>
              </w:rPr>
              <w:t xml:space="preserve"> (inclui </w:t>
            </w:r>
            <w:r>
              <w:rPr>
                <w:rStyle w:val="DontTranslate"/>
                <w:rFonts w:ascii="Verdana" w:hAnsi="Verdana"/>
                <w:i/>
                <w:noProof/>
                <w:sz w:val="18"/>
                <w:szCs w:val="18"/>
              </w:rPr>
              <w:t>Discoglossus «jeanneae»</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Discoglossus montalentii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Fonts w:ascii="Verdana" w:hAnsi="Verdana"/>
                <w:i/>
                <w:noProof/>
                <w:sz w:val="18"/>
                <w:szCs w:val="18"/>
              </w:rPr>
              <w:t>Discoglossus pictus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Discoglossus sardus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Ranidae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arvalis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dalmatina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Rana esculenta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iberica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italica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latastei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Rana lessonae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Rana perezi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Rana ridibunda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Rana temporaria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Pelobatidae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Pelobates cultripes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Pelobates fuscus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Pelobates fuscus insubricus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Pelobates syriacus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Bufonidae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Bufo calamita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Bufo viridis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Hylidae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Hyla arborea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Hyla meridionalis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Hyla sarda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r>
              <w:rPr>
                <w:rFonts w:ascii="Verdana" w:hAnsi="Verdana"/>
                <w:b/>
                <w:noProof/>
                <w:sz w:val="20"/>
                <w:szCs w:val="20"/>
              </w:rPr>
              <w:t>PEIXES</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spacing w:before="60" w:after="60"/>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PETROMYZONIFORMES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Petromyzonidae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xml:space="preserve">Eudontomyzon </w:t>
            </w:r>
            <w:r>
              <w:rPr>
                <w:rStyle w:val="DontTranslate"/>
                <w:rFonts w:ascii="Verdana" w:hAnsi="Verdana"/>
                <w:noProof/>
                <w:sz w:val="18"/>
                <w:szCs w:val="18"/>
              </w:rPr>
              <w:t>spp.</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Lampetra fluviatilis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Anexo II: exceto as populações finlandesas e suecas</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xml:space="preserve">Lampetra planeri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Anexo II: exceto as populações estónias, finlandesas e suecas</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Lethenteron zanandreai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Petromyzon marinus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Anexo II: exceto as populações suecas</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ACIPENSERIFORMES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Acipenseridae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Acipenser naccarii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Acipenser sturio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Restantes espécies de Acipenseridae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CLUPEIFORMES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Clupeidae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Alosa</w:t>
            </w:r>
            <w:r>
              <w:rPr>
                <w:rStyle w:val="DontTranslate"/>
                <w:rFonts w:ascii="Verdana" w:hAnsi="Verdana"/>
                <w:noProof/>
                <w:sz w:val="18"/>
                <w:szCs w:val="18"/>
              </w:rPr>
              <w:t xml:space="preserve"> spp</w:t>
            </w:r>
            <w:r>
              <w:rPr>
                <w:rStyle w:val="DontTranslate"/>
                <w:rFonts w:ascii="Verdana" w:hAnsi="Verdana"/>
                <w:i/>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SALMONIFORMES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Salmonidae / Coregonidae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Fonts w:ascii="Verdana" w:hAnsi="Verdana"/>
                <w:i/>
                <w:iCs/>
                <w:noProof/>
                <w:sz w:val="18"/>
                <w:szCs w:val="18"/>
              </w:rPr>
              <w:t>Coregonus</w:t>
            </w:r>
            <w:r>
              <w:rPr>
                <w:rFonts w:ascii="Verdana" w:hAnsi="Verdana"/>
                <w:noProof/>
                <w:sz w:val="18"/>
                <w:szCs w:val="18"/>
              </w:rPr>
              <w:t xml:space="preserve"> spp. (exceto</w:t>
            </w:r>
            <w:r>
              <w:rPr>
                <w:rStyle w:val="DontTranslate"/>
                <w:rFonts w:ascii="Verdana" w:hAnsi="Verdana"/>
                <w:i/>
                <w:noProof/>
                <w:sz w:val="18"/>
                <w:szCs w:val="18"/>
              </w:rPr>
              <w:t xml:space="preserve"> Coregonus oxyrhynchus</w:t>
            </w:r>
            <w:r>
              <w:rPr>
                <w:rFonts w:ascii="Verdana" w:hAnsi="Verdana"/>
                <w:noProof/>
                <w:sz w:val="18"/>
                <w:szCs w:val="18"/>
              </w:rPr>
              <w:t xml:space="preserve"> — populações anádromas em determinados setores do mar do Norte)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Coregonus oxyrhynchus</w:t>
            </w:r>
            <w:r>
              <w:rPr>
                <w:rFonts w:ascii="Verdana" w:hAnsi="Verdana"/>
                <w:noProof/>
                <w:sz w:val="18"/>
                <w:szCs w:val="18"/>
              </w:rPr>
              <w:t xml:space="preserve"> (populações anádromas em determinados setores do mar do Norte)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noProof/>
                <w:sz w:val="18"/>
                <w:szCs w:val="18"/>
              </w:rPr>
              <w:t xml:space="preserve"> </w:t>
            </w:r>
            <w:r>
              <w:rPr>
                <w:rStyle w:val="DontTranslate"/>
                <w:rFonts w:ascii="Verdana" w:hAnsi="Verdana"/>
                <w:i/>
                <w:noProof/>
                <w:sz w:val="18"/>
                <w:szCs w:val="18"/>
              </w:rPr>
              <w:t>Hucho hucho</w:t>
            </w:r>
            <w:r>
              <w:rPr>
                <w:rStyle w:val="DontTranslate"/>
                <w:rFonts w:ascii="Verdana" w:hAnsi="Verdana"/>
                <w:noProof/>
                <w:sz w:val="18"/>
                <w:szCs w:val="18"/>
              </w:rPr>
              <w:t>(populações naturais)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Salmo macrostigma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Salmo marmoratus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Salmo salar</w:t>
            </w:r>
            <w:r>
              <w:rPr>
                <w:rFonts w:ascii="Verdana" w:hAnsi="Verdana"/>
                <w:noProof/>
                <w:sz w:val="18"/>
                <w:szCs w:val="18"/>
              </w:rPr>
              <w:t xml:space="preserve"> (apenas em água doce)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Fonts w:ascii="Verdana" w:hAnsi="Verdana"/>
                <w:noProof/>
                <w:sz w:val="18"/>
                <w:szCs w:val="18"/>
              </w:rPr>
              <w:t>Anexo II: exceto as populações finlandesas</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Salmothymus obtusirostris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Fonts w:ascii="Verdana" w:hAnsi="Verdana"/>
                <w:i/>
                <w:noProof/>
                <w:sz w:val="18"/>
                <w:szCs w:val="18"/>
              </w:rPr>
              <w:t>Thymallus thymallus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Umbridae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Umbra krameri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CYPRINIFORMES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Cyprinidae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Alburnus albidus (Alburnus vulturius)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Anaecypris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Aspius aspius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Anexo II: exceto as populações finlandesas</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Aulopyge huegelii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 xml:space="preserve">Barbus </w:t>
            </w:r>
            <w:r>
              <w:rPr>
                <w:rFonts w:ascii="Verdana" w:hAnsi="Verdana"/>
                <w:noProof/>
                <w:sz w:val="18"/>
                <w:szCs w:val="18"/>
              </w:rPr>
              <w:t>spp.</w:t>
            </w:r>
            <w:r>
              <w:rPr>
                <w:rFonts w:ascii="Verdana" w:hAnsi="Verdana"/>
                <w:i/>
                <w:noProof/>
                <w:sz w:val="18"/>
                <w:szCs w:val="18"/>
              </w:rPr>
              <w:t xml:space="preserve">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comiza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meridionalis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plebejus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Chalcalburnus chalcoides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genei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Chondrostoma knerii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lusitanicum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Chondrostoma phoxinus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Chondrostoma polylepis </w:t>
            </w:r>
            <w:r>
              <w:rPr>
                <w:rStyle w:val="DontTranslate"/>
                <w:rFonts w:ascii="Verdana" w:hAnsi="Verdana"/>
                <w:noProof/>
                <w:sz w:val="18"/>
                <w:szCs w:val="18"/>
              </w:rPr>
              <w:t xml:space="preserve">(inclui </w:t>
            </w:r>
            <w:r>
              <w:rPr>
                <w:rStyle w:val="DontTranslate"/>
                <w:rFonts w:ascii="Verdana" w:hAnsi="Verdana"/>
                <w:i/>
                <w:noProof/>
                <w:sz w:val="18"/>
                <w:szCs w:val="18"/>
              </w:rPr>
              <w:t>C. willkommi</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soetta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toxostoma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albipinnatus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kessleri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uranoscopus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Iberocypris palaciosi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Ladigesocypris ghigii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Leuciscus lucumonis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Leuciscus souffia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Pelecus cultratus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Phoxinellus </w:t>
            </w:r>
            <w:r>
              <w:rPr>
                <w:rStyle w:val="DontTranslate"/>
                <w:rFonts w:ascii="Verdana" w:hAnsi="Verdana"/>
                <w:noProof/>
                <w:sz w:val="18"/>
                <w:szCs w:val="18"/>
              </w:rPr>
              <w:t>spp.</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Phoxinus percnurus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Rhodeus sericeus amarus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alburnoides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arcasii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friesii meidingeri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lemmingii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pigus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rubilio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macrolepidotus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Scardinius graecus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Squalius microlepis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Squalius svallize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Cobitidae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elongata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taenia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Anexo II: exceto as populações finlandesas</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trichonica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Misgurnus fossilis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Sabanejewia aurata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Sabanejewia larvata </w:t>
            </w:r>
            <w:r>
              <w:rPr>
                <w:rStyle w:val="DontTranslate"/>
                <w:rFonts w:ascii="Verdana" w:hAnsi="Verdana"/>
                <w:noProof/>
                <w:sz w:val="18"/>
                <w:szCs w:val="18"/>
              </w:rPr>
              <w:t>(</w:t>
            </w:r>
            <w:r>
              <w:rPr>
                <w:rStyle w:val="DontTranslate"/>
                <w:rFonts w:ascii="Verdana" w:hAnsi="Verdana"/>
                <w:i/>
                <w:noProof/>
                <w:sz w:val="18"/>
                <w:szCs w:val="18"/>
              </w:rPr>
              <w:t>Cobitis larvata</w:t>
            </w:r>
            <w:r>
              <w:rPr>
                <w:rStyle w:val="DontTranslate"/>
                <w:rFonts w:ascii="Verdana" w:hAnsi="Verdana"/>
                <w:noProof/>
                <w:sz w:val="18"/>
                <w:szCs w:val="18"/>
              </w:rPr>
              <w:t xml:space="preserve"> e </w:t>
            </w:r>
            <w:r>
              <w:rPr>
                <w:rStyle w:val="DontTranslate"/>
                <w:rFonts w:ascii="Verdana" w:hAnsi="Verdana"/>
                <w:i/>
                <w:noProof/>
                <w:sz w:val="18"/>
                <w:szCs w:val="18"/>
              </w:rPr>
              <w:t>Cobitis conspersa</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SILURIFORMES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Siluridae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Silurus aristotelis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ATHERINIFORMES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Cyprinodontidae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Aphanius iberus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Aphanius fasciatus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Valencia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Valencia letourneuxi (Valencia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PERCIFORMES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Percidae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Gymnocephalus baloni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Gymnocephalus schraetzer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Romanichthys valsanicola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Zingel</w:t>
            </w:r>
            <w:r>
              <w:rPr>
                <w:rStyle w:val="DontTranslate"/>
                <w:rFonts w:ascii="Verdana" w:hAnsi="Verdana"/>
                <w:noProof/>
                <w:sz w:val="18"/>
                <w:szCs w:val="18"/>
              </w:rPr>
              <w:t xml:space="preserve"> spp. (exceto </w:t>
            </w:r>
            <w:r>
              <w:rPr>
                <w:rStyle w:val="DontTranslate"/>
                <w:rFonts w:ascii="Verdana" w:hAnsi="Verdana"/>
                <w:i/>
                <w:noProof/>
                <w:sz w:val="18"/>
                <w:szCs w:val="18"/>
              </w:rPr>
              <w:t>Zingel asper</w:t>
            </w:r>
            <w:r>
              <w:rPr>
                <w:rStyle w:val="DontTranslate"/>
                <w:rFonts w:ascii="Verdana" w:hAnsi="Verdana"/>
                <w:noProof/>
                <w:sz w:val="18"/>
                <w:szCs w:val="18"/>
              </w:rPr>
              <w:t xml:space="preserve"> e </w:t>
            </w:r>
            <w:r>
              <w:rPr>
                <w:rStyle w:val="DontTranslate"/>
                <w:rFonts w:ascii="Verdana" w:hAnsi="Verdana"/>
                <w:i/>
                <w:noProof/>
                <w:sz w:val="18"/>
                <w:szCs w:val="18"/>
              </w:rPr>
              <w:t>Zingel zingel</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Zingel asper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Zingel zingel</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Gobiidae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Knipowitschia croatica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Knipowitschia (Padogobius) panizzae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Padogobius nigricans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Pomatoschistus canestrini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noProof/>
                <w:sz w:val="18"/>
                <w:szCs w:val="18"/>
              </w:rPr>
            </w:pPr>
            <w:r>
              <w:rPr>
                <w:rStyle w:val="DontTranslate"/>
                <w:rFonts w:ascii="Verdana" w:hAnsi="Verdana"/>
                <w:noProof/>
                <w:sz w:val="18"/>
                <w:szCs w:val="18"/>
              </w:rPr>
              <w:t>SCORPAENIFORMES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Cottidae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Cottus gobio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noProof/>
                <w:sz w:val="18"/>
                <w:szCs w:val="18"/>
              </w:rPr>
              <w:t>Anexo II: exceto as populações finlandesas</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Cottus petiti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r>
              <w:rPr>
                <w:rFonts w:ascii="Verdana" w:hAnsi="Verdana"/>
                <w:b/>
                <w:noProof/>
                <w:color w:val="FFFFFF" w:themeColor="background1"/>
                <w:sz w:val="20"/>
                <w:szCs w:val="20"/>
              </w:rPr>
              <w:t>INVERTEBRADOS</w:t>
            </w: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CCCCCC"/>
          </w:tcPr>
          <w:p>
            <w:pPr>
              <w:spacing w:before="60" w:after="60"/>
              <w:jc w:val="center"/>
              <w:outlineLvl w:val="0"/>
              <w:rPr>
                <w:rFonts w:ascii="Verdana" w:hAnsi="Verdana"/>
                <w:b/>
                <w:noProof/>
                <w:sz w:val="20"/>
                <w:szCs w:val="20"/>
              </w:rPr>
            </w:pPr>
            <w:r>
              <w:rPr>
                <w:rFonts w:ascii="Verdana" w:hAnsi="Verdana"/>
                <w:b/>
                <w:noProof/>
                <w:sz w:val="20"/>
                <w:szCs w:val="20"/>
              </w:rPr>
              <w:t>ANNELIDA</w:t>
            </w:r>
          </w:p>
        </w:tc>
        <w:tc>
          <w:tcPr>
            <w:tcW w:w="429" w:type="dxa"/>
            <w:shd w:val="clear" w:color="auto" w:fill="D9D9D9"/>
          </w:tcPr>
          <w:p>
            <w:pPr>
              <w:spacing w:before="60" w:after="60"/>
              <w:jc w:val="center"/>
              <w:outlineLvl w:val="0"/>
              <w:rPr>
                <w:rFonts w:ascii="Verdana" w:hAnsi="Verdana"/>
                <w:noProof/>
                <w:sz w:val="18"/>
                <w:szCs w:val="18"/>
              </w:rPr>
            </w:pPr>
          </w:p>
        </w:tc>
        <w:tc>
          <w:tcPr>
            <w:tcW w:w="430" w:type="dxa"/>
            <w:shd w:val="clear" w:color="auto" w:fill="D9D9D9"/>
          </w:tcPr>
          <w:p>
            <w:pPr>
              <w:spacing w:before="60" w:after="60"/>
              <w:jc w:val="center"/>
              <w:outlineLvl w:val="0"/>
              <w:rPr>
                <w:rFonts w:ascii="Verdana" w:hAnsi="Verdana"/>
                <w:noProof/>
                <w:sz w:val="18"/>
                <w:szCs w:val="18"/>
              </w:rPr>
            </w:pPr>
          </w:p>
        </w:tc>
        <w:tc>
          <w:tcPr>
            <w:tcW w:w="430" w:type="dxa"/>
            <w:shd w:val="clear" w:color="auto" w:fill="D9D9D9"/>
          </w:tcPr>
          <w:p>
            <w:pPr>
              <w:spacing w:before="60" w:after="60"/>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Fonts w:ascii="Verdana" w:hAnsi="Verdana"/>
                <w:b/>
                <w:noProof/>
                <w:sz w:val="18"/>
                <w:szCs w:val="18"/>
              </w:rPr>
            </w:pPr>
            <w:r>
              <w:rPr>
                <w:rStyle w:val="DontTranslate"/>
                <w:rFonts w:ascii="Verdana" w:hAnsi="Verdana"/>
                <w:b/>
                <w:noProof/>
                <w:sz w:val="18"/>
                <w:szCs w:val="18"/>
              </w:rPr>
              <w:t>HIRUDINOIDEA – ARHYNCHOBDELLAE</w:t>
            </w:r>
          </w:p>
        </w:tc>
        <w:tc>
          <w:tcPr>
            <w:tcW w:w="429" w:type="dxa"/>
            <w:shd w:val="clear" w:color="auto" w:fill="F3F3F3"/>
          </w:tcPr>
          <w:p>
            <w:pPr>
              <w:jc w:val="center"/>
              <w:outlineLvl w:val="0"/>
              <w:rPr>
                <w:rFonts w:ascii="Verdana" w:hAnsi="Verdana"/>
                <w:b/>
                <w:noProof/>
                <w:sz w:val="18"/>
                <w:szCs w:val="18"/>
              </w:rPr>
            </w:pPr>
          </w:p>
        </w:tc>
        <w:tc>
          <w:tcPr>
            <w:tcW w:w="430" w:type="dxa"/>
            <w:shd w:val="clear" w:color="auto" w:fill="F3F3F3"/>
          </w:tcPr>
          <w:p>
            <w:pPr>
              <w:jc w:val="center"/>
              <w:outlineLvl w:val="0"/>
              <w:rPr>
                <w:rFonts w:ascii="Verdana" w:hAnsi="Verdana"/>
                <w:b/>
                <w:noProof/>
                <w:sz w:val="18"/>
                <w:szCs w:val="18"/>
              </w:rPr>
            </w:pPr>
          </w:p>
        </w:tc>
        <w:tc>
          <w:tcPr>
            <w:tcW w:w="430" w:type="dxa"/>
            <w:shd w:val="clear" w:color="auto" w:fill="F3F3F3"/>
          </w:tcPr>
          <w:p>
            <w:pPr>
              <w:jc w:val="center"/>
              <w:outlineLvl w:val="0"/>
              <w:rPr>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r>
              <w:rPr>
                <w:rStyle w:val="DontTranslate"/>
                <w:rFonts w:ascii="Verdana" w:hAnsi="Verdana"/>
                <w:noProof/>
                <w:sz w:val="18"/>
                <w:szCs w:val="18"/>
              </w:rPr>
              <w:t>Hirudinidae</w:t>
            </w:r>
          </w:p>
        </w:tc>
        <w:tc>
          <w:tcPr>
            <w:tcW w:w="429"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Fonts w:ascii="Verdana" w:hAnsi="Verdana"/>
                <w:noProof/>
                <w:sz w:val="18"/>
                <w:szCs w:val="18"/>
              </w:rPr>
            </w:pPr>
            <w:r>
              <w:rPr>
                <w:rStyle w:val="DontTranslate"/>
                <w:rFonts w:ascii="Verdana" w:hAnsi="Verdana"/>
                <w:i/>
                <w:noProof/>
                <w:sz w:val="18"/>
                <w:szCs w:val="18"/>
              </w:rPr>
              <w:t>Hirudo medicinalis</w:t>
            </w:r>
          </w:p>
        </w:tc>
        <w:tc>
          <w:tcPr>
            <w:tcW w:w="429"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r>
              <w:rPr>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Fonts w:ascii="Verdana" w:hAnsi="Verdana"/>
                <w:noProof/>
                <w:sz w:val="18"/>
                <w:szCs w:val="18"/>
              </w:rPr>
            </w:pPr>
          </w:p>
        </w:tc>
        <w:tc>
          <w:tcPr>
            <w:tcW w:w="429"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D9D9D9"/>
          </w:tcPr>
          <w:p>
            <w:pPr>
              <w:spacing w:before="60" w:after="60"/>
              <w:jc w:val="center"/>
              <w:outlineLvl w:val="0"/>
              <w:rPr>
                <w:rFonts w:ascii="Verdana" w:hAnsi="Verdana"/>
                <w:b/>
                <w:noProof/>
                <w:sz w:val="20"/>
                <w:szCs w:val="20"/>
              </w:rPr>
            </w:pPr>
            <w:r>
              <w:rPr>
                <w:rFonts w:ascii="Verdana" w:hAnsi="Verdana"/>
                <w:b/>
                <w:noProof/>
                <w:sz w:val="20"/>
                <w:szCs w:val="20"/>
              </w:rPr>
              <w:t>ARTRÓPODES</w:t>
            </w:r>
          </w:p>
        </w:tc>
        <w:tc>
          <w:tcPr>
            <w:tcW w:w="429" w:type="dxa"/>
            <w:tcBorders>
              <w:bottom w:val="single" w:sz="4" w:space="0" w:color="auto"/>
            </w:tcBorders>
            <w:shd w:val="clear" w:color="auto" w:fill="D9D9D9"/>
          </w:tcPr>
          <w:p>
            <w:pPr>
              <w:spacing w:before="60" w:after="60"/>
              <w:jc w:val="center"/>
              <w:outlineLvl w:val="0"/>
              <w:rPr>
                <w:rFonts w:ascii="Verdana" w:hAnsi="Verdana"/>
                <w:b/>
                <w:noProof/>
                <w:sz w:val="20"/>
                <w:szCs w:val="20"/>
              </w:rPr>
            </w:pPr>
          </w:p>
        </w:tc>
        <w:tc>
          <w:tcPr>
            <w:tcW w:w="430" w:type="dxa"/>
            <w:tcBorders>
              <w:bottom w:val="single" w:sz="4" w:space="0" w:color="auto"/>
            </w:tcBorders>
            <w:shd w:val="clear" w:color="auto" w:fill="D9D9D9"/>
          </w:tcPr>
          <w:p>
            <w:pPr>
              <w:spacing w:before="60" w:after="60"/>
              <w:jc w:val="center"/>
              <w:outlineLvl w:val="0"/>
              <w:rPr>
                <w:rFonts w:ascii="Verdana" w:hAnsi="Verdana"/>
                <w:b/>
                <w:noProof/>
                <w:sz w:val="20"/>
                <w:szCs w:val="20"/>
              </w:rPr>
            </w:pPr>
          </w:p>
        </w:tc>
        <w:tc>
          <w:tcPr>
            <w:tcW w:w="430" w:type="dxa"/>
            <w:tcBorders>
              <w:bottom w:val="single" w:sz="4" w:space="0" w:color="auto"/>
            </w:tcBorders>
            <w:shd w:val="clear" w:color="auto" w:fill="D9D9D9"/>
          </w:tcPr>
          <w:p>
            <w:pPr>
              <w:spacing w:before="60" w:after="60"/>
              <w:jc w:val="center"/>
              <w:outlineLvl w:val="0"/>
              <w:rPr>
                <w:rFonts w:ascii="Verdana" w:hAnsi="Verdana"/>
                <w:b/>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CRUSTACEA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Decapoda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Astacus astacus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Austropotamobius pallipes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 Austropotamobius torrentium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Scyllarides latus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Isopoda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Armadillidium ghardalamensis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INSECTA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Coleoptera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Agathidium pulchellum</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Bolbelasmus unicornis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Boros schneideri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Buprestis splendens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hampei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Carabus hungaricus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Carabus menetriesi pacholei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Carabus olympiae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variolosus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zawadszkii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Cerambyx cerdo</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Corticaria planula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Cucujus cinnaberinus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Dorcadion fulvum cervae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Duvalius gebhardti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Duvalius hungaricus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Dytiscus latissimus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Graphoderus bilineatus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Leptodirus hochenwarti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Limoniscus violaceus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Lucanus cervus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Macroplea pubipennis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Mesosa myops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Morimus funereus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Osmoderma eremita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Oxyporus mannerheimii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Pilemia tigrina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Phryganophilus ruficollis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Probaticus subrugosus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Propomacrus cypriacus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Pseudogaurotina excellens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Pseudoseriscius cameroni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Pytho kolwensis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Rhysodes sulcatus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Rosalia alpina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Stephanopachys linearis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Stephanopachys substriatus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Xyletinus tremulicola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Hemiptera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Aradus angularis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Lepidoptera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Agriades glandon aquilo</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Apatura metis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Arytrura musculus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Callimorpha (Euplagia, Panaxia) quadripunctaria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Catopta thrips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Chondrosoma fiduciarium</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Clossiana improba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Coenonympha hero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Coenonympha oedippus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Colias myrmidone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Cucullia mixta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Dioszeghyana schmidtii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Erannis ankeraria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Erebia calcaria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Erebia christi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Erebia medusa polaris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Erebia sudetica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Eriogaster catax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Euphydryas (Eurodryas, Hypodryas) aurinia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Fabriciana elisa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Glyphipterix loricatella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Gortyna borelii lunata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Graellsia isabellae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Hesperia comma catena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Hypodryas maturna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Hyles hippophaes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Leptidea morsei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Lignyoptera fumidaria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Lopinga achine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Lycaena dispar</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Lycaena helle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Maculinea arion</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Maculinea nausithous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Maculinea teleius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Melanargia arge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Nymphalis vaualbum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Papilio alexanor</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Papilio hospiton</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Parnassius apollo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Parnassius mnemosyne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Phyllometra culminaria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Plebicula golgus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Polymixis rufocincta isolata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Polyommatus eroides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Proterebia afra dalmata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Proserpinus proserpina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Pseudophilotes bavius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Xestia borealis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Xestia brunneopicta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Xylomoia strix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Zerynthia polyxena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Mantodea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Apteromantis aptera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Odonata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Aeshna viridis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Coenagrion hylas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Coenagrion mercuriale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Coenagrion ornatum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Cordulegaster heros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Cordulegaster trinacriae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Gomphus graslinii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Leucorrhinia albifrons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Leucorrhinia caudalis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Leucorrhinia pectoralis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Lindenia tetraphylla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Macromia splendens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Ophiogomphus cecilia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Oxygastra curtisii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Stylurus flavipes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Sympecma braueri</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Orthoptera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Baetica ustulata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Brachytrupes megacephalus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costata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harzi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stysi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Myrmecophilus baronii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Odontopodisma rubripes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Paracaloptenus caloptenoides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Pholidoptera transsylvanica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Saga pedo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Stenobothrus (Stenobothrodes) eurasius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i/>
                <w:noProof/>
                <w:sz w:val="18"/>
                <w:szCs w:val="18"/>
              </w:rPr>
            </w:pP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ARACHNIDA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Araneae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Fonts w:ascii="Verdana" w:hAnsi="Verdana"/>
                <w:i/>
                <w:noProof/>
                <w:sz w:val="18"/>
                <w:szCs w:val="18"/>
              </w:rPr>
              <w:t>Macrothele calpeiana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Pseudoscorpiones</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Anthrenochernes stellae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D9D9D9"/>
          </w:tcPr>
          <w:p>
            <w:pPr>
              <w:spacing w:before="60" w:after="60"/>
              <w:jc w:val="center"/>
              <w:outlineLvl w:val="0"/>
              <w:rPr>
                <w:rFonts w:ascii="Verdana" w:hAnsi="Verdana"/>
                <w:b/>
                <w:noProof/>
                <w:sz w:val="20"/>
                <w:szCs w:val="20"/>
              </w:rPr>
            </w:pPr>
            <w:r>
              <w:rPr>
                <w:rStyle w:val="DontTranslate"/>
                <w:rFonts w:ascii="Verdana" w:hAnsi="Verdana"/>
                <w:b/>
                <w:noProof/>
                <w:sz w:val="20"/>
                <w:szCs w:val="20"/>
              </w:rPr>
              <w:t>COELENTERATA</w:t>
            </w:r>
          </w:p>
        </w:tc>
        <w:tc>
          <w:tcPr>
            <w:tcW w:w="429" w:type="dxa"/>
            <w:shd w:val="clear" w:color="auto" w:fill="D9D9D9"/>
          </w:tcPr>
          <w:p>
            <w:pPr>
              <w:spacing w:before="60" w:after="60"/>
              <w:jc w:val="center"/>
              <w:rPr>
                <w:rFonts w:ascii="Verdana" w:hAnsi="Verdana"/>
                <w:b/>
                <w:noProof/>
                <w:sz w:val="20"/>
                <w:szCs w:val="20"/>
              </w:rPr>
            </w:pPr>
          </w:p>
        </w:tc>
        <w:tc>
          <w:tcPr>
            <w:tcW w:w="430" w:type="dxa"/>
            <w:shd w:val="clear" w:color="auto" w:fill="D9D9D9"/>
          </w:tcPr>
          <w:p>
            <w:pPr>
              <w:spacing w:before="60" w:after="60"/>
              <w:jc w:val="center"/>
              <w:rPr>
                <w:rFonts w:ascii="Verdana" w:hAnsi="Verdana"/>
                <w:b/>
                <w:noProof/>
                <w:sz w:val="20"/>
                <w:szCs w:val="20"/>
              </w:rPr>
            </w:pPr>
          </w:p>
        </w:tc>
        <w:tc>
          <w:tcPr>
            <w:tcW w:w="430" w:type="dxa"/>
            <w:shd w:val="clear" w:color="auto" w:fill="D9D9D9"/>
          </w:tcPr>
          <w:p>
            <w:pPr>
              <w:spacing w:before="60" w:after="60"/>
              <w:jc w:val="center"/>
              <w:rPr>
                <w:rFonts w:ascii="Verdana" w:hAnsi="Verdana"/>
                <w:b/>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r>
              <w:rPr>
                <w:rStyle w:val="DontTranslate"/>
                <w:rFonts w:ascii="Verdana" w:hAnsi="Verdana"/>
                <w:noProof/>
                <w:sz w:val="18"/>
                <w:szCs w:val="18"/>
              </w:rPr>
              <w:t>Cnidaria</w:t>
            </w: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Corallium rubrum</w:t>
            </w: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r>
              <w:rPr>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D9D9D9"/>
          </w:tcPr>
          <w:p>
            <w:pPr>
              <w:spacing w:before="60" w:after="60"/>
              <w:jc w:val="center"/>
              <w:outlineLvl w:val="0"/>
              <w:rPr>
                <w:rFonts w:ascii="Verdana" w:hAnsi="Verdana"/>
                <w:b/>
                <w:i/>
                <w:noProof/>
                <w:sz w:val="20"/>
                <w:szCs w:val="20"/>
              </w:rPr>
            </w:pPr>
            <w:r>
              <w:rPr>
                <w:rFonts w:ascii="Verdana" w:hAnsi="Verdana"/>
                <w:b/>
                <w:noProof/>
                <w:sz w:val="20"/>
                <w:szCs w:val="20"/>
              </w:rPr>
              <w:t>MOLUSCOS</w:t>
            </w:r>
          </w:p>
        </w:tc>
        <w:tc>
          <w:tcPr>
            <w:tcW w:w="429" w:type="dxa"/>
            <w:shd w:val="clear" w:color="auto" w:fill="D9D9D9"/>
          </w:tcPr>
          <w:p>
            <w:pPr>
              <w:jc w:val="center"/>
              <w:outlineLvl w:val="0"/>
              <w:rPr>
                <w:rFonts w:ascii="Verdana" w:hAnsi="Verdana"/>
                <w:noProof/>
                <w:sz w:val="18"/>
                <w:szCs w:val="18"/>
              </w:rPr>
            </w:pPr>
          </w:p>
        </w:tc>
        <w:tc>
          <w:tcPr>
            <w:tcW w:w="430" w:type="dxa"/>
            <w:shd w:val="clear" w:color="auto" w:fill="D9D9D9"/>
          </w:tcPr>
          <w:p>
            <w:pPr>
              <w:jc w:val="center"/>
              <w:outlineLvl w:val="0"/>
              <w:rPr>
                <w:rFonts w:ascii="Verdana" w:hAnsi="Verdana"/>
                <w:noProof/>
                <w:sz w:val="18"/>
                <w:szCs w:val="18"/>
              </w:rPr>
            </w:pPr>
          </w:p>
        </w:tc>
        <w:tc>
          <w:tcPr>
            <w:tcW w:w="430" w:type="dxa"/>
            <w:shd w:val="clear" w:color="auto" w:fill="D9D9D9"/>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GASTROPODA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 xml:space="preserve">Anisus vorticulus </w:t>
            </w:r>
          </w:p>
        </w:tc>
        <w:tc>
          <w:tcPr>
            <w:tcW w:w="429"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calculus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commixta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sphaerula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Chilostoma banaticum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leacockiana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tabellata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testudinalis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turricula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Discus defloratus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Discus guerinianus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Elona quimperiana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Geomalacus maculosus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Geomitra moniziana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Gibbula nivosa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Helicopsis striata austriaca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Helix pomatia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Hygromia kovacsi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Idiomela (Helix) subplicata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Lampedusa imitatrix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Lampedusa melitensis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abbreviata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cassida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corneocostata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gibba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lamellosa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Paladilhia hungarica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Patella feruginea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Sadleriana pannonica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Theodoxus prevostianus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Theodoxus transversalis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angustior</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genesii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geyeri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moulinsiana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BIVALVIA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Anisomyaria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Fonts w:ascii="Verdana" w:hAnsi="Verdana"/>
                <w:i/>
                <w:noProof/>
                <w:sz w:val="18"/>
                <w:szCs w:val="18"/>
              </w:rPr>
              <w:t>Lithophaga lithophaga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Pinna nobilis</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Unionoida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Margaritifera auricularia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Margaritifera durrovensis (Margaritifera margaritifera)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Margaritifera margaritifera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Microcondylaea compressa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Unio crassus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Unio elongatulus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Dreissenidae</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Congeria kusceri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i/>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CCCCCC"/>
          </w:tcPr>
          <w:p>
            <w:pPr>
              <w:spacing w:before="60" w:after="60"/>
              <w:jc w:val="center"/>
              <w:rPr>
                <w:rStyle w:val="DontTranslate"/>
                <w:rFonts w:ascii="Verdana" w:hAnsi="Verdana"/>
                <w:b/>
                <w:i/>
                <w:noProof/>
                <w:sz w:val="20"/>
                <w:szCs w:val="20"/>
              </w:rPr>
            </w:pPr>
            <w:r>
              <w:rPr>
                <w:rStyle w:val="DontTranslate"/>
                <w:rFonts w:ascii="Verdana" w:hAnsi="Verdana"/>
                <w:b/>
                <w:noProof/>
                <w:sz w:val="20"/>
                <w:szCs w:val="20"/>
              </w:rPr>
              <w:t>ECHINODERMATA</w:t>
            </w:r>
          </w:p>
        </w:tc>
        <w:tc>
          <w:tcPr>
            <w:tcW w:w="429" w:type="dxa"/>
            <w:shd w:val="clear" w:color="auto" w:fill="CCCCCC"/>
          </w:tcPr>
          <w:p>
            <w:pPr>
              <w:spacing w:before="60" w:after="60"/>
              <w:jc w:val="center"/>
              <w:rPr>
                <w:rStyle w:val="DontTranslate"/>
                <w:rFonts w:ascii="Verdana" w:hAnsi="Verdana"/>
                <w:b/>
                <w:noProof/>
                <w:sz w:val="20"/>
                <w:szCs w:val="20"/>
              </w:rPr>
            </w:pPr>
          </w:p>
        </w:tc>
        <w:tc>
          <w:tcPr>
            <w:tcW w:w="430" w:type="dxa"/>
            <w:shd w:val="clear" w:color="auto" w:fill="CCCCCC"/>
          </w:tcPr>
          <w:p>
            <w:pPr>
              <w:spacing w:before="60" w:after="60"/>
              <w:jc w:val="center"/>
              <w:rPr>
                <w:rStyle w:val="DontTranslate"/>
                <w:rFonts w:ascii="Verdana" w:hAnsi="Verdana"/>
                <w:b/>
                <w:noProof/>
                <w:sz w:val="20"/>
                <w:szCs w:val="20"/>
              </w:rPr>
            </w:pPr>
          </w:p>
        </w:tc>
        <w:tc>
          <w:tcPr>
            <w:tcW w:w="430" w:type="dxa"/>
            <w:shd w:val="clear" w:color="auto" w:fill="CCCCCC"/>
          </w:tcPr>
          <w:p>
            <w:pPr>
              <w:spacing w:before="60" w:after="60"/>
              <w:jc w:val="center"/>
              <w:rPr>
                <w:rStyle w:val="DontTranslate"/>
                <w:rFonts w:ascii="Verdana" w:hAnsi="Verdana"/>
                <w:b/>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Echinoidea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Centrostephanus longispinus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9085" w:type="dxa"/>
            <w:gridSpan w:val="8"/>
            <w:shd w:val="clear" w:color="auto" w:fill="auto"/>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9085" w:type="dxa"/>
            <w:gridSpan w:val="8"/>
            <w:shd w:val="clear" w:color="auto" w:fill="auto"/>
          </w:tcPr>
          <w:p>
            <w:pPr>
              <w:jc w:val="center"/>
              <w:rPr>
                <w:rFonts w:ascii="Verdana" w:hAnsi="Verdana"/>
                <w:noProof/>
                <w:sz w:val="18"/>
                <w:szCs w:val="18"/>
              </w:rPr>
            </w:pPr>
          </w:p>
        </w:tc>
      </w:tr>
    </w:tbl>
    <w:p>
      <w:pPr>
        <w:rPr>
          <w:noProof/>
        </w:rPr>
      </w:pPr>
    </w:p>
    <w:p>
      <w:pPr>
        <w:rPr>
          <w:noProof/>
        </w:rPr>
      </w:pPr>
    </w:p>
    <w:p>
      <w:pPr>
        <w:rPr>
          <w:noProof/>
          <w:sz w:val="20"/>
          <w:szCs w:val="20"/>
        </w:rPr>
      </w:pPr>
      <w:r>
        <w:rPr>
          <w:noProof/>
        </w:rPr>
        <w:br w:type="page"/>
      </w:r>
    </w:p>
    <w:p>
      <w:pPr>
        <w:spacing w:line="360" w:lineRule="auto"/>
        <w:rPr>
          <w:noProof/>
          <w:sz w:val="20"/>
          <w:szCs w:val="20"/>
        </w:rPr>
        <w:sectPr>
          <w:headerReference w:type="even" r:id="rId19"/>
          <w:headerReference w:type="default" r:id="rId20"/>
          <w:footerReference w:type="even" r:id="rId21"/>
          <w:footerReference w:type="default" r:id="rId22"/>
          <w:headerReference w:type="first" r:id="rId23"/>
          <w:footerReference w:type="first" r:id="rId24"/>
          <w:pgSz w:w="11900" w:h="16820"/>
          <w:pgMar w:top="1191" w:right="1418" w:bottom="1247" w:left="1418" w:header="720" w:footer="720" w:gutter="0"/>
          <w:pgNumType w:start="1"/>
          <w:cols w:space="720"/>
          <w:noEndnote/>
          <w:titlePg/>
        </w:sectPr>
      </w:pPr>
    </w:p>
    <w:p>
      <w:pPr>
        <w:pStyle w:val="h2"/>
        <w:rPr>
          <w:noProof/>
          <w:sz w:val="20"/>
          <w:szCs w:val="20"/>
        </w:rPr>
      </w:pPr>
      <w:r>
        <w:rPr>
          <w:noProof/>
        </w:rPr>
        <w:t>ANEXO</w:t>
      </w:r>
      <w:r>
        <w:rPr>
          <w:noProof/>
          <w:color w:val="000090"/>
        </w:rPr>
        <w:t xml:space="preserve"> </w:t>
      </w:r>
      <w:r>
        <w:rPr>
          <w:noProof/>
        </w:rPr>
        <w:t>III</w:t>
      </w:r>
    </w:p>
    <w:p>
      <w:pPr>
        <w:pStyle w:val="anxsub"/>
        <w:rPr>
          <w:noProof/>
        </w:rPr>
      </w:pPr>
      <w:r>
        <w:rPr>
          <w:noProof/>
        </w:rPr>
        <w:t xml:space="preserve">Aplicação do artigo 12.º da Diretiva </w:t>
      </w:r>
      <w:r>
        <w:rPr>
          <w:i/>
          <w:iCs/>
          <w:noProof/>
        </w:rPr>
        <w:t>Habitats</w:t>
      </w:r>
      <w:r>
        <w:rPr>
          <w:noProof/>
        </w:rPr>
        <w:t>:</w:t>
      </w:r>
    </w:p>
    <w:p>
      <w:pPr>
        <w:tabs>
          <w:tab w:val="left" w:pos="1800"/>
        </w:tabs>
        <w:spacing w:after="240"/>
        <w:ind w:left="1080" w:hanging="1080"/>
        <w:jc w:val="center"/>
        <w:rPr>
          <w:b/>
          <w:noProof/>
        </w:rPr>
      </w:pPr>
      <w:r>
        <w:rPr>
          <w:rFonts w:ascii="Verdana" w:hAnsi="Verdana"/>
          <w:b/>
          <w:noProof/>
        </w:rPr>
        <w:t>o exemplo do lobo</w:t>
      </w:r>
    </w:p>
    <w:p>
      <w:pPr>
        <w:tabs>
          <w:tab w:val="left" w:pos="1800"/>
        </w:tabs>
        <w:spacing w:after="240"/>
        <w:ind w:left="1080" w:hanging="1080"/>
        <w:jc w:val="both"/>
        <w:rPr>
          <w:b/>
          <w:noProof/>
        </w:rPr>
      </w:pPr>
    </w:p>
    <w:p>
      <w:pPr>
        <w:spacing w:after="240"/>
        <w:jc w:val="both"/>
        <w:rPr>
          <w:rFonts w:ascii="Verdana" w:hAnsi="Verdana" w:cs="Cambria"/>
          <w:b/>
          <w:bCs/>
          <w:noProof/>
          <w:sz w:val="20"/>
          <w:szCs w:val="20"/>
        </w:rPr>
      </w:pPr>
      <w:r>
        <w:rPr>
          <w:rFonts w:ascii="Verdana" w:hAnsi="Verdana"/>
          <w:b/>
          <w:bCs/>
          <w:noProof/>
          <w:sz w:val="20"/>
          <w:szCs w:val="20"/>
        </w:rPr>
        <w:t>1. Contexto — Introdução</w:t>
      </w:r>
    </w:p>
    <w:p>
      <w:pPr>
        <w:pStyle w:val="paragraph"/>
        <w:spacing w:before="0" w:beforeAutospacing="0" w:after="0" w:afterAutospacing="0"/>
        <w:jc w:val="both"/>
        <w:textAlignment w:val="baseline"/>
        <w:rPr>
          <w:rStyle w:val="normaltextrun"/>
          <w:rFonts w:ascii="Verdana" w:hAnsi="Verdana" w:cs="Segoe UI"/>
          <w:noProof/>
          <w:color w:val="000000" w:themeColor="text1"/>
          <w:sz w:val="20"/>
        </w:rPr>
      </w:pPr>
      <w:r>
        <w:rPr>
          <w:rStyle w:val="normaltextrun"/>
          <w:rFonts w:ascii="Verdana" w:hAnsi="Verdana"/>
          <w:noProof/>
          <w:color w:val="000000" w:themeColor="text1"/>
          <w:sz w:val="20"/>
        </w:rPr>
        <w:t>O lobo pertence à fauna nativa europeia e é parte integrante da nossa biodiversidade e do nosso património natural. Enquanto grande predador, tem um papel ecológico importante, contribuindo para a saúde e o funcionamento dos ecossistemas. Nomeadamente, ajuda a regular a densidade das espécies de que se alimenta</w:t>
      </w:r>
      <w:r>
        <w:rPr>
          <w:rFonts w:ascii="Verdana" w:hAnsi="Verdana" w:cs="Cambria"/>
          <w:noProof/>
          <w:sz w:val="20"/>
          <w:szCs w:val="20"/>
          <w:vertAlign w:val="superscript"/>
        </w:rPr>
        <w:footnoteReference w:id="168"/>
      </w:r>
      <w:r>
        <w:rPr>
          <w:noProof/>
          <w:szCs w:val="20"/>
          <w:vertAlign w:val="superscript"/>
        </w:rPr>
        <w:t> </w:t>
      </w:r>
      <w:r>
        <w:rPr>
          <w:rStyle w:val="normaltextrun"/>
          <w:rFonts w:ascii="Verdana" w:hAnsi="Verdana"/>
          <w:noProof/>
          <w:color w:val="000000" w:themeColor="text1"/>
          <w:sz w:val="20"/>
        </w:rPr>
        <w:t>(normalmente, ungulados selvagens, como o corço, o veado e o javali, mas também a camurça e o alce, dependendo da zona) e a melhorar a saúde dessas espécies através da predação seletiva. O lobo costumava estar presente em toda a Europa continental, mas, na primeira metade do séc. XX, tinha sido exterminado na maioria das regiões e dos países.</w:t>
      </w:r>
    </w:p>
    <w:p>
      <w:pPr>
        <w:pStyle w:val="paragraph"/>
        <w:spacing w:before="0" w:beforeAutospacing="0" w:after="0" w:afterAutospacing="0"/>
        <w:jc w:val="both"/>
        <w:textAlignment w:val="baseline"/>
        <w:rPr>
          <w:rFonts w:ascii="Segoe UI" w:hAnsi="Segoe UI" w:cs="Segoe UI"/>
          <w:noProof/>
          <w:color w:val="000000" w:themeColor="text1"/>
          <w:sz w:val="18"/>
          <w:szCs w:val="18"/>
        </w:rPr>
      </w:pPr>
    </w:p>
    <w:p>
      <w:pPr>
        <w:pStyle w:val="paragraph"/>
        <w:spacing w:before="0" w:beforeAutospacing="0" w:after="0" w:afterAutospacing="0"/>
        <w:jc w:val="both"/>
        <w:textAlignment w:val="baseline"/>
        <w:rPr>
          <w:rFonts w:ascii="Segoe UI" w:hAnsi="Segoe UI" w:cs="Segoe UI"/>
          <w:noProof/>
          <w:color w:val="000000" w:themeColor="text1"/>
          <w:sz w:val="18"/>
          <w:szCs w:val="18"/>
        </w:rPr>
      </w:pPr>
      <w:r>
        <w:rPr>
          <w:rStyle w:val="normaltextrun"/>
          <w:rFonts w:ascii="Verdana" w:hAnsi="Verdana"/>
          <w:noProof/>
          <w:color w:val="000000" w:themeColor="text1"/>
          <w:sz w:val="20"/>
        </w:rPr>
        <w:t>O relatório de 2020 da Agência Europeia do Ambiente sobre o estado da natureza</w:t>
      </w:r>
      <w:r>
        <w:rPr>
          <w:rFonts w:ascii="Verdana" w:hAnsi="Verdana" w:cs="Cambria"/>
          <w:noProof/>
          <w:sz w:val="20"/>
          <w:szCs w:val="20"/>
          <w:vertAlign w:val="superscript"/>
        </w:rPr>
        <w:footnoteReference w:id="169"/>
      </w:r>
      <w:r>
        <w:rPr>
          <w:rStyle w:val="normaltextrun"/>
          <w:rFonts w:ascii="Verdana" w:hAnsi="Verdana"/>
          <w:noProof/>
          <w:color w:val="000000" w:themeColor="text1"/>
          <w:sz w:val="20"/>
        </w:rPr>
        <w:t>, com base em dados comunicados pelos Estados-Membros, confirma que as populações de lobos estão, em geral, a recuperar (estáveis ou em aumento) na UE e que estão a recolonizar partes da sua área de repartição histórica, embora tenham atingido um estado de conservação favorável em apenas alguns Estados-Membros</w:t>
      </w:r>
      <w:r>
        <w:rPr>
          <w:rFonts w:ascii="Verdana" w:hAnsi="Verdana" w:cs="Cambria"/>
          <w:noProof/>
          <w:sz w:val="20"/>
          <w:szCs w:val="20"/>
          <w:vertAlign w:val="superscript"/>
        </w:rPr>
        <w:footnoteReference w:id="170"/>
      </w:r>
      <w:r>
        <w:rPr>
          <w:rStyle w:val="normaltextrun"/>
          <w:rFonts w:ascii="Verdana" w:hAnsi="Verdana"/>
          <w:noProof/>
          <w:color w:val="000000" w:themeColor="text1"/>
          <w:sz w:val="20"/>
        </w:rPr>
        <w:t>. O regresso do lobo é um grande êxito da conservação</w:t>
      </w:r>
      <w:r>
        <w:rPr>
          <w:rFonts w:ascii="Verdana" w:hAnsi="Verdana" w:cs="Cambria"/>
          <w:noProof/>
          <w:sz w:val="20"/>
          <w:szCs w:val="20"/>
          <w:vertAlign w:val="superscript"/>
        </w:rPr>
        <w:footnoteReference w:id="171"/>
      </w:r>
      <w:r>
        <w:rPr>
          <w:rStyle w:val="normaltextrun"/>
          <w:rFonts w:ascii="Verdana" w:hAnsi="Verdana"/>
          <w:noProof/>
          <w:color w:val="000000" w:themeColor="text1"/>
          <w:sz w:val="20"/>
        </w:rPr>
        <w:t>, que foi possibilitado pela proteção legal, por atitudes mais favoráveis por parte do público e pela recuperação das suas espécies-presas (por exemplo, veado e javali) e do coberto florestal (após o abandono de terrenos agrícolas).</w:t>
      </w:r>
    </w:p>
    <w:p>
      <w:pPr>
        <w:pStyle w:val="paragraph"/>
        <w:spacing w:before="0" w:beforeAutospacing="0" w:after="0" w:afterAutospacing="0"/>
        <w:jc w:val="both"/>
        <w:textAlignment w:val="baseline"/>
        <w:rPr>
          <w:rStyle w:val="normaltextrun"/>
          <w:rFonts w:ascii="Verdana" w:hAnsi="Verdana" w:cs="Segoe UI"/>
          <w:noProof/>
          <w:color w:val="000000" w:themeColor="text1"/>
          <w:sz w:val="20"/>
        </w:rPr>
      </w:pPr>
    </w:p>
    <w:p>
      <w:pPr>
        <w:pStyle w:val="paragraph"/>
        <w:spacing w:before="0" w:beforeAutospacing="0" w:after="0" w:afterAutospacing="0"/>
        <w:jc w:val="both"/>
        <w:textAlignment w:val="baseline"/>
        <w:rPr>
          <w:rFonts w:ascii="Segoe UI" w:hAnsi="Segoe UI" w:cs="Segoe UI"/>
          <w:noProof/>
          <w:sz w:val="18"/>
          <w:szCs w:val="18"/>
        </w:rPr>
      </w:pPr>
      <w:r>
        <w:rPr>
          <w:rStyle w:val="normaltextrun"/>
          <w:rFonts w:ascii="Verdana" w:hAnsi="Verdana"/>
          <w:noProof/>
          <w:color w:val="000000" w:themeColor="text1"/>
          <w:sz w:val="20"/>
        </w:rPr>
        <w:t>Simultaneamente, o regresso do lobo a regiões de que estava ausente há décadas ou mais constitui um desafio importante para os Estados-Membros, na medida em que esta espécie é associada frequentemente a vários tipos de conflitos</w:t>
      </w:r>
      <w:r>
        <w:rPr>
          <w:rFonts w:ascii="Verdana" w:hAnsi="Verdana"/>
          <w:noProof/>
          <w:sz w:val="20"/>
          <w:szCs w:val="20"/>
        </w:rPr>
        <w:t xml:space="preserve"> e pode provocar fortes protestos sociais e reações entre as comunidades rurais em questão.</w:t>
      </w:r>
    </w:p>
    <w:p>
      <w:pPr>
        <w:jc w:val="both"/>
        <w:rPr>
          <w:rFonts w:ascii="Verdana" w:hAnsi="Verdana" w:cs="Cambria"/>
          <w:noProof/>
          <w:sz w:val="20"/>
          <w:szCs w:val="20"/>
        </w:rPr>
      </w:pPr>
    </w:p>
    <w:p>
      <w:pPr>
        <w:spacing w:after="240"/>
        <w:jc w:val="both"/>
        <w:rPr>
          <w:rFonts w:ascii="Verdana" w:hAnsi="Verdana" w:cs="Cambria"/>
          <w:noProof/>
          <w:sz w:val="20"/>
          <w:szCs w:val="20"/>
        </w:rPr>
      </w:pPr>
      <w:r>
        <w:rPr>
          <w:rFonts w:ascii="Verdana" w:hAnsi="Verdana"/>
          <w:noProof/>
          <w:sz w:val="20"/>
          <w:szCs w:val="20"/>
        </w:rPr>
        <w:t>À semelhança de outros grandes carnívoros, os lobos necessitam de áreas muito grandes, com espécimes e alcateias a utilizarem centenas de milhares de km</w:t>
      </w:r>
      <w:r>
        <w:rPr>
          <w:rFonts w:ascii="Verdana" w:hAnsi="Verdana"/>
          <w:noProof/>
          <w:sz w:val="20"/>
          <w:szCs w:val="20"/>
          <w:vertAlign w:val="superscript"/>
        </w:rPr>
        <w:t>2</w:t>
      </w:r>
      <w:r>
        <w:rPr>
          <w:rFonts w:ascii="Verdana" w:hAnsi="Verdana"/>
          <w:noProof/>
          <w:sz w:val="20"/>
          <w:szCs w:val="20"/>
        </w:rPr>
        <w:t xml:space="preserve"> como seu território. Consequentemente, estão presentes em densidades muito baixas e as suas populações tendem a propagar-se por áreas muito vastas, normalmente atravessando muitas fronteiras administrativas, tanto dentro de um país como entre países. Por conseguinte, de um ponto de vista biológico, é recomendável que as medidas de conservação e gestão sejam tão coordenadas e coerentes quanto possível. Tal sublinha a necessidade de cooperação transfronteiriça, por exemplo, através da aplicação de abordagens coerentes e coordenadas ao nível da população de lobos. Estão disponíveis mais orientações no documento </w:t>
      </w:r>
      <w:r>
        <w:rPr>
          <w:rFonts w:ascii="Verdana" w:hAnsi="Verdana"/>
          <w:i/>
          <w:noProof/>
          <w:sz w:val="20"/>
          <w:szCs w:val="20"/>
        </w:rPr>
        <w:t>Guidelines for population-level management plans of large carnivores in Europe</w:t>
      </w:r>
      <w:r>
        <w:rPr>
          <w:rFonts w:ascii="Verdana" w:hAnsi="Verdana"/>
          <w:noProof/>
          <w:sz w:val="20"/>
          <w:szCs w:val="20"/>
        </w:rPr>
        <w:t xml:space="preserve"> [Orientações para planos de gestão populacional de grandes carnívoros na Europa], elaborado para a Comissão Europeia (Linnell </w:t>
      </w:r>
      <w:r>
        <w:rPr>
          <w:rFonts w:ascii="Verdana" w:hAnsi="Verdana"/>
          <w:i/>
          <w:iCs/>
          <w:noProof/>
          <w:sz w:val="20"/>
          <w:szCs w:val="20"/>
        </w:rPr>
        <w:t>et al</w:t>
      </w:r>
      <w:r>
        <w:rPr>
          <w:rFonts w:ascii="Verdana" w:hAnsi="Verdana"/>
          <w:noProof/>
          <w:sz w:val="20"/>
          <w:szCs w:val="20"/>
        </w:rPr>
        <w:t>., 2008)</w:t>
      </w:r>
      <w:r>
        <w:rPr>
          <w:rFonts w:ascii="Verdana" w:hAnsi="Verdana" w:cs="Cambria"/>
          <w:noProof/>
          <w:sz w:val="20"/>
          <w:szCs w:val="20"/>
          <w:vertAlign w:val="superscript"/>
        </w:rPr>
        <w:footnoteReference w:id="172"/>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 xml:space="preserve">O lobo consta do anexo IV da Diretiva </w:t>
      </w:r>
      <w:r>
        <w:rPr>
          <w:rFonts w:ascii="Verdana" w:hAnsi="Verdana"/>
          <w:i/>
          <w:iCs/>
          <w:noProof/>
          <w:sz w:val="20"/>
          <w:szCs w:val="20"/>
        </w:rPr>
        <w:t>Habitats</w:t>
      </w:r>
      <w:r>
        <w:rPr>
          <w:rFonts w:ascii="Verdana" w:hAnsi="Verdana"/>
          <w:noProof/>
          <w:sz w:val="20"/>
          <w:szCs w:val="20"/>
        </w:rPr>
        <w:t xml:space="preserve"> para a maioria dos Estados-Membros e regiões, pelo que está sujeito às disposições de proteção rigorosa do artigo 12.º da Diretiva </w:t>
      </w:r>
      <w:r>
        <w:rPr>
          <w:rFonts w:ascii="Verdana" w:hAnsi="Verdana"/>
          <w:i/>
          <w:iCs/>
          <w:noProof/>
          <w:sz w:val="20"/>
          <w:szCs w:val="20"/>
        </w:rPr>
        <w:t>Habitats</w:t>
      </w:r>
      <w:r>
        <w:rPr>
          <w:rFonts w:ascii="Verdana" w:hAnsi="Verdana"/>
          <w:noProof/>
          <w:sz w:val="20"/>
          <w:szCs w:val="20"/>
        </w:rPr>
        <w:t>, nomeadamente a proibição de todas as formas de captura ou abate intencionais de espécimes no meio natural.</w:t>
      </w:r>
    </w:p>
    <w:p>
      <w:pPr>
        <w:spacing w:after="240"/>
        <w:jc w:val="both"/>
        <w:rPr>
          <w:rFonts w:ascii="Verdana" w:hAnsi="Verdana" w:cs="Cambria"/>
          <w:noProof/>
          <w:sz w:val="20"/>
          <w:szCs w:val="20"/>
        </w:rPr>
      </w:pPr>
      <w:r>
        <w:rPr>
          <w:rFonts w:ascii="Verdana" w:hAnsi="Verdana"/>
          <w:noProof/>
          <w:sz w:val="20"/>
          <w:szCs w:val="20"/>
        </w:rPr>
        <w:t xml:space="preserve">Para certos Estados-Membros e regiões, o lobo consta do anexo V, enquanto espécie «cuja captura ou colheita na natureza e exploração podem ser objeto de medidas de gestão». Para a maioria dos Estados-Membros e regiões, o lobo faz também parte do anexo II, enquanto espécie prioritária que exige a designação de zonas especiais de conservação (ZEC) e medidas de conservação adequadas. O quadro 1 mostra que populações estão incluídas em que anexo da Diretiva </w:t>
      </w:r>
      <w:r>
        <w:rPr>
          <w:rFonts w:ascii="Verdana" w:hAnsi="Verdana"/>
          <w:i/>
          <w:iCs/>
          <w:noProof/>
          <w:sz w:val="20"/>
          <w:szCs w:val="20"/>
        </w:rPr>
        <w:t>Habitats</w:t>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 xml:space="preserve">QUADRO 1. Listagem do lobo nos anexos da Diretiva </w:t>
      </w:r>
      <w:r>
        <w:rPr>
          <w:rFonts w:ascii="Verdana" w:hAnsi="Verdana"/>
          <w:i/>
          <w:iCs/>
          <w:noProof/>
          <w:sz w:val="20"/>
          <w:szCs w:val="20"/>
        </w:rPr>
        <w:t>Habitats</w:t>
      </w:r>
    </w:p>
    <w:p>
      <w:pPr>
        <w:pBdr>
          <w:top w:val="single" w:sz="4" w:space="1" w:color="auto"/>
          <w:left w:val="single" w:sz="4" w:space="4" w:color="auto"/>
          <w:bottom w:val="single" w:sz="4" w:space="0" w:color="auto"/>
          <w:right w:val="single" w:sz="4" w:space="4" w:color="auto"/>
        </w:pBdr>
        <w:shd w:val="clear" w:color="auto" w:fill="CCFFCC"/>
        <w:spacing w:after="240"/>
        <w:jc w:val="both"/>
        <w:rPr>
          <w:rFonts w:ascii="Verdana" w:hAnsi="Verdana" w:cs="Cambria"/>
          <w:noProof/>
          <w:sz w:val="18"/>
          <w:szCs w:val="18"/>
        </w:rPr>
      </w:pPr>
      <w:r>
        <w:rPr>
          <w:rFonts w:ascii="Verdana" w:hAnsi="Verdana"/>
          <w:noProof/>
          <w:sz w:val="18"/>
          <w:szCs w:val="18"/>
        </w:rPr>
        <w:t xml:space="preserve">Anexo II (necessidade de designar ZEC): * </w:t>
      </w:r>
      <w:r>
        <w:rPr>
          <w:rFonts w:ascii="Verdana" w:hAnsi="Verdana"/>
          <w:i/>
          <w:iCs/>
          <w:noProof/>
          <w:sz w:val="18"/>
          <w:szCs w:val="18"/>
        </w:rPr>
        <w:t>Canis lupus</w:t>
      </w:r>
      <w:r>
        <w:rPr>
          <w:rFonts w:ascii="Verdana" w:hAnsi="Verdana"/>
          <w:noProof/>
          <w:sz w:val="18"/>
          <w:szCs w:val="18"/>
        </w:rPr>
        <w:t xml:space="preserve"> (exceto as populações estónias, letãs, lituanas e finlandesas, populações gregas a norte do paralelo 39 e populações espanholas a norte do Douro)</w:t>
      </w:r>
    </w:p>
    <w:p>
      <w:pPr>
        <w:pBdr>
          <w:top w:val="single" w:sz="4" w:space="1" w:color="auto"/>
          <w:left w:val="single" w:sz="4" w:space="4" w:color="auto"/>
          <w:bottom w:val="single" w:sz="4" w:space="0" w:color="auto"/>
          <w:right w:val="single" w:sz="4" w:space="4" w:color="auto"/>
        </w:pBdr>
        <w:shd w:val="clear" w:color="auto" w:fill="CCFFCC"/>
        <w:spacing w:after="240"/>
        <w:jc w:val="both"/>
        <w:rPr>
          <w:rFonts w:ascii="Verdana" w:hAnsi="Verdana" w:cs="Cambria"/>
          <w:noProof/>
          <w:sz w:val="18"/>
          <w:szCs w:val="18"/>
        </w:rPr>
      </w:pPr>
      <w:r>
        <w:rPr>
          <w:rFonts w:ascii="Verdana" w:hAnsi="Verdana"/>
          <w:noProof/>
          <w:sz w:val="18"/>
          <w:szCs w:val="18"/>
        </w:rPr>
        <w:t xml:space="preserve">Anexo IV (proteção rigorosa): </w:t>
      </w:r>
      <w:r>
        <w:rPr>
          <w:rFonts w:ascii="Verdana" w:hAnsi="Verdana"/>
          <w:i/>
          <w:iCs/>
          <w:noProof/>
          <w:sz w:val="18"/>
          <w:szCs w:val="18"/>
        </w:rPr>
        <w:t>Canis lupus</w:t>
      </w:r>
      <w:r>
        <w:rPr>
          <w:rFonts w:ascii="Verdana" w:hAnsi="Verdana"/>
          <w:noProof/>
          <w:sz w:val="18"/>
          <w:szCs w:val="18"/>
        </w:rPr>
        <w:t xml:space="preserve"> (exceto as populações estónias, búlgaras, letãs, lituanas, polacas e eslovacas, populações gregas a norte do paralelo 39, populações espanholas a norte do Douro e populações finlandesas no interior da área de exploração da rena, tal como definido no n.º 2 da Lei finlandesa n.º 848/90, de 14 de setembro de 1990, relativa à exploração da rena)</w:t>
      </w:r>
    </w:p>
    <w:p>
      <w:pPr>
        <w:pBdr>
          <w:top w:val="single" w:sz="4" w:space="1" w:color="auto"/>
          <w:left w:val="single" w:sz="4" w:space="4" w:color="auto"/>
          <w:bottom w:val="single" w:sz="4" w:space="0" w:color="auto"/>
          <w:right w:val="single" w:sz="4" w:space="4" w:color="auto"/>
        </w:pBdr>
        <w:shd w:val="clear" w:color="auto" w:fill="CCFFCC"/>
        <w:spacing w:after="240"/>
        <w:jc w:val="both"/>
        <w:rPr>
          <w:rFonts w:ascii="Verdana" w:hAnsi="Verdana" w:cs="Cambria"/>
          <w:noProof/>
          <w:sz w:val="20"/>
          <w:szCs w:val="20"/>
        </w:rPr>
      </w:pPr>
      <w:r>
        <w:rPr>
          <w:rFonts w:ascii="Verdana" w:hAnsi="Verdana"/>
          <w:noProof/>
          <w:sz w:val="18"/>
          <w:szCs w:val="18"/>
        </w:rPr>
        <w:t xml:space="preserve">Anexo V (é permitida a gestão da espécie): </w:t>
      </w:r>
      <w:r>
        <w:rPr>
          <w:rFonts w:ascii="Verdana" w:hAnsi="Verdana"/>
          <w:i/>
          <w:iCs/>
          <w:noProof/>
          <w:sz w:val="18"/>
          <w:szCs w:val="18"/>
        </w:rPr>
        <w:t>Canis lupus</w:t>
      </w:r>
      <w:r>
        <w:rPr>
          <w:rFonts w:ascii="Verdana" w:hAnsi="Verdana"/>
          <w:noProof/>
          <w:sz w:val="18"/>
          <w:szCs w:val="18"/>
        </w:rPr>
        <w:t xml:space="preserve"> (as populações espanholas a norte do Douro, as populações gregas a norte do paralelo 39, as populações finlandesas no interior da área de exploração da rena, tal como definida no n.º 2 da Lei finlandesa n.º 848/90, de 14 de Setembro de 1990, relativa à exploração da rena, as populações búlgaras, letãs, lituanas, estónias, polacas e eslovacas).</w:t>
      </w:r>
    </w:p>
    <w:p>
      <w:pPr>
        <w:spacing w:after="240"/>
        <w:jc w:val="both"/>
        <w:rPr>
          <w:rFonts w:ascii="Verdana" w:hAnsi="Verdana" w:cs="Cambria"/>
          <w:noProof/>
          <w:sz w:val="20"/>
          <w:szCs w:val="20"/>
        </w:rPr>
      </w:pPr>
      <w:r>
        <w:rPr>
          <w:rFonts w:ascii="Verdana" w:hAnsi="Verdana"/>
          <w:noProof/>
          <w:sz w:val="20"/>
          <w:szCs w:val="20"/>
        </w:rPr>
        <w:t>Como acima referido, o lobo não atingiu ainda um estado de conservação favorável em muitos Estados-Membros e regiões</w:t>
      </w:r>
      <w:r>
        <w:rPr>
          <w:rFonts w:ascii="Verdana" w:hAnsi="Verdana" w:cs="Cambria"/>
          <w:noProof/>
          <w:sz w:val="20"/>
          <w:szCs w:val="20"/>
          <w:vertAlign w:val="superscript"/>
        </w:rPr>
        <w:footnoteReference w:id="173"/>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Um estudo realizado em 2018 para o Parlamento Europeu</w:t>
      </w:r>
      <w:r>
        <w:rPr>
          <w:rFonts w:ascii="Verdana" w:hAnsi="Verdana" w:cs="Cambria"/>
          <w:noProof/>
          <w:sz w:val="20"/>
          <w:szCs w:val="20"/>
          <w:vertAlign w:val="superscript"/>
        </w:rPr>
        <w:footnoteReference w:id="174"/>
      </w:r>
      <w:r>
        <w:rPr>
          <w:rFonts w:ascii="Verdana" w:hAnsi="Verdana"/>
          <w:noProof/>
          <w:sz w:val="20"/>
          <w:szCs w:val="20"/>
        </w:rPr>
        <w:t xml:space="preserve"> avaliou o risco de extinção de populações individuais de lobos com base nos critérios da Lista vermelha da UICN. Das nove populações de lobos (principalmente transfronteiriças), três foram avaliadas como «menos preocupantes», três como «quase ameaçadas» e três como «vulneráveis». Uma população de lobos (a população ibérica de Sierra Morena, em Espanha) extinguiu-se. Os autores do estudo realçaram igualmente as dificuldades na harmonização dos resultados dos dados de monitorização devido às diferenças nas técnicas e abordagens de monitorização (diferentes formas ou períodos de contagem), bem como nas populações médias em comparação com populações máximas e mínimas, à ausência de relatórios por parte de alguns países apesar da presença da espécie, a diferenças na qualidade dos dados, etc.</w:t>
      </w:r>
      <w:r>
        <w:rPr>
          <w:rFonts w:ascii="Verdana" w:hAnsi="Verdana" w:cs="Cambria"/>
          <w:noProof/>
          <w:sz w:val="20"/>
          <w:szCs w:val="20"/>
          <w:vertAlign w:val="superscript"/>
        </w:rPr>
        <w:footnoteReference w:id="175"/>
      </w:r>
    </w:p>
    <w:p>
      <w:pPr>
        <w:spacing w:after="240"/>
        <w:jc w:val="both"/>
        <w:rPr>
          <w:rFonts w:ascii="Verdana" w:hAnsi="Verdana" w:cs="Cambria"/>
          <w:noProof/>
          <w:sz w:val="20"/>
          <w:szCs w:val="20"/>
        </w:rPr>
      </w:pPr>
      <w:r>
        <w:rPr>
          <w:rFonts w:ascii="Verdana" w:hAnsi="Verdana"/>
          <w:noProof/>
          <w:sz w:val="20"/>
          <w:szCs w:val="20"/>
        </w:rPr>
        <w:t xml:space="preserve">Embora, aparentemente, várias populações de lobos estejam a recuperar e a expandir-se na Europa, a espécie continua a enfrentar várias ameaças e problemas de conservação, nomeadamente a caça furtiva (que, muitas vezes, não é detetada mas representa, provavelmente, uma grande percentagem da mortalidade total). As ameaças específicas e as medidas potenciais para as resolver são descritas, para cada população de lobos, num relatório financiado pela Comissão Europeia, intitulado </w:t>
      </w:r>
      <w:r>
        <w:rPr>
          <w:rFonts w:ascii="Verdana" w:hAnsi="Verdana"/>
          <w:i/>
          <w:noProof/>
          <w:sz w:val="20"/>
          <w:szCs w:val="20"/>
        </w:rPr>
        <w:t>Key actions for Large Carnivore populations in Europe</w:t>
      </w:r>
      <w:r>
        <w:rPr>
          <w:rFonts w:ascii="Verdana" w:hAnsi="Verdana"/>
          <w:noProof/>
          <w:sz w:val="20"/>
          <w:szCs w:val="20"/>
        </w:rPr>
        <w:t xml:space="preserve"> [Principais ações para as populações de grandes carnívoros na Europa] (Boitani </w:t>
      </w:r>
      <w:r>
        <w:rPr>
          <w:rFonts w:ascii="Verdana" w:hAnsi="Verdana"/>
          <w:i/>
          <w:iCs/>
          <w:noProof/>
          <w:sz w:val="20"/>
          <w:szCs w:val="20"/>
        </w:rPr>
        <w:t>et al</w:t>
      </w:r>
      <w:r>
        <w:rPr>
          <w:rFonts w:ascii="Verdana" w:hAnsi="Verdana"/>
          <w:noProof/>
          <w:sz w:val="20"/>
          <w:szCs w:val="20"/>
        </w:rPr>
        <w:t>., 2015</w:t>
      </w:r>
      <w:r>
        <w:rPr>
          <w:rStyle w:val="FootnoteReference"/>
          <w:rFonts w:ascii="Verdana" w:hAnsi="Verdana" w:cs="Cambria"/>
          <w:noProof/>
          <w:sz w:val="20"/>
          <w:szCs w:val="20"/>
        </w:rPr>
        <w:footnoteReference w:id="176"/>
      </w:r>
      <w:r>
        <w:rPr>
          <w:rFonts w:ascii="Verdana" w:hAnsi="Verdana"/>
          <w:noProof/>
          <w:sz w:val="20"/>
          <w:szCs w:val="20"/>
        </w:rPr>
        <w:t>).</w:t>
      </w:r>
    </w:p>
    <w:p>
      <w:pPr>
        <w:spacing w:after="240"/>
        <w:jc w:val="both"/>
        <w:rPr>
          <w:rFonts w:ascii="Verdana" w:hAnsi="Verdana" w:cs="Cambria"/>
          <w:b/>
          <w:bCs/>
          <w:noProof/>
          <w:sz w:val="20"/>
          <w:szCs w:val="20"/>
        </w:rPr>
      </w:pPr>
      <w:r>
        <w:rPr>
          <w:rFonts w:ascii="Verdana" w:hAnsi="Verdana"/>
          <w:b/>
          <w:bCs/>
          <w:noProof/>
          <w:sz w:val="20"/>
          <w:szCs w:val="20"/>
        </w:rPr>
        <w:t>2. Requisitos jurídicos para a proteção de espécimes de lobo</w:t>
      </w:r>
    </w:p>
    <w:p>
      <w:pPr>
        <w:spacing w:after="240"/>
        <w:jc w:val="both"/>
        <w:rPr>
          <w:rFonts w:ascii="Verdana" w:hAnsi="Verdana" w:cs="Cambria"/>
          <w:noProof/>
          <w:sz w:val="20"/>
          <w:szCs w:val="20"/>
        </w:rPr>
      </w:pPr>
      <w:r>
        <w:rPr>
          <w:rFonts w:ascii="Verdana" w:hAnsi="Verdana"/>
          <w:noProof/>
          <w:sz w:val="20"/>
          <w:szCs w:val="20"/>
        </w:rPr>
        <w:t xml:space="preserve">O lobo, independentemente da sua posição no anexo IV da Diretiva </w:t>
      </w:r>
      <w:r>
        <w:rPr>
          <w:rFonts w:ascii="Verdana" w:hAnsi="Verdana"/>
          <w:i/>
          <w:iCs/>
          <w:noProof/>
          <w:sz w:val="20"/>
          <w:szCs w:val="20"/>
        </w:rPr>
        <w:t>Habitats</w:t>
      </w:r>
      <w:r>
        <w:rPr>
          <w:rFonts w:ascii="Verdana" w:hAnsi="Verdana"/>
          <w:noProof/>
          <w:sz w:val="20"/>
          <w:szCs w:val="20"/>
        </w:rPr>
        <w:t xml:space="preserve">, é uma espécie sujeita a proteção rigorosa, uma vez que a diretiva tem por objetivo atingir um estado de conservação favorável para as espécies enumeradas. A proteção conferida pelo artigo 12.º da Diretiva </w:t>
      </w:r>
      <w:r>
        <w:rPr>
          <w:rFonts w:ascii="Verdana" w:hAnsi="Verdana"/>
          <w:i/>
          <w:iCs/>
          <w:noProof/>
          <w:sz w:val="20"/>
          <w:szCs w:val="20"/>
        </w:rPr>
        <w:t>Habitats</w:t>
      </w:r>
      <w:r>
        <w:rPr>
          <w:rFonts w:ascii="Verdana" w:hAnsi="Verdana"/>
          <w:noProof/>
          <w:sz w:val="20"/>
          <w:szCs w:val="20"/>
        </w:rPr>
        <w:t xml:space="preserve"> às populações das espécies que constam deste anexo tem um caráter preventivo e</w:t>
      </w:r>
      <w:r>
        <w:rPr>
          <w:noProof/>
          <w:sz w:val="20"/>
        </w:rPr>
        <w:t xml:space="preserve"> </w:t>
      </w:r>
      <w:r>
        <w:rPr>
          <w:rFonts w:ascii="Verdana" w:hAnsi="Verdana"/>
          <w:noProof/>
          <w:sz w:val="20"/>
          <w:szCs w:val="20"/>
        </w:rPr>
        <w:t>obriga os Estados-Membros a evitarem situações passíveis de terem um impacto negativo na espécie.</w:t>
      </w:r>
    </w:p>
    <w:p>
      <w:pPr>
        <w:spacing w:after="240"/>
        <w:jc w:val="both"/>
        <w:rPr>
          <w:rFonts w:ascii="Verdana" w:hAnsi="Verdana"/>
          <w:noProof/>
          <w:sz w:val="20"/>
          <w:szCs w:val="20"/>
        </w:rPr>
      </w:pPr>
      <w:r>
        <w:rPr>
          <w:rFonts w:ascii="Verdana" w:hAnsi="Verdana"/>
          <w:noProof/>
          <w:snapToGrid w:val="0"/>
          <w:sz w:val="20"/>
          <w:szCs w:val="20"/>
        </w:rPr>
        <w:t xml:space="preserve">A transposição formal do artigo 12.º para a legislação nacional tem de ser complementada pela execução de ações para garantir a proteção rigorosa </w:t>
      </w:r>
      <w:r>
        <w:rPr>
          <w:rFonts w:ascii="Verdana" w:hAnsi="Verdana"/>
          <w:noProof/>
          <w:sz w:val="20"/>
          <w:szCs w:val="20"/>
        </w:rPr>
        <w:t>com base nos problemas e ameaças específicos enfrentados pelo lobo num determinado contexto. Não só as ações enumeradas no artigo 12.º têm de ser proibidas, mas as autoridades também têm de tomar todas as medidas necessárias para garantir que as proibições não são violadas na prática. Tal implica, por exemplo, que as autoridades estejam obrigadas a tomar todas as medidas necessárias para evitar o abate (ilegal) de lobos e a proteger</w:t>
      </w:r>
      <w:r>
        <w:rPr>
          <w:noProof/>
        </w:rPr>
        <w:t xml:space="preserve"> </w:t>
      </w:r>
      <w:r>
        <w:rPr>
          <w:rFonts w:ascii="Verdana" w:hAnsi="Verdana"/>
          <w:noProof/>
          <w:sz w:val="20"/>
          <w:szCs w:val="20"/>
        </w:rPr>
        <w:t>as zonas que servem de locais de reprodução ou áreas de repouso, como as respetivas tocas e «</w:t>
      </w:r>
      <w:r>
        <w:rPr>
          <w:rFonts w:ascii="Verdana" w:hAnsi="Verdana"/>
          <w:i/>
          <w:noProof/>
          <w:sz w:val="20"/>
          <w:szCs w:val="20"/>
        </w:rPr>
        <w:t>locais de encontro</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Segundo o Tribunal de Justiça da União Europeia (TJUE), o artigo 12.º, n.º 1, da Diretiva </w:t>
      </w:r>
      <w:r>
        <w:rPr>
          <w:rFonts w:ascii="Verdana" w:hAnsi="Verdana"/>
          <w:i/>
          <w:iCs/>
          <w:noProof/>
          <w:sz w:val="20"/>
          <w:szCs w:val="20"/>
        </w:rPr>
        <w:t>Habitats</w:t>
      </w:r>
      <w:r>
        <w:rPr>
          <w:rFonts w:ascii="Verdana" w:hAnsi="Verdana"/>
          <w:noProof/>
          <w:sz w:val="20"/>
          <w:szCs w:val="20"/>
        </w:rPr>
        <w:t xml:space="preserve"> «</w:t>
      </w:r>
      <w:r>
        <w:rPr>
          <w:rFonts w:ascii="Verdana" w:hAnsi="Verdana"/>
          <w:iCs/>
          <w:noProof/>
          <w:sz w:val="20"/>
          <w:szCs w:val="20"/>
        </w:rPr>
        <w:t>impõe aos Estados‑Membros não só a adoção de um quadro legislativo completo mas também a aplicação de medidas concretas e específicas de proteção</w:t>
      </w:r>
      <w:r>
        <w:rPr>
          <w:rFonts w:ascii="Verdana" w:hAnsi="Verdana"/>
          <w:noProof/>
          <w:sz w:val="20"/>
          <w:szCs w:val="20"/>
        </w:rPr>
        <w:t>», embora a disposição pressuponha igualmente a «</w:t>
      </w:r>
      <w:r>
        <w:rPr>
          <w:rFonts w:ascii="Verdana" w:hAnsi="Verdana"/>
          <w:iCs/>
          <w:noProof/>
          <w:sz w:val="20"/>
          <w:szCs w:val="20"/>
        </w:rPr>
        <w:t>a adoção de medidas coerentes e coordenadas, de caráter preventivo</w:t>
      </w:r>
      <w:r>
        <w:rPr>
          <w:rFonts w:ascii="Verdana" w:hAnsi="Verdana"/>
          <w:noProof/>
          <w:sz w:val="20"/>
          <w:szCs w:val="20"/>
        </w:rPr>
        <w:t>» (processo C-183/05 do TJUE, de 11 de janeiro de 2007, Comissão das Comunidades Europeias/Irlanda). Esta abordagem foi confirmada pelo acórdão do TJUE de 10 de outubro de 2019 (decisão prejudicial no processo C-674/17): «</w:t>
      </w:r>
      <w:r>
        <w:rPr>
          <w:rFonts w:ascii="Verdana" w:hAnsi="Verdana"/>
          <w:iCs/>
          <w:noProof/>
          <w:sz w:val="20"/>
          <w:szCs w:val="20"/>
        </w:rPr>
        <w:t xml:space="preserve">A observância dessa disposição impõe aos Estados‑Membros não só a adoção de um quadro legislativo completo mas igualmente a execução de medidas concretas e específicas de proteção. De igual modo, o sistema de proteção rigorosa pressupõe a adoção de medidas coerentes e coordenadas, de caráter preventivo. Tal sistema de proteção rigorosa deve, pois, permitir evitar efetivamente a captura ou abate intencionais no meio natural e a deterioração ou a destruição dos locais de reprodução ou das áreas de repouso das espécies animais que constam do anexo IV, alínea a), da Diretiva </w:t>
      </w:r>
      <w:r>
        <w:rPr>
          <w:rFonts w:ascii="Verdana" w:hAnsi="Verdana"/>
          <w:i/>
          <w:iCs/>
          <w:noProof/>
          <w:sz w:val="20"/>
          <w:szCs w:val="20"/>
        </w:rPr>
        <w:t>Habitats</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Um exemplo de uma ação que executa efetivamente as disposições em matéria de proteção das espécies é a criação de equipas eficazes de combate à caça furtiva, equipadas com cães para deteção de veneno. A caça furtiva, os laços e as iscas envenenadas são, de facto, uma grande ameaça para os lobos em muitos locais. O envenenamento é um problema especialmente grave porque afeta igualmente outras espécies, nomeadamente as aves de rapina. Para fazer face a este problema, vários projetos no sul e no leste da Europa (Espanha, Itália, Portugal, Grécia, Bulgária e Roménia), financiados pelo programa LIFE</w:t>
      </w:r>
      <w:r>
        <w:rPr>
          <w:rFonts w:ascii="Verdana" w:hAnsi="Verdana"/>
          <w:noProof/>
          <w:sz w:val="20"/>
          <w:szCs w:val="20"/>
          <w:vertAlign w:val="superscript"/>
        </w:rPr>
        <w:footnoteReference w:id="177"/>
      </w:r>
      <w:r>
        <w:rPr>
          <w:rFonts w:ascii="Verdana" w:hAnsi="Verdana"/>
          <w:noProof/>
          <w:sz w:val="20"/>
          <w:szCs w:val="20"/>
        </w:rPr>
        <w:t>, contribuíram para o estabelecimento de medidas específicas para apoiar efetivamente o regime de proteção rigorosa das espécies, por exemplo através da criação de equipas cinotécnicas de deteção de veneno, da formação de pessoal (guardas de parques, guardas-florestais, polícia provincial, veterinários) e do reforço das capacidades nos organismos públicos; além de atividades de sensibilização dirigidas a criadores de gado, caçadores, operadores turísticos, crianças em idade escolar e público em geral.</w:t>
      </w:r>
    </w:p>
    <w:p>
      <w:pPr>
        <w:spacing w:after="240"/>
        <w:jc w:val="both"/>
        <w:rPr>
          <w:rFonts w:ascii="Verdana" w:hAnsi="Verdana" w:cs="Cambria"/>
          <w:noProof/>
          <w:sz w:val="20"/>
          <w:szCs w:val="20"/>
        </w:rPr>
      </w:pPr>
      <w:r>
        <w:rPr>
          <w:rFonts w:ascii="Verdana" w:hAnsi="Verdana"/>
          <w:noProof/>
          <w:sz w:val="20"/>
          <w:szCs w:val="20"/>
        </w:rPr>
        <w:t>Os planos de conservação/gestão do lobo, quando estabelecidos em conformidade com o artigo 12.º e devidamente executados, podem constituir um quadro eficaz para a aplicação das disposições em matéria de proteção de espécies às populações de lobos constantes do anexo IV, criando um sistema de coexistência completo que visa garantir o estado de conservação favorável fazendo face, simultaneamente, aos conflitos com as atividades humanas.</w:t>
      </w:r>
    </w:p>
    <w:p>
      <w:pPr>
        <w:spacing w:after="240"/>
        <w:jc w:val="both"/>
        <w:rPr>
          <w:rFonts w:ascii="Verdana" w:hAnsi="Verdana" w:cs="Cambria"/>
          <w:noProof/>
          <w:sz w:val="20"/>
          <w:szCs w:val="20"/>
        </w:rPr>
      </w:pPr>
      <w:r>
        <w:rPr>
          <w:rFonts w:ascii="Verdana" w:hAnsi="Verdana"/>
          <w:noProof/>
          <w:sz w:val="20"/>
          <w:szCs w:val="20"/>
        </w:rPr>
        <w:t xml:space="preserve">Tais planos podem incluir ações como: i) apoio a medidas de prevenção (através de ajudas ao investimento, informação, formação e assistência técnica); ii) compensação de prejuízos económicos causados por lobos; iii) melhoria da monitorização e da base de conhecimentos sobre a população de lobos em causa; iv) monitorização, avaliação e melhoria da eficiência das medidas de proteção do gado; v) promoção da participação e do diálogo com e entre partes interessadas (por exemplo, através de plataformas específicas); vi) melhoria dos esforços de fiscalização para o combate ao abate ilegal de lobos; vii) proteção de </w:t>
      </w:r>
      <w:r>
        <w:rPr>
          <w:rFonts w:ascii="Verdana" w:hAnsi="Verdana"/>
          <w:i/>
          <w:iCs/>
          <w:noProof/>
          <w:sz w:val="20"/>
          <w:szCs w:val="20"/>
        </w:rPr>
        <w:t>habitats</w:t>
      </w:r>
      <w:r>
        <w:rPr>
          <w:rFonts w:ascii="Verdana" w:hAnsi="Verdana"/>
          <w:noProof/>
          <w:sz w:val="20"/>
          <w:szCs w:val="20"/>
        </w:rPr>
        <w:t xml:space="preserve"> e melhoria das condições de alimentação (por exemplo, se necessário, através da recuperação de populações de presas selvagens); viii) desenvolvimento de oportunidades de ecoturismo associadas aos lobos;</w:t>
      </w:r>
      <w:r>
        <w:rPr>
          <w:noProof/>
        </w:rPr>
        <w:t xml:space="preserve"> </w:t>
      </w:r>
      <w:r>
        <w:rPr>
          <w:rFonts w:ascii="Verdana" w:hAnsi="Verdana"/>
          <w:noProof/>
          <w:sz w:val="20"/>
          <w:szCs w:val="20"/>
        </w:rPr>
        <w:t xml:space="preserve">ix) promoção/comercialização de produtos agrícolas originários de zonas com lobos; e x) informação, educação e sensibilização. Os planos podem igualmente permitir às autoridades pertinentes autorizar o recurso limitado ao controlo letal para a remoção de espécimes de lobo, através da aplicação de derrogações em conformidade com as condições previstas na diretiva. Note-se, todavia, que os planos que adotem uma gestão adaptativa das capturas (tais como os relativos às espécies cinegéticas constantes do anexo V da Diretiva </w:t>
      </w:r>
      <w:r>
        <w:rPr>
          <w:rFonts w:ascii="Verdana" w:hAnsi="Verdana"/>
          <w:i/>
          <w:iCs/>
          <w:noProof/>
          <w:sz w:val="20"/>
          <w:szCs w:val="20"/>
        </w:rPr>
        <w:t>Habitats</w:t>
      </w:r>
      <w:r>
        <w:rPr>
          <w:rFonts w:ascii="Verdana" w:hAnsi="Verdana"/>
          <w:noProof/>
          <w:sz w:val="20"/>
          <w:szCs w:val="20"/>
        </w:rPr>
        <w:t>) não são coerentes com as disposições de proteção rigorosa aplicáveis às espécies constantes do anexo IV.</w:t>
      </w:r>
    </w:p>
    <w:p>
      <w:pPr>
        <w:spacing w:after="240"/>
        <w:jc w:val="both"/>
        <w:rPr>
          <w:rFonts w:ascii="Verdana" w:hAnsi="Verdana" w:cs="Cambria"/>
          <w:noProof/>
          <w:sz w:val="20"/>
          <w:szCs w:val="20"/>
        </w:rPr>
      </w:pPr>
      <w:r>
        <w:rPr>
          <w:rFonts w:ascii="Verdana" w:hAnsi="Verdana"/>
          <w:noProof/>
          <w:sz w:val="20"/>
          <w:szCs w:val="20"/>
        </w:rPr>
        <w:t>Estes planos devem ser elaborados com base nas melhores informações disponíveis sobre o estado de conservação e as tendências da espécie, bem como em todas as ameaças e pressões pertinentes. A participação ou consulta de todas as partes interessadas, especialmente as afetadas pela espécie ou pelas medidas de conservação previstas, é fundamental para integrar todos os aspetos pertinentes dos planos e fomentar uma ampla aceitação social.</w:t>
      </w:r>
    </w:p>
    <w:tbl>
      <w:tblPr>
        <w:tblStyle w:val="TableGrid"/>
        <w:tblW w:w="0" w:type="auto"/>
        <w:tblBorders>
          <w:insideH w:val="none" w:sz="0" w:space="0" w:color="auto"/>
          <w:insideV w:val="none" w:sz="0" w:space="0" w:color="auto"/>
        </w:tblBorders>
        <w:shd w:val="clear" w:color="auto" w:fill="FFFF99"/>
        <w:tblLook w:val="04A0" w:firstRow="1" w:lastRow="0" w:firstColumn="1" w:lastColumn="0" w:noHBand="0" w:noVBand="1"/>
      </w:tblPr>
      <w:tblGrid>
        <w:gridCol w:w="9280"/>
      </w:tblGrid>
      <w:tr>
        <w:tc>
          <w:tcPr>
            <w:tcW w:w="9394" w:type="dxa"/>
            <w:shd w:val="clear" w:color="auto" w:fill="FFFF99"/>
          </w:tcPr>
          <w:p>
            <w:pPr>
              <w:spacing w:after="240"/>
              <w:jc w:val="both"/>
              <w:rPr>
                <w:rFonts w:ascii="Verdana" w:hAnsi="Verdana" w:cs="Cambria"/>
                <w:b/>
                <w:i/>
                <w:noProof/>
                <w:sz w:val="18"/>
                <w:szCs w:val="18"/>
              </w:rPr>
            </w:pPr>
            <w:r>
              <w:rPr>
                <w:rFonts w:ascii="Verdana" w:hAnsi="Verdana"/>
                <w:b/>
                <w:i/>
                <w:noProof/>
                <w:sz w:val="18"/>
                <w:szCs w:val="18"/>
              </w:rPr>
              <w:t>Exemplo de participação de partes interessadas num plano de gestão</w:t>
            </w:r>
          </w:p>
          <w:p>
            <w:pPr>
              <w:spacing w:after="240"/>
              <w:jc w:val="both"/>
              <w:rPr>
                <w:rFonts w:ascii="Verdana" w:hAnsi="Verdana" w:cs="Cambria"/>
                <w:noProof/>
                <w:sz w:val="18"/>
                <w:szCs w:val="18"/>
              </w:rPr>
            </w:pPr>
            <w:r>
              <w:rPr>
                <w:rFonts w:ascii="Verdana" w:hAnsi="Verdana"/>
                <w:noProof/>
                <w:sz w:val="18"/>
                <w:szCs w:val="18"/>
              </w:rPr>
              <w:t>Na Croácia, o plano de gestão do lobo para 2010-2015 (Ministério da Cultura da Croácia, 2010) foi o resultado de um processo de dois anos, com a participação de representantes de todos os grupos de interesse (ministérios pertinentes, membros do comité para a monitorização das populações de grandes carnívoros, cientistas, engenheiros florestais, associações não governamentais, etc.). O plano de ação pormenorizado descreve as medidas que a Croácia deve pôr em prática para garantir que a respetiva população de lobos é conservada, numa coexistência o mais harmoniosa possível com os seres humanos.</w:t>
            </w:r>
          </w:p>
        </w:tc>
      </w:tr>
    </w:tbl>
    <w:p>
      <w:pPr>
        <w:spacing w:after="240"/>
        <w:jc w:val="both"/>
        <w:rPr>
          <w:rFonts w:ascii="Verdana" w:hAnsi="Verdana" w:cs="Cambria"/>
          <w:noProof/>
          <w:sz w:val="20"/>
          <w:szCs w:val="20"/>
        </w:rPr>
      </w:pPr>
    </w:p>
    <w:p>
      <w:pPr>
        <w:spacing w:after="240"/>
        <w:jc w:val="both"/>
        <w:rPr>
          <w:rFonts w:ascii="Verdana" w:hAnsi="Verdana" w:cs="Cambria"/>
          <w:noProof/>
          <w:sz w:val="20"/>
          <w:szCs w:val="20"/>
        </w:rPr>
      </w:pPr>
      <w:r>
        <w:rPr>
          <w:rFonts w:ascii="Verdana" w:hAnsi="Verdana"/>
          <w:noProof/>
          <w:sz w:val="20"/>
          <w:szCs w:val="20"/>
        </w:rPr>
        <w:t>Os planos de conservação e gestão dos lobos podem, por conseguinte, constituir uma estrutura adequada para avaliar e fazer face a todos os problemas e conflitos pertinentes que ameaçam as populações de lobos, com vista a alcançar um estado de conservação favorável.</w:t>
      </w:r>
    </w:p>
    <w:p>
      <w:pPr>
        <w:spacing w:after="240"/>
        <w:jc w:val="both"/>
        <w:rPr>
          <w:rFonts w:ascii="Verdana" w:hAnsi="Verdana"/>
          <w:noProof/>
          <w:sz w:val="20"/>
          <w:szCs w:val="20"/>
        </w:rPr>
      </w:pPr>
      <w:r>
        <w:rPr>
          <w:rFonts w:ascii="Verdana" w:hAnsi="Verdana"/>
          <w:noProof/>
          <w:sz w:val="20"/>
          <w:szCs w:val="20"/>
        </w:rPr>
        <w:t>Assim, podem também abranger questões como a hibridação entre lobos e cães, verificada nas nove populações europeias de lobos e em 21 países europeus</w:t>
      </w:r>
      <w:r>
        <w:rPr>
          <w:rFonts w:ascii="Verdana" w:hAnsi="Verdana"/>
          <w:noProof/>
          <w:sz w:val="20"/>
          <w:szCs w:val="20"/>
          <w:vertAlign w:val="superscript"/>
        </w:rPr>
        <w:footnoteReference w:id="178"/>
      </w:r>
      <w:r>
        <w:rPr>
          <w:rFonts w:ascii="Verdana" w:hAnsi="Verdana"/>
          <w:noProof/>
          <w:sz w:val="20"/>
          <w:szCs w:val="20"/>
        </w:rPr>
        <w:t>. Em alguns locais, esta é uma ameaça significativa à conservação do lobo</w:t>
      </w:r>
      <w:r>
        <w:rPr>
          <w:rFonts w:ascii="Verdana" w:hAnsi="Verdana"/>
          <w:noProof/>
          <w:sz w:val="20"/>
          <w:szCs w:val="20"/>
          <w:vertAlign w:val="superscript"/>
        </w:rPr>
        <w:footnoteReference w:id="179"/>
      </w:r>
      <w:r>
        <w:rPr>
          <w:rFonts w:ascii="Verdana" w:hAnsi="Verdana"/>
          <w:noProof/>
          <w:sz w:val="20"/>
          <w:szCs w:val="20"/>
        </w:rPr>
        <w:t>, e podem ser necessárias ações preventivas, proativas e reativas específicas para fazer face ao problema, como indicado na Recomendação n.º 173 (2014</w:t>
      </w:r>
      <w:r>
        <w:rPr>
          <w:rStyle w:val="FootnoteReference"/>
          <w:rFonts w:ascii="Verdana" w:hAnsi="Verdana"/>
          <w:noProof/>
          <w:sz w:val="20"/>
          <w:szCs w:val="20"/>
        </w:rPr>
        <w:footnoteReference w:id="180"/>
      </w:r>
      <w:r>
        <w:rPr>
          <w:rFonts w:ascii="Verdana" w:hAnsi="Verdana"/>
          <w:noProof/>
          <w:sz w:val="20"/>
          <w:szCs w:val="20"/>
        </w:rPr>
        <w:t>), adotada ao abrigo da Convenção de Berna (Conselho da Europa, 2014). Todavia, uma vez que a hibridação lobo-cão é uma questão complexa, recomenda-se veementemente a elaboração de um plano de gestão bem definido a nível nacional e da população, recorrendo aos procedimentos de campo, laboratoriais e estatísticos mais atualizados e fiáveis (ver caixa).</w:t>
      </w:r>
    </w:p>
    <w:p>
      <w:pPr>
        <w:spacing w:after="240"/>
        <w:jc w:val="both"/>
        <w:rPr>
          <w:rFonts w:ascii="Verdana" w:hAnsi="Verdana"/>
          <w:noProof/>
          <w:sz w:val="20"/>
          <w:szCs w:val="20"/>
        </w:rPr>
      </w:pPr>
    </w:p>
    <w:tbl>
      <w:tblPr>
        <w:tblStyle w:val="TableGrid"/>
        <w:tblW w:w="0" w:type="auto"/>
        <w:tblLook w:val="04A0" w:firstRow="1" w:lastRow="0" w:firstColumn="1" w:lastColumn="0" w:noHBand="0" w:noVBand="1"/>
      </w:tblPr>
      <w:tblGrid>
        <w:gridCol w:w="9280"/>
      </w:tblGrid>
      <w:tr>
        <w:tc>
          <w:tcPr>
            <w:tcW w:w="9394" w:type="dxa"/>
            <w:shd w:val="clear" w:color="auto" w:fill="CCFFFF"/>
          </w:tcPr>
          <w:p>
            <w:pPr>
              <w:spacing w:after="240"/>
              <w:jc w:val="both"/>
              <w:rPr>
                <w:rFonts w:ascii="Verdana" w:hAnsi="Verdana" w:cs="Cambria"/>
                <w:noProof/>
                <w:sz w:val="18"/>
                <w:szCs w:val="18"/>
              </w:rPr>
            </w:pPr>
            <w:r>
              <w:rPr>
                <w:rFonts w:ascii="Verdana" w:hAnsi="Verdana"/>
                <w:b/>
                <w:noProof/>
                <w:sz w:val="18"/>
                <w:szCs w:val="18"/>
              </w:rPr>
              <w:t>Híbridos lobo-cão</w:t>
            </w:r>
          </w:p>
          <w:p>
            <w:pPr>
              <w:spacing w:after="240"/>
              <w:jc w:val="both"/>
              <w:rPr>
                <w:rFonts w:ascii="Verdana" w:hAnsi="Verdana" w:cs="Cambria"/>
                <w:noProof/>
                <w:sz w:val="18"/>
                <w:szCs w:val="18"/>
              </w:rPr>
            </w:pPr>
            <w:r>
              <w:rPr>
                <w:rFonts w:ascii="Verdana" w:hAnsi="Verdana"/>
                <w:noProof/>
                <w:sz w:val="18"/>
                <w:szCs w:val="18"/>
              </w:rPr>
              <w:t>O cruzamento entre lobos e a sua forma doméstica, os cães, deverá ter ocorrido repetidamente ao longo da história de domesticação do cão e ocorre ainda com diferentes intensidades em várias partes da área de repartição do lobo. Tratando-se de uma hibridação antropogénica, a hibridação lobo-cão não é um processo evolutivo natural, em que os híbridos devam ser sujeitos a medidas de conservação. Pelo contrário, sendo uma ameaça à integridade genética das populações de lobos, a hibridação lobo-cão é um problema muito preocupante em matéria de conservação e deve ser abordada através de planos de gestão e instrumentos adequados.</w:t>
            </w:r>
          </w:p>
          <w:p>
            <w:pPr>
              <w:spacing w:after="240"/>
              <w:jc w:val="both"/>
              <w:rPr>
                <w:rFonts w:ascii="Verdana" w:hAnsi="Verdana" w:cs="Cambria"/>
                <w:noProof/>
                <w:sz w:val="18"/>
                <w:szCs w:val="18"/>
              </w:rPr>
            </w:pPr>
            <w:r>
              <w:rPr>
                <w:rFonts w:ascii="Verdana" w:hAnsi="Verdana"/>
                <w:noProof/>
                <w:sz w:val="18"/>
                <w:szCs w:val="18"/>
              </w:rPr>
              <w:t>Na Europa, a hibridação foi detetada em vários países, como, por exemplo, Noruega, Letónia, Estónia, Bulgária, Itália, Espanha, Portugal, Alemanha, Grécia, Eslovénia e Sérvia. Note-se, porém, que as estimativas quanto à introgressão de genes caninos na população de lobos selvagens se baseiam em abordagens diversas e nos protocolos experimentais associados. Embora, em muitos casos, o cruzamento se tenha traduzido apenas numa ou em poucas ninhadas de híbridos em zonas limitadas, noutros casos verificou-se que a introgressão de genes caninos na população de lobos selvagens se tinha disseminado por áreas substanciais, embora a diferentes níveis (desde 5,6 % na Galiza, em Espanha, até mais de 60 % na província de Grosseto, em Itália). Do mesmo modo, verificaram-se taxas de introgressão elevadas no norte dos Apeninos, enquanto apenas se encontraram casos raros de híbridos na população alpina de lobos (de França aos Alpes Centrais e Orientais).</w:t>
            </w:r>
            <w:r>
              <w:rPr>
                <w:noProof/>
              </w:rPr>
              <w:t xml:space="preserve"> </w:t>
            </w:r>
            <w:r>
              <w:rPr>
                <w:rFonts w:ascii="Verdana" w:hAnsi="Verdana"/>
                <w:noProof/>
                <w:sz w:val="18"/>
                <w:szCs w:val="18"/>
              </w:rPr>
              <w:t xml:space="preserve">Contudo, a taxa de hibridação notificada noutros locais é de cerca de 5 % a 10 % (Leonard </w:t>
            </w:r>
            <w:r>
              <w:rPr>
                <w:rFonts w:ascii="Verdana" w:hAnsi="Verdana"/>
                <w:i/>
                <w:iCs/>
                <w:noProof/>
                <w:sz w:val="18"/>
                <w:szCs w:val="18"/>
              </w:rPr>
              <w:t>et al</w:t>
            </w:r>
            <w:r>
              <w:rPr>
                <w:rFonts w:ascii="Verdana" w:hAnsi="Verdana"/>
                <w:noProof/>
                <w:sz w:val="18"/>
                <w:szCs w:val="18"/>
              </w:rPr>
              <w:t>., 2011). A hibridação ocorre principalmente entre cães machos e lobas. Em casos raros, pode acontecer o oposto. O número elevado de cães em liberdade de diversas zonas, especialmente nas regiões do Mediterrâneo, oferece inúmeras oportunidades para encontros entre lobos e cães. Há falta de conhecimentos sobre a ecologia dos híbridos lobo-cão no meio natural, mas não há provas de que os híbridos tenham menos condição física, dispersão, êxito reprodutivo, modificação comportamental ou viabilidade populacional.</w:t>
            </w:r>
          </w:p>
          <w:p>
            <w:pPr>
              <w:spacing w:after="240"/>
              <w:jc w:val="both"/>
              <w:rPr>
                <w:rFonts w:ascii="Verdana" w:hAnsi="Verdana" w:cs="Cambria"/>
                <w:noProof/>
                <w:sz w:val="18"/>
                <w:szCs w:val="18"/>
              </w:rPr>
            </w:pPr>
            <w:r>
              <w:rPr>
                <w:rFonts w:ascii="Verdana" w:hAnsi="Verdana"/>
                <w:noProof/>
                <w:sz w:val="18"/>
                <w:szCs w:val="18"/>
              </w:rPr>
              <w:t>A gestão da hibridação lobo-cão é um dilema para as autoridades governamentais, na medida em que coloca vários desafios sérios.</w:t>
            </w:r>
          </w:p>
          <w:p>
            <w:pPr>
              <w:numPr>
                <w:ilvl w:val="0"/>
                <w:numId w:val="23"/>
              </w:numPr>
              <w:spacing w:after="240"/>
              <w:jc w:val="both"/>
              <w:rPr>
                <w:rFonts w:ascii="Verdana" w:hAnsi="Verdana" w:cs="Cambria"/>
                <w:noProof/>
                <w:sz w:val="18"/>
                <w:szCs w:val="18"/>
                <w:u w:val="single"/>
              </w:rPr>
            </w:pPr>
            <w:r>
              <w:rPr>
                <w:rFonts w:ascii="Verdana" w:hAnsi="Verdana"/>
                <w:noProof/>
                <w:sz w:val="18"/>
                <w:szCs w:val="18"/>
                <w:u w:val="single"/>
              </w:rPr>
              <w:t>O estatuto taxonómico do híbrido</w:t>
            </w:r>
          </w:p>
          <w:p>
            <w:pPr>
              <w:spacing w:after="240"/>
              <w:jc w:val="both"/>
              <w:rPr>
                <w:rFonts w:ascii="Verdana" w:hAnsi="Verdana" w:cs="Cambria"/>
                <w:noProof/>
                <w:sz w:val="18"/>
                <w:szCs w:val="18"/>
                <w:u w:val="single"/>
              </w:rPr>
            </w:pPr>
            <w:r>
              <w:rPr>
                <w:rFonts w:ascii="Verdana" w:hAnsi="Verdana"/>
                <w:noProof/>
                <w:sz w:val="18"/>
                <w:szCs w:val="18"/>
              </w:rPr>
              <w:t xml:space="preserve">Os cães descendem dos lobos através da domesticação e ambos pertencem à mesma entidade taxonómica, a espécie </w:t>
            </w:r>
            <w:r>
              <w:rPr>
                <w:rFonts w:ascii="Verdana" w:hAnsi="Verdana"/>
                <w:i/>
                <w:iCs/>
                <w:noProof/>
                <w:sz w:val="18"/>
                <w:szCs w:val="18"/>
              </w:rPr>
              <w:t>Canis lupus</w:t>
            </w:r>
            <w:r>
              <w:rPr>
                <w:rFonts w:ascii="Verdana" w:hAnsi="Verdana"/>
                <w:noProof/>
                <w:sz w:val="18"/>
                <w:szCs w:val="18"/>
              </w:rPr>
              <w:t xml:space="preserve">. Por vezes, os cães são identificados pela subespécie </w:t>
            </w:r>
            <w:r>
              <w:rPr>
                <w:rFonts w:ascii="Verdana" w:hAnsi="Verdana"/>
                <w:i/>
                <w:iCs/>
                <w:noProof/>
                <w:sz w:val="18"/>
                <w:szCs w:val="18"/>
              </w:rPr>
              <w:t>Canis lupus familiaris</w:t>
            </w:r>
            <w:r>
              <w:rPr>
                <w:rFonts w:ascii="Verdana" w:hAnsi="Verdana"/>
                <w:noProof/>
                <w:sz w:val="18"/>
                <w:szCs w:val="18"/>
              </w:rPr>
              <w:t xml:space="preserve">. Restam poucas dúvidas de que os híbridos mantêm o nome </w:t>
            </w:r>
            <w:r>
              <w:rPr>
                <w:rFonts w:ascii="Verdana" w:hAnsi="Verdana"/>
                <w:i/>
                <w:iCs/>
                <w:noProof/>
                <w:sz w:val="18"/>
                <w:szCs w:val="18"/>
              </w:rPr>
              <w:t>Canis lupus</w:t>
            </w:r>
            <w:r>
              <w:rPr>
                <w:rFonts w:ascii="Verdana" w:hAnsi="Verdana"/>
                <w:noProof/>
                <w:sz w:val="18"/>
                <w:szCs w:val="18"/>
              </w:rPr>
              <w:t xml:space="preserve">. </w:t>
            </w:r>
            <w:r>
              <w:rPr>
                <w:rFonts w:ascii="Verdana" w:hAnsi="Verdana"/>
                <w:noProof/>
                <w:sz w:val="18"/>
                <w:szCs w:val="18"/>
                <w:u w:val="single"/>
              </w:rPr>
              <w:t>O estatuto jurídico dos híbridos</w:t>
            </w:r>
          </w:p>
          <w:p>
            <w:pPr>
              <w:pStyle w:val="ListParagraph"/>
              <w:numPr>
                <w:ilvl w:val="0"/>
                <w:numId w:val="23"/>
              </w:numPr>
              <w:spacing w:after="240"/>
              <w:rPr>
                <w:rFonts w:ascii="Verdana" w:hAnsi="Verdana" w:cs="Cambria"/>
                <w:noProof/>
                <w:sz w:val="18"/>
                <w:szCs w:val="18"/>
                <w:u w:val="single"/>
              </w:rPr>
            </w:pPr>
            <w:r>
              <w:rPr>
                <w:rFonts w:ascii="Verdana" w:hAnsi="Verdana"/>
                <w:noProof/>
                <w:sz w:val="18"/>
                <w:szCs w:val="18"/>
                <w:u w:val="single"/>
              </w:rPr>
              <w:t>O estatuto jurídico dos híbridos</w:t>
            </w:r>
          </w:p>
          <w:p>
            <w:pPr>
              <w:spacing w:after="240"/>
              <w:jc w:val="both"/>
              <w:rPr>
                <w:rFonts w:ascii="Verdana" w:hAnsi="Verdana" w:cs="Cambria"/>
                <w:noProof/>
                <w:sz w:val="18"/>
                <w:szCs w:val="18"/>
              </w:rPr>
            </w:pPr>
            <w:r>
              <w:rPr>
                <w:rFonts w:ascii="Verdana" w:hAnsi="Verdana"/>
                <w:noProof/>
                <w:sz w:val="18"/>
                <w:szCs w:val="18"/>
              </w:rPr>
              <w:t xml:space="preserve">Contrariamente aos cães, cuja sobrevivência depende normalmente de cuidados e recursos de humanos, os híbridos têm uma vida independente e viável enquanto animais selvagens. Como tal, ao abrigo de muitas legislações nacionais, seriam considerados equivalentes à fauna selvagem e deveriam ser geridos de acordo com as mesmas regras. Se os híbridos fossem considerados equivalentes aos cães, enquadrar-se-iam no âmbito da legislação nacional relativa aos animais domésticos. Em qualquer caso, afigura-se útil que os híbridos lobo-cão recebam, da parte dos caçadores e do público, o mesmo estatuto jurídico que os lobos, a fim de colmatar uma lacuna potencial para o abate irregular de lobos [«Policy Support Statement on hybridisation», elaborada pela Large Carnivore Initiative for Europe (iniciativa relativa aos grandes carnívoros para a Europa) e anexa ao documento </w:t>
            </w:r>
            <w:r>
              <w:rPr>
                <w:rFonts w:ascii="Verdana" w:hAnsi="Verdana"/>
                <w:i/>
                <w:noProof/>
                <w:sz w:val="18"/>
                <w:szCs w:val="18"/>
              </w:rPr>
              <w:t>Guidelines for population-level management plans of large carnivores</w:t>
            </w:r>
            <w:r>
              <w:rPr>
                <w:rFonts w:ascii="Verdana" w:hAnsi="Verdana"/>
                <w:noProof/>
                <w:sz w:val="18"/>
                <w:szCs w:val="18"/>
              </w:rPr>
              <w:t xml:space="preserve"> (Linnell </w:t>
            </w:r>
            <w:r>
              <w:rPr>
                <w:rFonts w:ascii="Verdana" w:hAnsi="Verdana"/>
                <w:i/>
                <w:iCs/>
                <w:noProof/>
                <w:sz w:val="18"/>
                <w:szCs w:val="18"/>
              </w:rPr>
              <w:t>et al</w:t>
            </w:r>
            <w:r>
              <w:rPr>
                <w:rFonts w:ascii="Verdana" w:hAnsi="Verdana"/>
                <w:noProof/>
                <w:sz w:val="18"/>
                <w:szCs w:val="18"/>
              </w:rPr>
              <w:t>., 2008)]. De facto, caso se considerasse que os híbridos não são juridicamente protegidos pela legislação nacional, tal poderia levar a um aumento dos abates acidentais de lobos, dada a dificuldade em distinguir os híbridos de lobos geneticamente «puros» apenas com base em características morfológicas. Esta situação poderia incluir não só os abates acidentais, mas também os intencionais, na medida em que o estatuto não protegido dos híbridos poderia ser utilizado como pretexto para o abate de lobos propriamente ditos. As autoridades de gestão são incentivadas a garantir que os híbridos são abrangidos, de forma clara e inequívoca, pela respetiva legislação nacional, como fauna selvagem ou como animais domésticos.</w:t>
            </w:r>
          </w:p>
          <w:p>
            <w:pPr>
              <w:numPr>
                <w:ilvl w:val="0"/>
                <w:numId w:val="23"/>
              </w:numPr>
              <w:spacing w:after="240"/>
              <w:jc w:val="both"/>
              <w:rPr>
                <w:rFonts w:ascii="Verdana" w:hAnsi="Verdana" w:cs="Cambria"/>
                <w:noProof/>
                <w:sz w:val="18"/>
                <w:szCs w:val="18"/>
                <w:u w:val="single"/>
              </w:rPr>
            </w:pPr>
            <w:r>
              <w:rPr>
                <w:rFonts w:ascii="Verdana" w:hAnsi="Verdana"/>
                <w:noProof/>
                <w:sz w:val="18"/>
                <w:szCs w:val="18"/>
                <w:u w:val="single"/>
              </w:rPr>
              <w:t>Opções para respostas de gestão</w:t>
            </w:r>
          </w:p>
          <w:p>
            <w:pPr>
              <w:spacing w:after="240"/>
              <w:jc w:val="both"/>
              <w:rPr>
                <w:rFonts w:ascii="Verdana" w:hAnsi="Verdana" w:cs="Cambria"/>
                <w:noProof/>
                <w:sz w:val="18"/>
                <w:szCs w:val="18"/>
              </w:rPr>
            </w:pPr>
            <w:r>
              <w:rPr>
                <w:rFonts w:ascii="Verdana" w:hAnsi="Verdana"/>
                <w:noProof/>
                <w:sz w:val="18"/>
                <w:szCs w:val="18"/>
              </w:rPr>
              <w:t>A resposta de gestão mais adequada dependerá do nível global estimado de introgressão e do facto de esta se limitar a zonas restritas e a algumas alcateias ou estar disseminada em áreas vastas e/ou na maioria das alcateias. Por exemplo, uma introgressão limitada poderá não constituir uma ameaça grave se tiver permanecido estável durante várias gerações. Uma hibridação significativa e generalizada («enxame de híbridos») pode ser incontrolável, embora possa ser desejável reduzir o fluxo atual e futuro de genes domésticos na população de lobo. Uma prevalência elevada mas localizada pode ainda ser tratada com ações específicas para neutralizar a reprodução de híbridos (quer através da remoção física, quer da esterilização). Embora tenham sido levantadas várias reservas quanto à dificuldade e eficácia da remoção de híbridos para controlar níveis reduzidos de introgressão generalizada, esta intervenção pode ser útil quando a hibridação não é generalizada e a sua aplicação é apoiada por investigação aplicada, monitorização e um quadro de gestão adaptativo.</w:t>
            </w:r>
          </w:p>
          <w:p>
            <w:pPr>
              <w:spacing w:after="240"/>
              <w:jc w:val="both"/>
              <w:rPr>
                <w:rFonts w:ascii="Verdana" w:hAnsi="Verdana" w:cs="Cambria"/>
                <w:noProof/>
                <w:sz w:val="18"/>
                <w:szCs w:val="18"/>
              </w:rPr>
            </w:pPr>
            <w:r>
              <w:rPr>
                <w:rFonts w:ascii="Verdana" w:hAnsi="Verdana"/>
                <w:noProof/>
                <w:sz w:val="18"/>
                <w:szCs w:val="18"/>
              </w:rPr>
              <w:t>O leque de ferramentas de gestão é vasto e a utilidade de cada ferramenta depende dos objetivos. Recomenda-se veementemente que a hibridação seja abordada através de um plano específico a nível nacional, ou eventualmente a nível da população, no qual sejam integralmente descritos e justificados os objetivos, protocolos e critérios. Será necessário identificar e descrever uma série de ações preventivas, proativas e reativas. Provavelmente, o plano incluirá disposições para:</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Estabelecer um esforço internacional de colaboração com a participação de todos os laboratórios genéticos, para chegar a acordo quanto a uma abordagem comum para definir limiares e procedimentos de identificação de híbridos e para partilhar as frequências alélicas das populações de referência;</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Aprovar um conjunto de orientações políticas para o estudo e a monitorização da dispersão e prevalência da hibridação e da introgressão genética do cão na população de lobos;</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Definir zonas onde as diferentes ferramentas de gestão são adequadas em função dos níveis e padrões de prevalência de híbridos, desde a não intervenção até à remoção ativa de espécimes híbridos. Em última análise, o contexto social deve ter influência nas zonas de gestão e nas ações selecionadas;</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Criar equipas (e procedimentos) de emergência responsáveis, onde e quando necessário, pela remoção de híbridos lobo-cão do meio natural</w:t>
            </w:r>
            <w:r>
              <w:rPr>
                <w:noProof/>
              </w:rPr>
              <w:t xml:space="preserve"> </w:t>
            </w:r>
            <w:r>
              <w:rPr>
                <w:rFonts w:ascii="Verdana" w:hAnsi="Verdana"/>
                <w:noProof/>
                <w:sz w:val="18"/>
                <w:szCs w:val="18"/>
              </w:rPr>
              <w:t>ou pela respetiva captura/esterilização/libertação. A Recomendação n.º 173 (2014) no âmbito da Convenção de Berna é apoiada na íntegra pela Comissão Europeia e afirma, nomeadamente, que é do interesse da conservação efetiva do lobo garantir que a remoção de qualquer híbrido lobo-cão detetado seja realizada exclusivamente de forma controlada pela administração pública. Aparentemente, tal exigirá a proibição do abate de híbridos ao abrigo da legislação nacional, abrindo apenas uma exceção para os organismos públicos ou respetivos agentes designados. A recomendação insta as partes a garantir que a remoção de híbridos lobo-cão controlada pela administração pública acontece após a confirmação, com recurso às características genéticas e/ou morfológicas, de que os mesmos são híbridos por parte de responsáveis públicos e/ou dos organismos designados pela administração pública para este fim e/ou investigadores. A remoção só deve ser realizada por organismos designados pelas autoridades competentes com responsabilidade para tal, garantindo simultaneamente que a remoção não prejudica o estado de conservação do lobo. Insta-as também a adotarem as medidas necessárias para evitar que os lobos sejam intencionalmente ou acidentalmente abatidos como se fossem híbridos lobo-cão. Tal não prejudica a remoção cuidadosa, controlada pela administração pública, de híbridos lobo-cão detetados do meio natural por organismos a quem as autoridades competentes conferem esta responsabilidade.</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Aprovar um plano nacional para controlar os cães em liberdade (selvagens, vadios ou pertencentes a pessoas que os deixam andar livremente) e para proibir a manutenção de lobos e híbridos lobo-cão como animais de estimação. Devem estabelecer campanhas de sensibilização para apoiar o controlo de cães selvagens e em liberdade nas áreas de repartição do lobo.</w:t>
            </w:r>
          </w:p>
        </w:tc>
      </w:tr>
    </w:tbl>
    <w:p>
      <w:pPr>
        <w:spacing w:after="240"/>
        <w:jc w:val="both"/>
        <w:rPr>
          <w:rFonts w:ascii="Verdana" w:hAnsi="Verdana" w:cs="Cambria"/>
          <w:noProof/>
          <w:sz w:val="20"/>
          <w:szCs w:val="20"/>
        </w:rPr>
      </w:pPr>
    </w:p>
    <w:p>
      <w:pPr>
        <w:spacing w:after="240"/>
        <w:jc w:val="both"/>
        <w:rPr>
          <w:rFonts w:ascii="Verdana" w:hAnsi="Verdana" w:cs="Cambria"/>
          <w:b/>
          <w:noProof/>
          <w:sz w:val="20"/>
          <w:szCs w:val="20"/>
        </w:rPr>
      </w:pPr>
      <w:r>
        <w:rPr>
          <w:rFonts w:ascii="Verdana" w:hAnsi="Verdana"/>
          <w:b/>
          <w:noProof/>
          <w:sz w:val="20"/>
          <w:szCs w:val="20"/>
        </w:rPr>
        <w:t>3. Conflitos relacionados com o lobo</w:t>
      </w:r>
    </w:p>
    <w:p>
      <w:pPr>
        <w:spacing w:after="240"/>
        <w:jc w:val="both"/>
        <w:rPr>
          <w:rFonts w:ascii="Verdana" w:hAnsi="Verdana" w:cs="Cambria"/>
          <w:noProof/>
          <w:sz w:val="20"/>
          <w:szCs w:val="20"/>
        </w:rPr>
      </w:pPr>
      <w:r>
        <w:rPr>
          <w:rFonts w:ascii="Verdana" w:hAnsi="Verdana"/>
          <w:noProof/>
          <w:sz w:val="20"/>
          <w:szCs w:val="20"/>
        </w:rPr>
        <w:t>Historicamente, o lobo tem estado associado a vários tipos de conflitos socioeconómicos com os seres humanos. No passado, tais conflitos levaram ao extermínio ou à redução drástica de populações de lobos em grande parte da sua área de repartição na Europa. Esta perseguição, aliada às elevadas taxas de caça furtiva, continua em muitas zonas. Atualmente, os principais conflitos são os seguintes:</w:t>
      </w:r>
    </w:p>
    <w:p>
      <w:pPr>
        <w:numPr>
          <w:ilvl w:val="0"/>
          <w:numId w:val="25"/>
        </w:numPr>
        <w:spacing w:before="60" w:after="240"/>
        <w:contextualSpacing/>
        <w:jc w:val="both"/>
        <w:rPr>
          <w:rFonts w:ascii="Verdana" w:hAnsi="Verdana" w:cs="Cambria"/>
          <w:b/>
          <w:bCs/>
          <w:i/>
          <w:iCs/>
          <w:noProof/>
          <w:sz w:val="20"/>
          <w:szCs w:val="20"/>
        </w:rPr>
      </w:pPr>
      <w:r>
        <w:rPr>
          <w:rFonts w:ascii="Verdana" w:hAnsi="Verdana"/>
          <w:b/>
          <w:bCs/>
          <w:noProof/>
          <w:sz w:val="20"/>
          <w:szCs w:val="20"/>
        </w:rPr>
        <w:t xml:space="preserve">Depredação de gado. </w:t>
      </w:r>
      <w:r>
        <w:rPr>
          <w:rFonts w:ascii="Verdana" w:hAnsi="Verdana"/>
          <w:noProof/>
          <w:sz w:val="20"/>
          <w:szCs w:val="20"/>
        </w:rPr>
        <w:t>As depredações de gado afetam essencialmente as ovelhas. Linnell e Cretois (2018) calculam que, durante o período 2012-2016, os lobos mataram em média 19 500 ovelhas por ano na UE (importa notar que faltavam dados relativos à Polónia, Roménia, Espanha, Bulgária, Áustria e partes de Itália). Este número é atualmente a melhor aproximação disponível para o impacto da predação dos lobos na UE.</w:t>
      </w:r>
    </w:p>
    <w:p>
      <w:pPr>
        <w:spacing w:after="240"/>
        <w:ind w:left="360"/>
        <w:jc w:val="both"/>
        <w:rPr>
          <w:rFonts w:ascii="Verdana" w:hAnsi="Verdana" w:cs="Cambria"/>
          <w:noProof/>
          <w:sz w:val="20"/>
          <w:szCs w:val="20"/>
        </w:rPr>
      </w:pPr>
      <w:r>
        <w:rPr>
          <w:rFonts w:ascii="Verdana" w:hAnsi="Verdana"/>
          <w:noProof/>
          <w:sz w:val="20"/>
          <w:szCs w:val="20"/>
        </w:rPr>
        <w:t>Embora as ovelhas sejam as principais vítimas dos ataques de lobos, outros tipos de gado (cabras, bovinos, cavalos) e de renas semidomesticadas são também afetados, em menor grau. A depredação é extremamente variável e depende muito do tipo de sistema de produção animal, do tipo de maneio e do nível de supervisão, nomeadamente o facto de o gado estar em cercados, especialmente durante a noite, ou ser pastoreado. Em França (80 alcateias), por exemplo, cerca de 11 000 ovinos, bovinos e caprinos foram vítimas de predação e objeto de indemnização em 2019 (Dreal, 2019</w:t>
      </w:r>
      <w:r>
        <w:rPr>
          <w:rStyle w:val="FootnoteReference"/>
          <w:rFonts w:ascii="Verdana" w:hAnsi="Verdana" w:cs="Cambria"/>
          <w:noProof/>
          <w:sz w:val="20"/>
          <w:szCs w:val="20"/>
        </w:rPr>
        <w:footnoteReference w:id="181"/>
      </w:r>
      <w:r>
        <w:rPr>
          <w:rFonts w:ascii="Verdana" w:hAnsi="Verdana"/>
          <w:noProof/>
          <w:sz w:val="20"/>
          <w:szCs w:val="20"/>
        </w:rPr>
        <w:t>), ao passo que na Alemanha (128 alcateias), o número é inferior a 3 000 em 2019 (DBBW, 2019</w:t>
      </w:r>
      <w:r>
        <w:rPr>
          <w:rStyle w:val="FootnoteReference"/>
          <w:rFonts w:ascii="Verdana" w:hAnsi="Verdana" w:cs="Cambria"/>
          <w:noProof/>
          <w:sz w:val="20"/>
          <w:szCs w:val="20"/>
        </w:rPr>
        <w:footnoteReference w:id="182"/>
      </w:r>
      <w:r>
        <w:rPr>
          <w:rFonts w:ascii="Verdana" w:hAnsi="Verdana"/>
          <w:noProof/>
          <w:sz w:val="20"/>
          <w:szCs w:val="20"/>
        </w:rPr>
        <w:t>) e, na Suécia (31 alcateias) só 161 ovelhas foram vítimas de predação em 2018 (Viltskadestatistik, 2018, SLU</w:t>
      </w:r>
      <w:r>
        <w:rPr>
          <w:rFonts w:ascii="Verdana" w:hAnsi="Verdana" w:cs="Cambria"/>
          <w:noProof/>
          <w:sz w:val="20"/>
          <w:szCs w:val="20"/>
          <w:vertAlign w:val="superscript"/>
        </w:rPr>
        <w:footnoteReference w:id="183"/>
      </w:r>
      <w:r>
        <w:rPr>
          <w:rFonts w:ascii="Verdana" w:hAnsi="Verdana"/>
          <w:noProof/>
          <w:sz w:val="20"/>
          <w:szCs w:val="20"/>
        </w:rPr>
        <w:t>).</w:t>
      </w:r>
    </w:p>
    <w:p>
      <w:pPr>
        <w:spacing w:after="240"/>
        <w:ind w:left="360"/>
        <w:jc w:val="both"/>
        <w:rPr>
          <w:rFonts w:ascii="Verdana" w:hAnsi="Verdana" w:cs="Cambria"/>
          <w:noProof/>
          <w:sz w:val="20"/>
          <w:szCs w:val="20"/>
        </w:rPr>
      </w:pPr>
      <w:r>
        <w:rPr>
          <w:rFonts w:ascii="Verdana" w:hAnsi="Verdana"/>
          <w:noProof/>
          <w:sz w:val="20"/>
          <w:szCs w:val="20"/>
        </w:rPr>
        <w:t>Linnell e Cretois (2018) realçam as dificuldades da recolha de dados coerentes e fiáveis em toda a Europa sobre a depredação de gado pelos lobos. O gado pode morrer ou desaparecer por diversos motivos e nem sempre é possível associar as respetivas mortes a grandes carnívoros. A qualidade das participações dos agricultores e gestores pecuários depende em grande medida do sistema de indemnização. Depende, por exemplo, do nível de indemnização (total ou parcial), da extensão e das dificuldades do processo administrativo conexo e do facto de serem realizadas verificações no local para confirmar se a depredação foi efetivamente causada por grandes carnívoros. Ocasionalmente, os lobos também podem atacar e matar cães. Tal acontece, por exemplo, na Suécia ou na Finlândia, durante a perseguição de alces com cães sem trela nos territórios do lobo. A perda de cabeças de gado e de cães tem claramente um grande impacto emocional, para além das perdas económicas diretas e indiretas. Embora o impacto global da predação dos lobos no setor pecuário na UE seja negligenciável, a predação dos lobos às ovelhas desprotegidas em pastagens pode ser significativa a nível de cada exploração e impõe uma pressão e um ónus suplementares aos operadores em causa, num setor já afetado por diversas pressões socioeconómicas.</w:t>
      </w:r>
    </w:p>
    <w:p>
      <w:pPr>
        <w:numPr>
          <w:ilvl w:val="0"/>
          <w:numId w:val="21"/>
        </w:numPr>
        <w:spacing w:after="240"/>
        <w:contextualSpacing/>
        <w:jc w:val="both"/>
        <w:rPr>
          <w:rFonts w:ascii="Verdana" w:hAnsi="Verdana"/>
          <w:noProof/>
          <w:sz w:val="20"/>
          <w:szCs w:val="20"/>
        </w:rPr>
      </w:pPr>
      <w:r>
        <w:rPr>
          <w:rFonts w:ascii="Verdana" w:hAnsi="Verdana"/>
          <w:b/>
          <w:bCs/>
          <w:noProof/>
          <w:sz w:val="20"/>
          <w:szCs w:val="20"/>
        </w:rPr>
        <w:t>Perceção do risco para as pessoas</w:t>
      </w:r>
      <w:r>
        <w:rPr>
          <w:rFonts w:ascii="Verdana" w:hAnsi="Verdana"/>
          <w:noProof/>
          <w:sz w:val="20"/>
          <w:szCs w:val="20"/>
        </w:rPr>
        <w:t>. Os lobos veem os seres humanos não como presas possíveis, mas como uma ameaça a evitar. Embora tenham sido comunicados ataques fatais de lobos a seres humanos no passado (muitas vezes relacionados com espécimes com raiva ou que tinham sido alimentados por seres humanos, provocados, feridos ou presos), o risco efetivo de ataques de lobos a seres humanos, nas condições ambientais e sociais atuais da Europa, é considerado extremamente baixo.</w:t>
      </w:r>
      <w:r>
        <w:rPr>
          <w:noProof/>
        </w:rPr>
        <w:t xml:space="preserve"> </w:t>
      </w:r>
      <w:r>
        <w:rPr>
          <w:rFonts w:ascii="Verdana" w:hAnsi="Verdana"/>
          <w:noProof/>
          <w:sz w:val="20"/>
          <w:szCs w:val="20"/>
          <w:lang w:val="en-GB"/>
        </w:rPr>
        <w:t xml:space="preserve">(Linnell </w:t>
      </w:r>
      <w:r>
        <w:rPr>
          <w:rFonts w:ascii="Verdana" w:hAnsi="Verdana"/>
          <w:i/>
          <w:iCs/>
          <w:noProof/>
          <w:sz w:val="20"/>
          <w:szCs w:val="20"/>
          <w:lang w:val="en-GB"/>
        </w:rPr>
        <w:t>et al</w:t>
      </w:r>
      <w:r>
        <w:rPr>
          <w:rFonts w:ascii="Verdana" w:hAnsi="Verdana"/>
          <w:noProof/>
          <w:sz w:val="20"/>
          <w:szCs w:val="20"/>
          <w:lang w:val="en-GB"/>
        </w:rPr>
        <w:t>., 2002; Linnell e Alleau, 2016</w:t>
      </w:r>
      <w:r>
        <w:rPr>
          <w:rStyle w:val="FootnoteReference"/>
          <w:rFonts w:ascii="Verdana" w:hAnsi="Verdana"/>
          <w:noProof/>
          <w:sz w:val="20"/>
          <w:szCs w:val="20"/>
          <w:lang w:eastAsia="el-GR"/>
        </w:rPr>
        <w:footnoteReference w:id="184"/>
      </w:r>
      <w:r>
        <w:rPr>
          <w:rFonts w:ascii="Verdana" w:hAnsi="Verdana"/>
          <w:noProof/>
          <w:sz w:val="20"/>
          <w:szCs w:val="20"/>
          <w:lang w:val="en-GB"/>
        </w:rPr>
        <w:t xml:space="preserve">; KORA, 2016; Linnell </w:t>
      </w:r>
      <w:r>
        <w:rPr>
          <w:rFonts w:ascii="Verdana" w:hAnsi="Verdana"/>
          <w:i/>
          <w:iCs/>
          <w:noProof/>
          <w:sz w:val="20"/>
          <w:szCs w:val="20"/>
          <w:lang w:val="en-GB"/>
        </w:rPr>
        <w:t>et al</w:t>
      </w:r>
      <w:r>
        <w:rPr>
          <w:rFonts w:ascii="Verdana" w:hAnsi="Verdana"/>
          <w:noProof/>
          <w:sz w:val="20"/>
          <w:szCs w:val="20"/>
          <w:lang w:val="en-GB"/>
        </w:rPr>
        <w:t xml:space="preserve">., 2021). </w:t>
      </w:r>
      <w:r>
        <w:rPr>
          <w:rFonts w:ascii="Verdana" w:hAnsi="Verdana"/>
          <w:noProof/>
          <w:sz w:val="20"/>
          <w:szCs w:val="20"/>
        </w:rPr>
        <w:t>Não obstante, muitas pessoas ainda receiam os lobos, especialmente nos países e regiões que foram recentemente recolonizados pela espécie ou onde o aumento do número de lobos lhes dá uma maior visibilidade em zonas onde anteriormente a sua presença não era habitual.</w:t>
      </w:r>
      <w:r>
        <w:rPr>
          <w:rFonts w:ascii="Arial" w:hAnsi="Arial"/>
          <w:noProof/>
          <w:sz w:val="20"/>
          <w:szCs w:val="20"/>
        </w:rPr>
        <w:t xml:space="preserve"> </w:t>
      </w:r>
      <w:r>
        <w:rPr>
          <w:rFonts w:ascii="Verdana" w:hAnsi="Verdana"/>
          <w:noProof/>
          <w:sz w:val="20"/>
          <w:szCs w:val="20"/>
        </w:rPr>
        <w:t xml:space="preserve">Foram relatados casos de lobos que se aproximaram das pessoas e se comportaram de forma invulgar (lobos «ousados» ou «destemidos»). Estas situações ocorreram, nomeadamente, quando os lobos foram condicionados com alimentos ou quando havia cães presentes (Reinhardt, 2018). No que se refere aos híbridos lobo-cão, não há provas de que sejam mais ousados ou mais perigosos do que os lobos, mas o medo em relação aos híbridos é também um problema específico em certas zonas da Europa. Estas perceções e atitudes têm de ser ponderadas cuidadosamente e abordadas com seriedade. É útil, embora nem sempre suficiente, apoiar atividades educativas, a fim de fornecer informações corretas e desconstruir as notícias falsas através da verificação de factos (como tem sido feito por algumas autoridades locais ou regionais ou ao abrigo de projetos LIFE). Além disso, importa esclarecer que, no caso improvável de um perigo objetivo, causado, por exemplo, por um lobo com raiva ou agressivo ou por um lobo condicionado com alimentos ou habituado ao contacto com seres humanos, a remoção específica do lobo em causa é plenamente legítima ao abrigo da Diretiva </w:t>
      </w:r>
      <w:r>
        <w:rPr>
          <w:rFonts w:ascii="Verdana" w:hAnsi="Verdana"/>
          <w:i/>
          <w:iCs/>
          <w:noProof/>
          <w:sz w:val="20"/>
          <w:szCs w:val="20"/>
        </w:rPr>
        <w:t>Habitats</w:t>
      </w:r>
      <w:r>
        <w:rPr>
          <w:rFonts w:ascii="Verdana" w:hAnsi="Verdana"/>
          <w:noProof/>
          <w:sz w:val="20"/>
          <w:szCs w:val="20"/>
        </w:rPr>
        <w:t xml:space="preserve"> [ver o ponto sobre as derrogações ao abrigo do artigo 16.º, n.º 1, alínea c), no capítulo 6 abaixo].</w:t>
      </w:r>
    </w:p>
    <w:p>
      <w:pPr>
        <w:spacing w:after="240"/>
        <w:ind w:left="360"/>
        <w:contextualSpacing/>
        <w:jc w:val="both"/>
        <w:rPr>
          <w:rFonts w:ascii="Verdana" w:hAnsi="Verdana"/>
          <w:noProof/>
          <w:sz w:val="20"/>
          <w:szCs w:val="20"/>
          <w:lang w:eastAsia="el-GR"/>
        </w:rPr>
      </w:pPr>
    </w:p>
    <w:p>
      <w:pPr>
        <w:numPr>
          <w:ilvl w:val="0"/>
          <w:numId w:val="21"/>
        </w:numPr>
        <w:spacing w:after="240"/>
        <w:contextualSpacing/>
        <w:jc w:val="both"/>
        <w:rPr>
          <w:rFonts w:ascii="Verdana" w:hAnsi="Verdana"/>
          <w:strike/>
          <w:noProof/>
          <w:sz w:val="20"/>
          <w:szCs w:val="20"/>
        </w:rPr>
      </w:pPr>
      <w:r>
        <w:rPr>
          <w:rFonts w:ascii="Verdana" w:hAnsi="Verdana"/>
          <w:b/>
          <w:bCs/>
          <w:noProof/>
          <w:sz w:val="20"/>
          <w:szCs w:val="20"/>
        </w:rPr>
        <w:t>Impacto nas espécies de ungulados cinegéticos</w:t>
      </w:r>
      <w:r>
        <w:rPr>
          <w:rFonts w:ascii="Verdana" w:hAnsi="Verdana"/>
          <w:noProof/>
          <w:sz w:val="20"/>
          <w:szCs w:val="20"/>
        </w:rPr>
        <w:t>. Os lobos e os caçadores humanos podem por vezes perseguir a mesma presa, ou seja, os ungulados selvagens. Quando os grandes carnívoros regressam, os caçadores receiam, frequentemente, que a concorrência afete as suas atividades, o que pode causar um conflito significativo. O impacto da predação do lobo no número e no comportamento dos ungulados selvagens é bastante variável e complexo, dependendo da espécie e do contexto local. Em geral, os lobos matam apenas uma pequena percentagem de ungulados selvagens por ano — muito menos que os caçadores — e não parecem ter um impacto negativo nas tendências atuais (regra geral, de aumento) das populações de ungulados na Europa</w:t>
      </w:r>
      <w:r>
        <w:rPr>
          <w:rFonts w:ascii="Verdana" w:hAnsi="Verdana" w:cs="Cambria"/>
          <w:noProof/>
          <w:sz w:val="20"/>
          <w:szCs w:val="20"/>
          <w:vertAlign w:val="superscript"/>
        </w:rPr>
        <w:footnoteReference w:id="185"/>
      </w:r>
      <w:r>
        <w:rPr>
          <w:rFonts w:ascii="Verdana" w:hAnsi="Verdana"/>
          <w:noProof/>
          <w:sz w:val="20"/>
          <w:szCs w:val="20"/>
        </w:rPr>
        <w:t xml:space="preserve"> (Bassi, E. </w:t>
      </w:r>
      <w:r>
        <w:rPr>
          <w:rFonts w:ascii="Verdana" w:hAnsi="Verdana"/>
          <w:i/>
          <w:iCs/>
          <w:noProof/>
          <w:sz w:val="20"/>
          <w:szCs w:val="20"/>
        </w:rPr>
        <w:t>et al</w:t>
      </w:r>
      <w:r>
        <w:rPr>
          <w:rFonts w:ascii="Verdana" w:hAnsi="Verdana"/>
          <w:noProof/>
          <w:sz w:val="20"/>
          <w:szCs w:val="20"/>
        </w:rPr>
        <w:t>., 2020; Gtowaciflski, Z. e Profus, P., 1997). De qualquer forma, ao contrário da predação sobre o gado doméstico, a predação de um carnívoro nativo selvagem sobre os ungulados selvagens não é passível de ser evitada ou atenuada, pois faz parte dos processos naturais que a política de biodiversidade visa recuperar e preservar. Tal representa um grande desafio para os caçadores europeus, na medida em que o regresso dos grandes carnívoros teve de ser considerado no planeamento da caça e na definição de quotas para os ungulados selvagens. Por fim, a contribuição dos lobos para a regulação das densidades de ungulados (Ripple, W.J. e Beschta, R.L., 2012) tem de ser reconhecida, tendo em conta as vantagens associadas, nomeadamente em termos de redução dos prejuízos causados às florestas e às culturas agrícolas</w:t>
      </w:r>
      <w:r>
        <w:rPr>
          <w:rFonts w:ascii="Verdana" w:hAnsi="Verdana" w:cs="Cambria"/>
          <w:noProof/>
          <w:sz w:val="20"/>
          <w:szCs w:val="20"/>
          <w:vertAlign w:val="superscript"/>
        </w:rPr>
        <w:footnoteReference w:id="186"/>
      </w:r>
      <w:r>
        <w:rPr>
          <w:rFonts w:ascii="Verdana" w:hAnsi="Verdana"/>
          <w:noProof/>
          <w:sz w:val="20"/>
          <w:szCs w:val="20"/>
        </w:rPr>
        <w:t>.</w:t>
      </w:r>
    </w:p>
    <w:p>
      <w:pPr>
        <w:spacing w:after="240"/>
        <w:ind w:left="360"/>
        <w:contextualSpacing/>
        <w:jc w:val="both"/>
        <w:rPr>
          <w:rFonts w:ascii="Verdana" w:hAnsi="Verdana"/>
          <w:strike/>
          <w:noProof/>
          <w:sz w:val="20"/>
          <w:szCs w:val="20"/>
          <w:lang w:eastAsia="el-GR"/>
        </w:rPr>
      </w:pPr>
    </w:p>
    <w:p>
      <w:pPr>
        <w:numPr>
          <w:ilvl w:val="0"/>
          <w:numId w:val="21"/>
        </w:numPr>
        <w:spacing w:after="240"/>
        <w:contextualSpacing/>
        <w:jc w:val="both"/>
        <w:rPr>
          <w:rFonts w:ascii="Verdana" w:hAnsi="Verdana"/>
          <w:strike/>
          <w:noProof/>
          <w:sz w:val="20"/>
          <w:szCs w:val="20"/>
        </w:rPr>
      </w:pPr>
      <w:r>
        <w:rPr>
          <w:rFonts w:ascii="Verdana" w:hAnsi="Verdana"/>
          <w:b/>
          <w:bCs/>
          <w:noProof/>
          <w:sz w:val="20"/>
          <w:szCs w:val="20"/>
        </w:rPr>
        <w:t>Conflitos sobre valores (visões concorrentes de paisagens europeias)</w:t>
      </w:r>
      <w:r>
        <w:rPr>
          <w:rFonts w:ascii="Verdana" w:hAnsi="Verdana"/>
          <w:noProof/>
          <w:sz w:val="20"/>
          <w:szCs w:val="20"/>
        </w:rPr>
        <w:t>. Os conflitos associados aos lobos nem sempre se prendem com o impacto económico direto em alguns intervenientes rurais. Os lobos são fortemente simbólicos de uma série de questões mais vastas, e os conflitos refletem, muitas vezes, clivagens sociais mais profundas (por exemplo, entre zonas rurais e urbanas, entre valores modernos e tradicionais, ou entre diferentes classes socioeconómicas) (Linnell, 2013). Frequentemente, os lobos desencadeiam um debate fundamental sobre o rumo futuro das paisagens europeias (Linnell, 2014) entre diferentes segmentos da sociedade com pontos de vista e perspetivas opostos sobre o modo como a vida selvagem e as paisagens devem ser preservadas, utilizadas ou geridas</w:t>
      </w:r>
      <w:r>
        <w:rPr>
          <w:rFonts w:ascii="Verdana" w:hAnsi="Verdana" w:cs="Cambria"/>
          <w:noProof/>
          <w:sz w:val="20"/>
          <w:szCs w:val="20"/>
          <w:vertAlign w:val="superscript"/>
        </w:rPr>
        <w:footnoteReference w:id="187"/>
      </w:r>
      <w:r>
        <w:rPr>
          <w:rFonts w:ascii="Verdana" w:hAnsi="Verdana"/>
          <w:noProof/>
          <w:sz w:val="20"/>
          <w:szCs w:val="20"/>
        </w:rPr>
        <w:t>.</w:t>
      </w:r>
      <w:r>
        <w:rPr>
          <w:noProof/>
        </w:rPr>
        <w:t xml:space="preserve"> </w:t>
      </w:r>
      <w:r>
        <w:rPr>
          <w:rFonts w:ascii="Verdana" w:hAnsi="Verdana"/>
          <w:noProof/>
          <w:sz w:val="20"/>
          <w:szCs w:val="20"/>
        </w:rPr>
        <w:t>Assim se explica que raramente exista uma relação clara entre a extensão do impacto económico direto dos grandes carnívoros e o nível de conflito social a que este dá origem (Linnell e Cretois, 2018).</w:t>
      </w:r>
    </w:p>
    <w:p>
      <w:pPr>
        <w:spacing w:after="240"/>
        <w:ind w:left="720"/>
        <w:contextualSpacing/>
        <w:jc w:val="both"/>
        <w:rPr>
          <w:rFonts w:ascii="Verdana" w:hAnsi="Verdana"/>
          <w:noProof/>
          <w:sz w:val="20"/>
          <w:szCs w:val="20"/>
          <w:lang w:eastAsia="el-GR"/>
        </w:rPr>
      </w:pPr>
    </w:p>
    <w:p>
      <w:pPr>
        <w:spacing w:after="240"/>
        <w:jc w:val="both"/>
        <w:rPr>
          <w:rFonts w:ascii="Verdana" w:hAnsi="Verdana"/>
          <w:b/>
          <w:bCs/>
          <w:noProof/>
          <w:sz w:val="20"/>
          <w:szCs w:val="20"/>
        </w:rPr>
      </w:pPr>
      <w:r>
        <w:rPr>
          <w:rFonts w:ascii="Verdana" w:hAnsi="Verdana"/>
          <w:b/>
          <w:bCs/>
          <w:noProof/>
          <w:sz w:val="20"/>
          <w:szCs w:val="20"/>
        </w:rPr>
        <w:t>4. Medidas para melhorar a coexistência entre os seres humanos e os lobos</w:t>
      </w:r>
    </w:p>
    <w:p>
      <w:pPr>
        <w:spacing w:after="240"/>
        <w:jc w:val="both"/>
        <w:rPr>
          <w:rFonts w:ascii="Verdana" w:hAnsi="Verdana"/>
          <w:noProof/>
          <w:sz w:val="20"/>
          <w:szCs w:val="20"/>
        </w:rPr>
      </w:pPr>
      <w:r>
        <w:rPr>
          <w:rFonts w:ascii="Verdana" w:hAnsi="Verdana"/>
          <w:noProof/>
          <w:sz w:val="20"/>
          <w:szCs w:val="20"/>
        </w:rPr>
        <w:t xml:space="preserve">Desde a adoção da Diretiva </w:t>
      </w:r>
      <w:r>
        <w:rPr>
          <w:rFonts w:ascii="Verdana" w:hAnsi="Verdana"/>
          <w:i/>
          <w:iCs/>
          <w:noProof/>
          <w:sz w:val="20"/>
          <w:szCs w:val="20"/>
        </w:rPr>
        <w:t>Habitats</w:t>
      </w:r>
      <w:r>
        <w:rPr>
          <w:rFonts w:ascii="Verdana" w:hAnsi="Verdana"/>
          <w:noProof/>
          <w:sz w:val="20"/>
          <w:szCs w:val="20"/>
        </w:rPr>
        <w:t>, a Comissão promoveu a abordagem da coexistência, que visa repor o estado de conservação favorável de populações de grandes carnívoros, ao mesmo tempo que combate e reduz os conflitos com atividades humanas legítimas, com vista à partilha de paisagens multifuncionais. O programa LIFE financiou mais de 40 projetos associados à conservação do lobo e à coexistência, que ajudaram a encontrar e testar boas práticas para alcançar estes objetivos</w:t>
      </w:r>
      <w:r>
        <w:rPr>
          <w:rFonts w:ascii="Verdana" w:hAnsi="Verdana"/>
          <w:noProof/>
          <w:sz w:val="20"/>
          <w:szCs w:val="20"/>
          <w:vertAlign w:val="superscript"/>
        </w:rPr>
        <w:footnoteReference w:id="188"/>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A </w:t>
      </w:r>
      <w:r>
        <w:rPr>
          <w:rFonts w:ascii="Verdana" w:hAnsi="Verdana"/>
          <w:i/>
          <w:noProof/>
          <w:sz w:val="20"/>
          <w:szCs w:val="20"/>
        </w:rPr>
        <w:t>Plataforma da UE para a Coexistência entre o Homem e os Grandes Carnívoros</w:t>
      </w:r>
      <w:r>
        <w:rPr>
          <w:rFonts w:ascii="Verdana" w:hAnsi="Verdana"/>
          <w:noProof/>
          <w:sz w:val="20"/>
          <w:szCs w:val="20"/>
        </w:rPr>
        <w:t xml:space="preserve"> — um grupo de organizações que representam diferentes grupos de interesse que chegaram a acordo quanto a uma missão conjunta para promover soluções de coexistência</w:t>
      </w:r>
      <w:r>
        <w:rPr>
          <w:rFonts w:ascii="Verdana" w:hAnsi="Verdana"/>
          <w:noProof/>
          <w:sz w:val="20"/>
          <w:szCs w:val="20"/>
          <w:vertAlign w:val="superscript"/>
        </w:rPr>
        <w:footnoteReference w:id="189"/>
      </w:r>
      <w:r>
        <w:rPr>
          <w:rFonts w:ascii="Verdana" w:hAnsi="Verdana"/>
          <w:noProof/>
          <w:sz w:val="20"/>
          <w:szCs w:val="20"/>
        </w:rPr>
        <w:t xml:space="preserve"> — identificou muitos exemplos e estudos de caso sobre a coexistência. Estes estudos de caso estão classificados em cinco categorias: 1) aconselhamento/sensibilização; 2) prestação de apoio prático; 3) compreensão de pontos de vista; 4) financiamento inovador; e 5) monitorização</w:t>
      </w:r>
      <w:r>
        <w:rPr>
          <w:rFonts w:ascii="Verdana" w:hAnsi="Verdana"/>
          <w:noProof/>
          <w:sz w:val="20"/>
          <w:szCs w:val="20"/>
          <w:vertAlign w:val="superscript"/>
        </w:rPr>
        <w:footnoteReference w:id="190"/>
      </w:r>
      <w:r>
        <w:rPr>
          <w:rFonts w:ascii="Verdana" w:hAnsi="Verdana"/>
          <w:noProof/>
          <w:sz w:val="20"/>
          <w:szCs w:val="20"/>
        </w:rPr>
        <w:t xml:space="preserve"> (Plataforma GC da UE, 2019).</w:t>
      </w:r>
    </w:p>
    <w:p>
      <w:pPr>
        <w:spacing w:after="240"/>
        <w:jc w:val="both"/>
        <w:rPr>
          <w:rFonts w:ascii="Verdana" w:hAnsi="Verdana"/>
          <w:noProof/>
          <w:sz w:val="20"/>
          <w:szCs w:val="20"/>
        </w:rPr>
      </w:pPr>
      <w:r>
        <w:rPr>
          <w:rFonts w:ascii="Verdana" w:hAnsi="Verdana"/>
          <w:noProof/>
          <w:sz w:val="20"/>
          <w:szCs w:val="20"/>
        </w:rPr>
        <w:t>Um estudo de 2018 encomendado pelo Parlamento Europeu</w:t>
      </w:r>
      <w:r>
        <w:rPr>
          <w:rFonts w:ascii="Verdana" w:hAnsi="Verdana"/>
          <w:noProof/>
          <w:sz w:val="20"/>
          <w:szCs w:val="20"/>
          <w:vertAlign w:val="superscript"/>
        </w:rPr>
        <w:footnoteReference w:id="191"/>
      </w:r>
      <w:r>
        <w:rPr>
          <w:rFonts w:ascii="Verdana" w:hAnsi="Verdana"/>
          <w:noProof/>
          <w:sz w:val="20"/>
          <w:szCs w:val="20"/>
        </w:rPr>
        <w:t xml:space="preserve"> apresentou recomendações e exemplos de medidas práticas de coexistência em vários Estados-Membros, destinadas aos lobos e a outros grandes carnívoros.</w:t>
      </w:r>
    </w:p>
    <w:p>
      <w:pPr>
        <w:spacing w:after="240"/>
        <w:jc w:val="both"/>
        <w:rPr>
          <w:rFonts w:ascii="Verdana" w:hAnsi="Verdana"/>
          <w:noProof/>
          <w:sz w:val="20"/>
          <w:szCs w:val="20"/>
        </w:rPr>
      </w:pPr>
      <w:r>
        <w:rPr>
          <w:rFonts w:ascii="Verdana" w:hAnsi="Verdana"/>
          <w:noProof/>
          <w:sz w:val="20"/>
          <w:szCs w:val="20"/>
        </w:rPr>
        <w:t>Por conseguinte, a nível europeu, existe uma base ampla para a partilha de conhecimentos e de experiências valiosas. As abordagens mais comuns com vista à redução de conflitos são descritas abaixo.</w:t>
      </w:r>
    </w:p>
    <w:p>
      <w:pPr>
        <w:numPr>
          <w:ilvl w:val="0"/>
          <w:numId w:val="5"/>
        </w:numPr>
        <w:spacing w:before="60" w:after="240"/>
        <w:ind w:left="360"/>
        <w:contextualSpacing/>
        <w:jc w:val="both"/>
        <w:rPr>
          <w:rFonts w:ascii="Verdana" w:hAnsi="Verdana"/>
          <w:b/>
          <w:i/>
          <w:noProof/>
          <w:sz w:val="20"/>
          <w:szCs w:val="20"/>
          <w:u w:val="single"/>
        </w:rPr>
      </w:pPr>
      <w:r>
        <w:rPr>
          <w:rFonts w:ascii="Verdana" w:hAnsi="Verdana"/>
          <w:b/>
          <w:i/>
          <w:noProof/>
          <w:sz w:val="20"/>
          <w:szCs w:val="20"/>
          <w:u w:val="single"/>
        </w:rPr>
        <w:t>Indemnizações compensatórias</w:t>
      </w:r>
    </w:p>
    <w:p>
      <w:pPr>
        <w:spacing w:after="240"/>
        <w:jc w:val="both"/>
        <w:rPr>
          <w:noProof/>
        </w:rPr>
      </w:pPr>
      <w:r>
        <w:rPr>
          <w:rFonts w:ascii="Verdana" w:hAnsi="Verdana"/>
          <w:noProof/>
          <w:sz w:val="20"/>
          <w:szCs w:val="20"/>
        </w:rPr>
        <w:t>Uma abordagem frequente para reduzir o impacto económico de prejuízos causados por lobos e aumentar a tolerância pela espécie protegida são as indemnizações compensatórias, utilizadas em muitos países da UE. As indemnizações compensatórias podem ser frequentemente uma medida adequada, mas é necessário definir claramente as regras de elegibilidade e ter vários fatores em conta, nomeadamente, verificar se as perdas de cabeças de gado se devem efetivamente à predação dos lobos e garantir que a indemnização é justa e paga rapidamente ao destinatário elegível.</w:t>
      </w:r>
    </w:p>
    <w:p>
      <w:pPr>
        <w:spacing w:after="240"/>
        <w:jc w:val="both"/>
        <w:rPr>
          <w:rFonts w:ascii="Verdana" w:hAnsi="Verdana"/>
          <w:b/>
          <w:bCs/>
          <w:noProof/>
          <w:sz w:val="20"/>
          <w:szCs w:val="20"/>
        </w:rPr>
      </w:pPr>
      <w:r>
        <w:rPr>
          <w:rFonts w:ascii="Verdana" w:hAnsi="Verdana"/>
          <w:noProof/>
          <w:sz w:val="20"/>
          <w:szCs w:val="20"/>
        </w:rPr>
        <w:t>Em muitos países, os agricultores queixam-se de que é complicado e dispendioso obter indemnizações, ou que os pagamentos são tardios ou insuficientes. As indemnizações compensatórias são normalmente financiadas pelos governos nacionais ou regionais, em conformidade com as regras pertinentes em matéria de auxílios estatais da UE</w:t>
      </w:r>
      <w:r>
        <w:rPr>
          <w:rFonts w:ascii="Verdana" w:hAnsi="Verdana"/>
          <w:noProof/>
          <w:sz w:val="20"/>
          <w:szCs w:val="20"/>
          <w:vertAlign w:val="superscript"/>
        </w:rPr>
        <w:footnoteReference w:id="192"/>
      </w:r>
      <w:r>
        <w:rPr>
          <w:rFonts w:ascii="Verdana" w:hAnsi="Verdana"/>
          <w:noProof/>
          <w:sz w:val="20"/>
          <w:szCs w:val="20"/>
        </w:rPr>
        <w:t xml:space="preserve"> (que permitem a indemnização de 100 % dos custos diretos e indiretos). As indemnizações compensatórias de prejuízos, por si sós, nem sempre são suficientes para fazer face aos problemas de coexistência, na medida em que não reduzem a depredação nem outros conflitos. Além disso, as indemnizações compensatórias muitas vezes não são sustentáveis a longo prazo, salvo se forem conjugadas adequadamente com outras medidas.</w:t>
      </w:r>
    </w:p>
    <w:p>
      <w:pPr>
        <w:numPr>
          <w:ilvl w:val="0"/>
          <w:numId w:val="5"/>
        </w:numPr>
        <w:spacing w:before="60" w:after="240"/>
        <w:ind w:left="360"/>
        <w:contextualSpacing/>
        <w:jc w:val="both"/>
        <w:rPr>
          <w:rFonts w:ascii="Verdana" w:hAnsi="Verdana"/>
          <w:b/>
          <w:bCs/>
          <w:noProof/>
          <w:sz w:val="20"/>
          <w:szCs w:val="20"/>
          <w:u w:val="single"/>
        </w:rPr>
      </w:pPr>
      <w:r>
        <w:rPr>
          <w:rFonts w:ascii="Verdana" w:hAnsi="Verdana"/>
          <w:b/>
          <w:bCs/>
          <w:i/>
          <w:iCs/>
          <w:noProof/>
          <w:sz w:val="20"/>
          <w:szCs w:val="20"/>
          <w:u w:val="single"/>
        </w:rPr>
        <w:t>Medidas de prevenção</w:t>
      </w:r>
      <w:r>
        <w:rPr>
          <w:rFonts w:ascii="Verdana" w:hAnsi="Verdana"/>
          <w:b/>
          <w:bCs/>
          <w:noProof/>
          <w:sz w:val="20"/>
          <w:szCs w:val="20"/>
          <w:u w:val="single"/>
        </w:rPr>
        <w:t xml:space="preserve"> </w:t>
      </w:r>
      <w:r>
        <w:rPr>
          <w:rFonts w:ascii="Verdana" w:hAnsi="Verdana"/>
          <w:b/>
          <w:bCs/>
          <w:i/>
          <w:iCs/>
          <w:noProof/>
          <w:sz w:val="20"/>
          <w:szCs w:val="20"/>
          <w:u w:val="single"/>
        </w:rPr>
        <w:t>e assistência técnica</w:t>
      </w:r>
    </w:p>
    <w:p>
      <w:pPr>
        <w:spacing w:after="240"/>
        <w:jc w:val="both"/>
        <w:rPr>
          <w:rFonts w:ascii="Verdana" w:hAnsi="Verdana"/>
          <w:noProof/>
          <w:sz w:val="20"/>
          <w:szCs w:val="20"/>
        </w:rPr>
      </w:pPr>
      <w:r>
        <w:rPr>
          <w:rFonts w:ascii="Verdana" w:hAnsi="Verdana"/>
          <w:noProof/>
          <w:sz w:val="20"/>
          <w:szCs w:val="20"/>
        </w:rPr>
        <w:t xml:space="preserve">As medidas de prevenção são uma componente fundamental de um sistema completo de coexistência. A experiência obtida (por exemplo, com projetos LIFE e programas de desenvolvimento rural) mostra a importância e a eficácia de várias medidas de proteção do gado, tais como diferentes tipos de cercas, pastoreio, cães de guarda de rebanhos, recolha noturna de animais e dispositivos visuais e acústicos de dissuasão [Fernández-Gil </w:t>
      </w:r>
      <w:r>
        <w:rPr>
          <w:rFonts w:ascii="Verdana" w:hAnsi="Verdana"/>
          <w:i/>
          <w:iCs/>
          <w:noProof/>
          <w:sz w:val="20"/>
          <w:szCs w:val="20"/>
        </w:rPr>
        <w:t>et al</w:t>
      </w:r>
      <w:r>
        <w:rPr>
          <w:rFonts w:ascii="Verdana" w:hAnsi="Verdana"/>
          <w:noProof/>
          <w:sz w:val="20"/>
          <w:szCs w:val="20"/>
        </w:rPr>
        <w:t xml:space="preserve">., 2018; ver também «Carnivore Damage Prevention News» (CDP news, 2018)]. Em especial, a presença de pastores pode tornar as medidas de proteção do gado consideravelmente mais eficazes e é, por si só, dissuasora da predação. Um relatório desenvolvido pela Plataforma da UE para a Coexistência entre o Homem e os Grandes Carnívoros demonstra experiências de sucesso e boas práticas (Hovardas </w:t>
      </w:r>
      <w:r>
        <w:rPr>
          <w:rFonts w:ascii="Verdana" w:hAnsi="Verdana"/>
          <w:i/>
          <w:iCs/>
          <w:noProof/>
          <w:sz w:val="20"/>
          <w:szCs w:val="20"/>
        </w:rPr>
        <w:t>et al</w:t>
      </w:r>
      <w:r>
        <w:rPr>
          <w:rFonts w:ascii="Verdana" w:hAnsi="Verdana"/>
          <w:noProof/>
          <w:sz w:val="20"/>
          <w:szCs w:val="20"/>
        </w:rPr>
        <w:t>., 2017). As medidas de prevenção têm de ser adaptadas e ajustadas a características regionais específicas (incluindo o tipo de gado, o tamanho do efetivo, a topografia, etc.).</w:t>
      </w:r>
    </w:p>
    <w:p>
      <w:pPr>
        <w:spacing w:after="240"/>
        <w:jc w:val="both"/>
        <w:rPr>
          <w:rFonts w:ascii="Verdana" w:hAnsi="Verdana"/>
          <w:noProof/>
          <w:sz w:val="20"/>
          <w:szCs w:val="20"/>
        </w:rPr>
      </w:pPr>
      <w:r>
        <w:rPr>
          <w:rFonts w:ascii="Verdana" w:hAnsi="Verdana"/>
          <w:noProof/>
          <w:sz w:val="20"/>
          <w:szCs w:val="20"/>
        </w:rPr>
        <w:t xml:space="preserve">A eficácia destas medidas depende fortemente da sua aplicação adequada pelos operadores pertinentes e da disponibilidade de recursos e aconselhamento técnico suficientes para apoiar a sua execução no terreno (por exemplo, van Eeden </w:t>
      </w:r>
      <w:r>
        <w:rPr>
          <w:rFonts w:ascii="Verdana" w:hAnsi="Verdana"/>
          <w:i/>
          <w:iCs/>
          <w:noProof/>
          <w:sz w:val="20"/>
          <w:szCs w:val="20"/>
        </w:rPr>
        <w:t>et al</w:t>
      </w:r>
      <w:r>
        <w:rPr>
          <w:rFonts w:ascii="Verdana" w:hAnsi="Verdana"/>
          <w:noProof/>
          <w:sz w:val="20"/>
          <w:szCs w:val="20"/>
        </w:rPr>
        <w:t>., 2018). Nenhuma medida isolada pode resolver totalmente o problema, mas as soluções técnicas adequadas (frequentemente utilizadas em combinação) podem reduzir significativamente as perdas de gado para os predadores. As autoridades e os intervenientes pertinentes têm de conceber cuidadosamente as medidas de prevenção, para que estas sejam adequadas a diferentes situações. Têm também de as aplicar devidamente (incluindo a manutenção), controlar a sua eficácia e proceder a eventuais ajustes necessários. É fundamental dar formação, informação, acompanhamento e assistência técnica aos operadores em causa, com apoio público adequado,</w:t>
      </w:r>
      <w:r>
        <w:rPr>
          <w:noProof/>
        </w:rPr>
        <w:t xml:space="preserve"> </w:t>
      </w:r>
      <w:r>
        <w:rPr>
          <w:rFonts w:ascii="Verdana" w:hAnsi="Verdana"/>
          <w:noProof/>
          <w:sz w:val="20"/>
          <w:szCs w:val="20"/>
        </w:rPr>
        <w:t>nomeadamente para manter os sistemas de prevenção e lidar com a carga de trabalho suplementar.</w:t>
      </w:r>
    </w:p>
    <w:p>
      <w:pPr>
        <w:numPr>
          <w:ilvl w:val="0"/>
          <w:numId w:val="5"/>
        </w:numPr>
        <w:spacing w:before="60" w:after="240"/>
        <w:ind w:left="360"/>
        <w:contextualSpacing/>
        <w:jc w:val="both"/>
        <w:rPr>
          <w:rFonts w:ascii="Verdana" w:hAnsi="Verdana"/>
          <w:b/>
          <w:bCs/>
          <w:i/>
          <w:iCs/>
          <w:noProof/>
          <w:sz w:val="20"/>
          <w:szCs w:val="20"/>
          <w:u w:val="single"/>
        </w:rPr>
      </w:pPr>
      <w:r>
        <w:rPr>
          <w:rFonts w:ascii="Verdana" w:hAnsi="Verdana"/>
          <w:b/>
          <w:bCs/>
          <w:i/>
          <w:iCs/>
          <w:noProof/>
          <w:sz w:val="20"/>
          <w:szCs w:val="20"/>
          <w:u w:val="single"/>
        </w:rPr>
        <w:t>Informação, aconselhamento e sensibilização</w:t>
      </w:r>
    </w:p>
    <w:p>
      <w:pPr>
        <w:spacing w:after="240"/>
        <w:jc w:val="both"/>
        <w:rPr>
          <w:noProof/>
        </w:rPr>
      </w:pPr>
      <w:r>
        <w:rPr>
          <w:rFonts w:ascii="Verdana" w:hAnsi="Verdana"/>
          <w:noProof/>
          <w:sz w:val="20"/>
          <w:szCs w:val="20"/>
        </w:rPr>
        <w:t>O fornecimento de informações factuais sobre os lobos e sobre as formas de diminuir os impactos ao mínimo pode constituir uma medida útil de atenuação de conflitos (Plataforma GC da UE, 2019). Por exemplo, o boletim informativo «Carnivore Damage Prevention News»</w:t>
      </w:r>
      <w:r>
        <w:rPr>
          <w:rFonts w:ascii="Verdana" w:hAnsi="Verdana"/>
          <w:noProof/>
          <w:sz w:val="20"/>
          <w:szCs w:val="20"/>
          <w:vertAlign w:val="superscript"/>
        </w:rPr>
        <w:footnoteReference w:id="193"/>
      </w:r>
      <w:r>
        <w:rPr>
          <w:rFonts w:ascii="Verdana" w:hAnsi="Verdana"/>
          <w:noProof/>
          <w:sz w:val="20"/>
          <w:szCs w:val="20"/>
        </w:rPr>
        <w:t>, que foi apoiado através de diferentes projetos LIFE, ajuda a divulgar informações sobre a proteção do gado na UE e a nível internacional. O sítio Web italiano «Protege os teus animais» (</w:t>
      </w:r>
      <w:r>
        <w:rPr>
          <w:rFonts w:ascii="Verdana" w:hAnsi="Verdana"/>
          <w:i/>
          <w:iCs/>
          <w:noProof/>
          <w:sz w:val="20"/>
          <w:szCs w:val="20"/>
        </w:rPr>
        <w:t>Proteggi il tuo bestiame</w:t>
      </w:r>
      <w:r>
        <w:rPr>
          <w:rFonts w:ascii="Verdana" w:hAnsi="Verdana"/>
          <w:noProof/>
          <w:sz w:val="20"/>
          <w:szCs w:val="20"/>
        </w:rPr>
        <w:t>, 2019) presta aconselhamento pormenorizado sobre medidas para proteger a criação de gado, bem como sobre os diferentes regimes de financiamento disponíveis nas regiões italianas. O sítio Web do Ministério da Transição Ecológica de Espanha fornece um catálogo de boas medidas de prevenção que permitem evitar ou reduzir ao mínimo as interações entre espécies protegidas e explorações agrícolas e pecuárias</w:t>
      </w:r>
      <w:r>
        <w:rPr>
          <w:rFonts w:ascii="Verdana" w:hAnsi="Verdana"/>
          <w:noProof/>
          <w:sz w:val="20"/>
          <w:szCs w:val="20"/>
          <w:vertAlign w:val="superscript"/>
        </w:rPr>
        <w:footnoteReference w:id="194"/>
      </w:r>
      <w:r>
        <w:rPr>
          <w:rFonts w:ascii="Verdana" w:hAnsi="Verdana"/>
          <w:noProof/>
          <w:sz w:val="20"/>
          <w:szCs w:val="20"/>
        </w:rPr>
        <w:t>.</w:t>
      </w:r>
    </w:p>
    <w:p>
      <w:pPr>
        <w:spacing w:after="240"/>
        <w:jc w:val="both"/>
        <w:rPr>
          <w:rFonts w:ascii="Verdana" w:hAnsi="Verdana"/>
          <w:b/>
          <w:bCs/>
          <w:noProof/>
          <w:sz w:val="20"/>
          <w:szCs w:val="20"/>
        </w:rPr>
      </w:pPr>
      <w:r>
        <w:rPr>
          <w:rFonts w:ascii="Verdana" w:hAnsi="Verdana"/>
          <w:noProof/>
          <w:sz w:val="20"/>
          <w:szCs w:val="20"/>
        </w:rPr>
        <w:t>Outro exemplo desta abordagem, dirigido especificamente à comunidade cinegética, é o projeto LIFE Wolfalps, cujas atividades incluem a partilha de dados e informações sobre a dinâmica das populações de espécies selvagens de ungulados nos Alpes e sobre os efeitos do regresso do lobo nas suas presas e nas atividades cinegéticas</w:t>
      </w:r>
      <w:r>
        <w:rPr>
          <w:noProof/>
          <w:vertAlign w:val="superscript"/>
        </w:rPr>
        <w:footnoteReference w:id="195"/>
      </w:r>
      <w:r>
        <w:rPr>
          <w:noProof/>
        </w:rPr>
        <w:t xml:space="preserve">. </w:t>
      </w:r>
      <w:r>
        <w:rPr>
          <w:rFonts w:ascii="Verdana" w:hAnsi="Verdana"/>
          <w:noProof/>
          <w:sz w:val="20"/>
          <w:szCs w:val="20"/>
        </w:rPr>
        <w:t>Uma abordagem mais ampla é a oferecida pelo Gabinete de Contacto «Lobos na Saxónia» (</w:t>
      </w:r>
      <w:r>
        <w:rPr>
          <w:rFonts w:ascii="Verdana" w:hAnsi="Verdana"/>
          <w:i/>
          <w:iCs/>
          <w:noProof/>
          <w:sz w:val="20"/>
          <w:szCs w:val="20"/>
        </w:rPr>
        <w:t>Kontaktbüro Wölfe in Sachsen</w:t>
      </w:r>
      <w:r>
        <w:rPr>
          <w:rFonts w:ascii="Verdana" w:hAnsi="Verdana"/>
          <w:noProof/>
          <w:sz w:val="20"/>
          <w:szCs w:val="20"/>
        </w:rPr>
        <w:t>, 2019) e pelo Centro de Competências para o Lobo na Saxónia-Anhalt, onde vários membros do pessoal estão disponíveis localmente para fornecer materiais educativos, organizar excursões e responder às dúvidas e preocupações das pessoas.</w:t>
      </w:r>
    </w:p>
    <w:p>
      <w:pPr>
        <w:numPr>
          <w:ilvl w:val="0"/>
          <w:numId w:val="5"/>
        </w:numPr>
        <w:spacing w:before="60" w:after="240"/>
        <w:contextualSpacing/>
        <w:jc w:val="both"/>
        <w:rPr>
          <w:rFonts w:ascii="Verdana" w:hAnsi="Verdana"/>
          <w:b/>
          <w:bCs/>
          <w:i/>
          <w:iCs/>
          <w:noProof/>
          <w:sz w:val="20"/>
          <w:szCs w:val="20"/>
          <w:u w:val="single"/>
        </w:rPr>
      </w:pPr>
      <w:r>
        <w:rPr>
          <w:rFonts w:ascii="Verdana" w:hAnsi="Verdana"/>
          <w:b/>
          <w:bCs/>
          <w:i/>
          <w:iCs/>
          <w:noProof/>
          <w:sz w:val="20"/>
          <w:szCs w:val="20"/>
          <w:u w:val="single"/>
        </w:rPr>
        <w:t>Monitorização</w:t>
      </w:r>
    </w:p>
    <w:p>
      <w:pPr>
        <w:spacing w:after="240"/>
        <w:jc w:val="both"/>
        <w:rPr>
          <w:rFonts w:ascii="Verdana" w:hAnsi="Verdana"/>
          <w:noProof/>
          <w:sz w:val="20"/>
          <w:szCs w:val="20"/>
        </w:rPr>
      </w:pPr>
      <w:r>
        <w:rPr>
          <w:rFonts w:ascii="Verdana" w:hAnsi="Verdana"/>
          <w:noProof/>
          <w:sz w:val="20"/>
          <w:szCs w:val="20"/>
        </w:rPr>
        <w:t xml:space="preserve">A monitorização das populações de grandes carnívoros é fundamental para fornecer informações precisas, compreender a dinâmica das populações necessária para garantir a sua sobrevivência, adaptar práticas de gestão às alterações das situações e cumprir as obrigações previstas na Diretiva </w:t>
      </w:r>
      <w:r>
        <w:rPr>
          <w:rFonts w:ascii="Verdana" w:hAnsi="Verdana"/>
          <w:i/>
          <w:iCs/>
          <w:noProof/>
          <w:sz w:val="20"/>
          <w:szCs w:val="20"/>
        </w:rPr>
        <w:t>Habitats</w:t>
      </w:r>
      <w:r>
        <w:rPr>
          <w:rFonts w:ascii="Verdana" w:hAnsi="Verdana"/>
          <w:noProof/>
          <w:sz w:val="20"/>
          <w:szCs w:val="20"/>
        </w:rPr>
        <w:t>. Trata-se igualmente de um exercício muito exigente, na medida em que é realizado numa zona geográfica ampla, que frequentemente atravessa fronteiras internacionais, e devido às baixas densidades e ao comportamento evasivo dos grandes carnívoros (</w:t>
      </w:r>
      <w:r>
        <w:rPr>
          <w:rFonts w:ascii="Verdana" w:hAnsi="Verdana"/>
          <w:i/>
          <w:iCs/>
          <w:noProof/>
          <w:sz w:val="20"/>
          <w:szCs w:val="20"/>
        </w:rPr>
        <w:t>LCIE Policy Support Statement</w:t>
      </w:r>
      <w:r>
        <w:rPr>
          <w:rFonts w:ascii="Verdana" w:hAnsi="Verdana"/>
          <w:noProof/>
          <w:sz w:val="20"/>
          <w:szCs w:val="20"/>
        </w:rPr>
        <w:t xml:space="preserve">, anexa a Linnell </w:t>
      </w:r>
      <w:r>
        <w:rPr>
          <w:rFonts w:ascii="Verdana" w:hAnsi="Verdana"/>
          <w:i/>
          <w:iCs/>
          <w:noProof/>
          <w:sz w:val="20"/>
          <w:szCs w:val="20"/>
        </w:rPr>
        <w:t>et al</w:t>
      </w:r>
      <w:r>
        <w:rPr>
          <w:rFonts w:ascii="Verdana" w:hAnsi="Verdana"/>
          <w:noProof/>
          <w:sz w:val="20"/>
          <w:szCs w:val="20"/>
        </w:rPr>
        <w:t>., 2008). Todas as decisões de gestão (inclusive sobre as derrogações) devem basear-se em dados sólidos sobre a população de lobos em causa. A monitorização deve abranger igualmente a aplicação de todas as medidas de prevenção (a sua adesão, os seus resultados, a sua eficiência)</w:t>
      </w:r>
      <w:r>
        <w:rPr>
          <w:noProof/>
        </w:rPr>
        <w:t xml:space="preserve"> </w:t>
      </w:r>
      <w:r>
        <w:rPr>
          <w:rFonts w:ascii="Verdana" w:hAnsi="Verdana"/>
          <w:noProof/>
          <w:sz w:val="20"/>
          <w:szCs w:val="20"/>
        </w:rPr>
        <w:t xml:space="preserve">e a identificação do predador de gado, a fim de fazer a distinção entre lobos e cães (por exemplo, Echegaray e Vilà, 2010; Sundqvist </w:t>
      </w:r>
      <w:r>
        <w:rPr>
          <w:rFonts w:ascii="Verdana" w:hAnsi="Verdana"/>
          <w:i/>
          <w:iCs/>
          <w:noProof/>
          <w:sz w:val="20"/>
          <w:szCs w:val="20"/>
        </w:rPr>
        <w:t>et al</w:t>
      </w:r>
      <w:r>
        <w:rPr>
          <w:rFonts w:ascii="Verdana" w:hAnsi="Verdana"/>
          <w:noProof/>
          <w:sz w:val="20"/>
          <w:szCs w:val="20"/>
        </w:rPr>
        <w:t>., 2008) e verificar se são necessários ajustes ou melhoramentos no sistema.</w:t>
      </w:r>
    </w:p>
    <w:p>
      <w:pPr>
        <w:spacing w:after="240"/>
        <w:jc w:val="both"/>
        <w:rPr>
          <w:rFonts w:ascii="Verdana" w:hAnsi="Verdana"/>
          <w:noProof/>
          <w:sz w:val="20"/>
          <w:szCs w:val="20"/>
        </w:rPr>
      </w:pPr>
      <w:r>
        <w:rPr>
          <w:rFonts w:ascii="Verdana" w:hAnsi="Verdana"/>
          <w:noProof/>
          <w:sz w:val="20"/>
          <w:szCs w:val="20"/>
        </w:rPr>
        <w:t>Tendo em conta que um conflito muito comum na Europa é a discordância quanto ao tamanho e ao estatuto das populações de grandes carnívoros, a participação das partes interessadas — incluindo caçadores — na monitorização pode ter vantagens não só por aumentar o número de pessoas que procedem à recolha de dados, mas também por melhorar as relações entre partes interessadas e reduzir os conflitos.</w:t>
      </w:r>
    </w:p>
    <w:p>
      <w:pPr>
        <w:spacing w:after="240"/>
        <w:jc w:val="both"/>
        <w:rPr>
          <w:rFonts w:ascii="Verdana" w:hAnsi="Verdana"/>
          <w:noProof/>
          <w:sz w:val="20"/>
          <w:szCs w:val="20"/>
        </w:rPr>
      </w:pPr>
      <w:r>
        <w:rPr>
          <w:rFonts w:ascii="Verdana" w:hAnsi="Verdana"/>
          <w:noProof/>
          <w:sz w:val="20"/>
          <w:szCs w:val="20"/>
        </w:rPr>
        <w:t>Para tomar decisões adequadas quanto à conservação e gestão do lobo são necessários dados de monitorização sólidos. Por conseguinte, investir num sistema de monitorização adequado que possa fornecer conhecimentos precisos e atualizados sobre a população de lobos na zona em questão reveste-se de extrema importância. O sistema de monitorização francês pode ser considerado um bom exemplo</w:t>
      </w:r>
      <w:r>
        <w:rPr>
          <w:rFonts w:ascii="Verdana" w:hAnsi="Verdana"/>
          <w:noProof/>
          <w:sz w:val="20"/>
          <w:szCs w:val="20"/>
          <w:vertAlign w:val="superscript"/>
        </w:rPr>
        <w:footnoteReference w:id="196"/>
      </w:r>
      <w:r>
        <w:rPr>
          <w:rFonts w:ascii="Verdana" w:hAnsi="Verdana"/>
          <w:noProof/>
          <w:sz w:val="20"/>
          <w:szCs w:val="20"/>
        </w:rPr>
        <w:t>.</w:t>
      </w:r>
    </w:p>
    <w:tbl>
      <w:tblPr>
        <w:tblStyle w:val="TableGrid"/>
        <w:tblW w:w="0" w:type="auto"/>
        <w:tblBorders>
          <w:insideH w:val="none" w:sz="0" w:space="0" w:color="auto"/>
          <w:insideV w:val="none" w:sz="0" w:space="0" w:color="auto"/>
        </w:tblBorders>
        <w:shd w:val="clear" w:color="auto" w:fill="FFFF99"/>
        <w:tblLook w:val="04A0" w:firstRow="1" w:lastRow="0" w:firstColumn="1" w:lastColumn="0" w:noHBand="0" w:noVBand="1"/>
      </w:tblPr>
      <w:tblGrid>
        <w:gridCol w:w="9280"/>
      </w:tblGrid>
      <w:tr>
        <w:tc>
          <w:tcPr>
            <w:tcW w:w="9394" w:type="dxa"/>
            <w:shd w:val="clear" w:color="auto" w:fill="FFFF99"/>
          </w:tcPr>
          <w:p>
            <w:pPr>
              <w:spacing w:after="240"/>
              <w:jc w:val="both"/>
              <w:rPr>
                <w:rFonts w:ascii="Verdana" w:hAnsi="Verdana"/>
                <w:b/>
                <w:i/>
                <w:noProof/>
                <w:sz w:val="18"/>
                <w:szCs w:val="18"/>
              </w:rPr>
            </w:pPr>
            <w:r>
              <w:rPr>
                <w:rFonts w:ascii="Verdana" w:hAnsi="Verdana"/>
                <w:b/>
                <w:i/>
                <w:noProof/>
                <w:sz w:val="18"/>
                <w:szCs w:val="18"/>
              </w:rPr>
              <w:t>Exemplos de participação de partes interessadas na monitorização:</w:t>
            </w:r>
          </w:p>
          <w:p>
            <w:pPr>
              <w:spacing w:after="240"/>
              <w:jc w:val="both"/>
              <w:rPr>
                <w:rFonts w:ascii="Verdana" w:hAnsi="Verdana"/>
                <w:noProof/>
                <w:sz w:val="18"/>
                <w:szCs w:val="18"/>
              </w:rPr>
            </w:pPr>
            <w:r>
              <w:rPr>
                <w:rFonts w:ascii="Verdana" w:hAnsi="Verdana"/>
                <w:noProof/>
                <w:sz w:val="18"/>
                <w:szCs w:val="18"/>
              </w:rPr>
              <w:t xml:space="preserve">Uma ação-piloto na Eslováquia apoiada pela Comissão contou com a participação de uma grande variedade de partes interessadas (ambientalistas, engenheiros florestais, pessoal da zona protegida e caçadores) numa amostragem exaustiva da população de lobos baseada na ciência. Foram responsáveis pela recolha de amostras de dejetos e urina de lobos numa zona de estudo. A sua participação, a par da utilização da análise de alta tecnologia, conduziu a uma maior concordância quanto à dimensão da população local de lobos (Rigg </w:t>
            </w:r>
            <w:r>
              <w:rPr>
                <w:rFonts w:ascii="Verdana" w:hAnsi="Verdana"/>
                <w:i/>
                <w:iCs/>
                <w:noProof/>
                <w:sz w:val="18"/>
                <w:szCs w:val="18"/>
              </w:rPr>
              <w:t>et al</w:t>
            </w:r>
            <w:r>
              <w:rPr>
                <w:rFonts w:ascii="Verdana" w:hAnsi="Verdana"/>
                <w:noProof/>
                <w:sz w:val="18"/>
                <w:szCs w:val="18"/>
              </w:rPr>
              <w:t>., 2014).</w:t>
            </w:r>
          </w:p>
          <w:p>
            <w:pPr>
              <w:spacing w:after="240"/>
              <w:jc w:val="both"/>
              <w:rPr>
                <w:rFonts w:ascii="Verdana" w:hAnsi="Verdana"/>
                <w:noProof/>
                <w:sz w:val="18"/>
                <w:szCs w:val="18"/>
              </w:rPr>
            </w:pPr>
            <w:r>
              <w:rPr>
                <w:rFonts w:ascii="Verdana" w:hAnsi="Verdana"/>
                <w:noProof/>
                <w:sz w:val="18"/>
                <w:szCs w:val="18"/>
              </w:rPr>
              <w:t>Outro exemplo é a Rede de Observadores de Grandes Carnívoros na Finlândia, um grupo de aproximadamente 2 100 voluntários ativos, nomeados por associações locais de ordenamento cinegético. Esta rede de observadores com formação, principalmente caçadores locais, é responsável por confirmar as observações de rastos de grandes carnívoros e outros sinais participados pelo público. Estes voluntários registam os dados de observação numa base de dados nacional, a «TASSU» («pata» em finlandês), cuja manutenção é garantida pelo Instituto Finlandês para os Recursos Naturais (Luke). Esta base de dados é utilizada, por exemplo, para produzir estimativas nacionais e regionais das populações de grandes carnívoros e é utilizada pelos responsáveis pelo ordenamento cinegético e pelos fiscais de caça. A rede, a base de dados e a respetiva governação estão em constante desenvolvimento e ajustamento, a fim de ajudar a criar confiança mútua e cooperação entre diferentes instituições e grupos de partes interessadas na partilha, na utilização e no acesso aos dados sobre espécies tão sensíveis. Por exemplo, o projeto LIFE BOREALWOLF, que decorre de 2019 a 2025, visa reforçar a Rede de Observadores de Grandes Carnívoros, permitindo a continuação da formação aos voluntários atuais e recrutando novos voluntários que não sejam caçadores.</w:t>
            </w:r>
          </w:p>
          <w:p>
            <w:pPr>
              <w:spacing w:after="240"/>
              <w:jc w:val="both"/>
              <w:rPr>
                <w:rFonts w:ascii="Verdana" w:hAnsi="Verdana"/>
                <w:noProof/>
                <w:sz w:val="18"/>
                <w:szCs w:val="18"/>
              </w:rPr>
            </w:pPr>
            <w:r>
              <w:rPr>
                <w:rFonts w:ascii="Verdana" w:hAnsi="Verdana"/>
                <w:noProof/>
                <w:sz w:val="18"/>
                <w:szCs w:val="18"/>
              </w:rPr>
              <w:t>De forma semelhante, a Suécia e a Noruega criaram o Skandobs, sistema de localização de grandes carnívoros para linces, glutões, ursos-pardos e lobos. Qualquer pessoa pode registar nesta base de dados as suas observações sobre os rastos, sinais ou avistamentos de grandes carnívoros na Escandinávia. Uma maior notificação das observações ajudará a aumentar o conhecimento sobre a existência e distribuição destas espécies. As observações registadas na base de dados ficam disponíveis para todos os utilizadores do sistema. Também é possível partilhar as observações através da aplicação Skandobs (os utilizadores podem transferir a aplicação Skandobs-Touch das lojas App Store ou Google Play para comunicar a presença de predadores ou de rastos quando estão no terreno). A base de dados é atualizada de 15 em 15 minutos. É gerida pela Rovdata, uma parte independente do Instituto Norueguês de Investigação sobre a Natureza (NINA).</w:t>
            </w:r>
          </w:p>
        </w:tc>
      </w:tr>
    </w:tbl>
    <w:p>
      <w:pPr>
        <w:jc w:val="both"/>
        <w:rPr>
          <w:rFonts w:ascii="Verdana" w:hAnsi="Verdana"/>
          <w:noProof/>
          <w:sz w:val="20"/>
          <w:szCs w:val="20"/>
        </w:rPr>
      </w:pPr>
    </w:p>
    <w:p>
      <w:pPr>
        <w:numPr>
          <w:ilvl w:val="0"/>
          <w:numId w:val="5"/>
        </w:numPr>
        <w:spacing w:before="120" w:after="240"/>
        <w:ind w:left="360"/>
        <w:contextualSpacing/>
        <w:jc w:val="both"/>
        <w:rPr>
          <w:rFonts w:ascii="Verdana" w:hAnsi="Verdana"/>
          <w:b/>
          <w:i/>
          <w:noProof/>
          <w:sz w:val="20"/>
          <w:szCs w:val="20"/>
          <w:u w:val="single"/>
        </w:rPr>
      </w:pPr>
      <w:r>
        <w:rPr>
          <w:rFonts w:ascii="Verdana" w:hAnsi="Verdana"/>
          <w:b/>
          <w:i/>
          <w:noProof/>
          <w:sz w:val="20"/>
          <w:szCs w:val="20"/>
          <w:u w:val="single"/>
        </w:rPr>
        <w:t>Diálogo com partes interessadas e respetiva participação</w:t>
      </w:r>
    </w:p>
    <w:p>
      <w:pPr>
        <w:spacing w:after="240"/>
        <w:jc w:val="both"/>
        <w:rPr>
          <w:rFonts w:ascii="Verdana" w:hAnsi="Verdana"/>
          <w:noProof/>
          <w:sz w:val="20"/>
          <w:szCs w:val="20"/>
        </w:rPr>
      </w:pPr>
      <w:r>
        <w:rPr>
          <w:rFonts w:ascii="Verdana" w:hAnsi="Verdana"/>
          <w:noProof/>
          <w:sz w:val="20"/>
          <w:szCs w:val="20"/>
        </w:rPr>
        <w:t xml:space="preserve">Reconhecendo o caráter cultural e social dos conflitos relativamente aos lobos, considera-se que os processos participativos têm um potencial significativo para atenuação de conflitos, nomeadamente por aumentarem a confiança entre as partes interessadas (Young </w:t>
      </w:r>
      <w:r>
        <w:rPr>
          <w:rFonts w:ascii="Verdana" w:hAnsi="Verdana"/>
          <w:i/>
          <w:iCs/>
          <w:noProof/>
          <w:sz w:val="20"/>
          <w:szCs w:val="20"/>
        </w:rPr>
        <w:t>et al</w:t>
      </w:r>
      <w:r>
        <w:rPr>
          <w:rFonts w:ascii="Verdana" w:hAnsi="Verdana"/>
          <w:noProof/>
          <w:sz w:val="20"/>
          <w:szCs w:val="20"/>
        </w:rPr>
        <w:t xml:space="preserve">., 2016). A </w:t>
      </w:r>
      <w:r>
        <w:rPr>
          <w:rFonts w:ascii="Verdana" w:hAnsi="Verdana"/>
          <w:i/>
          <w:noProof/>
          <w:sz w:val="20"/>
          <w:szCs w:val="20"/>
        </w:rPr>
        <w:t>Plataforma da UE para a Coexistência entre o Homem e os Grandes Carnívoros</w:t>
      </w:r>
      <w:r>
        <w:rPr>
          <w:rFonts w:ascii="Verdana" w:hAnsi="Verdana"/>
          <w:noProof/>
          <w:sz w:val="20"/>
          <w:szCs w:val="20"/>
        </w:rPr>
        <w:t xml:space="preserve"> constitui um exemplo desta abordagem (ver estudo de caso n.º 9 no anexo IV das orientações). Tais abordagens são também utilizadas a nível regional e nacional. Muitos Estados-Membros criaram plataformas nacionais. Através de um projeto-piloto, as instituições da UE estão também a apoiar a criação de plataformas regionais em Itália, Roménia, Espanha, França, Alemanha e Suécia (Plataformas regionais GC, 2019). O projeto LIFE EUROLARGECARNIVORES (2019) também apoia a colaboração e partilha de informações entre as principais zonas de grandes carnívoros na Europa.</w:t>
      </w:r>
    </w:p>
    <w:p>
      <w:pPr>
        <w:spacing w:after="240"/>
        <w:jc w:val="both"/>
        <w:rPr>
          <w:rFonts w:ascii="Verdana" w:hAnsi="Verdana"/>
          <w:noProof/>
          <w:sz w:val="20"/>
          <w:szCs w:val="20"/>
        </w:rPr>
      </w:pPr>
      <w:r>
        <w:rPr>
          <w:rFonts w:ascii="Verdana" w:hAnsi="Verdana"/>
          <w:noProof/>
          <w:sz w:val="20"/>
          <w:szCs w:val="20"/>
        </w:rPr>
        <w:t>Outro exemplo positivo de participação das partes interessadas é o Grupo Campo Grande (GCG). Trata-se de um grupo de reflexão espanhol, de âmbito nacional, composto por pessoas de diferentes contextos e organizações, envolvidas no conflito entre a criação extensiva de gado e o lobo ibérico. O grupo foi criado pela Fundación Entretantos em 2016, no âmbito de uma iniciativa de mediação social que visava fazer face ao conflito em torno da coexistência entre lobos ibéricos e a criação extensiva de gado. Os participantes assinaram uma declaração conjunta e trabalham juntos para incentivar terceiros a seguirem a sua abordagem (GCG, 2018).</w:t>
      </w:r>
    </w:p>
    <w:p>
      <w:pPr>
        <w:numPr>
          <w:ilvl w:val="0"/>
          <w:numId w:val="5"/>
        </w:numPr>
        <w:spacing w:before="60" w:after="240"/>
        <w:ind w:left="360"/>
        <w:contextualSpacing/>
        <w:jc w:val="both"/>
        <w:rPr>
          <w:rFonts w:ascii="Verdana" w:hAnsi="Verdana"/>
          <w:b/>
          <w:i/>
          <w:noProof/>
          <w:sz w:val="20"/>
          <w:szCs w:val="20"/>
          <w:u w:val="single"/>
        </w:rPr>
      </w:pPr>
      <w:r>
        <w:rPr>
          <w:rFonts w:ascii="Verdana" w:hAnsi="Verdana"/>
          <w:b/>
          <w:i/>
          <w:noProof/>
          <w:sz w:val="20"/>
          <w:szCs w:val="20"/>
          <w:u w:val="single"/>
        </w:rPr>
        <w:t>Controlo letal/abate de lobos</w:t>
      </w:r>
    </w:p>
    <w:p>
      <w:pPr>
        <w:spacing w:after="240"/>
        <w:jc w:val="both"/>
        <w:rPr>
          <w:rFonts w:ascii="Verdana" w:hAnsi="Verdana"/>
          <w:bCs/>
          <w:noProof/>
          <w:sz w:val="20"/>
          <w:szCs w:val="20"/>
        </w:rPr>
      </w:pPr>
      <w:r>
        <w:rPr>
          <w:rFonts w:ascii="Verdana" w:hAnsi="Verdana"/>
          <w:bCs/>
          <w:noProof/>
          <w:sz w:val="20"/>
          <w:szCs w:val="20"/>
        </w:rPr>
        <w:t>Historicamente, o controlo letal/abate de lobos tem sido amplamente utilizado para eliminar lobos e eventuais impactos associados e conflitos a que dão origem. Tais práticas levaram à erradicação dos lobos da maior parte da sua área de repartição original na Europa. Atualmente, certos métodos e níveis de controlo letal são ainda utilizados por vários países europeus, que alegam que a sua intenção é evitar ou reduzir as perdas de gado e melhorar a tolerância dos seres humanos em relação ao lobo, incluindo alguns Estados-Membros onde a espécie consta do anexo IV da diretiva (regime de proteção rigorosa).</w:t>
      </w:r>
    </w:p>
    <w:p>
      <w:pPr>
        <w:spacing w:after="240"/>
        <w:jc w:val="both"/>
        <w:rPr>
          <w:rFonts w:ascii="Verdana" w:hAnsi="Verdana"/>
          <w:noProof/>
          <w:sz w:val="20"/>
          <w:szCs w:val="20"/>
        </w:rPr>
      </w:pPr>
      <w:r>
        <w:rPr>
          <w:rFonts w:ascii="Verdana" w:hAnsi="Verdana"/>
          <w:noProof/>
          <w:sz w:val="20"/>
          <w:szCs w:val="20"/>
        </w:rPr>
        <w:t xml:space="preserve">Não obstante, nos termos da política atual e da legislação conexa, os conflitos associados à conservação do lobo e de outros grandes carnívoros protegidos nas paisagens multifuncionais da Europa não podem ser resolvidos apenas ou essencialmente através do abate/controlo letal. A utilização de derrogações para autorizar o controlo letal constitui uma ferramenta possível e legítima, e os Estados-Membros podem considerar a sua utilização para complementar as outras medidas de gestão de conflitos acima referidas, respeitando todas as condições previstas no artigo 16.º, n.º 1, da Diretiva </w:t>
      </w:r>
      <w:r>
        <w:rPr>
          <w:rFonts w:ascii="Verdana" w:hAnsi="Verdana"/>
          <w:i/>
          <w:iCs/>
          <w:noProof/>
          <w:sz w:val="20"/>
          <w:szCs w:val="20"/>
        </w:rPr>
        <w:t>Habitats</w:t>
      </w:r>
      <w:r>
        <w:rPr>
          <w:rFonts w:ascii="Verdana" w:hAnsi="Verdana"/>
          <w:noProof/>
          <w:sz w:val="20"/>
          <w:szCs w:val="20"/>
        </w:rPr>
        <w:t xml:space="preserve"> (ver ponto 5).</w:t>
      </w:r>
    </w:p>
    <w:p>
      <w:pPr>
        <w:spacing w:after="240"/>
        <w:jc w:val="both"/>
        <w:rPr>
          <w:rFonts w:ascii="Verdana" w:hAnsi="Verdana"/>
          <w:noProof/>
          <w:sz w:val="20"/>
          <w:szCs w:val="20"/>
        </w:rPr>
      </w:pPr>
      <w:r>
        <w:rPr>
          <w:rFonts w:ascii="Verdana" w:hAnsi="Verdana"/>
          <w:noProof/>
          <w:sz w:val="20"/>
          <w:szCs w:val="20"/>
        </w:rPr>
        <w:t xml:space="preserve">Não parece haver provas sólidas da eficácia da utilização do controlo letal para reduzir a predação no gado. De acordo com certos estudos, o controlo letal/abate parece ser menos eficaz do que as medidas de proteção do gado (van Eeden </w:t>
      </w:r>
      <w:r>
        <w:rPr>
          <w:rFonts w:ascii="Verdana" w:hAnsi="Verdana"/>
          <w:i/>
          <w:iCs/>
          <w:noProof/>
          <w:sz w:val="20"/>
          <w:szCs w:val="20"/>
        </w:rPr>
        <w:t>et al</w:t>
      </w:r>
      <w:r>
        <w:rPr>
          <w:rFonts w:ascii="Verdana" w:hAnsi="Verdana"/>
          <w:noProof/>
          <w:sz w:val="20"/>
          <w:szCs w:val="20"/>
        </w:rPr>
        <w:t xml:space="preserve">., 2018, Santiago-Avila </w:t>
      </w:r>
      <w:r>
        <w:rPr>
          <w:rFonts w:ascii="Verdana" w:hAnsi="Verdana"/>
          <w:i/>
          <w:iCs/>
          <w:noProof/>
          <w:sz w:val="20"/>
          <w:szCs w:val="20"/>
        </w:rPr>
        <w:t>et al</w:t>
      </w:r>
      <w:r>
        <w:rPr>
          <w:rFonts w:ascii="Verdana" w:hAnsi="Verdana"/>
          <w:noProof/>
          <w:sz w:val="20"/>
          <w:szCs w:val="20"/>
        </w:rPr>
        <w:t xml:space="preserve">., 2018) e pode, na realidade, conduzir a um aumento da predação no gado e dos conflitos (Wielgus e Peebles, 2014; Fernández-Gil </w:t>
      </w:r>
      <w:r>
        <w:rPr>
          <w:rFonts w:ascii="Verdana" w:hAnsi="Verdana"/>
          <w:i/>
          <w:iCs/>
          <w:noProof/>
          <w:sz w:val="20"/>
          <w:szCs w:val="20"/>
        </w:rPr>
        <w:t>et al</w:t>
      </w:r>
      <w:r>
        <w:rPr>
          <w:rFonts w:ascii="Verdana" w:hAnsi="Verdana"/>
          <w:noProof/>
          <w:sz w:val="20"/>
          <w:szCs w:val="20"/>
        </w:rPr>
        <w:t>., 2016), eventualmente devido à perturbação causada pelo abate nas estruturas das alcateias.</w:t>
      </w:r>
    </w:p>
    <w:p>
      <w:pPr>
        <w:spacing w:after="240"/>
        <w:jc w:val="both"/>
        <w:rPr>
          <w:rFonts w:ascii="Verdana" w:hAnsi="Verdana"/>
          <w:noProof/>
          <w:sz w:val="20"/>
          <w:szCs w:val="20"/>
        </w:rPr>
      </w:pPr>
      <w:r>
        <w:rPr>
          <w:rFonts w:ascii="Verdana" w:hAnsi="Verdana"/>
          <w:noProof/>
          <w:sz w:val="20"/>
          <w:szCs w:val="20"/>
        </w:rPr>
        <w:t xml:space="preserve">Além disso, o recurso ao controlo letal/abate de uma espécie protegida, ao contrário das medidas não letais anteriormente referidas, é uma ferramenta controversa entre os profissionais da conservação (Lute </w:t>
      </w:r>
      <w:r>
        <w:rPr>
          <w:rFonts w:ascii="Verdana" w:hAnsi="Verdana"/>
          <w:i/>
          <w:iCs/>
          <w:noProof/>
          <w:sz w:val="20"/>
          <w:szCs w:val="20"/>
        </w:rPr>
        <w:t>et al</w:t>
      </w:r>
      <w:r>
        <w:rPr>
          <w:rFonts w:ascii="Verdana" w:hAnsi="Verdana"/>
          <w:noProof/>
          <w:sz w:val="20"/>
          <w:szCs w:val="20"/>
        </w:rPr>
        <w:t>., 2018) e é cada vez mais contestado por partes significativas da sociedade</w:t>
      </w:r>
      <w:r>
        <w:rPr>
          <w:rFonts w:ascii="Verdana" w:hAnsi="Verdana"/>
          <w:noProof/>
          <w:sz w:val="20"/>
          <w:szCs w:val="20"/>
          <w:vertAlign w:val="superscript"/>
        </w:rPr>
        <w:footnoteReference w:id="197"/>
      </w:r>
      <w:r>
        <w:rPr>
          <w:rFonts w:ascii="Verdana" w:hAnsi="Verdana"/>
          <w:noProof/>
          <w:sz w:val="20"/>
          <w:szCs w:val="20"/>
        </w:rPr>
        <w:t>. Face ao exposto, bem como às provas empíricas, não se sabe ao certo se o abate de lobos leva a um aumento ou a uma diminuição dos conflitos sociais.</w:t>
      </w:r>
    </w:p>
    <w:p>
      <w:pPr>
        <w:spacing w:after="240"/>
        <w:jc w:val="both"/>
        <w:rPr>
          <w:rFonts w:ascii="Verdana" w:hAnsi="Verdana"/>
          <w:noProof/>
          <w:sz w:val="20"/>
          <w:szCs w:val="20"/>
          <w:highlight w:val="yellow"/>
        </w:rPr>
      </w:pPr>
      <w:r>
        <w:rPr>
          <w:rFonts w:ascii="Verdana" w:hAnsi="Verdana"/>
          <w:noProof/>
          <w:sz w:val="20"/>
          <w:szCs w:val="20"/>
        </w:rPr>
        <w:t>Em conclusão, as medidas não letais, incluindo as medidas de gestão e proteção do gado, afiguram-se mais eficazes, mais sustentáveis, menos suscetíveis de serem juridicamente contestadas e mais aceitáveis (para a maioria das pessoas) para reduzir os riscos de predação no gado e os conflitos.</w:t>
      </w:r>
    </w:p>
    <w:p>
      <w:pPr>
        <w:spacing w:after="240"/>
        <w:jc w:val="both"/>
        <w:rPr>
          <w:rFonts w:ascii="Verdana" w:hAnsi="Verdana"/>
          <w:bCs/>
          <w:noProof/>
          <w:sz w:val="20"/>
          <w:szCs w:val="20"/>
        </w:rPr>
      </w:pPr>
      <w:r>
        <w:rPr>
          <w:rFonts w:ascii="Verdana" w:hAnsi="Verdana"/>
          <w:bCs/>
          <w:noProof/>
          <w:sz w:val="20"/>
          <w:szCs w:val="20"/>
        </w:rPr>
        <w:t>As autoridades competentes nos Estados-Membros devem ter todos estes elementos em conta quando tomarem decisões sobre as suas medidas de gestão e as aplicarem.</w:t>
      </w:r>
    </w:p>
    <w:p>
      <w:pPr>
        <w:spacing w:before="60" w:after="240"/>
        <w:contextualSpacing/>
        <w:jc w:val="both"/>
        <w:rPr>
          <w:rFonts w:ascii="Verdana" w:hAnsi="Verdana"/>
          <w:b/>
          <w:bCs/>
          <w:iCs/>
          <w:noProof/>
          <w:sz w:val="20"/>
          <w:szCs w:val="20"/>
        </w:rPr>
      </w:pPr>
      <w:r>
        <w:rPr>
          <w:rFonts w:ascii="Verdana" w:hAnsi="Verdana"/>
          <w:b/>
          <w:bCs/>
          <w:iCs/>
          <w:noProof/>
          <w:sz w:val="20"/>
          <w:szCs w:val="20"/>
        </w:rPr>
        <w:t>Planos completos de conservação/gestão do lobo</w:t>
      </w:r>
    </w:p>
    <w:p>
      <w:pPr>
        <w:spacing w:before="60" w:after="240"/>
        <w:contextualSpacing/>
        <w:jc w:val="both"/>
        <w:rPr>
          <w:rFonts w:ascii="Verdana" w:hAnsi="Verdana"/>
          <w:b/>
          <w:bCs/>
          <w:iCs/>
          <w:noProof/>
          <w:sz w:val="20"/>
          <w:szCs w:val="20"/>
          <w:lang w:eastAsia="el-GR"/>
        </w:rPr>
      </w:pPr>
    </w:p>
    <w:p>
      <w:pPr>
        <w:spacing w:after="240"/>
        <w:jc w:val="both"/>
        <w:rPr>
          <w:rFonts w:ascii="Verdana" w:hAnsi="Verdana"/>
          <w:noProof/>
          <w:sz w:val="20"/>
          <w:szCs w:val="20"/>
        </w:rPr>
      </w:pPr>
      <w:r>
        <w:rPr>
          <w:rFonts w:ascii="Verdana" w:hAnsi="Verdana"/>
          <w:noProof/>
          <w:sz w:val="20"/>
          <w:szCs w:val="20"/>
        </w:rPr>
        <w:t xml:space="preserve">A melhor abordagem para os Estados-Membros seria a combinação de várias das medidas acima referidas para permitir o nível certo de coexistência, adaptando-as à situação local. Os seus planos completos e coerentes de conservação e gestão do lobo devem também recorrer a todas as ferramentas e fontes de financiamento disponíveis. Estes planos [que, idealmente, devem ser transfronteiriços para os Estados-Membros vizinhos que partilham a mesma população de lobos (Linnell </w:t>
      </w:r>
      <w:r>
        <w:rPr>
          <w:rFonts w:ascii="Verdana" w:hAnsi="Verdana"/>
          <w:i/>
          <w:iCs/>
          <w:noProof/>
          <w:sz w:val="20"/>
          <w:szCs w:val="20"/>
        </w:rPr>
        <w:t>et al</w:t>
      </w:r>
      <w:r>
        <w:rPr>
          <w:rFonts w:ascii="Verdana" w:hAnsi="Verdana"/>
          <w:noProof/>
          <w:sz w:val="20"/>
          <w:szCs w:val="20"/>
        </w:rPr>
        <w:t>., 2008)] dariam resposta a todas as ameaças, conflitos, oportunidades e necessidades pertinentes relacionadas com o lobo no Estado-Membro em questão. Esta seria a melhor forma de atingir e manter um estado de conservação favorável para o lobo em toda a sua área de repartição natural, permitindo, ao mesmo tempo, a necessária flexibilidade na gestão, dentro dos limites impostos pela diretiva, e mantendo ou melhorando a aceitação do público face ao lobo (a «capacidade de suporte da sociedade»).</w:t>
      </w:r>
    </w:p>
    <w:p>
      <w:pPr>
        <w:jc w:val="both"/>
        <w:rPr>
          <w:rFonts w:ascii="Verdana" w:hAnsi="Verdana"/>
          <w:bCs/>
          <w:noProof/>
          <w:sz w:val="20"/>
          <w:szCs w:val="20"/>
        </w:rPr>
      </w:pPr>
    </w:p>
    <w:p>
      <w:pPr>
        <w:spacing w:after="240"/>
        <w:jc w:val="both"/>
        <w:rPr>
          <w:rFonts w:ascii="Verdana" w:hAnsi="Verdana"/>
          <w:b/>
          <w:noProof/>
          <w:sz w:val="20"/>
          <w:szCs w:val="20"/>
        </w:rPr>
      </w:pPr>
      <w:r>
        <w:rPr>
          <w:rFonts w:ascii="Verdana" w:hAnsi="Verdana"/>
          <w:b/>
          <w:noProof/>
          <w:sz w:val="20"/>
          <w:szCs w:val="20"/>
        </w:rPr>
        <w:t>5. Financiamento para medidas de coexistência</w:t>
      </w:r>
    </w:p>
    <w:p>
      <w:pPr>
        <w:spacing w:after="240"/>
        <w:jc w:val="both"/>
        <w:rPr>
          <w:rFonts w:ascii="Verdana" w:hAnsi="Verdana"/>
          <w:noProof/>
          <w:sz w:val="20"/>
          <w:szCs w:val="20"/>
        </w:rPr>
      </w:pPr>
      <w:r>
        <w:rPr>
          <w:rFonts w:ascii="Verdana" w:hAnsi="Verdana"/>
          <w:noProof/>
          <w:sz w:val="20"/>
          <w:szCs w:val="20"/>
        </w:rPr>
        <w:t>O apoio para ajudar a resolver conflitos associados à conservação do lobo pode ser concedido através de fundos da UE, nomeadamente do programa LIFE e do Fundo Europeu Agrícola de Desenvolvimento Rural (FEADER), e de fundos nacionais (auxílios estatais).</w:t>
      </w:r>
    </w:p>
    <w:p>
      <w:pPr>
        <w:numPr>
          <w:ilvl w:val="0"/>
          <w:numId w:val="21"/>
        </w:numPr>
        <w:spacing w:after="240"/>
        <w:jc w:val="both"/>
        <w:rPr>
          <w:rFonts w:ascii="Verdana" w:hAnsi="Verdana"/>
          <w:bCs/>
          <w:iCs/>
          <w:noProof/>
          <w:sz w:val="20"/>
          <w:szCs w:val="20"/>
        </w:rPr>
      </w:pPr>
      <w:r>
        <w:rPr>
          <w:rFonts w:ascii="Verdana" w:hAnsi="Verdana"/>
          <w:b/>
          <w:noProof/>
          <w:sz w:val="20"/>
          <w:szCs w:val="20"/>
        </w:rPr>
        <w:t>O programa LIFE</w:t>
      </w:r>
      <w:r>
        <w:rPr>
          <w:rFonts w:ascii="Verdana" w:hAnsi="Verdana"/>
          <w:noProof/>
          <w:sz w:val="20"/>
          <w:szCs w:val="20"/>
        </w:rPr>
        <w:t xml:space="preserve">, </w:t>
      </w:r>
      <w:r>
        <w:rPr>
          <w:rFonts w:ascii="Verdana" w:hAnsi="Verdana"/>
          <w:bCs/>
          <w:iCs/>
          <w:noProof/>
          <w:sz w:val="20"/>
          <w:szCs w:val="20"/>
        </w:rPr>
        <w:t>com base em convites anuais à apresentação de propostas, pode financiar atividades de demonstração e testagem de soluções inovadoras para:</w:t>
      </w:r>
      <w:r>
        <w:rPr>
          <w:rFonts w:ascii="Verdana" w:hAnsi="Verdana"/>
          <w:bCs/>
          <w:i/>
          <w:iCs/>
          <w:noProof/>
          <w:sz w:val="20"/>
          <w:szCs w:val="20"/>
        </w:rPr>
        <w:t xml:space="preserve"> </w:t>
      </w:r>
      <w:r>
        <w:rPr>
          <w:rFonts w:ascii="Verdana" w:hAnsi="Verdana"/>
          <w:bCs/>
          <w:noProof/>
          <w:sz w:val="20"/>
          <w:szCs w:val="20"/>
        </w:rPr>
        <w:t>medidas de proteção do gado</w:t>
      </w:r>
      <w:r>
        <w:rPr>
          <w:rFonts w:ascii="Verdana" w:hAnsi="Verdana"/>
          <w:noProof/>
          <w:sz w:val="20"/>
          <w:szCs w:val="20"/>
        </w:rPr>
        <w:t>;</w:t>
      </w:r>
      <w:r>
        <w:rPr>
          <w:rFonts w:ascii="Verdana" w:hAnsi="Verdana"/>
          <w:bCs/>
          <w:noProof/>
          <w:sz w:val="20"/>
          <w:szCs w:val="20"/>
        </w:rPr>
        <w:t xml:space="preserve"> </w:t>
      </w:r>
      <w:r>
        <w:rPr>
          <w:rFonts w:ascii="Verdana" w:hAnsi="Verdana"/>
          <w:noProof/>
          <w:sz w:val="20"/>
          <w:szCs w:val="20"/>
        </w:rPr>
        <w:t xml:space="preserve">avaliação do risco de predação; criação de regimes de indemnização de </w:t>
      </w:r>
      <w:r>
        <w:rPr>
          <w:rFonts w:ascii="Verdana" w:hAnsi="Verdana"/>
          <w:bCs/>
          <w:noProof/>
          <w:sz w:val="20"/>
          <w:szCs w:val="20"/>
        </w:rPr>
        <w:t>prejuízos</w:t>
      </w:r>
      <w:r>
        <w:rPr>
          <w:rFonts w:ascii="Verdana" w:hAnsi="Verdana"/>
          <w:noProof/>
          <w:sz w:val="20"/>
          <w:szCs w:val="20"/>
        </w:rPr>
        <w:t>; e</w:t>
      </w:r>
      <w:r>
        <w:rPr>
          <w:rFonts w:ascii="Verdana" w:hAnsi="Verdana"/>
          <w:bCs/>
          <w:iCs/>
          <w:noProof/>
          <w:sz w:val="20"/>
          <w:szCs w:val="20"/>
        </w:rPr>
        <w:t xml:space="preserve"> formação de guardas florestais e veterinários locais sobre as metodologias para avaliar prejuízos em efetivos de animais. O programa LIFE também pode financiar atividades de comunicação e informação específicas para resolver conflitos entre os seres humanos e os lobos. Importa notar que o programa LIFE não financia a gestão recorrente.</w:t>
      </w:r>
    </w:p>
    <w:p>
      <w:pPr>
        <w:numPr>
          <w:ilvl w:val="0"/>
          <w:numId w:val="21"/>
        </w:numPr>
        <w:spacing w:after="240"/>
        <w:jc w:val="both"/>
        <w:rPr>
          <w:rFonts w:eastAsiaTheme="minorEastAsia"/>
          <w:noProof/>
          <w:sz w:val="20"/>
          <w:szCs w:val="20"/>
        </w:rPr>
      </w:pPr>
      <w:r>
        <w:rPr>
          <w:rFonts w:ascii="Verdana" w:hAnsi="Verdana"/>
          <w:b/>
          <w:bCs/>
          <w:noProof/>
          <w:sz w:val="20"/>
          <w:szCs w:val="20"/>
        </w:rPr>
        <w:t>O FEADER</w:t>
      </w:r>
      <w:r>
        <w:rPr>
          <w:rFonts w:ascii="Verdana" w:hAnsi="Verdana"/>
          <w:noProof/>
          <w:sz w:val="20"/>
          <w:szCs w:val="20"/>
        </w:rPr>
        <w:t xml:space="preserve"> pode prestar apoio para medidas de prevenção, tais como a compra de cercas de proteção ou cães de guarda (que, enquanto investimentos improdutivos, podem ser financiados até 100 %). Os custos suplementares de mão de obra para os agricultores procederem à verificação e manutenção ou deslocação da cerca de proteção e os custos de alimentação e veterinários referentes aos cães de guarda podem ser cobertos por pagamentos a título das medidas agroambientais e climáticas. O FEADER é utilizado em vários Estados-Membros (por exemplo, Grécia, Bulgária, Eslovénia, Itália e França) para financiar medidas de proteção do gado, tais como custos suplementares com pastoreio, construção de cercas e cães de guarda. A </w:t>
      </w:r>
      <w:r>
        <w:rPr>
          <w:rFonts w:ascii="Verdana" w:hAnsi="Verdana"/>
          <w:i/>
          <w:noProof/>
          <w:sz w:val="20"/>
          <w:szCs w:val="20"/>
        </w:rPr>
        <w:t>Plataforma da UE para a Coexistência entre o Homem e os Grandes Carnívoros</w:t>
      </w:r>
      <w:r>
        <w:rPr>
          <w:rFonts w:ascii="Verdana" w:hAnsi="Verdana"/>
          <w:noProof/>
          <w:sz w:val="20"/>
          <w:szCs w:val="20"/>
        </w:rPr>
        <w:t xml:space="preserve"> (ver abaixo) elaborou uma síntese dos locais onde estão atualmente a ser utilizados programas de desenvolvimento rural (PDR) e onde estes podem ser utilizados no futuro (Marsden </w:t>
      </w:r>
      <w:r>
        <w:rPr>
          <w:rFonts w:ascii="Verdana" w:hAnsi="Verdana"/>
          <w:i/>
          <w:iCs/>
          <w:noProof/>
          <w:sz w:val="20"/>
          <w:szCs w:val="20"/>
        </w:rPr>
        <w:t>et al</w:t>
      </w:r>
      <w:r>
        <w:rPr>
          <w:rFonts w:ascii="Verdana" w:hAnsi="Verdana"/>
          <w:noProof/>
          <w:sz w:val="20"/>
          <w:szCs w:val="20"/>
        </w:rPr>
        <w:t>., 2016)</w:t>
      </w:r>
      <w:r>
        <w:rPr>
          <w:rFonts w:ascii="Verdana" w:hAnsi="Verdana"/>
          <w:noProof/>
          <w:sz w:val="20"/>
          <w:szCs w:val="20"/>
          <w:vertAlign w:val="superscript"/>
          <w:lang w:eastAsia="el-GR"/>
        </w:rPr>
        <w:footnoteReference w:id="198"/>
      </w:r>
      <w:r>
        <w:rPr>
          <w:rFonts w:ascii="Verdana" w:hAnsi="Verdana"/>
          <w:noProof/>
          <w:sz w:val="20"/>
          <w:szCs w:val="20"/>
        </w:rPr>
        <w:t>. A futura política agrícola comum também poderá apoiar medidas de prevenção e sistemas de pastoreio através dos novos regimes ecológicos</w:t>
      </w:r>
      <w:r>
        <w:rPr>
          <w:rFonts w:ascii="Verdana" w:hAnsi="Verdana"/>
          <w:noProof/>
          <w:sz w:val="20"/>
          <w:szCs w:val="20"/>
          <w:vertAlign w:val="superscript"/>
          <w:lang w:eastAsia="el-GR"/>
        </w:rPr>
        <w:footnoteReference w:id="199"/>
      </w:r>
      <w:r>
        <w:rPr>
          <w:rFonts w:ascii="Verdana" w:hAnsi="Verdana"/>
          <w:noProof/>
          <w:sz w:val="20"/>
          <w:szCs w:val="20"/>
        </w:rPr>
        <w:t>.</w:t>
      </w:r>
    </w:p>
    <w:p>
      <w:pPr>
        <w:numPr>
          <w:ilvl w:val="0"/>
          <w:numId w:val="21"/>
        </w:numPr>
        <w:spacing w:after="240"/>
        <w:jc w:val="both"/>
        <w:rPr>
          <w:rFonts w:eastAsiaTheme="minorEastAsia"/>
          <w:noProof/>
          <w:sz w:val="20"/>
          <w:szCs w:val="20"/>
        </w:rPr>
      </w:pPr>
      <w:r>
        <w:rPr>
          <w:rFonts w:ascii="Verdana" w:hAnsi="Verdana"/>
          <w:b/>
          <w:noProof/>
          <w:sz w:val="20"/>
          <w:szCs w:val="20"/>
        </w:rPr>
        <w:t>O instrumento Interreg do FEDER</w:t>
      </w:r>
      <w:r>
        <w:rPr>
          <w:rFonts w:ascii="Verdana" w:hAnsi="Verdana"/>
          <w:noProof/>
          <w:sz w:val="20"/>
          <w:szCs w:val="20"/>
        </w:rPr>
        <w:t xml:space="preserve"> pode apoiar projetos que visem melhorar a cooperação transfronteiriça em matéria de conservação e gestão dos grandes carnívoros, por exemplo, em relação à ligação entre </w:t>
      </w:r>
      <w:r>
        <w:rPr>
          <w:rFonts w:ascii="Verdana" w:hAnsi="Verdana"/>
          <w:i/>
          <w:iCs/>
          <w:noProof/>
          <w:sz w:val="20"/>
          <w:szCs w:val="20"/>
        </w:rPr>
        <w:t>habitats</w:t>
      </w:r>
      <w:r>
        <w:rPr>
          <w:rFonts w:ascii="Verdana" w:hAnsi="Verdana"/>
          <w:noProof/>
          <w:sz w:val="20"/>
          <w:szCs w:val="20"/>
        </w:rPr>
        <w:t>, transferência de conhecimentos, prevenção de prejuízos em efetivos de animais e outras medidas de coexistência</w:t>
      </w:r>
      <w:r>
        <w:rPr>
          <w:rStyle w:val="FootnoteReference"/>
          <w:rFonts w:ascii="Verdana" w:eastAsiaTheme="minorEastAsia" w:hAnsi="Verdana"/>
          <w:noProof/>
          <w:sz w:val="20"/>
          <w:szCs w:val="20"/>
          <w:lang w:eastAsia="el-GR"/>
        </w:rPr>
        <w:footnoteReference w:id="200"/>
      </w:r>
      <w:r>
        <w:rPr>
          <w:rFonts w:ascii="Verdana" w:hAnsi="Verdana"/>
          <w:noProof/>
          <w:sz w:val="20"/>
          <w:szCs w:val="20"/>
        </w:rPr>
        <w:t xml:space="preserve">. </w:t>
      </w:r>
    </w:p>
    <w:p>
      <w:pPr>
        <w:numPr>
          <w:ilvl w:val="0"/>
          <w:numId w:val="21"/>
        </w:numPr>
        <w:spacing w:after="240"/>
        <w:jc w:val="both"/>
        <w:rPr>
          <w:rFonts w:ascii="Verdana" w:hAnsi="Verdana"/>
          <w:noProof/>
          <w:sz w:val="20"/>
          <w:szCs w:val="20"/>
        </w:rPr>
      </w:pPr>
      <w:r>
        <w:rPr>
          <w:rFonts w:ascii="Verdana" w:hAnsi="Verdana"/>
          <w:b/>
          <w:bCs/>
          <w:noProof/>
          <w:sz w:val="20"/>
          <w:szCs w:val="20"/>
        </w:rPr>
        <w:t>O financiamento nacional (auxílios estatais)</w:t>
      </w:r>
      <w:r>
        <w:rPr>
          <w:rFonts w:ascii="Verdana" w:hAnsi="Verdana"/>
          <w:noProof/>
          <w:sz w:val="20"/>
          <w:szCs w:val="20"/>
        </w:rPr>
        <w:t xml:space="preserve"> pode prestar apoio, até uma taxa de 100 %, para medidas de prevenção; para recuperar o potencial agrícola destruído, nomeadamente através da substituição do gado morto pelos lobos; para indemnização de prejuízos causados por lobos, como animais mortos e prejuízos materiais causados aos ativos da exploração ou custos veterinários e custos relacionados com a procura por animais desaparecidos</w:t>
      </w:r>
      <w:r>
        <w:rPr>
          <w:rFonts w:ascii="Verdana" w:hAnsi="Verdana"/>
          <w:noProof/>
          <w:sz w:val="20"/>
          <w:szCs w:val="20"/>
          <w:vertAlign w:val="superscript"/>
          <w:lang w:eastAsia="el-GR"/>
        </w:rPr>
        <w:footnoteReference w:id="20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Dentro de cada Estado-Membro (e, idealmente, para além das fronteiras de Estados-Membros que partilham a mesma população de lobos), é necessária uma abordagem completa do financiamento e das medidas de apoio com vista a reduzir os conflitos relacionados com o lobo.</w:t>
      </w:r>
    </w:p>
    <w:p>
      <w:pPr>
        <w:spacing w:after="240"/>
        <w:jc w:val="both"/>
        <w:rPr>
          <w:rFonts w:ascii="Verdana" w:hAnsi="Verdana"/>
          <w:noProof/>
          <w:sz w:val="20"/>
          <w:szCs w:val="20"/>
        </w:rPr>
      </w:pPr>
      <w:r>
        <w:rPr>
          <w:rFonts w:ascii="Verdana" w:hAnsi="Verdana"/>
          <w:noProof/>
          <w:sz w:val="20"/>
          <w:szCs w:val="20"/>
        </w:rPr>
        <w:t xml:space="preserve">Os Estados-Membros devem refletir as principais questões relativas à conservação e aos conflitos com lobos nos respetivos quadros de ação </w:t>
      </w:r>
      <w:r>
        <w:rPr>
          <w:rFonts w:ascii="Verdana" w:hAnsi="Verdana"/>
          <w:bCs/>
          <w:noProof/>
          <w:sz w:val="20"/>
          <w:szCs w:val="20"/>
        </w:rPr>
        <w:t>prioritária (QAP)</w:t>
      </w:r>
      <w:r>
        <w:rPr>
          <w:rFonts w:ascii="Verdana" w:hAnsi="Verdana"/>
          <w:noProof/>
          <w:sz w:val="20"/>
          <w:szCs w:val="20"/>
        </w:rPr>
        <w:t>, identificando as prioridades e necessidades financeiras associadas e determinando a forma como as pretendem satisfazer. O formato atualizado do QAP</w:t>
      </w:r>
      <w:r>
        <w:rPr>
          <w:rFonts w:ascii="Verdana" w:hAnsi="Verdana"/>
          <w:noProof/>
          <w:sz w:val="20"/>
          <w:szCs w:val="20"/>
          <w:vertAlign w:val="superscript"/>
        </w:rPr>
        <w:footnoteReference w:id="202"/>
      </w:r>
      <w:r>
        <w:rPr>
          <w:rFonts w:ascii="Verdana" w:hAnsi="Verdana"/>
          <w:noProof/>
          <w:sz w:val="20"/>
          <w:szCs w:val="20"/>
        </w:rPr>
        <w:t xml:space="preserve"> inclui uma secção (E.3.2.) especificamente sobre as medidas prioritárias e custos associados, para a prevenção, atenuação ou indemnização de prejuízos causados por espécies protegidas ao abrigo das Diretivas Aves e </w:t>
      </w:r>
      <w:r>
        <w:rPr>
          <w:rFonts w:ascii="Verdana" w:hAnsi="Verdana"/>
          <w:i/>
          <w:iCs/>
          <w:noProof/>
          <w:sz w:val="20"/>
          <w:szCs w:val="20"/>
        </w:rPr>
        <w:t>Habitats</w:t>
      </w:r>
      <w:r>
        <w:rPr>
          <w:rFonts w:ascii="Verdana" w:hAnsi="Verdana"/>
          <w:noProof/>
          <w:sz w:val="20"/>
          <w:szCs w:val="20"/>
        </w:rPr>
        <w:t xml:space="preserve"> da UE.</w:t>
      </w:r>
    </w:p>
    <w:p>
      <w:pPr>
        <w:spacing w:after="240"/>
        <w:jc w:val="both"/>
        <w:rPr>
          <w:rFonts w:ascii="Verdana" w:hAnsi="Verdana"/>
          <w:noProof/>
          <w:sz w:val="20"/>
          <w:szCs w:val="20"/>
        </w:rPr>
      </w:pPr>
      <w:r>
        <w:rPr>
          <w:rFonts w:ascii="Verdana" w:hAnsi="Verdana"/>
          <w:noProof/>
          <w:sz w:val="20"/>
          <w:szCs w:val="20"/>
        </w:rPr>
        <w:t>Além disso, foram utilizadas em toda a Europa várias formas mais inovadoras de financiar e apoiar a coexistência.</w:t>
      </w:r>
    </w:p>
    <w:tbl>
      <w:tblPr>
        <w:tblStyle w:val="TableGrid"/>
        <w:tblW w:w="0" w:type="auto"/>
        <w:tblLook w:val="04A0" w:firstRow="1" w:lastRow="0" w:firstColumn="1" w:lastColumn="0" w:noHBand="0" w:noVBand="1"/>
      </w:tblPr>
      <w:tblGrid>
        <w:gridCol w:w="9242"/>
      </w:tblGrid>
      <w:tr>
        <w:tc>
          <w:tcPr>
            <w:tcW w:w="9242" w:type="dxa"/>
            <w:shd w:val="clear" w:color="auto" w:fill="FFFF99"/>
          </w:tcPr>
          <w:p>
            <w:pPr>
              <w:spacing w:after="240"/>
              <w:jc w:val="both"/>
              <w:rPr>
                <w:rFonts w:ascii="Verdana" w:hAnsi="Verdana"/>
                <w:b/>
                <w:i/>
                <w:noProof/>
                <w:sz w:val="18"/>
                <w:szCs w:val="18"/>
              </w:rPr>
            </w:pPr>
            <w:r>
              <w:rPr>
                <w:rFonts w:ascii="Verdana" w:hAnsi="Verdana"/>
                <w:b/>
                <w:i/>
                <w:noProof/>
                <w:sz w:val="18"/>
                <w:szCs w:val="18"/>
              </w:rPr>
              <w:t>Exemplos de financiamento inovador</w:t>
            </w:r>
          </w:p>
          <w:p>
            <w:pPr>
              <w:spacing w:after="240"/>
              <w:jc w:val="both"/>
              <w:rPr>
                <w:rFonts w:ascii="Verdana" w:hAnsi="Verdana"/>
                <w:noProof/>
                <w:sz w:val="18"/>
                <w:szCs w:val="18"/>
              </w:rPr>
            </w:pPr>
            <w:r>
              <w:rPr>
                <w:rFonts w:ascii="Verdana" w:hAnsi="Verdana"/>
                <w:noProof/>
                <w:sz w:val="18"/>
                <w:szCs w:val="18"/>
              </w:rPr>
              <w:t>Um exemplo original e bem-sucedido de financiamento inovador da coexistência é a iniciativa sueca de «pagamentos em função do desempenho de conservação» para o glutão. Esta iniciativa inclui pagamentos que estão associados à reprodução bem-sucedida do glutão, em vez de indemnizações pela perda de renas. Os pagamentos baseiam-se no número de reproduções documentadas de glutões no respetivo distrito, independentemente dos níveis de predação. Cinco anos após a implementação do programa, observou-se um crescimento da população de glutões. O número de reproduções registadas aumentou de 57 em 2002 para 125 em 2012, verificando-se uma expansão da população para outras zonas anteriormente não ocupadas (Persson, 2015).</w:t>
            </w:r>
          </w:p>
          <w:p>
            <w:pPr>
              <w:spacing w:after="240"/>
              <w:jc w:val="both"/>
              <w:rPr>
                <w:rFonts w:ascii="Verdana" w:hAnsi="Verdana"/>
                <w:noProof/>
                <w:sz w:val="18"/>
                <w:szCs w:val="18"/>
              </w:rPr>
            </w:pPr>
            <w:r>
              <w:rPr>
                <w:rFonts w:ascii="Verdana" w:hAnsi="Verdana"/>
                <w:noProof/>
                <w:sz w:val="18"/>
                <w:szCs w:val="18"/>
              </w:rPr>
              <w:t xml:space="preserve">Outro sistema de financiamento inovador bem-sucedido é o regime </w:t>
            </w:r>
            <w:r>
              <w:rPr>
                <w:rFonts w:ascii="Verdana" w:hAnsi="Verdana"/>
                <w:i/>
                <w:iCs/>
                <w:noProof/>
                <w:sz w:val="18"/>
                <w:szCs w:val="18"/>
              </w:rPr>
              <w:t>Golden Eagle</w:t>
            </w:r>
            <w:r>
              <w:rPr>
                <w:rFonts w:ascii="Verdana" w:hAnsi="Verdana"/>
                <w:noProof/>
                <w:sz w:val="18"/>
                <w:szCs w:val="18"/>
              </w:rPr>
              <w:t xml:space="preserve"> (águia-real) que visa recompensar a comunidade sami criadora de renas na Lapónia finlandesa pelo estabelecimento com êxito de ninhos e territórios para a águia-real (Comissão Europeia, 2017). Desde que o Governo finlandês introduziu este regime em 1998, as atitudes dos criadores face à águia-real terão mudado drasticamente, sendo a espécie agora vista como um recurso em vez de uma praga.</w:t>
            </w:r>
          </w:p>
          <w:p>
            <w:pPr>
              <w:spacing w:after="240"/>
              <w:jc w:val="both"/>
              <w:rPr>
                <w:rFonts w:ascii="Verdana" w:hAnsi="Verdana"/>
                <w:noProof/>
                <w:sz w:val="18"/>
                <w:szCs w:val="18"/>
              </w:rPr>
            </w:pPr>
            <w:r>
              <w:rPr>
                <w:rFonts w:ascii="Verdana" w:hAnsi="Verdana"/>
                <w:noProof/>
                <w:sz w:val="18"/>
                <w:szCs w:val="18"/>
              </w:rPr>
              <w:t>O rendimento e as oportunidades de emprego criadas pelo ecoturismo baseado na natureza também podem ajudar a melhorar a aceitação dos lobos e a sua coexistência com as comunidades rurais em questão. Em Espanha, a região noroeste de Zamora (nomeadamente, a «Sierra de la Culebra») tornou-se uma zona importante para o turismo de observação de lobos, que constitui um ativo económico importante e atrai milhares de visitantes por ano. Em iniciativas turísticas deste género, é necessário ter cautela para não prejudicar a conservação do lobo (por exemplo, evitando perturbações e os locais das tocas). Importa considerar igualmente o impacto noutros grupos de partes interessadas (por exemplo, não atrair grandes carnívoros para zonas com gado</w:t>
            </w:r>
            <w:r>
              <w:rPr>
                <w:noProof/>
              </w:rPr>
              <w:t xml:space="preserve"> </w:t>
            </w:r>
            <w:r>
              <w:rPr>
                <w:rFonts w:ascii="Verdana" w:hAnsi="Verdana"/>
                <w:noProof/>
                <w:sz w:val="18"/>
                <w:szCs w:val="18"/>
              </w:rPr>
              <w:t>ou contribuir para uma situação em que os grandes carnívoros associem os seres humanos a alimento).</w:t>
            </w:r>
          </w:p>
          <w:p>
            <w:pPr>
              <w:spacing w:after="240"/>
              <w:jc w:val="both"/>
              <w:rPr>
                <w:rFonts w:ascii="Verdana" w:hAnsi="Verdana"/>
                <w:noProof/>
                <w:sz w:val="18"/>
                <w:szCs w:val="18"/>
              </w:rPr>
            </w:pPr>
            <w:r>
              <w:rPr>
                <w:rFonts w:ascii="Verdana" w:hAnsi="Verdana"/>
                <w:noProof/>
                <w:sz w:val="18"/>
                <w:szCs w:val="18"/>
              </w:rPr>
              <w:t>Em Piemonte, Itália, foi desenvolvida uma oportunidade diferente (ao abrigo do projeto LIFE WOLFALPS). Foi criado um rótulo local («Terre di lupi» = «Terra de lobos») e foram introduzidas várias iniciativas para promover os queijos e outros produtos de agricultores que estão preocupados com a presença de lobos e aplicam medidas de prevenção para garantir a coexistência.</w:t>
            </w:r>
          </w:p>
          <w:p>
            <w:pPr>
              <w:spacing w:after="240"/>
              <w:jc w:val="both"/>
              <w:rPr>
                <w:rFonts w:ascii="Verdana" w:hAnsi="Verdana"/>
                <w:noProof/>
                <w:sz w:val="18"/>
                <w:szCs w:val="18"/>
              </w:rPr>
            </w:pPr>
            <w:r>
              <w:rPr>
                <w:rFonts w:ascii="Verdana" w:hAnsi="Verdana"/>
                <w:noProof/>
                <w:sz w:val="18"/>
                <w:szCs w:val="18"/>
              </w:rPr>
              <w:t>O vencedor de 2020 do prémio Natura 2000 na categoria «benefícios socioeconómicos» foi o projeto «Pro-Biodiversidad: pastores enquanto conservadores da biodiversidade na rede Natura 2000». Este projeto demonstrou o modo como agricultores e conservacionistas podem trabalhar em conjunto para que a conservação da natureza produza recursos e benefícios, e não problemas, para as comunidades locais. Grande parte da cordilheira dos Picos da Europa sofre perdas económicas devido ao abandono das terras, à perda de pastagens, à perda de fontes de alimento para animais necrófagos e ao risco de incêndio. A Fundación para la Conservación del Quebrantahuesos decidiu combater este problema criando uma marca de certificação especial, a «Pro-Biodiversidad» (pró-biodiversidade), para apoiar o setor da criação extensiva de ovinos, pôr termo ao abandono das terras e melhorar as condições para a biodiversidade. Através deste regime, a carne de ovino produzida por criadores que coexistem com lobos é paga a um preço mais elevado.</w:t>
            </w:r>
          </w:p>
        </w:tc>
      </w:tr>
    </w:tbl>
    <w:p>
      <w:pPr>
        <w:spacing w:after="240"/>
        <w:jc w:val="both"/>
        <w:rPr>
          <w:bCs/>
          <w:noProof/>
          <w:sz w:val="20"/>
          <w:szCs w:val="20"/>
        </w:rPr>
      </w:pPr>
    </w:p>
    <w:p>
      <w:pPr>
        <w:spacing w:after="240"/>
        <w:jc w:val="both"/>
        <w:rPr>
          <w:bCs/>
          <w:noProof/>
          <w:sz w:val="20"/>
          <w:szCs w:val="20"/>
        </w:rPr>
      </w:pPr>
    </w:p>
    <w:p>
      <w:pPr>
        <w:spacing w:after="240"/>
        <w:jc w:val="both"/>
        <w:rPr>
          <w:rFonts w:ascii="Verdana" w:hAnsi="Verdana"/>
          <w:noProof/>
          <w:sz w:val="20"/>
          <w:szCs w:val="20"/>
        </w:rPr>
      </w:pPr>
      <w:r>
        <w:rPr>
          <w:rFonts w:ascii="Verdana" w:hAnsi="Verdana"/>
          <w:b/>
          <w:noProof/>
          <w:sz w:val="20"/>
          <w:szCs w:val="20"/>
        </w:rPr>
        <w:t>6. Artigo 16.º: derrogações à proteção rigorosa das populações de lobos constantes do anexo IV</w:t>
      </w:r>
    </w:p>
    <w:p>
      <w:pPr>
        <w:spacing w:after="240"/>
        <w:jc w:val="both"/>
        <w:rPr>
          <w:rFonts w:ascii="Verdana" w:hAnsi="Verdana"/>
          <w:noProof/>
          <w:sz w:val="20"/>
          <w:szCs w:val="20"/>
        </w:rPr>
      </w:pPr>
      <w:r>
        <w:rPr>
          <w:rFonts w:ascii="Verdana" w:hAnsi="Verdana"/>
          <w:noProof/>
          <w:sz w:val="20"/>
          <w:szCs w:val="20"/>
        </w:rPr>
        <w:t xml:space="preserve">Regra geral, todas as populações de lobos constantes do anexo IV da Diretiva </w:t>
      </w:r>
      <w:r>
        <w:rPr>
          <w:rFonts w:ascii="Verdana" w:hAnsi="Verdana"/>
          <w:i/>
          <w:iCs/>
          <w:noProof/>
          <w:sz w:val="20"/>
          <w:szCs w:val="20"/>
        </w:rPr>
        <w:t>Habitats</w:t>
      </w:r>
      <w:r>
        <w:rPr>
          <w:rFonts w:ascii="Verdana" w:hAnsi="Verdana"/>
          <w:noProof/>
          <w:sz w:val="20"/>
          <w:szCs w:val="20"/>
        </w:rPr>
        <w:t xml:space="preserve"> estão sujeitas a proteção rigorosa e os espécimes não podem ser capturados, abatidos ou perturbados intencionalmente</w:t>
      </w:r>
      <w:r>
        <w:rPr>
          <w:noProof/>
        </w:rPr>
        <w:t xml:space="preserve"> </w:t>
      </w:r>
      <w:r>
        <w:rPr>
          <w:rFonts w:ascii="Verdana" w:hAnsi="Verdana"/>
          <w:noProof/>
          <w:sz w:val="20"/>
          <w:szCs w:val="20"/>
        </w:rPr>
        <w:t>na sua área de repartição natural. Além disso, não é permitido deteriorar nem destruir os respetivos locais de reprodução e áreas de repouso. Esta proteção aplica-se tanto dentro como fora dos sítios Natura 2000.</w:t>
      </w:r>
    </w:p>
    <w:p>
      <w:pPr>
        <w:spacing w:after="240"/>
        <w:jc w:val="both"/>
        <w:rPr>
          <w:rFonts w:ascii="Verdana" w:hAnsi="Verdana" w:cs="Cambria"/>
          <w:noProof/>
          <w:sz w:val="20"/>
          <w:szCs w:val="20"/>
        </w:rPr>
      </w:pPr>
      <w:r>
        <w:rPr>
          <w:rFonts w:ascii="Verdana" w:hAnsi="Verdana"/>
          <w:noProof/>
          <w:sz w:val="20"/>
          <w:szCs w:val="20"/>
        </w:rPr>
        <w:t>Não obstante, em determinadas circunstâncias excecionais, pode justificar-se permitir a captura ou o abate de alguns espécimes de lobo para, por exemplo, evitar uma predação significativa no gado, para colocar coleiras emissoras nos lobos para efeitos de investigação, monitorização ou gestão ou para remover espécimes condicionados por alimentos ou ousados e potencialmente perigosos.</w:t>
      </w:r>
    </w:p>
    <w:p>
      <w:pPr>
        <w:spacing w:after="120"/>
        <w:jc w:val="both"/>
        <w:rPr>
          <w:rFonts w:ascii="Verdana" w:hAnsi="Verdana" w:cs="Cambria"/>
          <w:noProof/>
          <w:sz w:val="20"/>
          <w:szCs w:val="20"/>
        </w:rPr>
      </w:pPr>
      <w:r>
        <w:rPr>
          <w:rFonts w:ascii="Verdana" w:hAnsi="Verdana"/>
          <w:noProof/>
          <w:sz w:val="20"/>
          <w:szCs w:val="20"/>
        </w:rPr>
        <w:t xml:space="preserve">O artigo 16.º da Diretiva </w:t>
      </w:r>
      <w:r>
        <w:rPr>
          <w:rFonts w:ascii="Verdana" w:hAnsi="Verdana"/>
          <w:i/>
          <w:iCs/>
          <w:noProof/>
          <w:sz w:val="20"/>
          <w:szCs w:val="20"/>
        </w:rPr>
        <w:t>Habitats</w:t>
      </w:r>
      <w:r>
        <w:rPr>
          <w:rFonts w:ascii="Verdana" w:hAnsi="Verdana"/>
          <w:noProof/>
          <w:sz w:val="20"/>
          <w:szCs w:val="20"/>
        </w:rPr>
        <w:t xml:space="preserve"> prevê a flexibilidade necessária para fazer face às situações anteriores, permitindo que os Estados-Membros adotem derrogações às disposições gerais de proteção rigorosa e realizem as atividades acima referidas (os parágrafos que se seguem devem ser lidos conjuntamente com a parte III do documento).</w:t>
      </w:r>
    </w:p>
    <w:p>
      <w:pPr>
        <w:spacing w:after="240"/>
        <w:jc w:val="both"/>
        <w:rPr>
          <w:rFonts w:ascii="Verdana" w:hAnsi="Verdana" w:cs="Cambria"/>
          <w:b/>
          <w:noProof/>
          <w:sz w:val="20"/>
          <w:szCs w:val="20"/>
        </w:rPr>
      </w:pPr>
      <w:r>
        <w:rPr>
          <w:rFonts w:ascii="Verdana" w:hAnsi="Verdana"/>
          <w:noProof/>
          <w:sz w:val="20"/>
          <w:szCs w:val="20"/>
        </w:rPr>
        <w:cr/>
      </w:r>
      <w:r>
        <w:rPr>
          <w:rFonts w:ascii="Verdana" w:hAnsi="Verdana"/>
          <w:b/>
          <w:noProof/>
          <w:sz w:val="20"/>
          <w:szCs w:val="20"/>
        </w:rPr>
        <w:t>Condições prévias para a concessão da derrogação</w:t>
      </w:r>
    </w:p>
    <w:p>
      <w:pPr>
        <w:spacing w:after="240"/>
        <w:jc w:val="both"/>
        <w:rPr>
          <w:rFonts w:ascii="Verdana" w:hAnsi="Verdana" w:cs="Cambria"/>
          <w:noProof/>
          <w:sz w:val="20"/>
          <w:szCs w:val="20"/>
        </w:rPr>
      </w:pPr>
      <w:r>
        <w:rPr>
          <w:rFonts w:ascii="Verdana" w:hAnsi="Verdana"/>
          <w:noProof/>
          <w:sz w:val="20"/>
          <w:szCs w:val="20"/>
        </w:rPr>
        <w:t>O artigo 16.º estabelece três condições prévias, que têm de ser cumpridas antes da concessão de uma derrogação. As autoridades nacionais competentes têm de demonstrar:</w:t>
      </w:r>
    </w:p>
    <w:p>
      <w:pPr>
        <w:numPr>
          <w:ilvl w:val="0"/>
          <w:numId w:val="20"/>
        </w:numPr>
        <w:spacing w:after="240"/>
        <w:contextualSpacing/>
        <w:jc w:val="both"/>
        <w:rPr>
          <w:rFonts w:ascii="Verdana" w:hAnsi="Verdana" w:cs="Cambria"/>
          <w:noProof/>
          <w:sz w:val="20"/>
          <w:szCs w:val="20"/>
        </w:rPr>
      </w:pPr>
      <w:r>
        <w:rPr>
          <w:rFonts w:ascii="Verdana" w:hAnsi="Verdana"/>
          <w:noProof/>
          <w:sz w:val="20"/>
          <w:szCs w:val="20"/>
        </w:rPr>
        <w:t>a ocorrência de um (ou mais) dos motivos indicados no artigo 16.º, n.º 1, alíneas a) a e), comprovada por elementos de prova suficientes;</w:t>
      </w:r>
    </w:p>
    <w:p>
      <w:pPr>
        <w:numPr>
          <w:ilvl w:val="0"/>
          <w:numId w:val="20"/>
        </w:numPr>
        <w:spacing w:after="240"/>
        <w:contextualSpacing/>
        <w:jc w:val="both"/>
        <w:rPr>
          <w:rFonts w:ascii="Verdana" w:hAnsi="Verdana" w:cs="Cambria"/>
          <w:noProof/>
          <w:sz w:val="20"/>
          <w:szCs w:val="20"/>
        </w:rPr>
      </w:pPr>
      <w:r>
        <w:rPr>
          <w:rFonts w:ascii="Verdana" w:hAnsi="Verdana"/>
          <w:noProof/>
          <w:sz w:val="20"/>
          <w:szCs w:val="20"/>
        </w:rPr>
        <w:t>a ausência de outra solução satisfatória (ou seja, se o problema pode ser resolvido de tal forma que dispense o recurso à derrogação, nomeadamente através da utilização de ferramentas não letais);</w:t>
      </w:r>
    </w:p>
    <w:p>
      <w:pPr>
        <w:numPr>
          <w:ilvl w:val="0"/>
          <w:numId w:val="20"/>
        </w:numPr>
        <w:spacing w:after="240"/>
        <w:contextualSpacing/>
        <w:jc w:val="both"/>
        <w:rPr>
          <w:rFonts w:ascii="Verdana" w:hAnsi="Verdana" w:cs="Cambria"/>
          <w:noProof/>
          <w:sz w:val="20"/>
          <w:szCs w:val="20"/>
        </w:rPr>
      </w:pPr>
      <w:r>
        <w:rPr>
          <w:rFonts w:ascii="Verdana" w:hAnsi="Verdana"/>
          <w:noProof/>
          <w:sz w:val="20"/>
          <w:szCs w:val="20"/>
        </w:rPr>
        <w:t>a ausência de efeitos prejudiciais da derrogação na manutenção das populações da espécie em causa na sua área de repartição natural, num estado de conservação favorável.</w:t>
      </w:r>
    </w:p>
    <w:p>
      <w:pPr>
        <w:spacing w:after="240"/>
        <w:ind w:left="720"/>
        <w:contextualSpacing/>
        <w:jc w:val="both"/>
        <w:rPr>
          <w:rFonts w:ascii="Verdana" w:hAnsi="Verdana" w:cs="Cambria"/>
          <w:noProof/>
          <w:sz w:val="20"/>
          <w:szCs w:val="20"/>
          <w:lang w:eastAsia="el-GR"/>
        </w:rPr>
      </w:pPr>
    </w:p>
    <w:p>
      <w:pPr>
        <w:spacing w:after="240"/>
        <w:jc w:val="both"/>
        <w:rPr>
          <w:rFonts w:ascii="Verdana" w:hAnsi="Verdana" w:cs="Cambria"/>
          <w:noProof/>
          <w:sz w:val="20"/>
          <w:szCs w:val="20"/>
        </w:rPr>
      </w:pPr>
      <w:r>
        <w:rPr>
          <w:rFonts w:ascii="Verdana" w:hAnsi="Verdana"/>
          <w:noProof/>
          <w:sz w:val="20"/>
          <w:szCs w:val="20"/>
        </w:rPr>
        <w:t>A aplicação destes três requisitos é aqui ilustrada no caso do lobo. É importante relembrar que cabe às autoridades nacionais pertinentes aplicar estas disposições, justificando e demonstrando devidamente que todas as condições previstas no artigo 16.º, n.º 1, são cumpridas. Da mesma forma, incumbe essencialmente às autoridades judiciais nacionais verificar e garantir o cumprimento dos requisitos num determinado contexto e em casos específicos.</w:t>
      </w:r>
    </w:p>
    <w:p>
      <w:pPr>
        <w:numPr>
          <w:ilvl w:val="0"/>
          <w:numId w:val="18"/>
        </w:numPr>
        <w:spacing w:after="240"/>
        <w:contextualSpacing/>
        <w:jc w:val="both"/>
        <w:rPr>
          <w:rFonts w:ascii="Verdana" w:hAnsi="Verdana" w:cs="Cambria"/>
          <w:b/>
          <w:i/>
          <w:noProof/>
          <w:sz w:val="20"/>
          <w:szCs w:val="20"/>
          <w:u w:val="single"/>
        </w:rPr>
      </w:pPr>
      <w:r>
        <w:rPr>
          <w:rFonts w:ascii="Verdana" w:hAnsi="Verdana"/>
          <w:b/>
          <w:i/>
          <w:noProof/>
          <w:sz w:val="20"/>
          <w:szCs w:val="20"/>
          <w:u w:val="single"/>
        </w:rPr>
        <w:t>Demonstração de um ou mais dos motivos indicados no artigo 16.º, n.º 1, alíneas a) a e)</w:t>
      </w:r>
    </w:p>
    <w:p>
      <w:pPr>
        <w:spacing w:after="120"/>
        <w:jc w:val="both"/>
        <w:rPr>
          <w:rFonts w:ascii="Verdana" w:hAnsi="Verdana" w:cs="Cambria"/>
          <w:noProof/>
          <w:sz w:val="20"/>
          <w:szCs w:val="20"/>
        </w:rPr>
      </w:pPr>
      <w:r>
        <w:rPr>
          <w:rFonts w:ascii="Verdana" w:hAnsi="Verdana"/>
          <w:noProof/>
          <w:sz w:val="20"/>
          <w:szCs w:val="20"/>
        </w:rPr>
        <w:t>Os motivos indicados no artigo 16.º, n.º 1, são os seguintes:</w:t>
      </w:r>
    </w:p>
    <w:p>
      <w:pPr>
        <w:spacing w:after="120"/>
        <w:ind w:left="426"/>
        <w:jc w:val="both"/>
        <w:rPr>
          <w:rFonts w:ascii="Verdana" w:hAnsi="Verdana" w:cs="Cambria"/>
          <w:noProof/>
          <w:sz w:val="20"/>
          <w:szCs w:val="20"/>
        </w:rPr>
      </w:pPr>
      <w:r>
        <w:rPr>
          <w:rFonts w:ascii="Verdana" w:hAnsi="Verdana"/>
          <w:noProof/>
          <w:sz w:val="20"/>
          <w:szCs w:val="20"/>
        </w:rPr>
        <w:t xml:space="preserve">a) «No interesse da proteção da fauna e da flora selvagens e da conservação dos </w:t>
      </w:r>
      <w:r>
        <w:rPr>
          <w:rFonts w:ascii="Verdana" w:hAnsi="Verdana"/>
          <w:i/>
          <w:iCs/>
          <w:noProof/>
          <w:sz w:val="20"/>
          <w:szCs w:val="20"/>
        </w:rPr>
        <w:t>habitats</w:t>
      </w:r>
      <w:r>
        <w:rPr>
          <w:rFonts w:ascii="Verdana" w:hAnsi="Verdana"/>
          <w:noProof/>
          <w:sz w:val="20"/>
          <w:szCs w:val="20"/>
        </w:rPr>
        <w:t xml:space="preserve"> naturais»;</w:t>
      </w:r>
    </w:p>
    <w:p>
      <w:pPr>
        <w:spacing w:after="120"/>
        <w:ind w:left="426"/>
        <w:jc w:val="both"/>
        <w:rPr>
          <w:rFonts w:ascii="Verdana" w:hAnsi="Verdana" w:cs="Cambria"/>
          <w:noProof/>
          <w:sz w:val="20"/>
          <w:szCs w:val="20"/>
        </w:rPr>
      </w:pPr>
      <w:r>
        <w:rPr>
          <w:rFonts w:ascii="Verdana" w:hAnsi="Verdana"/>
          <w:noProof/>
          <w:sz w:val="20"/>
          <w:szCs w:val="20"/>
        </w:rPr>
        <w:t>b) «Para evitar prejuízos sérios, nomeadamente às culturas, à criação de gado, às florestas, às zonas de pesca e às águas e a outras formas de propriedade»;</w:t>
      </w:r>
    </w:p>
    <w:p>
      <w:pPr>
        <w:spacing w:after="120"/>
        <w:ind w:left="426"/>
        <w:jc w:val="both"/>
        <w:rPr>
          <w:rFonts w:ascii="Verdana" w:hAnsi="Verdana" w:cs="Cambria"/>
          <w:noProof/>
          <w:sz w:val="20"/>
          <w:szCs w:val="20"/>
        </w:rPr>
      </w:pPr>
      <w:r>
        <w:rPr>
          <w:rFonts w:ascii="Verdana" w:hAnsi="Verdana"/>
          <w:noProof/>
          <w:sz w:val="20"/>
          <w:szCs w:val="20"/>
        </w:rPr>
        <w:t>c) «No interesse da saúde e da segurança públicas ou por outras razões imperativas ou de interesse público prioritário, incluindo razões de caráter social ou económico e a consequências benéficas de importância primordial para o ambiente»;</w:t>
      </w:r>
    </w:p>
    <w:p>
      <w:pPr>
        <w:spacing w:after="120"/>
        <w:ind w:left="426"/>
        <w:jc w:val="both"/>
        <w:rPr>
          <w:rFonts w:ascii="Verdana" w:hAnsi="Verdana" w:cs="Cambria"/>
          <w:noProof/>
          <w:sz w:val="20"/>
          <w:szCs w:val="20"/>
        </w:rPr>
      </w:pPr>
      <w:r>
        <w:rPr>
          <w:rFonts w:ascii="Verdana" w:hAnsi="Verdana"/>
          <w:noProof/>
          <w:sz w:val="20"/>
          <w:szCs w:val="20"/>
        </w:rPr>
        <w:t>d) «Para fins de investigação e de educação, de repovoamento e de reintrodução dessas espécies e para as operações de reprodução necessárias a esses fins, incluindo a reprodução artificial das plantas»;</w:t>
      </w:r>
    </w:p>
    <w:p>
      <w:pPr>
        <w:spacing w:after="120"/>
        <w:ind w:left="426"/>
        <w:jc w:val="both"/>
        <w:rPr>
          <w:rFonts w:ascii="Verdana" w:hAnsi="Verdana" w:cs="Cambria"/>
          <w:noProof/>
          <w:sz w:val="20"/>
          <w:szCs w:val="20"/>
        </w:rPr>
      </w:pPr>
      <w:r>
        <w:rPr>
          <w:rFonts w:ascii="Verdana" w:hAnsi="Verdana"/>
          <w:noProof/>
          <w:sz w:val="20"/>
          <w:szCs w:val="20"/>
        </w:rPr>
        <w:t>e)</w:t>
      </w:r>
      <w:r>
        <w:rPr>
          <w:rFonts w:ascii="Arial" w:hAnsi="Arial"/>
          <w:noProof/>
          <w:sz w:val="20"/>
          <w:szCs w:val="20"/>
        </w:rPr>
        <w:t xml:space="preserve"> «</w:t>
      </w:r>
      <w:r>
        <w:rPr>
          <w:rFonts w:ascii="Verdana" w:hAnsi="Verdana"/>
          <w:noProof/>
          <w:sz w:val="20"/>
          <w:szCs w:val="20"/>
        </w:rPr>
        <w:t>Para permitir, em condições estritamente controladas e de uma forma seletiva e numa dimensão limitada, a captura ou detenção de um número limitado especificado pelas autoridades nacionais competentes de determinados espécimes das espécies constantes do anexo IV».</w:t>
      </w:r>
    </w:p>
    <w:p>
      <w:pPr>
        <w:spacing w:after="240"/>
        <w:rPr>
          <w:rFonts w:ascii="Verdana" w:hAnsi="Verdana"/>
          <w:i/>
          <w:noProof/>
        </w:rPr>
      </w:pPr>
      <w:r>
        <w:rPr>
          <w:rFonts w:ascii="Verdana" w:hAnsi="Verdana"/>
          <w:i/>
          <w:noProof/>
          <w:sz w:val="20"/>
          <w:szCs w:val="20"/>
        </w:rPr>
        <w:t>Exemplos de justificações de derrogações no caso dos lobos:</w:t>
      </w:r>
    </w:p>
    <w:p>
      <w:pPr>
        <w:numPr>
          <w:ilvl w:val="0"/>
          <w:numId w:val="5"/>
        </w:numPr>
        <w:spacing w:before="60" w:after="240"/>
        <w:ind w:left="360"/>
        <w:contextualSpacing/>
        <w:jc w:val="both"/>
        <w:rPr>
          <w:rFonts w:ascii="Verdana" w:hAnsi="Verdana"/>
          <w:noProof/>
          <w:sz w:val="20"/>
          <w:szCs w:val="20"/>
        </w:rPr>
      </w:pPr>
      <w:r>
        <w:rPr>
          <w:rFonts w:ascii="Verdana" w:hAnsi="Verdana"/>
          <w:noProof/>
          <w:sz w:val="20"/>
          <w:szCs w:val="20"/>
        </w:rPr>
        <w:t xml:space="preserve">É provável que a </w:t>
      </w:r>
      <w:r>
        <w:rPr>
          <w:rFonts w:ascii="Verdana" w:hAnsi="Verdana"/>
          <w:b/>
          <w:noProof/>
          <w:sz w:val="20"/>
          <w:szCs w:val="20"/>
        </w:rPr>
        <w:t>justificação a)</w:t>
      </w:r>
      <w:r>
        <w:rPr>
          <w:rFonts w:ascii="Verdana" w:hAnsi="Verdana"/>
          <w:noProof/>
          <w:sz w:val="20"/>
          <w:szCs w:val="20"/>
        </w:rPr>
        <w:t xml:space="preserve"> raramente seja utilizada. Pode ser invocada num caso em que, por exemplo, uma espécie-presa selvagem em perigo enfrenta a ameaça da predação pelo lobo. Não obstante, importa recordar que a predação de uma espécie nativa por outra espécie nativa é um processo natural e é parte integrante do funcionamento dos ecossistemas. Além disso, antes de considerar qualquer derrogação, deve identificar-se e corrigir eficazmente as outras ameaças ou fatores limitantes da espécie-presa (por exemplo, deterioração do </w:t>
      </w:r>
      <w:r>
        <w:rPr>
          <w:rFonts w:ascii="Verdana" w:hAnsi="Verdana"/>
          <w:i/>
          <w:iCs/>
          <w:noProof/>
          <w:sz w:val="20"/>
          <w:szCs w:val="20"/>
        </w:rPr>
        <w:t>habitat</w:t>
      </w:r>
      <w:r>
        <w:rPr>
          <w:rFonts w:ascii="Verdana" w:hAnsi="Verdana"/>
          <w:noProof/>
          <w:sz w:val="20"/>
          <w:szCs w:val="20"/>
        </w:rPr>
        <w:t>, perturbação por seres humanos, caça excessiva, concorrência de espécies domésticas, etc.).</w:t>
      </w:r>
    </w:p>
    <w:p>
      <w:pPr>
        <w:spacing w:before="60" w:after="240"/>
        <w:ind w:left="360"/>
        <w:contextualSpacing/>
        <w:jc w:val="both"/>
        <w:rPr>
          <w:rFonts w:ascii="Verdana" w:hAnsi="Verdana"/>
          <w:noProof/>
          <w:sz w:val="20"/>
          <w:szCs w:val="20"/>
          <w:lang w:eastAsia="el-GR"/>
        </w:rPr>
      </w:pPr>
    </w:p>
    <w:p>
      <w:pPr>
        <w:numPr>
          <w:ilvl w:val="0"/>
          <w:numId w:val="5"/>
        </w:numPr>
        <w:spacing w:before="60" w:after="240"/>
        <w:ind w:left="360"/>
        <w:contextualSpacing/>
        <w:jc w:val="both"/>
        <w:rPr>
          <w:rFonts w:ascii="Verdana" w:hAnsi="Verdana"/>
          <w:noProof/>
          <w:sz w:val="20"/>
          <w:szCs w:val="20"/>
        </w:rPr>
      </w:pPr>
      <w:r>
        <w:rPr>
          <w:rFonts w:ascii="Verdana" w:hAnsi="Verdana"/>
          <w:b/>
          <w:noProof/>
          <w:sz w:val="20"/>
          <w:szCs w:val="20"/>
        </w:rPr>
        <w:t>Justificação b)</w:t>
      </w:r>
      <w:r>
        <w:rPr>
          <w:rFonts w:ascii="Verdana" w:hAnsi="Verdana"/>
          <w:noProof/>
          <w:sz w:val="20"/>
          <w:szCs w:val="20"/>
        </w:rPr>
        <w:t>. No caso dos lobos, as derrogações utilizadas pelos Estados-Membros visam normalmente evitar prejuízos sérios na criação de gado. Esta disposição tem por objetivo evitar prejuízos sérios, pelo que não exige que o prejuízo tenha ocorrido. Porém, a probabilidade da ocorrência de prejuízos sérios, para além dos riscos comerciais normais, tem de ser demonstrada e têm de existir provas suficientes para justificar que qualquer método de controlo letal utilizado ao abrigo da derrogação é eficaz, proporcionado e sustentável para a prevenção ou limitação dos prejuízos sérios. Esta justificação pode ser utilizada para remover lobos suscetíveis de causarem níveis elevados de depredação do gado, apesar da aplicação adequada de medidas de prevenção apropriadas (tais como cercas elétricas à prova de lobos e cães de guarda dos efetivos de animais).</w:t>
      </w:r>
    </w:p>
    <w:p>
      <w:pPr>
        <w:spacing w:before="60" w:after="240"/>
        <w:ind w:left="360"/>
        <w:contextualSpacing/>
        <w:jc w:val="both"/>
        <w:rPr>
          <w:rFonts w:ascii="Verdana" w:hAnsi="Verdana"/>
          <w:noProof/>
          <w:sz w:val="20"/>
          <w:szCs w:val="20"/>
          <w:lang w:eastAsia="el-GR"/>
        </w:rPr>
      </w:pPr>
    </w:p>
    <w:p>
      <w:pPr>
        <w:numPr>
          <w:ilvl w:val="0"/>
          <w:numId w:val="38"/>
        </w:numPr>
        <w:spacing w:before="240" w:after="240"/>
        <w:ind w:left="357" w:hanging="357"/>
        <w:jc w:val="both"/>
        <w:rPr>
          <w:rFonts w:ascii="Arial" w:hAnsi="Arial"/>
          <w:noProof/>
          <w:sz w:val="20"/>
          <w:szCs w:val="20"/>
        </w:rPr>
      </w:pPr>
      <w:r>
        <w:rPr>
          <w:rFonts w:ascii="Verdana" w:hAnsi="Verdana"/>
          <w:noProof/>
          <w:sz w:val="20"/>
          <w:szCs w:val="20"/>
        </w:rPr>
        <w:t xml:space="preserve">A </w:t>
      </w:r>
      <w:r>
        <w:rPr>
          <w:rFonts w:ascii="Verdana" w:hAnsi="Verdana"/>
          <w:b/>
          <w:bCs/>
          <w:noProof/>
          <w:sz w:val="20"/>
          <w:szCs w:val="20"/>
        </w:rPr>
        <w:t>justificação c)</w:t>
      </w:r>
      <w:r>
        <w:rPr>
          <w:rFonts w:ascii="Verdana" w:hAnsi="Verdana"/>
          <w:noProof/>
          <w:sz w:val="20"/>
          <w:szCs w:val="20"/>
        </w:rPr>
        <w:t>, relativa à saúde e segurança públicas ou outras razões imperativas ou de interesse público prioritário, incluindo razões de caráter social ou económico e as consequências benéficas de importância primordial para o ambiente, pode, por exemplo, fundamentar a utilização de métodos aversivos para afastar ou remover lobos condicionados por alimentos, habituados à presença de seres humanos ou ousados que se aproximam frequentemente de seres humanos, ou outros espécimes ou alcateias que demonstrem comportamentos indesejados e perigosos.</w:t>
      </w:r>
    </w:p>
    <w:p>
      <w:pPr>
        <w:spacing w:before="240" w:after="240"/>
        <w:ind w:left="357"/>
        <w:jc w:val="both"/>
        <w:rPr>
          <w:rFonts w:ascii="Arial" w:hAnsi="Arial"/>
          <w:noProof/>
          <w:sz w:val="20"/>
          <w:szCs w:val="20"/>
          <w:lang w:eastAsia="el-GR"/>
        </w:rPr>
      </w:pP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b/>
          <w:i/>
          <w:noProof/>
          <w:sz w:val="18"/>
          <w:szCs w:val="20"/>
        </w:rPr>
      </w:pPr>
      <w:r>
        <w:rPr>
          <w:rFonts w:ascii="Verdana" w:hAnsi="Verdana"/>
          <w:b/>
          <w:i/>
          <w:noProof/>
          <w:sz w:val="18"/>
          <w:szCs w:val="20"/>
        </w:rPr>
        <w:t>Exemplos de medidas no interesse da saúde e da segurança públicas:</w:t>
      </w: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cs="Cambria"/>
          <w:noProof/>
          <w:sz w:val="18"/>
          <w:szCs w:val="18"/>
        </w:rPr>
      </w:pPr>
      <w:r>
        <w:rPr>
          <w:rFonts w:ascii="Verdana" w:hAnsi="Verdana"/>
          <w:noProof/>
          <w:sz w:val="18"/>
          <w:szCs w:val="18"/>
        </w:rPr>
        <w:t xml:space="preserve">A entidade alemã Dokumentations und Beratungsstelle des Bundes zum Thema Wolf (DBBW) aprovou orientações para ajudar as autoridades de gestão nacionais a fazerem face a lobos ousados ou com comportamentos invulgares (Reinhardt </w:t>
      </w:r>
      <w:r>
        <w:rPr>
          <w:rFonts w:ascii="Verdana" w:hAnsi="Verdana"/>
          <w:i/>
          <w:iCs/>
          <w:noProof/>
          <w:sz w:val="18"/>
          <w:szCs w:val="18"/>
        </w:rPr>
        <w:t>et al</w:t>
      </w:r>
      <w:r>
        <w:rPr>
          <w:rFonts w:ascii="Verdana" w:hAnsi="Verdana"/>
          <w:noProof/>
          <w:sz w:val="18"/>
          <w:szCs w:val="18"/>
        </w:rPr>
        <w:t>., 2018). Numa primeira fase, estas orientações ajudam as autoridades a perceber se o lobo está efetivamente a comportar-se de maneira invulgar. Em seguida, se o lobo parecer sentir-se atraído por pessoas ou cães, recomenda-se uma abordagem gradual em função da gravidade dos incidentes registados, começando pela eliminação dos fatores de atração (por exemplo, alimento) e pelo condicionamento aversivo, progredindo até à remoção (letal ou não) do lobo nos casos mais graves.</w:t>
      </w: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cs="Cambria"/>
          <w:noProof/>
          <w:sz w:val="18"/>
          <w:szCs w:val="20"/>
        </w:rPr>
      </w:pPr>
      <w:r>
        <w:rPr>
          <w:rFonts w:ascii="Verdana" w:hAnsi="Verdana"/>
          <w:noProof/>
          <w:sz w:val="18"/>
          <w:szCs w:val="20"/>
        </w:rPr>
        <w:t>Os peritos científicos da LCIE (</w:t>
      </w:r>
      <w:r>
        <w:rPr>
          <w:rFonts w:ascii="Verdana" w:hAnsi="Verdana"/>
          <w:i/>
          <w:iCs/>
          <w:noProof/>
          <w:sz w:val="18"/>
          <w:szCs w:val="20"/>
        </w:rPr>
        <w:t>Large Carnivore Initiative for Europe</w:t>
      </w:r>
      <w:r>
        <w:rPr>
          <w:rFonts w:ascii="Verdana" w:hAnsi="Verdana"/>
          <w:noProof/>
          <w:sz w:val="18"/>
          <w:szCs w:val="20"/>
        </w:rPr>
        <w:t>: grupo de especialistas da Comissão da Sobrevivência das Espécies da UICN) elaboraram uma declaração de política relativa à gestão de lobos ousados, seguindo uma abordagem semelhante, que descreve as medidas recomendadas para diferentes tipos de comportamentos dos lobos, bem como as prioridades em matéria de investigação (LCIE, 2019).</w:t>
      </w:r>
    </w:p>
    <w:tbl>
      <w:tblPr>
        <w:tblStyle w:val="TableGrid2"/>
        <w:tblW w:w="0" w:type="auto"/>
        <w:tblLook w:val="04A0" w:firstRow="1" w:lastRow="0" w:firstColumn="1" w:lastColumn="0" w:noHBand="0" w:noVBand="1"/>
      </w:tblPr>
      <w:tblGrid>
        <w:gridCol w:w="3080"/>
        <w:gridCol w:w="3081"/>
        <w:gridCol w:w="3081"/>
      </w:tblGrid>
      <w:tr>
        <w:tc>
          <w:tcPr>
            <w:tcW w:w="9242" w:type="dxa"/>
            <w:gridSpan w:val="3"/>
          </w:tcPr>
          <w:p>
            <w:pPr>
              <w:rPr>
                <w:rFonts w:asciiTheme="majorHAnsi" w:hAnsiTheme="majorHAnsi" w:cstheme="majorHAnsi"/>
                <w:b/>
                <w:noProof/>
              </w:rPr>
            </w:pPr>
            <w:r>
              <w:rPr>
                <w:rFonts w:asciiTheme="majorHAnsi" w:hAnsiTheme="majorHAnsi"/>
                <w:iCs/>
                <w:noProof/>
              </w:rPr>
              <w:t>Avaliação do comportamento do lobo e do risco que pode representar para a segurança humana, com ações recomendadas</w:t>
            </w:r>
            <w:r>
              <w:rPr>
                <w:rFonts w:asciiTheme="majorHAnsi" w:hAnsiTheme="majorHAnsi"/>
                <w:noProof/>
              </w:rPr>
              <w:t xml:space="preserve"> </w:t>
            </w:r>
            <w:r>
              <w:rPr>
                <w:rFonts w:asciiTheme="majorHAnsi" w:hAnsiTheme="majorHAnsi"/>
                <w:iCs/>
                <w:noProof/>
              </w:rPr>
              <w:t>(LCIE, 2019).</w:t>
            </w:r>
          </w:p>
        </w:tc>
      </w:tr>
      <w:tr>
        <w:tc>
          <w:tcPr>
            <w:tcW w:w="3080" w:type="dxa"/>
          </w:tcPr>
          <w:p>
            <w:pPr>
              <w:rPr>
                <w:b/>
                <w:noProof/>
              </w:rPr>
            </w:pPr>
            <w:r>
              <w:rPr>
                <w:b/>
                <w:noProof/>
              </w:rPr>
              <w:t>Comportamento</w:t>
            </w:r>
          </w:p>
        </w:tc>
        <w:tc>
          <w:tcPr>
            <w:tcW w:w="3081" w:type="dxa"/>
          </w:tcPr>
          <w:p>
            <w:pPr>
              <w:rPr>
                <w:b/>
                <w:noProof/>
              </w:rPr>
            </w:pPr>
            <w:r>
              <w:rPr>
                <w:b/>
                <w:noProof/>
              </w:rPr>
              <w:t>Avaliação</w:t>
            </w:r>
          </w:p>
        </w:tc>
        <w:tc>
          <w:tcPr>
            <w:tcW w:w="3081" w:type="dxa"/>
          </w:tcPr>
          <w:p>
            <w:pPr>
              <w:rPr>
                <w:b/>
                <w:noProof/>
              </w:rPr>
            </w:pPr>
            <w:r>
              <w:rPr>
                <w:b/>
                <w:noProof/>
              </w:rPr>
              <w:t>Ações recomendadas</w:t>
            </w:r>
          </w:p>
        </w:tc>
      </w:tr>
      <w:tr>
        <w:tc>
          <w:tcPr>
            <w:tcW w:w="3080" w:type="dxa"/>
          </w:tcPr>
          <w:p>
            <w:pPr>
              <w:rPr>
                <w:noProof/>
              </w:rPr>
            </w:pPr>
            <w:r>
              <w:rPr>
                <w:noProof/>
              </w:rPr>
              <w:t>O lobo passa nas proximidades de povoações quando está escuro.</w:t>
            </w:r>
          </w:p>
        </w:tc>
        <w:tc>
          <w:tcPr>
            <w:tcW w:w="3081" w:type="dxa"/>
          </w:tcPr>
          <w:p>
            <w:pPr>
              <w:rPr>
                <w:noProof/>
              </w:rPr>
            </w:pPr>
            <w:r>
              <w:rPr>
                <w:noProof/>
              </w:rPr>
              <w:t>Não é perigoso.</w:t>
            </w:r>
          </w:p>
        </w:tc>
        <w:tc>
          <w:tcPr>
            <w:tcW w:w="3081" w:type="dxa"/>
          </w:tcPr>
          <w:p>
            <w:pPr>
              <w:rPr>
                <w:noProof/>
              </w:rPr>
            </w:pPr>
            <w:r>
              <w:rPr>
                <w:noProof/>
              </w:rPr>
              <w:t>Não é necessário agir.</w:t>
            </w:r>
          </w:p>
        </w:tc>
      </w:tr>
      <w:tr>
        <w:tc>
          <w:tcPr>
            <w:tcW w:w="3080" w:type="dxa"/>
          </w:tcPr>
          <w:p>
            <w:pPr>
              <w:rPr>
                <w:noProof/>
              </w:rPr>
            </w:pPr>
            <w:r>
              <w:rPr>
                <w:noProof/>
              </w:rPr>
              <w:t>O lobo desloca-se a uma distância visível a partir de povoações/casas isoladas durante o dia.</w:t>
            </w:r>
          </w:p>
        </w:tc>
        <w:tc>
          <w:tcPr>
            <w:tcW w:w="3081" w:type="dxa"/>
          </w:tcPr>
          <w:p>
            <w:pPr>
              <w:rPr>
                <w:noProof/>
              </w:rPr>
            </w:pPr>
            <w:r>
              <w:rPr>
                <w:noProof/>
              </w:rPr>
              <w:t>Não é perigoso.</w:t>
            </w:r>
          </w:p>
        </w:tc>
        <w:tc>
          <w:tcPr>
            <w:tcW w:w="3081" w:type="dxa"/>
          </w:tcPr>
          <w:p>
            <w:pPr>
              <w:rPr>
                <w:noProof/>
              </w:rPr>
            </w:pPr>
            <w:r>
              <w:rPr>
                <w:noProof/>
              </w:rPr>
              <w:t>Não é necessário agir.</w:t>
            </w:r>
          </w:p>
        </w:tc>
      </w:tr>
      <w:tr>
        <w:tc>
          <w:tcPr>
            <w:tcW w:w="3080" w:type="dxa"/>
          </w:tcPr>
          <w:p>
            <w:pPr>
              <w:rPr>
                <w:noProof/>
              </w:rPr>
            </w:pPr>
            <w:r>
              <w:rPr>
                <w:noProof/>
              </w:rPr>
              <w:t>O lobo não foge imediatamente quando vê veículos ou seres humanos. Para e observa.</w:t>
            </w:r>
          </w:p>
        </w:tc>
        <w:tc>
          <w:tcPr>
            <w:tcW w:w="3081" w:type="dxa"/>
          </w:tcPr>
          <w:p>
            <w:pPr>
              <w:rPr>
                <w:noProof/>
              </w:rPr>
            </w:pPr>
            <w:r>
              <w:rPr>
                <w:noProof/>
              </w:rPr>
              <w:t>Não é perigoso.</w:t>
            </w:r>
          </w:p>
        </w:tc>
        <w:tc>
          <w:tcPr>
            <w:tcW w:w="3081" w:type="dxa"/>
          </w:tcPr>
          <w:p>
            <w:pPr>
              <w:rPr>
                <w:noProof/>
              </w:rPr>
            </w:pPr>
            <w:r>
              <w:rPr>
                <w:noProof/>
              </w:rPr>
              <w:t>Não é necessário agir.</w:t>
            </w:r>
          </w:p>
        </w:tc>
      </w:tr>
      <w:tr>
        <w:tc>
          <w:tcPr>
            <w:tcW w:w="3080" w:type="dxa"/>
          </w:tcPr>
          <w:p>
            <w:pPr>
              <w:rPr>
                <w:noProof/>
              </w:rPr>
            </w:pPr>
            <w:r>
              <w:rPr>
                <w:noProof/>
              </w:rPr>
              <w:t>O lobo é visto no decurso de vários dias a menos de 30 m de casas desabitadas (vários eventos durante um período prolongado).</w:t>
            </w:r>
          </w:p>
        </w:tc>
        <w:tc>
          <w:tcPr>
            <w:tcW w:w="3081" w:type="dxa"/>
          </w:tcPr>
          <w:p>
            <w:pPr>
              <w:rPr>
                <w:noProof/>
              </w:rPr>
            </w:pPr>
            <w:r>
              <w:rPr>
                <w:noProof/>
              </w:rPr>
              <w:t>Exige atenção.</w:t>
            </w:r>
          </w:p>
          <w:p>
            <w:pPr>
              <w:rPr>
                <w:noProof/>
              </w:rPr>
            </w:pPr>
            <w:r>
              <w:rPr>
                <w:noProof/>
              </w:rPr>
              <w:t>Eventual problema de habituação forte ou condicionamento positivo.</w:t>
            </w:r>
          </w:p>
        </w:tc>
        <w:tc>
          <w:tcPr>
            <w:tcW w:w="3081" w:type="dxa"/>
          </w:tcPr>
          <w:p>
            <w:pPr>
              <w:rPr>
                <w:noProof/>
              </w:rPr>
            </w:pPr>
            <w:r>
              <w:rPr>
                <w:noProof/>
              </w:rPr>
              <w:t>Analisar a situação.</w:t>
            </w:r>
          </w:p>
          <w:p>
            <w:pPr>
              <w:rPr>
                <w:noProof/>
              </w:rPr>
            </w:pPr>
            <w:r>
              <w:rPr>
                <w:noProof/>
              </w:rPr>
              <w:t>Procurar elementos de atração e eliminá-los caso sejam detetados.</w:t>
            </w:r>
          </w:p>
          <w:p>
            <w:pPr>
              <w:rPr>
                <w:noProof/>
              </w:rPr>
            </w:pPr>
            <w:r>
              <w:rPr>
                <w:noProof/>
              </w:rPr>
              <w:t>Ponderar o condicionamento aversivo.</w:t>
            </w:r>
          </w:p>
        </w:tc>
      </w:tr>
      <w:tr>
        <w:tc>
          <w:tcPr>
            <w:tcW w:w="3080" w:type="dxa"/>
          </w:tcPr>
          <w:p>
            <w:pPr>
              <w:rPr>
                <w:noProof/>
              </w:rPr>
            </w:pPr>
            <w:r>
              <w:rPr>
                <w:noProof/>
              </w:rPr>
              <w:t>O lobo permite repetidamente que as pessoas se aproximem a menos de 30 m.</w:t>
            </w:r>
          </w:p>
        </w:tc>
        <w:tc>
          <w:tcPr>
            <w:tcW w:w="3081" w:type="dxa"/>
          </w:tcPr>
          <w:p>
            <w:pPr>
              <w:rPr>
                <w:noProof/>
              </w:rPr>
            </w:pPr>
            <w:r>
              <w:rPr>
                <w:noProof/>
              </w:rPr>
              <w:t>Exige atenção.</w:t>
            </w:r>
          </w:p>
          <w:p>
            <w:pPr>
              <w:rPr>
                <w:noProof/>
              </w:rPr>
            </w:pPr>
            <w:r>
              <w:rPr>
                <w:noProof/>
              </w:rPr>
              <w:t>Indica uma forte habituação.</w:t>
            </w:r>
          </w:p>
          <w:p>
            <w:pPr>
              <w:rPr>
                <w:noProof/>
              </w:rPr>
            </w:pPr>
            <w:r>
              <w:rPr>
                <w:noProof/>
              </w:rPr>
              <w:t>Eventual problema de condicionamento positivo.</w:t>
            </w:r>
          </w:p>
        </w:tc>
        <w:tc>
          <w:tcPr>
            <w:tcW w:w="3081" w:type="dxa"/>
          </w:tcPr>
          <w:p>
            <w:pPr>
              <w:rPr>
                <w:noProof/>
              </w:rPr>
            </w:pPr>
            <w:r>
              <w:rPr>
                <w:noProof/>
              </w:rPr>
              <w:t>Analisar a situação.</w:t>
            </w:r>
          </w:p>
          <w:p>
            <w:pPr>
              <w:rPr>
                <w:noProof/>
              </w:rPr>
            </w:pPr>
            <w:r>
              <w:rPr>
                <w:noProof/>
              </w:rPr>
              <w:t>Ponderar o condicionamento aversivo.</w:t>
            </w:r>
          </w:p>
        </w:tc>
      </w:tr>
      <w:tr>
        <w:tc>
          <w:tcPr>
            <w:tcW w:w="3080" w:type="dxa"/>
          </w:tcPr>
          <w:p>
            <w:pPr>
              <w:rPr>
                <w:noProof/>
              </w:rPr>
            </w:pPr>
            <w:r>
              <w:rPr>
                <w:noProof/>
              </w:rPr>
              <w:t>O lobo aproxima-se repetidamente das pessoas a uma distância inferior a 30 m. Parece interessado nas pessoas.</w:t>
            </w:r>
          </w:p>
        </w:tc>
        <w:tc>
          <w:tcPr>
            <w:tcW w:w="3081" w:type="dxa"/>
          </w:tcPr>
          <w:p>
            <w:pPr>
              <w:rPr>
                <w:noProof/>
              </w:rPr>
            </w:pPr>
            <w:r>
              <w:rPr>
                <w:noProof/>
              </w:rPr>
              <w:t>Exige atenção/situação crítica.</w:t>
            </w:r>
          </w:p>
          <w:p>
            <w:pPr>
              <w:rPr>
                <w:noProof/>
              </w:rPr>
            </w:pPr>
            <w:r>
              <w:rPr>
                <w:noProof/>
              </w:rPr>
              <w:t>O condicionamento positivo e a forte habituação ao contacto com seres humanos pode conduzir a um comportamento cada vez mais ousado.</w:t>
            </w:r>
          </w:p>
          <w:p>
            <w:pPr>
              <w:rPr>
                <w:noProof/>
              </w:rPr>
            </w:pPr>
            <w:r>
              <w:rPr>
                <w:noProof/>
              </w:rPr>
              <w:t>Risco de ferimentos.</w:t>
            </w:r>
          </w:p>
        </w:tc>
        <w:tc>
          <w:tcPr>
            <w:tcW w:w="3081" w:type="dxa"/>
          </w:tcPr>
          <w:p>
            <w:pPr>
              <w:rPr>
                <w:noProof/>
              </w:rPr>
            </w:pPr>
            <w:r>
              <w:rPr>
                <w:noProof/>
              </w:rPr>
              <w:t>Ponderar o condicionamento aversivo.</w:t>
            </w:r>
          </w:p>
          <w:p>
            <w:pPr>
              <w:rPr>
                <w:noProof/>
              </w:rPr>
            </w:pPr>
            <w:r>
              <w:rPr>
                <w:noProof/>
              </w:rPr>
              <w:t>Remoção do lobo se o condicionamento aversivo adequado não for bem-sucedido ou prático.</w:t>
            </w:r>
          </w:p>
        </w:tc>
      </w:tr>
      <w:tr>
        <w:tc>
          <w:tcPr>
            <w:tcW w:w="3080" w:type="dxa"/>
          </w:tcPr>
          <w:p>
            <w:pPr>
              <w:rPr>
                <w:noProof/>
              </w:rPr>
            </w:pPr>
            <w:r>
              <w:rPr>
                <w:noProof/>
              </w:rPr>
              <w:t>O lobo ataca ou fere um ser humano sem ser provocado.</w:t>
            </w:r>
          </w:p>
        </w:tc>
        <w:tc>
          <w:tcPr>
            <w:tcW w:w="3081" w:type="dxa"/>
          </w:tcPr>
          <w:p>
            <w:pPr>
              <w:rPr>
                <w:noProof/>
              </w:rPr>
            </w:pPr>
            <w:r>
              <w:rPr>
                <w:noProof/>
              </w:rPr>
              <w:t>Perigo.</w:t>
            </w:r>
          </w:p>
        </w:tc>
        <w:tc>
          <w:tcPr>
            <w:tcW w:w="3081" w:type="dxa"/>
          </w:tcPr>
          <w:p>
            <w:pPr>
              <w:rPr>
                <w:noProof/>
              </w:rPr>
            </w:pPr>
            <w:r>
              <w:rPr>
                <w:noProof/>
              </w:rPr>
              <w:t>Remoção.</w:t>
            </w:r>
          </w:p>
        </w:tc>
      </w:tr>
    </w:tbl>
    <w:p>
      <w:pPr>
        <w:spacing w:after="240"/>
        <w:rPr>
          <w:noProof/>
        </w:rPr>
      </w:pPr>
    </w:p>
    <w:p>
      <w:pPr>
        <w:spacing w:after="240"/>
        <w:rPr>
          <w:noProof/>
        </w:rPr>
      </w:pPr>
    </w:p>
    <w:p>
      <w:pPr>
        <w:spacing w:after="240"/>
        <w:rPr>
          <w:noProof/>
        </w:rPr>
      </w:pPr>
    </w:p>
    <w:p>
      <w:pPr>
        <w:numPr>
          <w:ilvl w:val="0"/>
          <w:numId w:val="38"/>
        </w:numPr>
        <w:spacing w:before="60" w:after="240"/>
        <w:contextualSpacing/>
        <w:jc w:val="both"/>
        <w:rPr>
          <w:rFonts w:ascii="Arial" w:hAnsi="Arial"/>
          <w:noProof/>
          <w:sz w:val="20"/>
          <w:szCs w:val="20"/>
        </w:rPr>
      </w:pPr>
      <w:r>
        <w:rPr>
          <w:rFonts w:ascii="Verdana" w:hAnsi="Verdana"/>
          <w:noProof/>
          <w:sz w:val="20"/>
          <w:szCs w:val="20"/>
        </w:rPr>
        <w:t xml:space="preserve">A </w:t>
      </w:r>
      <w:r>
        <w:rPr>
          <w:rFonts w:ascii="Verdana" w:hAnsi="Verdana"/>
          <w:b/>
          <w:noProof/>
          <w:sz w:val="20"/>
          <w:szCs w:val="20"/>
        </w:rPr>
        <w:t>justificação d)</w:t>
      </w:r>
      <w:r>
        <w:rPr>
          <w:rFonts w:ascii="Verdana" w:hAnsi="Verdana"/>
          <w:noProof/>
          <w:sz w:val="20"/>
          <w:szCs w:val="20"/>
        </w:rPr>
        <w:t>, relativa à investigação, à educação, ao repovoamento e à reintrodução, pode ser utilizada, por exemplo, para permitir a captura temporária de lobos para lhes colocar coleiras emissoras para efeitos de investigação ou monitorização ou para efeitos de translocação para conservação.</w:t>
      </w:r>
    </w:p>
    <w:p>
      <w:pPr>
        <w:spacing w:before="60" w:after="240"/>
        <w:ind w:left="360"/>
        <w:contextualSpacing/>
        <w:jc w:val="both"/>
        <w:rPr>
          <w:rFonts w:ascii="Arial" w:hAnsi="Arial"/>
          <w:noProof/>
          <w:sz w:val="20"/>
          <w:szCs w:val="20"/>
          <w:lang w:eastAsia="el-GR"/>
        </w:rPr>
      </w:pPr>
    </w:p>
    <w:p>
      <w:pPr>
        <w:pBdr>
          <w:top w:val="single" w:sz="4" w:space="1" w:color="auto"/>
          <w:left w:val="single" w:sz="4" w:space="4" w:color="auto"/>
          <w:bottom w:val="single" w:sz="4" w:space="1" w:color="auto"/>
          <w:right w:val="single" w:sz="4" w:space="4" w:color="auto"/>
        </w:pBdr>
        <w:shd w:val="clear" w:color="auto" w:fill="FFFF99"/>
        <w:rPr>
          <w:rFonts w:ascii="Verdana" w:hAnsi="Verdana"/>
          <w:b/>
          <w:i/>
          <w:noProof/>
          <w:sz w:val="18"/>
          <w:szCs w:val="20"/>
          <w:highlight w:val="yellow"/>
        </w:rPr>
      </w:pPr>
      <w:r>
        <w:rPr>
          <w:rFonts w:ascii="Verdana" w:hAnsi="Verdana"/>
          <w:b/>
          <w:i/>
          <w:noProof/>
          <w:sz w:val="18"/>
          <w:szCs w:val="20"/>
        </w:rPr>
        <w:t>Exemplo de captura de lobos para investigação e monitorização</w:t>
      </w:r>
    </w:p>
    <w:p>
      <w:pPr>
        <w:pBdr>
          <w:top w:val="single" w:sz="4" w:space="1" w:color="auto"/>
          <w:left w:val="single" w:sz="4" w:space="4" w:color="auto"/>
          <w:bottom w:val="single" w:sz="4" w:space="1" w:color="auto"/>
          <w:right w:val="single" w:sz="4" w:space="4" w:color="auto"/>
        </w:pBdr>
        <w:shd w:val="clear" w:color="auto" w:fill="FFFF99"/>
        <w:rPr>
          <w:rFonts w:ascii="Verdana" w:hAnsi="Verdana"/>
          <w:noProof/>
          <w:sz w:val="18"/>
          <w:szCs w:val="20"/>
          <w:highlight w:val="yellow"/>
        </w:rPr>
      </w:pP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 xml:space="preserve">Em 2018, através de uma troca de correspondência, a Comissão concordou com as autoridades alemãs no sentido de o Regulamento n.º 3254/91 relativo às armadilhas de mandíbulas poder ser interpretado, em certas condições, de forma a excluir as </w:t>
      </w:r>
      <w:r>
        <w:rPr>
          <w:rFonts w:ascii="Verdana" w:hAnsi="Verdana"/>
          <w:i/>
          <w:noProof/>
          <w:sz w:val="18"/>
          <w:szCs w:val="20"/>
        </w:rPr>
        <w:t>armadilhas de mandíbulas almofadadas</w:t>
      </w:r>
      <w:r>
        <w:rPr>
          <w:rFonts w:ascii="Verdana" w:hAnsi="Verdana"/>
          <w:noProof/>
          <w:sz w:val="18"/>
          <w:szCs w:val="20"/>
        </w:rPr>
        <w:t xml:space="preserve"> do âmbito da proibição do referido regulamento. Estas armadilhas têm mandíbulas almofadadas com borracha (em vez de dentes de aço), a fim de reduzir ao mínimo o risco de causar ferimentos aos animais quando ficam presos. São consideradas a melhor forma disponível de capturar lobos vivos para efeitos de monitorização e investigação,</w:t>
      </w:r>
      <w:r>
        <w:rPr>
          <w:noProof/>
        </w:rPr>
        <w:t xml:space="preserve"> </w:t>
      </w:r>
      <w:r>
        <w:rPr>
          <w:rFonts w:ascii="Verdana" w:hAnsi="Verdana"/>
          <w:noProof/>
          <w:sz w:val="18"/>
          <w:szCs w:val="20"/>
        </w:rPr>
        <w:t>pois têm uma maior taxa de êxito e uma menor probabilidade de causar ferimentos.</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A Comissão considera que, caso as armadilhas de mandíbulas almofadadas se revelem necessárias para efeitos de investigação científica ou monitorização com vista a melhorar o estado de conservação da espécie em causa, será contrário ao objetivo de conservação do Regulamento n.º 3254/91 incluir tais armadilhas no âmbito da proibição prevista no regulamento. Consequentemente, a utilização de armadilhas de mandíbulas almofadadas pode ser prevista exclusivamente para efeitos de conservação, desde que: i) não exista outra solução satisfatória; ii) não exista nenhum impacto negativo no estado de conservação favorável da espécie; e iii) sejam tomadas todas as precauções para não ferir o animal e para reduzir ao mínimo a tensão a que é submetido.</w:t>
      </w:r>
    </w:p>
    <w:p>
      <w:pPr>
        <w:pBdr>
          <w:top w:val="single" w:sz="4" w:space="1" w:color="auto"/>
          <w:left w:val="single" w:sz="4" w:space="4" w:color="auto"/>
          <w:bottom w:val="single" w:sz="4" w:space="1" w:color="auto"/>
          <w:right w:val="single" w:sz="4" w:space="4" w:color="auto"/>
        </w:pBdr>
        <w:shd w:val="clear" w:color="auto" w:fill="FFFF99"/>
        <w:spacing w:after="240"/>
        <w:jc w:val="both"/>
        <w:rPr>
          <w:b/>
          <w:noProof/>
          <w:sz w:val="18"/>
          <w:szCs w:val="20"/>
        </w:rPr>
      </w:pPr>
      <w:r>
        <w:rPr>
          <w:rFonts w:ascii="Verdana" w:hAnsi="Verdana"/>
          <w:noProof/>
          <w:sz w:val="18"/>
          <w:szCs w:val="20"/>
        </w:rPr>
        <w:t>Na prática, tais armadilhas de mandíbulas almofadadas devem estar equipadas com um transmissor que informe imediatamente as autoridades responsáveis quando um animal é apanhado. Depois de informadas, as autoridades responsáveis devem intervir no prazo de 30 minutos, para que o período de tensão para o animal seja reduzido tanto quanto possível e para evitar danos autoinfligidos. O animal tem de ser anestesiado por um veterinário profissional, equipado com um transmissor e depois imediatamente libertado no meio natural.</w:t>
      </w:r>
    </w:p>
    <w:p>
      <w:pPr>
        <w:jc w:val="both"/>
        <w:rPr>
          <w:rFonts w:ascii="Verdana" w:hAnsi="Verdana" w:cs="Cambria"/>
          <w:b/>
          <w:noProof/>
          <w:sz w:val="20"/>
          <w:szCs w:val="20"/>
        </w:rPr>
      </w:pPr>
    </w:p>
    <w:p>
      <w:pPr>
        <w:spacing w:after="240"/>
        <w:jc w:val="both"/>
        <w:rPr>
          <w:rFonts w:ascii="Verdana" w:hAnsi="Verdana" w:cs="Cambria"/>
          <w:noProof/>
          <w:sz w:val="20"/>
          <w:szCs w:val="20"/>
        </w:rPr>
      </w:pPr>
      <w:r>
        <w:rPr>
          <w:rFonts w:ascii="Verdana" w:hAnsi="Verdana"/>
          <w:noProof/>
          <w:sz w:val="20"/>
          <w:szCs w:val="20"/>
        </w:rPr>
        <w:t xml:space="preserve">As </w:t>
      </w:r>
      <w:r>
        <w:rPr>
          <w:rFonts w:ascii="Verdana" w:hAnsi="Verdana"/>
          <w:b/>
          <w:noProof/>
          <w:sz w:val="20"/>
          <w:szCs w:val="20"/>
        </w:rPr>
        <w:t xml:space="preserve">derrogações previstas no artigo 16.º, n.º 1, alínea e), </w:t>
      </w:r>
      <w:r>
        <w:rPr>
          <w:rFonts w:ascii="Verdana" w:hAnsi="Verdana"/>
          <w:noProof/>
          <w:sz w:val="20"/>
          <w:szCs w:val="20"/>
        </w:rPr>
        <w:t>como explicado no capítulo 3.2.1, podem ser utilizadas a título excecional para permitir a captura ou detenção de determinados espécimes de lobos, sujeitas a várias condições rigorosas suplementares que têm de ser respeitadas. No processo C-674/17, o TJUE confirmou que o conceito de «captura» deve ser entendido no sentido de que inclui tanto a captura como o abate de espécimes</w:t>
      </w:r>
      <w:r>
        <w:rPr>
          <w:rFonts w:ascii="Verdana" w:hAnsi="Verdana" w:cs="Cambria"/>
          <w:noProof/>
          <w:sz w:val="20"/>
          <w:szCs w:val="20"/>
          <w:vertAlign w:val="superscript"/>
        </w:rPr>
        <w:footnoteReference w:id="203"/>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O objetivo de uma derrogação baseada no artigo 16.º, n.º 1, alínea e), não pode, em princípio, ser confundido com o objetivo de uma derrogação baseada no artigo 16.º, n.º 1, alíneas a) a d), desta diretiva, na medida em que a primeira disposição apenas pode servir de fundamento à adoção de uma derrogação nos casos em que as últimas não sejam pertinentes</w:t>
      </w:r>
      <w:r>
        <w:rPr>
          <w:rFonts w:ascii="Verdana" w:hAnsi="Verdana" w:cs="Cambria"/>
          <w:noProof/>
          <w:sz w:val="20"/>
          <w:szCs w:val="20"/>
          <w:vertAlign w:val="superscript"/>
        </w:rPr>
        <w:footnoteReference w:id="204"/>
      </w:r>
      <w:r>
        <w:rPr>
          <w:rFonts w:ascii="Verdana" w:hAnsi="Verdana"/>
          <w:noProof/>
          <w:sz w:val="20"/>
          <w:szCs w:val="20"/>
        </w:rPr>
        <w:t>. Se o objetivo da derrogação for abrangido por alguma das alíneas a) a d) do artigo 16.º, as derrogações têm de basear-se numa (ou em várias) dessas alíneas. Tem de existir transparência nas derrogações e nos motivos para a sua utilização. Por exemplo, se o objetivo principal for evitar prejuízos sérios à criação de gado/propriedade, deve utilizar-se a alínea b). Se um lobo habituado ao contacto com seres humanos se estiver a comportar de forma perigosa, deve utilizar-se a alínea c). Por conseguinte, a alínea e) não é uma disposição geral a utilizar para qualquer tipo de abate.</w:t>
      </w:r>
    </w:p>
    <w:p>
      <w:pPr>
        <w:spacing w:after="240"/>
        <w:jc w:val="both"/>
        <w:rPr>
          <w:rFonts w:ascii="Verdana" w:hAnsi="Verdana" w:cs="Cambria"/>
          <w:noProof/>
          <w:sz w:val="20"/>
          <w:szCs w:val="20"/>
        </w:rPr>
      </w:pPr>
      <w:r>
        <w:rPr>
          <w:rFonts w:ascii="Verdana" w:hAnsi="Verdana"/>
          <w:noProof/>
          <w:sz w:val="20"/>
          <w:szCs w:val="20"/>
        </w:rPr>
        <w:t>Como acontece com qualquer derrogação ao abrigo do artigo 16.º, as decisões nacionais de autorização do abate com base na justificação e) devem ser concedidas para objetivos excecionais, específicos e claros, coerentes com os objetivos da diretiva (artigo 2.º) e devidamente justificados.</w:t>
      </w:r>
    </w:p>
    <w:p>
      <w:pPr>
        <w:spacing w:after="240"/>
        <w:jc w:val="both"/>
        <w:rPr>
          <w:rFonts w:ascii="Verdana" w:hAnsi="Verdana" w:cs="Cambria"/>
          <w:noProof/>
          <w:sz w:val="20"/>
          <w:szCs w:val="20"/>
        </w:rPr>
      </w:pPr>
      <w:r>
        <w:rPr>
          <w:rFonts w:ascii="Verdana" w:hAnsi="Verdana"/>
          <w:noProof/>
          <w:sz w:val="20"/>
          <w:szCs w:val="20"/>
        </w:rPr>
        <w:t>No processo C-674/17, o TJUE aceitou que o combate à caça ilegal (caça furtiva) de lobos poderia, em princípio, ser um objetivo a prosseguir por uma derrogação concedida ao abrigo do artigo 16.º, n.º 1, alínea e), desde que contribua para garantir a conservação ou o restabelecimento de um estado de conservação favorável para a espécie em causa na sua área de repartição natural. Neste caso, a autoridade nacional responsável pela autorização tem de justificar a derrogação com provas científicas rigorosas, nomeadamente com elementos comparativos relativos às consequências de tal derrogação no estado de conservação da espécie. Se o objetivo da derrogação for o combate à caça furtiva, a autoridade tem de ter igualmente em conta as estimativas mais recentes quanto ao nível de caça furtiva e à mortalidade com base em todas as derrogações concedidas. Por conseguinte, as derrogações concedidas para efeitos de combate à caça furtiva devem ser capazes de reduzir a mortalidade por caça furtiva da população em causa de tal forma que o efeito líquido global no tamanho da população de lobos seja positivo.</w:t>
      </w:r>
    </w:p>
    <w:p>
      <w:pPr>
        <w:spacing w:after="240"/>
        <w:jc w:val="both"/>
        <w:rPr>
          <w:rFonts w:ascii="Verdana" w:hAnsi="Verdana" w:cs="Cambria"/>
          <w:noProof/>
          <w:sz w:val="20"/>
          <w:szCs w:val="20"/>
        </w:rPr>
      </w:pPr>
      <w:r>
        <w:rPr>
          <w:rFonts w:ascii="Verdana" w:hAnsi="Verdana"/>
          <w:noProof/>
          <w:sz w:val="20"/>
          <w:szCs w:val="20"/>
        </w:rPr>
        <w:t>Além disso, as derrogações com base no artigo 16.º, n.º 1, alínea e), em comparação com as referidas no artigo 16.º, n.º 1, alíneas a) a d), têm de satisfazer condições restritivas suplementares. A utilização deste tipo de derrogação é permitida em condições estritamente controladas, com autorizações claras em relação aos locais, momentos e quantidades, e requer controlos territoriais, temporais e pessoais rigorosos, a fim de garantir uma execução eficiente. Além disso, só deve ser realizada de forma seletiva e numa dimensão limitada e dizer respeito a um número limitado de espécimes.</w:t>
      </w:r>
    </w:p>
    <w:p>
      <w:pPr>
        <w:spacing w:after="240"/>
        <w:jc w:val="both"/>
        <w:rPr>
          <w:rFonts w:ascii="Verdana" w:hAnsi="Verdana" w:cs="Cambria"/>
          <w:noProof/>
          <w:sz w:val="20"/>
          <w:szCs w:val="20"/>
        </w:rPr>
      </w:pPr>
      <w:r>
        <w:rPr>
          <w:rFonts w:ascii="Verdana" w:hAnsi="Verdana"/>
          <w:noProof/>
          <w:sz w:val="20"/>
          <w:szCs w:val="20"/>
        </w:rPr>
        <w:t>Em relação à seletividade, a derrogação deve dizer respeito a espécimes determinados da forma mais específica e adequada possível, à luz do objetivo prosseguido pela derrogação. Por conseguinte, como sublinhou o TJUE no processo C-674/17, poderá ser necessário determinar não apenas a espécie visada pela derrogação ou os tipos ou grupos de espécimes desta, mas também os espécimes individualmente identificados</w:t>
      </w:r>
      <w:r>
        <w:rPr>
          <w:rFonts w:ascii="Verdana" w:hAnsi="Verdana" w:cs="Cambria"/>
          <w:noProof/>
          <w:sz w:val="20"/>
          <w:szCs w:val="20"/>
          <w:vertAlign w:val="superscript"/>
        </w:rPr>
        <w:footnoteReference w:id="205"/>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Quanto ao «número limitado», dependerá, em cada caso, do nível da população da espécie (número de espécimes), do seu estado de conservação e das suas características biológicas. O «número limitado» terá de ser determinado com base em informações científicas rigorosas de natureza geográfica, climática, ambiental e biológica, assim como à luz das informações sobre as taxas de reprodução e a mortalidade anual total por causas naturais. Este número tem de ser claramente mencionado nas decisões de derrogação.</w:t>
      </w:r>
    </w:p>
    <w:p>
      <w:pPr>
        <w:numPr>
          <w:ilvl w:val="0"/>
          <w:numId w:val="18"/>
        </w:numPr>
        <w:spacing w:after="240"/>
        <w:jc w:val="both"/>
        <w:rPr>
          <w:rFonts w:ascii="Verdana" w:hAnsi="Verdana" w:cs="Cambria"/>
          <w:b/>
          <w:i/>
          <w:noProof/>
          <w:sz w:val="20"/>
          <w:szCs w:val="20"/>
          <w:u w:val="single"/>
        </w:rPr>
      </w:pPr>
      <w:r>
        <w:rPr>
          <w:rFonts w:ascii="Verdana" w:hAnsi="Verdana"/>
          <w:b/>
          <w:i/>
          <w:noProof/>
          <w:sz w:val="20"/>
          <w:szCs w:val="20"/>
          <w:u w:val="single"/>
        </w:rPr>
        <w:t>Ausência de outra solução satisfatória</w:t>
      </w:r>
    </w:p>
    <w:p>
      <w:pPr>
        <w:spacing w:after="240"/>
        <w:jc w:val="both"/>
        <w:rPr>
          <w:rFonts w:ascii="Verdana" w:hAnsi="Verdana" w:cs="Cambria"/>
          <w:noProof/>
          <w:sz w:val="20"/>
          <w:szCs w:val="20"/>
        </w:rPr>
      </w:pPr>
      <w:r>
        <w:rPr>
          <w:rFonts w:ascii="Verdana" w:hAnsi="Verdana"/>
          <w:noProof/>
          <w:sz w:val="20"/>
          <w:szCs w:val="20"/>
        </w:rPr>
        <w:t>A segunda condição prévia é que «não exista outra solução satisfatória». Isto significa que os métodos preventivos e não letais devem ser sempre considerados como primeira opção (a derrogação é o último recurso). As outras soluções dependerão do contexto e dos objetivos específicos da derrogação em análise e devem ter em conta os melhores conhecimentos e experiências disponíveis para cada situação.</w:t>
      </w:r>
    </w:p>
    <w:p>
      <w:pPr>
        <w:spacing w:after="240"/>
        <w:jc w:val="both"/>
        <w:rPr>
          <w:rFonts w:ascii="Verdana" w:hAnsi="Verdana" w:cs="Cambria"/>
          <w:noProof/>
          <w:sz w:val="20"/>
          <w:szCs w:val="20"/>
        </w:rPr>
      </w:pPr>
      <w:r>
        <w:rPr>
          <w:rFonts w:ascii="Verdana" w:hAnsi="Verdana"/>
          <w:noProof/>
          <w:sz w:val="20"/>
          <w:szCs w:val="20"/>
        </w:rPr>
        <w:t>Por exemplo, no caso de prejuízos na criação de gado, antes da autorização de derrogações, é necessário dar prioridade a outras soluções não letais e à aplicação correta de medidas de prevenção adequadas e razoáveis, a fim de reduzir os riscos de depredação, tais como a supervisão por pastores, a utilização de cães de guarda para o gado, a proteção do gado por cercas ou formas alternativas de gestão do gado (por exemplo, controlo da parição). Só quando tais ações alternativas foram aplicadas e se mostraram ineficazes ou apenas parcialmente eficazes, ou quando este tipo de ações alternativas não podem ser aplicadas no caso em questão, é que as derrogações podem ser autorizadas para resolver o problema (residual).</w:t>
      </w:r>
    </w:p>
    <w:p>
      <w:pPr>
        <w:spacing w:after="240"/>
        <w:jc w:val="both"/>
        <w:rPr>
          <w:rFonts w:ascii="Verdana" w:hAnsi="Verdana" w:cs="Cambria"/>
          <w:noProof/>
          <w:sz w:val="20"/>
          <w:szCs w:val="20"/>
        </w:rPr>
      </w:pPr>
      <w:r>
        <w:rPr>
          <w:rFonts w:ascii="Verdana" w:hAnsi="Verdana"/>
          <w:noProof/>
          <w:sz w:val="20"/>
          <w:szCs w:val="20"/>
        </w:rPr>
        <w:t xml:space="preserve">No caso de lobos ousados e/ou com comportamentos invulgares, ou de lobos condicionados com alimentos, a remoção das causas específicas (por exemplo, fatores atrativos alimentares devido à má gestão de resíduos) e o condicionamento aversivo devem ser as primeiras respostas a ter em conta, a fim de afugentar os lobos e tentar alterar o seu comportamento, desencorajando-os de se aproximarem das pessoas (por exemplo, através de vários tipos de dissuasores e ferramentas não letais) (Reinhardt </w:t>
      </w:r>
      <w:r>
        <w:rPr>
          <w:rFonts w:ascii="Verdana" w:hAnsi="Verdana"/>
          <w:i/>
          <w:iCs/>
          <w:noProof/>
          <w:sz w:val="20"/>
          <w:szCs w:val="20"/>
        </w:rPr>
        <w:t>et al</w:t>
      </w:r>
      <w:r>
        <w:rPr>
          <w:rFonts w:ascii="Verdana" w:hAnsi="Verdana"/>
          <w:noProof/>
          <w:sz w:val="20"/>
          <w:szCs w:val="20"/>
        </w:rPr>
        <w:t>., 2018). Quando tais soluções alternativas foram tidas em conta e mostraram não ser satisfatórias, ou viáveis para o caso em questão, é possível conceder uma derrogação.</w:t>
      </w:r>
    </w:p>
    <w:p>
      <w:pPr>
        <w:spacing w:after="240"/>
        <w:jc w:val="both"/>
        <w:rPr>
          <w:rFonts w:ascii="Verdana" w:hAnsi="Verdana" w:cs="Cambria"/>
          <w:noProof/>
          <w:sz w:val="20"/>
          <w:szCs w:val="20"/>
        </w:rPr>
      </w:pPr>
      <w:r>
        <w:rPr>
          <w:rFonts w:ascii="Verdana" w:hAnsi="Verdana"/>
          <w:noProof/>
          <w:sz w:val="20"/>
          <w:szCs w:val="20"/>
        </w:rPr>
        <w:t>Em relação às derrogações acima referidas que visam reduzir a caça furtiva, o TJUE (no processo C-674/17, n.</w:t>
      </w:r>
      <w:r>
        <w:rPr>
          <w:rFonts w:ascii="Verdana" w:hAnsi="Verdana"/>
          <w:noProof/>
          <w:sz w:val="20"/>
          <w:szCs w:val="20"/>
          <w:vertAlign w:val="superscript"/>
        </w:rPr>
        <w:t>os</w:t>
      </w:r>
      <w:r>
        <w:rPr>
          <w:rFonts w:ascii="Verdana" w:hAnsi="Verdana"/>
          <w:noProof/>
          <w:sz w:val="20"/>
          <w:szCs w:val="20"/>
        </w:rPr>
        <w:t xml:space="preserve"> 48, 49 e 50) esclareceu que a simples existência de uma atividade ilegal como a caça furtiva ou as dificuldades encontradas na execução do controlo desta não podem bastar para dispensar um Estado‑Membro da sua obrigação de garantir a proteção das espécies protegidas ao abrigo do anexo IV da Diretiva </w:t>
      </w:r>
      <w:r>
        <w:rPr>
          <w:rFonts w:ascii="Verdana" w:hAnsi="Verdana"/>
          <w:i/>
          <w:iCs/>
          <w:noProof/>
          <w:sz w:val="20"/>
          <w:szCs w:val="20"/>
        </w:rPr>
        <w:t>Habitats</w:t>
      </w:r>
      <w:r>
        <w:rPr>
          <w:rFonts w:ascii="Verdana" w:hAnsi="Verdana"/>
          <w:noProof/>
          <w:sz w:val="20"/>
          <w:szCs w:val="20"/>
        </w:rPr>
        <w:t>. Nessa situação, incumbe‑lhe, pelo contrário, privilegiar o controlo estrito e eficaz dessa atividade ilegal, por um lado, e a aplicação de meios que respeitem as proibições impostas nos termos dos artigos 12.º a 14.º e do artigo 15.º, alíneas a) e b), da diretiva, por outro. Para fundamentar a derrogação, o Estado-Membro deve fornecer uma fundamentação precisa e adequada relativa à inexistência de outra solução satisfatória que permita alcançar os objetivos, fazendo menção à inexistência de outra solução satisfatória ou remetendo para os relatórios técnicos, jurídicos e científicos pertinentes.</w:t>
      </w:r>
    </w:p>
    <w:p>
      <w:pPr>
        <w:numPr>
          <w:ilvl w:val="0"/>
          <w:numId w:val="18"/>
        </w:numPr>
        <w:spacing w:after="240"/>
        <w:jc w:val="both"/>
        <w:rPr>
          <w:rFonts w:ascii="Verdana" w:hAnsi="Verdana" w:cs="Cambria"/>
          <w:b/>
          <w:i/>
          <w:noProof/>
          <w:sz w:val="20"/>
          <w:szCs w:val="20"/>
          <w:u w:val="single"/>
        </w:rPr>
      </w:pPr>
      <w:r>
        <w:rPr>
          <w:rFonts w:ascii="Verdana" w:hAnsi="Verdana"/>
          <w:b/>
          <w:i/>
          <w:noProof/>
          <w:sz w:val="20"/>
          <w:szCs w:val="20"/>
          <w:u w:val="single"/>
        </w:rPr>
        <w:t>Manutenção da população num estado de conservação favorável</w:t>
      </w:r>
    </w:p>
    <w:p>
      <w:pPr>
        <w:spacing w:after="240"/>
        <w:jc w:val="both"/>
        <w:rPr>
          <w:rFonts w:ascii="Verdana" w:hAnsi="Verdana" w:cs="Cambria"/>
          <w:strike/>
          <w:noProof/>
          <w:sz w:val="20"/>
          <w:szCs w:val="20"/>
        </w:rPr>
      </w:pPr>
      <w:r>
        <w:rPr>
          <w:rFonts w:ascii="Verdana" w:hAnsi="Verdana"/>
          <w:noProof/>
          <w:sz w:val="20"/>
          <w:szCs w:val="20"/>
        </w:rPr>
        <w:t>A terceira condição prévia é a garantia de «que a derrogação não prejudi[ca] a manutenção das populações da espécie em causa na sua área de repartição natural, num estado de conservação favorável».</w:t>
      </w:r>
    </w:p>
    <w:p>
      <w:pPr>
        <w:spacing w:after="240"/>
        <w:jc w:val="both"/>
        <w:rPr>
          <w:rFonts w:ascii="Verdana" w:hAnsi="Verdana"/>
          <w:noProof/>
          <w:sz w:val="20"/>
        </w:rPr>
      </w:pPr>
      <w:r>
        <w:rPr>
          <w:rFonts w:ascii="Verdana" w:hAnsi="Verdana"/>
          <w:noProof/>
          <w:sz w:val="20"/>
          <w:szCs w:val="20"/>
        </w:rPr>
        <w:t xml:space="preserve">Segundo o artigo 1.º, alínea i), da Diretiva </w:t>
      </w:r>
      <w:r>
        <w:rPr>
          <w:rFonts w:ascii="Verdana" w:hAnsi="Verdana"/>
          <w:i/>
          <w:iCs/>
          <w:noProof/>
          <w:sz w:val="20"/>
          <w:szCs w:val="20"/>
        </w:rPr>
        <w:t>Habitats</w:t>
      </w:r>
      <w:r>
        <w:rPr>
          <w:rFonts w:ascii="Verdana" w:hAnsi="Verdana"/>
          <w:noProof/>
          <w:sz w:val="20"/>
          <w:szCs w:val="20"/>
        </w:rPr>
        <w:t>, o «</w:t>
      </w:r>
      <w:r>
        <w:rPr>
          <w:rFonts w:ascii="Verdana" w:hAnsi="Verdana"/>
          <w:noProof/>
          <w:sz w:val="20"/>
        </w:rPr>
        <w:t>[e]stado de conservação de uma espécie»</w:t>
      </w:r>
      <w:r>
        <w:rPr>
          <w:rFonts w:ascii="Verdana" w:hAnsi="Verdana"/>
          <w:noProof/>
          <w:sz w:val="20"/>
          <w:szCs w:val="20"/>
        </w:rPr>
        <w:t xml:space="preserve"> </w:t>
      </w:r>
      <w:r>
        <w:rPr>
          <w:rFonts w:ascii="Verdana" w:hAnsi="Verdana"/>
          <w:noProof/>
          <w:sz w:val="20"/>
        </w:rPr>
        <w:t xml:space="preserve">é o efeito do conjunto das influências que, atuando sobre a espécie em causa, podem afetar, a longo prazo, a repartição e a importância das suas </w:t>
      </w:r>
      <w:r>
        <w:rPr>
          <w:rFonts w:ascii="Verdana" w:hAnsi="Verdana"/>
          <w:noProof/>
          <w:sz w:val="20"/>
          <w:szCs w:val="20"/>
        </w:rPr>
        <w:t xml:space="preserve">populações no território dos Estados-Membros. O estado de conservação de uma espécie é considerado favorável sempre que i) a população «continua e é suscetível de continuar a longo prazo a constituir um elemento vital dos </w:t>
      </w:r>
      <w:r>
        <w:rPr>
          <w:rFonts w:ascii="Verdana" w:hAnsi="Verdana"/>
          <w:i/>
          <w:iCs/>
          <w:noProof/>
          <w:sz w:val="20"/>
          <w:szCs w:val="20"/>
        </w:rPr>
        <w:t>habitats</w:t>
      </w:r>
      <w:r>
        <w:rPr>
          <w:rFonts w:ascii="Verdana" w:hAnsi="Verdana"/>
          <w:noProof/>
          <w:sz w:val="20"/>
          <w:szCs w:val="20"/>
        </w:rPr>
        <w:t xml:space="preserve"> naturais a que pertence», ii) «a área de repartição natural dessa espécie não diminuir nem correr o perigo de diminuir num futuro previsível» e iii) «existir e continuar provavelmente a existir um </w:t>
      </w:r>
      <w:r>
        <w:rPr>
          <w:rFonts w:ascii="Verdana" w:hAnsi="Verdana"/>
          <w:i/>
          <w:iCs/>
          <w:noProof/>
          <w:sz w:val="20"/>
          <w:szCs w:val="20"/>
        </w:rPr>
        <w:t>habitat</w:t>
      </w:r>
      <w:r>
        <w:rPr>
          <w:rFonts w:ascii="Verdana" w:hAnsi="Verdana"/>
          <w:noProof/>
          <w:sz w:val="20"/>
          <w:szCs w:val="20"/>
        </w:rPr>
        <w:t xml:space="preserve"> suficientemente amplo para que as suas populações se mantenham a longo prazo». Podem ser obtidas informações adicionais nas orientações para a elaboração dos relatórios previstos no artigo 17.º da Diretiva </w:t>
      </w:r>
      <w:r>
        <w:rPr>
          <w:rFonts w:ascii="Verdana" w:hAnsi="Verdana"/>
          <w:i/>
          <w:iCs/>
          <w:noProof/>
          <w:sz w:val="20"/>
          <w:szCs w:val="20"/>
        </w:rPr>
        <w:t>Habitats</w:t>
      </w:r>
      <w:bookmarkStart w:id="14" w:name="_Hlk527001439"/>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 xml:space="preserve">O cumprimento desta condição (ou seja, que a derrogação não prejudique a manutenção das populações da espécie em causa na sua área de repartição natural, num estado de conservação favorável) obriga a uma avaliação do eventual efeito da derrogação tanto na população em causa como no estado de conservação da espécie </w:t>
      </w:r>
      <w:r>
        <w:rPr>
          <w:rFonts w:ascii="Verdana" w:hAnsi="Verdana"/>
          <w:noProof/>
          <w:sz w:val="20"/>
        </w:rPr>
        <w:t>no território do Estado-Membro.</w:t>
      </w:r>
      <w:r>
        <w:rPr>
          <w:rFonts w:ascii="Verdana" w:hAnsi="Verdana"/>
          <w:noProof/>
          <w:color w:val="444444"/>
          <w:sz w:val="21"/>
          <w:szCs w:val="21"/>
          <w:shd w:val="clear" w:color="auto" w:fill="FFFFFF"/>
        </w:rPr>
        <w:t> </w:t>
      </w:r>
    </w:p>
    <w:p>
      <w:pPr>
        <w:spacing w:after="240"/>
        <w:jc w:val="both"/>
        <w:rPr>
          <w:rFonts w:ascii="Verdana" w:hAnsi="Verdana" w:cs="Cambria"/>
          <w:noProof/>
          <w:sz w:val="20"/>
          <w:szCs w:val="20"/>
        </w:rPr>
      </w:pPr>
      <w:r>
        <w:rPr>
          <w:rFonts w:ascii="Verdana" w:hAnsi="Verdana"/>
          <w:noProof/>
          <w:sz w:val="20"/>
          <w:szCs w:val="20"/>
        </w:rPr>
        <w:t>As decisões sobre a utilização de derrogações e a avaliação dos eventuais efeitos destas derrogações no estado de conservação da população em causa devem basear-se num conhecimento preciso da população de lobos em causa e das respetivas tendências. Os efeitos suplementares e cumulativos das derrogações também devem ser devidamente avaliados, tendo em conta quaisquer outros impactos negativos diretos ou indiretos de atividades humanas (incluindo abates acidentais e ilegais). Tal é necessário para garantir que a decisão não prejudica o estado de conservação da população.</w:t>
      </w:r>
    </w:p>
    <w:p>
      <w:pPr>
        <w:spacing w:after="240"/>
        <w:jc w:val="both"/>
        <w:rPr>
          <w:rFonts w:ascii="Verdana" w:hAnsi="Verdana"/>
          <w:noProof/>
          <w:sz w:val="20"/>
          <w:szCs w:val="20"/>
        </w:rPr>
      </w:pPr>
      <w:r>
        <w:rPr>
          <w:rFonts w:ascii="Verdana" w:hAnsi="Verdana"/>
          <w:noProof/>
          <w:sz w:val="20"/>
          <w:szCs w:val="20"/>
        </w:rPr>
        <w:t>No processo C-674/17 (n.</w:t>
      </w:r>
      <w:r>
        <w:rPr>
          <w:rFonts w:ascii="Verdana" w:hAnsi="Verdana"/>
          <w:noProof/>
          <w:sz w:val="20"/>
          <w:szCs w:val="20"/>
          <w:vertAlign w:val="superscript"/>
        </w:rPr>
        <w:t>os</w:t>
      </w:r>
      <w:r>
        <w:rPr>
          <w:rFonts w:ascii="Verdana" w:hAnsi="Verdana"/>
          <w:noProof/>
          <w:sz w:val="20"/>
          <w:szCs w:val="20"/>
        </w:rPr>
        <w:t> 57 a 61), o TJUE sublinhou que uma derrogação ao abrigo do artigo 16.º, n.º 1, deve basear‑se em critérios que assegurem a preservação a longo prazo da dinâmica e da estabilidade social da espécie em causa. Por conseguinte, os impactos demográficos e geográficos cumulativos de todas as derrogações na população em causa devem ser devidamente avaliados, em conjunto com qualquer outra mortalidade natural ou de origem humana.</w:t>
      </w:r>
    </w:p>
    <w:p>
      <w:pPr>
        <w:spacing w:after="240"/>
        <w:jc w:val="both"/>
        <w:rPr>
          <w:rFonts w:ascii="Verdana" w:hAnsi="Verdana"/>
          <w:noProof/>
          <w:sz w:val="20"/>
          <w:szCs w:val="20"/>
        </w:rPr>
      </w:pPr>
      <w:r>
        <w:rPr>
          <w:rFonts w:ascii="Verdana" w:hAnsi="Verdana"/>
          <w:noProof/>
          <w:sz w:val="20"/>
          <w:szCs w:val="20"/>
        </w:rPr>
        <w:t>A avaliação deve ser feita «a nível local e a nível do território desse Estado‑Membro ou, sendo caso disso, a nível da região biogeográfica em causa quando as fronteiras desse Estado‑Membro abranjam várias regiões biogeográficas ou, ainda, se a área de repartição natural da espécie o exigir e, tanto quanto possível, no plano transfronteiriço». Porém, a avaliação não deve ter em conta «a parte da área de repartição natural da população em causa que se estende a certas partes do território de um Estado terceiro, que não está vinculado pelas obrigações de proteção rigorosa das espécies de interesse para a União».</w:t>
      </w:r>
    </w:p>
    <w:bookmarkEnd w:id="14"/>
    <w:p>
      <w:pPr>
        <w:spacing w:after="240"/>
        <w:jc w:val="both"/>
        <w:rPr>
          <w:rFonts w:ascii="Verdana" w:hAnsi="Verdana"/>
          <w:noProof/>
          <w:sz w:val="20"/>
          <w:szCs w:val="20"/>
        </w:rPr>
      </w:pPr>
      <w:r>
        <w:rPr>
          <w:rFonts w:ascii="Verdana" w:hAnsi="Verdana"/>
          <w:noProof/>
          <w:sz w:val="20"/>
          <w:szCs w:val="20"/>
        </w:rPr>
        <w:t>No processo C-342/05, o TJUE considerou que as derrogações que afetem populações cujo estado de conservação é desfavorável podem ser permissíveis «a título excecional quando ficar devidamente provado que não são suscetíveis de agravar o estado de conservação não favorável das referidas populações ou de impedir o seu restabelecimento, num estado de conservação favorável». O Tribunal de Justiça concluiu que «</w:t>
      </w:r>
      <w:r>
        <w:rPr>
          <w:rFonts w:ascii="Verdana" w:hAnsi="Verdana"/>
          <w:noProof/>
          <w:sz w:val="20"/>
        </w:rPr>
        <w:t xml:space="preserve">não se pode excluir que o abate de um número limitado de espécimes seja irrelevante para o objetivo, visado no artigo 16.º, n.º 1, da [D]iretiva </w:t>
      </w:r>
      <w:r>
        <w:rPr>
          <w:rFonts w:ascii="Verdana" w:hAnsi="Verdana"/>
          <w:i/>
          <w:iCs/>
          <w:noProof/>
          <w:sz w:val="20"/>
        </w:rPr>
        <w:t>[H]abitats</w:t>
      </w:r>
      <w:r>
        <w:rPr>
          <w:rFonts w:ascii="Verdana" w:hAnsi="Verdana"/>
          <w:noProof/>
          <w:sz w:val="20"/>
        </w:rPr>
        <w:t>, que consiste em manter num estado de conservação favorável a população dos lobos na sua área de repartição natural. Tal derrogação seria, por conseguinte, neutra para a espécie em causa.»</w:t>
      </w:r>
    </w:p>
    <w:p>
      <w:pPr>
        <w:spacing w:after="240"/>
        <w:jc w:val="both"/>
        <w:rPr>
          <w:rFonts w:ascii="Verdana" w:hAnsi="Verdana"/>
          <w:noProof/>
          <w:sz w:val="20"/>
          <w:szCs w:val="20"/>
        </w:rPr>
      </w:pPr>
      <w:r>
        <w:rPr>
          <w:rFonts w:ascii="Verdana" w:hAnsi="Verdana"/>
          <w:noProof/>
          <w:sz w:val="20"/>
          <w:szCs w:val="20"/>
        </w:rPr>
        <w:t>Esta abordagem foi confirmada pelo TJUE no processo C-674/17 (n.</w:t>
      </w:r>
      <w:r>
        <w:rPr>
          <w:rFonts w:ascii="Verdana" w:hAnsi="Verdana"/>
          <w:noProof/>
          <w:sz w:val="20"/>
          <w:szCs w:val="20"/>
          <w:vertAlign w:val="superscript"/>
        </w:rPr>
        <w:t>os</w:t>
      </w:r>
      <w:r>
        <w:rPr>
          <w:rFonts w:ascii="Verdana" w:hAnsi="Verdana"/>
          <w:noProof/>
          <w:sz w:val="20"/>
          <w:szCs w:val="20"/>
        </w:rPr>
        <w:t xml:space="preserve"> 66 a 69), com uma menção suplementar ao princípio da precaução: «no que respeita ao impacto do estado de conservação desfavorável de uma espécie na possibilidade de se autorizarem derrogações ao abrigo do artigo 16.º, n.º 1, da Diretiva </w:t>
      </w:r>
      <w:r>
        <w:rPr>
          <w:rFonts w:ascii="Verdana" w:hAnsi="Verdana"/>
          <w:i/>
          <w:iCs/>
          <w:noProof/>
          <w:sz w:val="20"/>
          <w:szCs w:val="20"/>
        </w:rPr>
        <w:t>Habitats</w:t>
      </w:r>
      <w:r>
        <w:rPr>
          <w:rFonts w:ascii="Verdana" w:hAnsi="Verdana"/>
          <w:noProof/>
          <w:sz w:val="20"/>
          <w:szCs w:val="20"/>
        </w:rPr>
        <w:t>, o Tribunal de Justiça já declarou que a concessão dessas derrogações continua a ser possível, a título excecional, quando estiver devidamente demonstrado que não são suscetíveis de agravar o estado de conservação não favorável das populações ou de impedir o seu restabelecimento, num estado de conservação favorável». Porém, «se o exame dos melhores dados científicos disponíveis deixar subsistir uma incerteza sobre a questão de saber se tal derrogação prejudicará ou não a manutenção ou o restabelecimento das populações de uma espécie ameaçada de extinção, num estado de conservação favorável, o Estado‑Membro deve abster‑se de a adotar ou de a aplicar».</w:t>
      </w:r>
    </w:p>
    <w:p>
      <w:pPr>
        <w:spacing w:after="240"/>
        <w:jc w:val="both"/>
        <w:rPr>
          <w:rFonts w:ascii="Verdana" w:hAnsi="Verdana"/>
          <w:noProof/>
          <w:sz w:val="20"/>
          <w:szCs w:val="20"/>
        </w:rPr>
      </w:pPr>
      <w:r>
        <w:rPr>
          <w:rFonts w:ascii="Verdana" w:hAnsi="Verdana"/>
          <w:noProof/>
          <w:sz w:val="20"/>
          <w:szCs w:val="20"/>
        </w:rPr>
        <w:t>Por conseguinte, as derrogações para o abate de um número muito reduzido de espécimes podem ser concedidas caso a caso, mesmo que o estado de conservação da espécie não seja (ainda) favorável, desde que a derrogação seja neutra em termos do estado de conservação da espécie, ou seja, que não ponha em causa a consecução do objetivo do restabelecimento e da manutenção num estado de conservação favorável da população de lobos na sua área de repartição natural. Assim, uma derrogação não pode ter um impacto líquido global negativo na dinâmica da população, na área de repartição natural, na estrutura da população e na sua saúde (inclusive nos aspetos genéticos), ou nas necessidades de ligação da população de lobos em causa.</w:t>
      </w:r>
    </w:p>
    <w:p>
      <w:pPr>
        <w:spacing w:after="360"/>
        <w:jc w:val="both"/>
        <w:rPr>
          <w:rFonts w:ascii="Verdana" w:hAnsi="Verdana"/>
          <w:noProof/>
          <w:sz w:val="20"/>
          <w:szCs w:val="20"/>
        </w:rPr>
      </w:pPr>
      <w:r>
        <w:rPr>
          <w:rFonts w:ascii="Verdana" w:hAnsi="Verdana"/>
          <w:noProof/>
          <w:sz w:val="20"/>
          <w:szCs w:val="20"/>
        </w:rPr>
        <w:t>Consequentemente, quanto menos favoráveis forem o estado de conservação e as tendências, menos provável será que esta terceira condição prévia possa ser satisfeita e que a concessão de derrogações seja justificada, salvo em condições absolutamente excecionais. O estado de conservação e as tendências da espécie (a nível biogeográfico e da população), com base em conhecimentos e dados precisos, constituem assim um aspeto fundamental na avaliação do cumprimento da terceira condição prévia.</w:t>
      </w:r>
    </w:p>
    <w:p>
      <w:pPr>
        <w:spacing w:after="240"/>
        <w:jc w:val="both"/>
        <w:rPr>
          <w:rFonts w:ascii="Verdana" w:hAnsi="Verdana"/>
          <w:b/>
          <w:noProof/>
          <w:sz w:val="20"/>
          <w:szCs w:val="20"/>
        </w:rPr>
      </w:pPr>
      <w:r>
        <w:rPr>
          <w:rFonts w:ascii="Verdana" w:hAnsi="Verdana"/>
          <w:b/>
          <w:noProof/>
          <w:sz w:val="20"/>
          <w:szCs w:val="20"/>
        </w:rPr>
        <w:t>As derrogações e o papel do estado de conservação favorável e dos planos por espécie</w:t>
      </w:r>
    </w:p>
    <w:p>
      <w:pPr>
        <w:spacing w:after="240"/>
        <w:jc w:val="both"/>
        <w:rPr>
          <w:rFonts w:ascii="Verdana" w:hAnsi="Verdana"/>
          <w:noProof/>
          <w:sz w:val="20"/>
          <w:szCs w:val="20"/>
        </w:rPr>
      </w:pPr>
      <w:bookmarkStart w:id="15" w:name="_Hlk527006049"/>
      <w:r>
        <w:rPr>
          <w:rFonts w:ascii="Verdana" w:hAnsi="Verdana"/>
          <w:noProof/>
          <w:sz w:val="20"/>
          <w:szCs w:val="20"/>
        </w:rPr>
        <w:t xml:space="preserve">Um plano adequado e completo de conservação e gestão do lobo pode constituir um bom quadro global para a aplicação de todas as ferramentas e medidas necessárias, incluindo o eventual recurso às derrogações. Quando esses planos são devidamente executados, com resultados demonstrados no estado de conservação favorável, o artigo 16.º da Diretiva </w:t>
      </w:r>
      <w:r>
        <w:rPr>
          <w:rFonts w:ascii="Verdana" w:hAnsi="Verdana"/>
          <w:i/>
          <w:iCs/>
          <w:noProof/>
          <w:sz w:val="20"/>
          <w:szCs w:val="20"/>
        </w:rPr>
        <w:t>Habitats</w:t>
      </w:r>
      <w:r>
        <w:rPr>
          <w:rFonts w:ascii="Verdana" w:hAnsi="Verdana"/>
          <w:noProof/>
          <w:sz w:val="20"/>
          <w:szCs w:val="20"/>
        </w:rPr>
        <w:t xml:space="preserve"> permite a flexibilidade necessária através do recurso às derrogações.</w:t>
      </w:r>
    </w:p>
    <w:p>
      <w:pPr>
        <w:spacing w:after="240"/>
        <w:jc w:val="both"/>
        <w:rPr>
          <w:rFonts w:ascii="Verdana" w:hAnsi="Verdana"/>
          <w:noProof/>
          <w:sz w:val="20"/>
          <w:szCs w:val="20"/>
        </w:rPr>
      </w:pPr>
      <w:r>
        <w:rPr>
          <w:rFonts w:ascii="Verdana" w:hAnsi="Verdana"/>
          <w:noProof/>
          <w:sz w:val="20"/>
          <w:szCs w:val="20"/>
        </w:rPr>
        <w:t>As derrogações à proteção rigorosa dos lobos podem ser mais bem justificadas se for criado e devidamente aplicado num Estado-Membro um conjunto completo de medidas adequadas, eficazes e verificáveis, a fim de garantir a proteção eficaz e de atingir ou manter o estado de conservação favorável da espécie.</w:t>
      </w:r>
    </w:p>
    <w:p>
      <w:pPr>
        <w:spacing w:after="120"/>
        <w:jc w:val="both"/>
        <w:rPr>
          <w:rFonts w:ascii="Verdana" w:hAnsi="Verdana" w:cs="Cambria"/>
          <w:noProof/>
          <w:sz w:val="20"/>
          <w:szCs w:val="20"/>
        </w:rPr>
      </w:pPr>
      <w:r>
        <w:rPr>
          <w:rFonts w:ascii="Verdana" w:hAnsi="Verdana"/>
          <w:noProof/>
          <w:sz w:val="20"/>
          <w:szCs w:val="20"/>
        </w:rPr>
        <w:t>Tal é o caso se:</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existir um plano adequado de conservação e recuperação para o lobo, que seja aplicado de forma integral e correta e bem acompanhado, com vista a garantir um estado de conservação favorável e a resolver conflitos socioeconómicos,</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o plano se basear nos melhores dados científicos disponíveis e num sistema sólido de monitorização da população de lobos,</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todas as medidas de prevenção e compensatórias necessárias tiverem sido aplicadas,</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forem aplicadas medidas adequadas para combater eficazmente a caça furtiva (tais como criminalização, fiscalização e sensibilização) e para fazer face a quaisquer outros fatores de mortalidade causada por humanos (tais como atropelamentos),</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todas as outras ameaças à conservação do lobo na zona em causa forem devidamente abordadas (por exemplo, hibridação),</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as outras causas de mortalidade dos animais em pastoreio (por exemplo, cães em liberdade) forem devidamente tratadas,</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os objetivos e as condições para as derrogações forem estabelecidos de forma clara e justificados com provas científicas suficientes, for comprovado que não existem outras soluções satisfatórias e que o método letal utilizado na derrogação é a única forma de evitar ou limitar os prejuízos sérios ou para alcançar os outros objetivos das derrogações, em conformidade com a legislação pertinente, as derrogações forem avaliadas e decididas caso a caso,</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a derrogação prevista não prejudicar o estado de conservação da população ao nível local da população e em toda a área de repartição natural da espécie.</w:t>
      </w:r>
    </w:p>
    <w:p>
      <w:pPr>
        <w:spacing w:after="240"/>
        <w:rPr>
          <w:rFonts w:ascii="Verdana" w:hAnsi="Verdana"/>
          <w:noProof/>
          <w:sz w:val="20"/>
          <w:szCs w:val="20"/>
        </w:rPr>
      </w:pPr>
    </w:p>
    <w:bookmarkEnd w:id="15"/>
    <w:p>
      <w:pPr>
        <w:spacing w:after="240"/>
        <w:rPr>
          <w:rFonts w:ascii="Verdana" w:hAnsi="Verdana"/>
          <w:noProof/>
          <w:sz w:val="18"/>
        </w:rPr>
      </w:pPr>
    </w:p>
    <w:p>
      <w:pPr>
        <w:spacing w:after="240"/>
        <w:rPr>
          <w:rFonts w:ascii="Verdana" w:hAnsi="Verdana"/>
          <w:noProof/>
          <w:sz w:val="20"/>
          <w:szCs w:val="20"/>
        </w:rPr>
      </w:pPr>
    </w:p>
    <w:p>
      <w:pPr>
        <w:rPr>
          <w:noProof/>
        </w:rPr>
      </w:pPr>
      <w:r>
        <w:rPr>
          <w:noProof/>
        </w:rPr>
        <w:br w:type="page"/>
      </w:r>
    </w:p>
    <w:p>
      <w:pPr>
        <w:rPr>
          <w:noProof/>
          <w:sz w:val="20"/>
        </w:rPr>
      </w:pPr>
    </w:p>
    <w:p>
      <w:pPr>
        <w:spacing w:after="120"/>
        <w:rPr>
          <w:rFonts w:ascii="Verdana" w:hAnsi="Verdana" w:cs="Cambria"/>
          <w:noProof/>
          <w:color w:val="000090"/>
          <w:lang w:val="en-GB"/>
        </w:rPr>
      </w:pPr>
      <w:r>
        <w:rPr>
          <w:rFonts w:ascii="Verdana" w:hAnsi="Verdana"/>
          <w:b/>
          <w:noProof/>
          <w:color w:val="000090"/>
          <w:lang w:val="en-GB"/>
        </w:rPr>
        <w:t>REFERÊNCIAS</w:t>
      </w:r>
      <w:r>
        <w:rPr>
          <w:rFonts w:ascii="Verdana" w:hAnsi="Verdana"/>
          <w:noProof/>
          <w:color w:val="000090"/>
          <w:lang w:val="en-GB"/>
        </w:rPr>
        <w:t>:</w:t>
      </w:r>
    </w:p>
    <w:p>
      <w:pPr>
        <w:spacing w:after="120"/>
        <w:rPr>
          <w:rFonts w:ascii="Verdana" w:hAnsi="Verdana" w:cs="Cambria"/>
          <w:noProof/>
          <w:sz w:val="20"/>
          <w:szCs w:val="20"/>
          <w:lang w:val="en-GB"/>
        </w:rPr>
      </w:pPr>
    </w:p>
    <w:p>
      <w:pPr>
        <w:spacing w:after="240"/>
        <w:ind w:left="284" w:hanging="284"/>
        <w:rPr>
          <w:rFonts w:ascii="Verdana" w:hAnsi="Verdana"/>
          <w:noProof/>
          <w:sz w:val="18"/>
          <w:szCs w:val="18"/>
          <w:lang w:val="en-GB"/>
        </w:rPr>
      </w:pPr>
      <w:bookmarkStart w:id="16" w:name="_Hlk526182619"/>
      <w:r>
        <w:rPr>
          <w:rFonts w:ascii="Verdana" w:hAnsi="Verdana"/>
          <w:noProof/>
          <w:sz w:val="18"/>
          <w:szCs w:val="18"/>
          <w:lang w:val="en-GB"/>
        </w:rPr>
        <w:t>Andersen, R., Linnell, J. D. C. e Solberg, E. J. (2006). «The future role of large carnivores on terrestrial trophic interactions:</w:t>
      </w:r>
      <w:r>
        <w:rPr>
          <w:rFonts w:ascii="Verdana" w:hAnsi="Verdana"/>
          <w:i/>
          <w:noProof/>
          <w:sz w:val="18"/>
          <w:szCs w:val="18"/>
          <w:lang w:val="en-GB"/>
        </w:rPr>
        <w:t xml:space="preserve"> </w:t>
      </w:r>
      <w:r>
        <w:rPr>
          <w:rFonts w:ascii="Verdana" w:hAnsi="Verdana"/>
          <w:noProof/>
          <w:sz w:val="18"/>
          <w:szCs w:val="18"/>
          <w:lang w:val="en-GB"/>
        </w:rPr>
        <w:t xml:space="preserve">the northern temperate view.» </w:t>
      </w:r>
      <w:r>
        <w:rPr>
          <w:rFonts w:ascii="Verdana" w:hAnsi="Verdana"/>
          <w:i/>
          <w:iCs/>
          <w:noProof/>
          <w:sz w:val="18"/>
          <w:szCs w:val="18"/>
          <w:lang w:val="en-GB"/>
        </w:rPr>
        <w:t>Large herbivore ecology, ecosystem dynamics and conservation:</w:t>
      </w:r>
      <w:r>
        <w:rPr>
          <w:rFonts w:ascii="Verdana" w:hAnsi="Verdana"/>
          <w:noProof/>
          <w:sz w:val="18"/>
          <w:szCs w:val="18"/>
          <w:lang w:val="en-GB"/>
        </w:rPr>
        <w:t xml:space="preserve"> 413-448. Danell, K., Bergström, R., Duncan, P. e Pastor, J. (eds.). Cambridge: Cambridge University Press.</w:t>
      </w:r>
    </w:p>
    <w:p>
      <w:pPr>
        <w:spacing w:after="240"/>
        <w:ind w:left="284" w:hanging="284"/>
        <w:rPr>
          <w:rFonts w:ascii="Verdana" w:hAnsi="Verdana"/>
          <w:noProof/>
          <w:sz w:val="18"/>
          <w:szCs w:val="18"/>
        </w:rPr>
      </w:pPr>
      <w:r>
        <w:rPr>
          <w:rFonts w:ascii="Verdana" w:hAnsi="Verdana"/>
          <w:noProof/>
          <w:sz w:val="18"/>
          <w:szCs w:val="18"/>
          <w:lang w:val="en-GB"/>
        </w:rPr>
        <w:t xml:space="preserve">Barkham, P. «Denmark Gets Its First Wild Wolf Pack in 200 Years», </w:t>
      </w:r>
      <w:r>
        <w:rPr>
          <w:rFonts w:ascii="Verdana" w:hAnsi="Verdana"/>
          <w:i/>
          <w:iCs/>
          <w:noProof/>
          <w:sz w:val="18"/>
          <w:szCs w:val="18"/>
          <w:lang w:val="en-GB"/>
        </w:rPr>
        <w:t>The Guardian</w:t>
      </w:r>
      <w:r>
        <w:rPr>
          <w:rFonts w:ascii="Verdana" w:hAnsi="Verdana"/>
          <w:noProof/>
          <w:sz w:val="18"/>
          <w:szCs w:val="18"/>
          <w:lang w:val="en-GB"/>
        </w:rPr>
        <w:t xml:space="preserve">, 4 de maio de 2017. </w:t>
      </w:r>
      <w:hyperlink r:id="rId25" w:history="1">
        <w:r>
          <w:rPr>
            <w:rFonts w:ascii="Verdana" w:hAnsi="Verdana"/>
            <w:noProof/>
            <w:color w:val="0000FF"/>
            <w:sz w:val="18"/>
            <w:szCs w:val="18"/>
            <w:u w:val="single"/>
          </w:rPr>
          <w:t>http://www.theguardian.com/environment/2017/may/04/denmark-gets-its-first-wild-wolf-pack-in-200-years</w:t>
        </w:r>
      </w:hyperlink>
      <w:r>
        <w:rPr>
          <w:noProof/>
        </w:rPr>
        <w:t>.</w:t>
      </w:r>
    </w:p>
    <w:p>
      <w:pPr>
        <w:spacing w:after="240"/>
        <w:ind w:left="284" w:hanging="284"/>
        <w:rPr>
          <w:rFonts w:ascii="Verdana" w:hAnsi="Verdana"/>
          <w:noProof/>
          <w:sz w:val="18"/>
          <w:szCs w:val="18"/>
          <w:lang w:val="en-GB"/>
        </w:rPr>
      </w:pPr>
      <w:r>
        <w:rPr>
          <w:rFonts w:ascii="Verdana" w:hAnsi="Verdana"/>
          <w:noProof/>
          <w:sz w:val="18"/>
          <w:szCs w:val="18"/>
        </w:rPr>
        <w:t xml:space="preserve">Bassi, E., Gazzola, A., Bongi, P., Scandura, M., Apollonio, M. (2020). </w:t>
      </w:r>
      <w:r>
        <w:rPr>
          <w:rFonts w:ascii="Verdana" w:hAnsi="Verdana"/>
          <w:noProof/>
          <w:sz w:val="18"/>
          <w:szCs w:val="18"/>
          <w:lang w:val="en-GB"/>
        </w:rPr>
        <w:t xml:space="preserve">«Relative impact of human harvest and wolf predation on two ungulate species in Central Italy». </w:t>
      </w:r>
      <w:r>
        <w:rPr>
          <w:rFonts w:ascii="Verdana" w:hAnsi="Verdana"/>
          <w:i/>
          <w:iCs/>
          <w:noProof/>
          <w:sz w:val="18"/>
          <w:szCs w:val="18"/>
          <w:lang w:val="en-GB"/>
        </w:rPr>
        <w:t>Ecological Research</w:t>
      </w:r>
      <w:r>
        <w:rPr>
          <w:rFonts w:ascii="Verdana" w:hAnsi="Verdana"/>
          <w:noProof/>
          <w:sz w:val="18"/>
          <w:szCs w:val="18"/>
          <w:lang w:val="en-GB"/>
        </w:rPr>
        <w:t>,</w:t>
      </w:r>
      <w:r>
        <w:rPr>
          <w:rFonts w:ascii="Verdana" w:hAnsi="Verdana"/>
          <w:i/>
          <w:noProof/>
          <w:sz w:val="18"/>
          <w:szCs w:val="18"/>
          <w:lang w:val="en-GB"/>
        </w:rPr>
        <w:t xml:space="preserve"> </w:t>
      </w:r>
      <w:r>
        <w:rPr>
          <w:rFonts w:ascii="Verdana" w:hAnsi="Verdana"/>
          <w:noProof/>
          <w:sz w:val="18"/>
          <w:szCs w:val="18"/>
          <w:lang w:val="en-GB"/>
        </w:rPr>
        <w:t xml:space="preserve">volume 35, n.º 4. </w:t>
      </w:r>
      <w:hyperlink r:id="rId26" w:history="1">
        <w:r>
          <w:rPr>
            <w:rFonts w:ascii="Verdana" w:hAnsi="Verdana"/>
            <w:noProof/>
            <w:color w:val="0000FF"/>
            <w:sz w:val="18"/>
            <w:szCs w:val="18"/>
            <w:u w:val="single"/>
            <w:lang w:val="en-GB"/>
          </w:rPr>
          <w:t>https://esj-journals.onlinelibrary.wiley.com/doi/full/10.1111/1440-1703.12130</w:t>
        </w:r>
      </w:hyperlink>
      <w:r>
        <w:rPr>
          <w:noProof/>
          <w:lang w:val="en-GB"/>
        </w:rPr>
        <w:t>.</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Bath, A. J. e Majic, A. (2001). </w:t>
      </w:r>
      <w:r>
        <w:rPr>
          <w:rFonts w:ascii="Verdana" w:hAnsi="Verdana"/>
          <w:i/>
          <w:noProof/>
          <w:sz w:val="18"/>
          <w:szCs w:val="18"/>
          <w:lang w:val="en-GB"/>
        </w:rPr>
        <w:t>Human dimensions in wolf management in Croatia: understanding attitudes and beliefs of residents in Gorski kotar, Lika and Dalmatia towards wolves and wolf management</w:t>
      </w:r>
      <w:r>
        <w:rPr>
          <w:rFonts w:ascii="Verdana" w:hAnsi="Verdana"/>
          <w:noProof/>
          <w:sz w:val="18"/>
          <w:szCs w:val="18"/>
          <w:lang w:val="en-GB"/>
        </w:rPr>
        <w:t xml:space="preserve">. Large Carnivore Initiative for Europe. </w:t>
      </w:r>
      <w:r>
        <w:rPr>
          <w:rFonts w:ascii="Verdana" w:hAnsi="Verdana"/>
          <w:noProof/>
          <w:color w:val="0000FF"/>
          <w:sz w:val="18"/>
          <w:szCs w:val="18"/>
          <w:u w:val="single"/>
          <w:lang w:val="en-GB"/>
        </w:rPr>
        <w:t>www.lcie.org</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Boffey, D. «Pioneering Wolf Becomes First Sighted in Belgium for a Century», </w:t>
      </w:r>
      <w:r>
        <w:rPr>
          <w:rFonts w:ascii="Verdana" w:hAnsi="Verdana"/>
          <w:i/>
          <w:iCs/>
          <w:noProof/>
          <w:sz w:val="18"/>
          <w:szCs w:val="18"/>
          <w:lang w:val="en-GB"/>
        </w:rPr>
        <w:t>The Guardian</w:t>
      </w:r>
      <w:r>
        <w:rPr>
          <w:rFonts w:ascii="Verdana" w:hAnsi="Verdana"/>
          <w:noProof/>
          <w:sz w:val="18"/>
          <w:szCs w:val="18"/>
          <w:lang w:val="en-GB"/>
        </w:rPr>
        <w:t xml:space="preserve">, 22 de janeiro de 2018, </w:t>
      </w:r>
      <w:r>
        <w:rPr>
          <w:rFonts w:ascii="Verdana" w:hAnsi="Verdana"/>
          <w:noProof/>
          <w:color w:val="0000FF"/>
          <w:sz w:val="18"/>
          <w:szCs w:val="18"/>
          <w:u w:val="single"/>
          <w:lang w:val="en-GB"/>
        </w:rPr>
        <w:t>http://www.theguardian.com/environment/2018/jan/22/pioneering-female-becomes-first-wolf-in-belgium-in-a-century</w:t>
      </w:r>
      <w:r>
        <w:rPr>
          <w:rFonts w:ascii="Verdana" w:hAnsi="Verdana"/>
          <w:noProof/>
          <w:sz w:val="18"/>
          <w:szCs w:val="18"/>
          <w:lang w:val="en-GB"/>
        </w:rPr>
        <w:t>.</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Boitani, L. (2003). «Wolf conservation and recovery». </w:t>
      </w:r>
      <w:r>
        <w:rPr>
          <w:rFonts w:ascii="Verdana" w:hAnsi="Verdana"/>
          <w:i/>
          <w:iCs/>
          <w:noProof/>
          <w:sz w:val="18"/>
          <w:szCs w:val="18"/>
          <w:lang w:val="en-GB"/>
        </w:rPr>
        <w:t>Wolves:</w:t>
      </w:r>
      <w:r>
        <w:rPr>
          <w:rFonts w:ascii="Verdana" w:hAnsi="Verdana"/>
          <w:noProof/>
          <w:sz w:val="18"/>
          <w:szCs w:val="18"/>
          <w:lang w:val="en-GB"/>
        </w:rPr>
        <w:t xml:space="preserve"> </w:t>
      </w:r>
      <w:r>
        <w:rPr>
          <w:rFonts w:ascii="Verdana" w:hAnsi="Verdana"/>
          <w:i/>
          <w:iCs/>
          <w:noProof/>
          <w:sz w:val="18"/>
          <w:szCs w:val="18"/>
          <w:lang w:val="en-GB"/>
        </w:rPr>
        <w:t>behavior, ecology, and conservation:</w:t>
      </w:r>
      <w:r>
        <w:rPr>
          <w:rFonts w:ascii="Verdana" w:hAnsi="Verdana"/>
          <w:noProof/>
          <w:sz w:val="18"/>
          <w:szCs w:val="18"/>
          <w:lang w:val="en-GB"/>
        </w:rPr>
        <w:t xml:space="preserve"> 317-340. Mech, L. D. e Boitani, L. (eds.). Chicago: University of Chicago Press.</w:t>
      </w:r>
    </w:p>
    <w:p>
      <w:pPr>
        <w:spacing w:after="240"/>
        <w:ind w:left="284" w:hanging="284"/>
        <w:rPr>
          <w:rFonts w:ascii="Verdana" w:eastAsia="DINOT" w:hAnsi="Verdana"/>
          <w:noProof/>
          <w:sz w:val="18"/>
          <w:szCs w:val="18"/>
        </w:rPr>
      </w:pPr>
      <w:r>
        <w:rPr>
          <w:rFonts w:ascii="Verdana" w:hAnsi="Verdana"/>
          <w:noProof/>
          <w:sz w:val="18"/>
          <w:szCs w:val="18"/>
          <w:lang w:val="en-GB"/>
        </w:rPr>
        <w:t xml:space="preserve">Boitani, L. </w:t>
      </w:r>
      <w:r>
        <w:rPr>
          <w:rFonts w:ascii="Verdana" w:hAnsi="Verdana"/>
          <w:i/>
          <w:iCs/>
          <w:noProof/>
          <w:sz w:val="18"/>
          <w:szCs w:val="18"/>
          <w:lang w:val="en-GB"/>
        </w:rPr>
        <w:t>et al</w:t>
      </w:r>
      <w:r>
        <w:rPr>
          <w:rFonts w:ascii="Verdana" w:hAnsi="Verdana"/>
          <w:noProof/>
          <w:sz w:val="18"/>
          <w:szCs w:val="18"/>
          <w:lang w:val="en-GB"/>
        </w:rPr>
        <w:t xml:space="preserve">. (2015). «Key actions for Large Carnivore populations in Europe». </w:t>
      </w:r>
      <w:r>
        <w:rPr>
          <w:rFonts w:ascii="Verdana" w:hAnsi="Verdana"/>
          <w:noProof/>
          <w:sz w:val="18"/>
          <w:szCs w:val="18"/>
        </w:rPr>
        <w:t xml:space="preserve">Istituto di Ecologia Applicata (Roma, Itália). Relatório apresentado à DG Ambiente, Comissão Europeia, Bruxelas. </w:t>
      </w:r>
      <w:hyperlink r:id="rId27" w:history="1">
        <w:r>
          <w:rPr>
            <w:rStyle w:val="Hyperlink"/>
            <w:rFonts w:ascii="Verdana" w:hAnsi="Verdana"/>
            <w:noProof/>
            <w:sz w:val="18"/>
            <w:szCs w:val="18"/>
          </w:rPr>
          <w:t>https://ec.europa.eu/environment/nature/conservation/species/carnivores/pdf/key_actions_large_carnivores_2015.pdf</w:t>
        </w:r>
      </w:hyperlink>
      <w:r>
        <w:rPr>
          <w:rFonts w:ascii="Verdana" w:hAnsi="Verdana"/>
          <w:noProof/>
          <w:sz w:val="18"/>
          <w:szCs w:val="18"/>
        </w:rPr>
        <w:t xml:space="preserve"> </w:t>
      </w:r>
    </w:p>
    <w:p>
      <w:pPr>
        <w:spacing w:after="240"/>
        <w:ind w:left="284" w:hanging="284"/>
        <w:rPr>
          <w:rFonts w:ascii="Verdana" w:hAnsi="Verdana"/>
          <w:noProof/>
          <w:sz w:val="18"/>
          <w:szCs w:val="18"/>
          <w:lang w:val="en-GB"/>
        </w:rPr>
      </w:pPr>
      <w:r>
        <w:rPr>
          <w:rFonts w:ascii="Verdana" w:hAnsi="Verdana"/>
          <w:noProof/>
          <w:sz w:val="18"/>
          <w:szCs w:val="18"/>
          <w:lang w:val="en-GB"/>
        </w:rPr>
        <w:t>Breitenmoser, U., Breitenmoser-Würsten, C., Carbyn, L. N. e Funk, S. M. (2001</w:t>
      </w:r>
      <w:r>
        <w:rPr>
          <w:rFonts w:ascii="Verdana" w:hAnsi="Verdana"/>
          <w:i/>
          <w:noProof/>
          <w:sz w:val="18"/>
          <w:szCs w:val="18"/>
          <w:lang w:val="en-GB"/>
        </w:rPr>
        <w:t xml:space="preserve">). </w:t>
      </w:r>
      <w:r>
        <w:rPr>
          <w:rFonts w:ascii="Verdana" w:hAnsi="Verdana"/>
          <w:noProof/>
          <w:sz w:val="18"/>
          <w:szCs w:val="18"/>
          <w:lang w:val="en-GB"/>
        </w:rPr>
        <w:t xml:space="preserve">«Assessment of carnivore reintroductions». </w:t>
      </w:r>
      <w:r>
        <w:rPr>
          <w:rFonts w:ascii="Verdana" w:hAnsi="Verdana"/>
          <w:i/>
          <w:iCs/>
          <w:noProof/>
          <w:sz w:val="18"/>
          <w:szCs w:val="18"/>
          <w:lang w:val="en-GB"/>
        </w:rPr>
        <w:t>Carnivore conservation:</w:t>
      </w:r>
      <w:r>
        <w:rPr>
          <w:rFonts w:ascii="Verdana" w:hAnsi="Verdana"/>
          <w:noProof/>
          <w:sz w:val="18"/>
          <w:szCs w:val="18"/>
          <w:lang w:val="en-GB"/>
        </w:rPr>
        <w:t xml:space="preserve"> 241-281. Gittleman, J. L., Funk, S. M., Macdonald, D. W. e Wayne, R. K. (eds.). Cambridge: Cambridge University Press.</w:t>
      </w:r>
    </w:p>
    <w:p>
      <w:pPr>
        <w:spacing w:after="240"/>
        <w:ind w:left="284" w:hanging="284"/>
        <w:rPr>
          <w:rFonts w:ascii="Verdana" w:hAnsi="Verdana"/>
          <w:noProof/>
          <w:sz w:val="18"/>
          <w:szCs w:val="18"/>
        </w:rPr>
      </w:pPr>
      <w:r>
        <w:rPr>
          <w:rFonts w:ascii="Verdana" w:hAnsi="Verdana"/>
          <w:noProof/>
          <w:sz w:val="18"/>
          <w:szCs w:val="18"/>
          <w:lang w:val="en-GB"/>
        </w:rPr>
        <w:t>Breitenmoser, U. (1998). «Large predators in the Alps:</w:t>
      </w:r>
      <w:r>
        <w:rPr>
          <w:rFonts w:ascii="Verdana" w:hAnsi="Verdana"/>
          <w:i/>
          <w:noProof/>
          <w:sz w:val="18"/>
          <w:szCs w:val="18"/>
          <w:lang w:val="en-GB"/>
        </w:rPr>
        <w:t xml:space="preserve"> </w:t>
      </w:r>
      <w:r>
        <w:rPr>
          <w:rFonts w:ascii="Verdana" w:hAnsi="Verdana"/>
          <w:noProof/>
          <w:sz w:val="18"/>
          <w:szCs w:val="18"/>
          <w:lang w:val="en-GB"/>
        </w:rPr>
        <w:t xml:space="preserve">the fall and rise of man's competitors». </w:t>
      </w:r>
      <w:r>
        <w:rPr>
          <w:rFonts w:ascii="Verdana" w:hAnsi="Verdana"/>
          <w:i/>
          <w:iCs/>
          <w:noProof/>
          <w:sz w:val="18"/>
          <w:szCs w:val="18"/>
        </w:rPr>
        <w:t>Biological Conservation</w:t>
      </w:r>
      <w:r>
        <w:rPr>
          <w:rFonts w:ascii="Verdana" w:hAnsi="Verdana"/>
          <w:noProof/>
          <w:sz w:val="18"/>
          <w:szCs w:val="18"/>
        </w:rPr>
        <w:t xml:space="preserve"> 83(3): 279-289.</w:t>
      </w:r>
    </w:p>
    <w:p>
      <w:pPr>
        <w:spacing w:after="240"/>
        <w:ind w:left="284" w:hanging="284"/>
        <w:rPr>
          <w:rFonts w:ascii="Verdana" w:hAnsi="Verdana"/>
          <w:noProof/>
          <w:sz w:val="18"/>
          <w:szCs w:val="18"/>
          <w:lang w:val="en-GB"/>
        </w:rPr>
      </w:pPr>
      <w:r>
        <w:rPr>
          <w:rFonts w:ascii="Verdana" w:hAnsi="Verdana"/>
          <w:noProof/>
          <w:sz w:val="18"/>
          <w:szCs w:val="18"/>
        </w:rPr>
        <w:t xml:space="preserve">Carpio, Antonio e Acevedo, Pelayo e Apollonio, Marco. </w:t>
      </w:r>
      <w:r>
        <w:rPr>
          <w:rFonts w:ascii="Verdana" w:hAnsi="Verdana"/>
          <w:noProof/>
          <w:sz w:val="18"/>
          <w:szCs w:val="18"/>
          <w:lang w:val="en-GB"/>
        </w:rPr>
        <w:t xml:space="preserve">(2020). «Wild ungulate overabundance in Europe: contexts, causes, monitoring and management recommendations». </w:t>
      </w:r>
      <w:r>
        <w:rPr>
          <w:rFonts w:ascii="Verdana" w:hAnsi="Verdana"/>
          <w:i/>
          <w:iCs/>
          <w:noProof/>
          <w:sz w:val="18"/>
          <w:szCs w:val="18"/>
          <w:lang w:val="en-GB"/>
        </w:rPr>
        <w:t>Mammal Review</w:t>
      </w:r>
      <w:r>
        <w:rPr>
          <w:rFonts w:ascii="Verdana" w:hAnsi="Verdana"/>
          <w:noProof/>
          <w:sz w:val="18"/>
          <w:szCs w:val="18"/>
          <w:lang w:val="en-GB"/>
        </w:rPr>
        <w:t>. 51. 10.1111/mam.12221.</w:t>
      </w:r>
      <w:r>
        <w:rPr>
          <w:rFonts w:ascii="Verdana" w:hAnsi="Verdana"/>
          <w:noProof/>
          <w:sz w:val="18"/>
          <w:szCs w:val="18"/>
          <w:lang w:val="en-GB"/>
        </w:rPr>
        <w:cr/>
      </w:r>
      <w:r>
        <w:rPr>
          <w:rFonts w:ascii="Verdana" w:hAnsi="Verdana"/>
          <w:noProof/>
          <w:sz w:val="18"/>
          <w:szCs w:val="18"/>
          <w:lang w:val="en-GB"/>
        </w:rPr>
        <w:br/>
      </w:r>
      <w:hyperlink r:id="rId28" w:history="1">
        <w:r>
          <w:rPr>
            <w:rStyle w:val="Hyperlink"/>
            <w:rFonts w:ascii="Verdana" w:hAnsi="Verdana"/>
            <w:noProof/>
            <w:sz w:val="18"/>
            <w:szCs w:val="18"/>
            <w:lang w:val="en-GB"/>
          </w:rPr>
          <w:t>https://onlinelibrary.wiley.com/doi/epdf/10.1111/mam.12221</w:t>
        </w:r>
      </w:hyperlink>
      <w:r>
        <w:rPr>
          <w:rFonts w:ascii="Verdana" w:hAnsi="Verdana"/>
          <w:noProof/>
          <w:sz w:val="18"/>
          <w:szCs w:val="18"/>
          <w:lang w:val="en-GB"/>
        </w:rPr>
        <w:t xml:space="preserve"> </w:t>
      </w:r>
    </w:p>
    <w:p>
      <w:pPr>
        <w:ind w:left="284" w:hanging="284"/>
        <w:rPr>
          <w:rFonts w:ascii="Verdana" w:hAnsi="Verdana"/>
          <w:noProof/>
          <w:color w:val="0000FF"/>
          <w:sz w:val="18"/>
          <w:szCs w:val="18"/>
          <w:u w:val="single"/>
          <w:lang w:val="en-GB"/>
        </w:rPr>
      </w:pPr>
      <w:r>
        <w:rPr>
          <w:rFonts w:ascii="Verdana" w:hAnsi="Verdana"/>
          <w:noProof/>
          <w:sz w:val="18"/>
          <w:szCs w:val="18"/>
          <w:lang w:val="en-GB"/>
        </w:rPr>
        <w:t xml:space="preserve">CDP News (2018) «Carnivore Damage Prevention News»: </w:t>
      </w:r>
      <w:hyperlink r:id="rId29" w:history="1">
        <w:r>
          <w:rPr>
            <w:rFonts w:ascii="Verdana" w:hAnsi="Verdana"/>
            <w:noProof/>
            <w:color w:val="0000FF"/>
            <w:sz w:val="18"/>
            <w:szCs w:val="18"/>
            <w:u w:val="single"/>
            <w:lang w:val="en-GB"/>
          </w:rPr>
          <w:t>http://www.medwolf.eu/index.php/cdpnews.ht</w:t>
        </w:r>
        <w:r>
          <w:rPr>
            <w:rFonts w:ascii="Verdana" w:hAnsi="Verdana"/>
            <w:noProof/>
            <w:sz w:val="18"/>
            <w:szCs w:val="18"/>
            <w:lang w:val="en-GB"/>
          </w:rPr>
          <w:t>ml</w:t>
        </w:r>
      </w:hyperlink>
      <w:r>
        <w:rPr>
          <w:rFonts w:ascii="Verdana" w:hAnsi="Verdana"/>
          <w:noProof/>
          <w:color w:val="0000FF"/>
          <w:sz w:val="18"/>
          <w:szCs w:val="18"/>
          <w:u w:val="single"/>
          <w:lang w:val="en-GB"/>
        </w:rPr>
        <w:t>;</w:t>
      </w:r>
    </w:p>
    <w:p>
      <w:pPr>
        <w:ind w:left="284"/>
        <w:rPr>
          <w:rFonts w:ascii="Verdana" w:eastAsia="DINOT" w:hAnsi="Verdana" w:cs="Verdana"/>
          <w:noProof/>
          <w:sz w:val="18"/>
          <w:lang w:val="en-GB"/>
        </w:rPr>
      </w:pPr>
      <w:hyperlink r:id="rId30" w:history="1">
        <w:r>
          <w:rPr>
            <w:rFonts w:ascii="Verdana" w:hAnsi="Verdana"/>
            <w:noProof/>
            <w:color w:val="0000FF"/>
            <w:sz w:val="18"/>
            <w:szCs w:val="18"/>
            <w:u w:val="single"/>
            <w:lang w:val="en-GB"/>
          </w:rPr>
          <w:t>http://www.protectiondestroupeaux.ch/en/cdpnews/</w:t>
        </w:r>
      </w:hyperlink>
    </w:p>
    <w:p>
      <w:pPr>
        <w:ind w:left="284" w:hanging="284"/>
        <w:rPr>
          <w:rFonts w:ascii="Verdana" w:hAnsi="Verdana"/>
          <w:noProof/>
          <w:sz w:val="18"/>
          <w:szCs w:val="18"/>
          <w:lang w:val="en-GB"/>
        </w:rPr>
      </w:pPr>
    </w:p>
    <w:p>
      <w:pPr>
        <w:spacing w:after="240"/>
        <w:ind w:left="284" w:hanging="284"/>
        <w:rPr>
          <w:rFonts w:ascii="Verdana" w:eastAsia="DINOT" w:hAnsi="Verdana"/>
          <w:noProof/>
          <w:sz w:val="18"/>
          <w:szCs w:val="18"/>
          <w:lang w:val="en-GB"/>
        </w:rPr>
      </w:pPr>
      <w:r>
        <w:rPr>
          <w:rFonts w:ascii="Verdana" w:hAnsi="Verdana"/>
          <w:noProof/>
          <w:sz w:val="18"/>
          <w:lang w:val="en-GB"/>
        </w:rPr>
        <w:t xml:space="preserve">Chapron, G., P. Kaczensky, J. Linnell, M. von Arx </w:t>
      </w:r>
      <w:r>
        <w:rPr>
          <w:rFonts w:ascii="Verdana" w:hAnsi="Verdana"/>
          <w:i/>
          <w:iCs/>
          <w:noProof/>
          <w:sz w:val="18"/>
          <w:lang w:val="en-GB"/>
        </w:rPr>
        <w:t>et al</w:t>
      </w:r>
      <w:r>
        <w:rPr>
          <w:rFonts w:ascii="Verdana" w:hAnsi="Verdana"/>
          <w:noProof/>
          <w:sz w:val="18"/>
          <w:lang w:val="en-GB"/>
        </w:rPr>
        <w:t xml:space="preserve">. </w:t>
      </w:r>
      <w:r>
        <w:rPr>
          <w:rFonts w:ascii="Verdana" w:hAnsi="Verdana"/>
          <w:noProof/>
          <w:sz w:val="18"/>
          <w:szCs w:val="18"/>
          <w:lang w:val="en-GB"/>
        </w:rPr>
        <w:t xml:space="preserve">(2014). «Recovery of large carnivores in Europe’s modern human-dominated landscapes», </w:t>
      </w:r>
      <w:r>
        <w:rPr>
          <w:rFonts w:ascii="Verdana" w:hAnsi="Verdana"/>
          <w:i/>
          <w:iCs/>
          <w:noProof/>
          <w:sz w:val="18"/>
          <w:szCs w:val="18"/>
          <w:lang w:val="en-GB"/>
        </w:rPr>
        <w:t>Science</w:t>
      </w:r>
      <w:r>
        <w:rPr>
          <w:rFonts w:ascii="Verdana" w:hAnsi="Verdana"/>
          <w:noProof/>
          <w:sz w:val="18"/>
          <w:szCs w:val="18"/>
          <w:lang w:val="en-GB"/>
        </w:rPr>
        <w:t>, 19 de dezembro de 2014: vol. 346, n.º 6216, pp. 1517-1519.</w:t>
      </w:r>
    </w:p>
    <w:p>
      <w:pPr>
        <w:spacing w:after="240"/>
        <w:ind w:left="284" w:hanging="284"/>
        <w:rPr>
          <w:rFonts w:ascii="Verdana" w:eastAsia="DINOT" w:hAnsi="Verdana"/>
          <w:noProof/>
          <w:sz w:val="18"/>
          <w:szCs w:val="18"/>
        </w:rPr>
      </w:pPr>
      <w:r>
        <w:rPr>
          <w:rFonts w:ascii="Verdana" w:hAnsi="Verdana"/>
          <w:noProof/>
          <w:sz w:val="18"/>
          <w:szCs w:val="18"/>
          <w:lang w:val="en-GB"/>
        </w:rPr>
        <w:t>Conselho da Europa (2014) «Recommendation no 173 (2014) on hybridisation between wild grey wolves (</w:t>
      </w:r>
      <w:r>
        <w:rPr>
          <w:rFonts w:ascii="Verdana" w:hAnsi="Verdana"/>
          <w:i/>
          <w:noProof/>
          <w:sz w:val="18"/>
          <w:szCs w:val="18"/>
          <w:lang w:val="en-GB"/>
        </w:rPr>
        <w:t>Canis lupus</w:t>
      </w:r>
      <w:r>
        <w:rPr>
          <w:rFonts w:ascii="Verdana" w:hAnsi="Verdana"/>
          <w:noProof/>
          <w:sz w:val="18"/>
          <w:szCs w:val="18"/>
          <w:lang w:val="en-GB"/>
        </w:rPr>
        <w:t>) and Domestic dogs (</w:t>
      </w:r>
      <w:r>
        <w:rPr>
          <w:rFonts w:ascii="Verdana" w:hAnsi="Verdana"/>
          <w:i/>
          <w:noProof/>
          <w:sz w:val="18"/>
          <w:szCs w:val="18"/>
          <w:lang w:val="en-GB"/>
        </w:rPr>
        <w:t>Canis lupus familiaris</w:t>
      </w:r>
      <w:r>
        <w:rPr>
          <w:rFonts w:ascii="Verdana" w:hAnsi="Verdana"/>
          <w:noProof/>
          <w:sz w:val="18"/>
          <w:szCs w:val="18"/>
          <w:lang w:val="en-GB"/>
        </w:rPr>
        <w:t xml:space="preserve">)». </w:t>
      </w:r>
      <w:hyperlink r:id="rId31" w:history="1">
        <w:r>
          <w:rPr>
            <w:rFonts w:ascii="Verdana" w:hAnsi="Verdana"/>
            <w:noProof/>
            <w:color w:val="0000FF"/>
            <w:sz w:val="18"/>
            <w:szCs w:val="18"/>
            <w:u w:val="single"/>
          </w:rPr>
          <w:t>https://rm.coe.int/0900001680746351</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Tribunal de Justiça da União Europeia (2007). Processo C-342/05. Acórdão do Tribunal (Segunda Secção) de 14 de junho de 2007. </w:t>
      </w:r>
      <w:r>
        <w:rPr>
          <w:rFonts w:ascii="Verdana" w:hAnsi="Verdana"/>
          <w:i/>
          <w:noProof/>
          <w:sz w:val="18"/>
          <w:szCs w:val="18"/>
        </w:rPr>
        <w:t>Comissão das Comunidades Europeias contra República da Finlândia.</w:t>
      </w:r>
      <w:r>
        <w:rPr>
          <w:rFonts w:ascii="Verdana" w:hAnsi="Verdana"/>
          <w:noProof/>
          <w:sz w:val="18"/>
          <w:szCs w:val="18"/>
        </w:rPr>
        <w:t xml:space="preserve"> Incumprimento de Estado — Diretiva 92/43/CEE — Conservação dos </w:t>
      </w:r>
      <w:r>
        <w:rPr>
          <w:rFonts w:ascii="Verdana" w:hAnsi="Verdana"/>
          <w:i/>
          <w:iCs/>
          <w:noProof/>
          <w:sz w:val="18"/>
          <w:szCs w:val="18"/>
        </w:rPr>
        <w:t>habitats</w:t>
      </w:r>
      <w:r>
        <w:rPr>
          <w:rFonts w:ascii="Verdana" w:hAnsi="Verdana"/>
          <w:noProof/>
          <w:sz w:val="18"/>
          <w:szCs w:val="18"/>
        </w:rPr>
        <w:t xml:space="preserve"> naturais — Fauna e flora selvagens — Caça ao lobo.</w:t>
      </w:r>
    </w:p>
    <w:p>
      <w:pPr>
        <w:spacing w:after="240"/>
        <w:ind w:left="284" w:hanging="284"/>
        <w:rPr>
          <w:rFonts w:ascii="Verdana" w:eastAsia="DINOT" w:hAnsi="Verdana"/>
          <w:noProof/>
          <w:color w:val="0000FF"/>
          <w:sz w:val="18"/>
          <w:szCs w:val="18"/>
          <w:u w:val="single"/>
          <w:lang w:val="en-GB"/>
        </w:rPr>
      </w:pPr>
      <w:r>
        <w:rPr>
          <w:rFonts w:ascii="Verdana" w:hAnsi="Verdana"/>
          <w:noProof/>
          <w:sz w:val="18"/>
          <w:lang w:val="en-GB"/>
        </w:rPr>
        <w:t xml:space="preserve">Ministério da Cultura da Croácia (2010) </w:t>
      </w:r>
      <w:r>
        <w:rPr>
          <w:rFonts w:ascii="Verdana" w:hAnsi="Verdana"/>
          <w:i/>
          <w:noProof/>
          <w:sz w:val="18"/>
          <w:lang w:val="en-GB"/>
        </w:rPr>
        <w:t>Wolf Management Plan in the Republic of Croatia for the period 2010–2015</w:t>
      </w:r>
      <w:r>
        <w:rPr>
          <w:rFonts w:ascii="Verdana" w:hAnsi="Verdana"/>
          <w:noProof/>
          <w:sz w:val="18"/>
          <w:lang w:val="en-GB"/>
        </w:rPr>
        <w:t xml:space="preserve">. </w:t>
      </w:r>
      <w:r>
        <w:rPr>
          <w:rFonts w:ascii="Verdana" w:hAnsi="Verdana"/>
          <w:noProof/>
          <w:color w:val="0000FF"/>
          <w:sz w:val="18"/>
          <w:szCs w:val="18"/>
          <w:u w:val="single"/>
          <w:lang w:val="en-GB"/>
        </w:rPr>
        <w:t>http://www.life-vuk.hr/eng/wolf-management-plan/wolf-management-plan-in-croatia/wolf-management-plan-in-the-republic-of-croatia-for-the-period-2010%E2%80%932015-837.html</w:t>
      </w:r>
    </w:p>
    <w:p>
      <w:pPr>
        <w:spacing w:after="240"/>
        <w:ind w:left="284" w:hanging="284"/>
        <w:rPr>
          <w:rFonts w:ascii="Verdana" w:eastAsia="DINOT" w:hAnsi="Verdana"/>
          <w:noProof/>
          <w:sz w:val="18"/>
          <w:szCs w:val="18"/>
          <w:lang w:val="en-GB"/>
        </w:rPr>
      </w:pPr>
      <w:r>
        <w:rPr>
          <w:rFonts w:ascii="Verdana" w:hAnsi="Verdana"/>
          <w:noProof/>
          <w:sz w:val="18"/>
          <w:szCs w:val="18"/>
          <w:lang w:val="en-GB"/>
        </w:rPr>
        <w:t>Decker, D. J., Brown, T. L. e Siemer, W. F. (2001</w:t>
      </w:r>
      <w:r>
        <w:rPr>
          <w:rFonts w:ascii="Verdana" w:hAnsi="Verdana"/>
          <w:i/>
          <w:noProof/>
          <w:sz w:val="18"/>
          <w:szCs w:val="18"/>
          <w:lang w:val="en-GB"/>
        </w:rPr>
        <w:t>). Human dimensions of wildlife management in North America</w:t>
      </w:r>
      <w:r>
        <w:rPr>
          <w:rFonts w:ascii="Verdana" w:hAnsi="Verdana"/>
          <w:noProof/>
          <w:sz w:val="18"/>
          <w:szCs w:val="18"/>
          <w:lang w:val="en-GB"/>
        </w:rPr>
        <w:t>. Bethesda, Maryland, EUA: The Wildlife Society.</w:t>
      </w:r>
    </w:p>
    <w:p>
      <w:pPr>
        <w:spacing w:after="240"/>
        <w:ind w:left="284" w:hanging="284"/>
        <w:rPr>
          <w:rFonts w:ascii="Verdana" w:eastAsia="DINOT" w:hAnsi="Verdana"/>
          <w:noProof/>
          <w:color w:val="0000FF"/>
          <w:sz w:val="18"/>
          <w:szCs w:val="18"/>
          <w:u w:val="single"/>
          <w:lang w:val="en-GB"/>
        </w:rPr>
      </w:pPr>
      <w:r>
        <w:rPr>
          <w:rFonts w:ascii="Verdana" w:hAnsi="Verdana"/>
          <w:noProof/>
          <w:sz w:val="18"/>
          <w:szCs w:val="18"/>
          <w:lang w:val="en-GB"/>
        </w:rPr>
        <w:t xml:space="preserve">DREAL (2018). Sítio Web da Direction regionale de l’Environnement, de l’Amènagement et du Logement: Données surs les dommages. </w:t>
      </w:r>
      <w:r>
        <w:rPr>
          <w:rFonts w:ascii="Verdana" w:hAnsi="Verdana"/>
          <w:noProof/>
          <w:color w:val="0000FF"/>
          <w:sz w:val="18"/>
          <w:szCs w:val="18"/>
          <w:u w:val="single"/>
          <w:lang w:val="en-GB"/>
        </w:rPr>
        <w:t>http://www.auvergne-rhone-alpes.developpement-durable.gouv.fr/protocole-dommages-a3854.html</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DBBW (2018). Sítio Web do die Dokumentations- und Beratungsstelle des Bundes zum Thema Wolf (DBBW). </w:t>
      </w:r>
      <w:hyperlink r:id="rId32" w:history="1">
        <w:r>
          <w:rPr>
            <w:rFonts w:ascii="Verdana" w:hAnsi="Verdana"/>
            <w:noProof/>
            <w:color w:val="0000FF"/>
            <w:sz w:val="18"/>
            <w:szCs w:val="18"/>
            <w:u w:val="single"/>
            <w:lang w:val="en-GB"/>
          </w:rPr>
          <w:t>https://www.dbb-wolf.de/</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Decker, D. J., Brown, T. L. e Siemer, W. F. (2001). </w:t>
      </w:r>
      <w:r>
        <w:rPr>
          <w:rFonts w:ascii="Verdana" w:hAnsi="Verdana"/>
          <w:i/>
          <w:noProof/>
          <w:sz w:val="18"/>
          <w:szCs w:val="18"/>
          <w:lang w:val="en-GB"/>
        </w:rPr>
        <w:t>Human dimensions of wildlife management in North America</w:t>
      </w:r>
      <w:r>
        <w:rPr>
          <w:rFonts w:ascii="Verdana" w:hAnsi="Verdana"/>
          <w:noProof/>
          <w:sz w:val="18"/>
          <w:szCs w:val="18"/>
          <w:lang w:val="en-GB"/>
        </w:rPr>
        <w:t>. Bethesda, Maryland, EUA: The Wildlife Society.</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Echegaray, J. e Vila, C. (2010). «Noninvasive monitoring of wolves at the edge of their distribution and the cost of their conservation». </w:t>
      </w:r>
      <w:r>
        <w:rPr>
          <w:rFonts w:ascii="Verdana" w:hAnsi="Verdana"/>
          <w:i/>
          <w:iCs/>
          <w:noProof/>
          <w:sz w:val="18"/>
          <w:szCs w:val="18"/>
          <w:lang w:val="en-GB"/>
        </w:rPr>
        <w:t>Animal Conservation</w:t>
      </w:r>
      <w:r>
        <w:rPr>
          <w:rFonts w:ascii="Verdana" w:hAnsi="Verdana"/>
          <w:noProof/>
          <w:sz w:val="18"/>
          <w:szCs w:val="18"/>
          <w:lang w:val="en-GB"/>
        </w:rPr>
        <w:t>, 13 (2): 157-161-.</w:t>
      </w:r>
    </w:p>
    <w:p>
      <w:pPr>
        <w:spacing w:after="240"/>
        <w:ind w:left="284" w:hanging="284"/>
        <w:rPr>
          <w:rFonts w:ascii="Verdana" w:hAnsi="Verdana"/>
          <w:noProof/>
          <w:sz w:val="18"/>
          <w:szCs w:val="18"/>
        </w:rPr>
      </w:pPr>
      <w:r>
        <w:rPr>
          <w:rFonts w:ascii="Verdana" w:hAnsi="Verdana"/>
          <w:noProof/>
          <w:sz w:val="18"/>
          <w:szCs w:val="18"/>
          <w:lang w:val="en-GB"/>
        </w:rPr>
        <w:t xml:space="preserve">Comissão Europeia (2017) «Golden Eagle conservation scheme — Finland», «Farming for Biodiversity — The results-based agri-environment schemes», sítio Web da Comissão Europeia. </w:t>
      </w:r>
      <w:hyperlink r:id="rId33" w:history="1">
        <w:r>
          <w:rPr>
            <w:rFonts w:ascii="Verdana" w:hAnsi="Verdana"/>
            <w:noProof/>
            <w:color w:val="0000FF"/>
            <w:sz w:val="18"/>
            <w:szCs w:val="18"/>
            <w:u w:val="single"/>
          </w:rPr>
          <w:t>http://ec.europa.eu/environment/nature/rbaps/fiche/golden-eagle-conservation-scheme-finland_en.htm</w:t>
        </w:r>
      </w:hyperlink>
    </w:p>
    <w:p>
      <w:pPr>
        <w:spacing w:after="240"/>
        <w:ind w:left="284" w:hanging="284"/>
        <w:rPr>
          <w:rFonts w:ascii="Verdana" w:eastAsia="DINOT" w:hAnsi="Verdana"/>
          <w:noProof/>
          <w:sz w:val="18"/>
          <w:szCs w:val="18"/>
        </w:rPr>
      </w:pPr>
      <w:r>
        <w:rPr>
          <w:rFonts w:ascii="Verdana" w:hAnsi="Verdana"/>
          <w:noProof/>
          <w:sz w:val="18"/>
          <w:szCs w:val="18"/>
        </w:rPr>
        <w:t xml:space="preserve">Plataforma GC da UE (2019) Plataforma da UE para a Coexistência entre o Homem e os Grandes Carnívoros, estudos de casos. </w:t>
      </w:r>
      <w:hyperlink r:id="rId34" w:history="1">
        <w:r>
          <w:rPr>
            <w:rFonts w:ascii="Verdana" w:hAnsi="Verdana"/>
            <w:noProof/>
            <w:color w:val="0000FF"/>
            <w:sz w:val="18"/>
            <w:szCs w:val="18"/>
            <w:u w:val="single"/>
          </w:rPr>
          <w:t>http://ec.europa.eu/environment/nature/conservation/species/carnivores/case_studies.htm</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Fernández-Gil A, Naves J, Ordiz A, Quevedo M, Revilla E, Delibes M (2016) «Conflict Misleads Large Carnivore Management and Conservation:</w:t>
      </w:r>
      <w:r>
        <w:rPr>
          <w:rFonts w:ascii="Verdana" w:hAnsi="Verdana"/>
          <w:i/>
          <w:noProof/>
          <w:sz w:val="18"/>
          <w:szCs w:val="18"/>
          <w:lang w:val="en-GB"/>
        </w:rPr>
        <w:t xml:space="preserve"> </w:t>
      </w:r>
      <w:r>
        <w:rPr>
          <w:rFonts w:ascii="Verdana" w:hAnsi="Verdana"/>
          <w:noProof/>
          <w:sz w:val="18"/>
          <w:szCs w:val="18"/>
          <w:lang w:val="en-GB"/>
        </w:rPr>
        <w:t xml:space="preserve">Brown Bears and Wolves in Spain». </w:t>
      </w:r>
      <w:r>
        <w:rPr>
          <w:rFonts w:ascii="Verdana" w:hAnsi="Verdana"/>
          <w:i/>
          <w:iCs/>
          <w:noProof/>
          <w:sz w:val="18"/>
          <w:szCs w:val="18"/>
          <w:lang w:val="en-GB"/>
        </w:rPr>
        <w:t>PLoS ONE</w:t>
      </w:r>
      <w:r>
        <w:rPr>
          <w:rFonts w:ascii="Verdana" w:hAnsi="Verdana"/>
          <w:noProof/>
          <w:sz w:val="18"/>
          <w:szCs w:val="18"/>
          <w:lang w:val="en-GB"/>
        </w:rPr>
        <w:t xml:space="preserve"> 11(3): e0151541. </w:t>
      </w:r>
      <w:hyperlink r:id="rId35" w:history="1">
        <w:r>
          <w:rPr>
            <w:rFonts w:ascii="Verdana" w:hAnsi="Verdana"/>
            <w:noProof/>
            <w:color w:val="0000FF"/>
            <w:sz w:val="18"/>
            <w:szCs w:val="18"/>
            <w:u w:val="single"/>
            <w:lang w:val="en-GB"/>
          </w:rPr>
          <w:t>https://doi.org/10.1371/journal.pone.0151541</w:t>
        </w:r>
      </w:hyperlink>
    </w:p>
    <w:p>
      <w:pPr>
        <w:spacing w:after="240"/>
        <w:ind w:left="284" w:hanging="284"/>
        <w:rPr>
          <w:rFonts w:ascii="Verdana" w:eastAsia="DINOT" w:hAnsi="Verdana"/>
          <w:noProof/>
          <w:sz w:val="18"/>
          <w:szCs w:val="18"/>
        </w:rPr>
      </w:pPr>
      <w:r>
        <w:rPr>
          <w:rFonts w:ascii="Verdana" w:hAnsi="Verdana"/>
          <w:noProof/>
          <w:sz w:val="18"/>
          <w:szCs w:val="18"/>
          <w:lang w:val="en-GB"/>
        </w:rPr>
        <w:t xml:space="preserve">Fernández-Gil, S. Cadete da Rocha Pereira, S Dias Ferreira Pinto, I. Di Silvestre (2018) </w:t>
      </w:r>
      <w:r>
        <w:rPr>
          <w:rFonts w:ascii="Verdana" w:hAnsi="Verdana"/>
          <w:i/>
          <w:noProof/>
          <w:sz w:val="18"/>
          <w:szCs w:val="18"/>
          <w:lang w:val="en-GB"/>
        </w:rPr>
        <w:t>Large Carnivore Management Plans of Protection: Best Practices in EU Member States.</w:t>
      </w:r>
      <w:r>
        <w:rPr>
          <w:rFonts w:ascii="Verdana" w:hAnsi="Verdana"/>
          <w:noProof/>
          <w:sz w:val="18"/>
          <w:szCs w:val="18"/>
          <w:lang w:val="en-GB"/>
        </w:rPr>
        <w:t xml:space="preserve"> </w:t>
      </w:r>
      <w:hyperlink r:id="rId36" w:history="1">
        <w:r>
          <w:rPr>
            <w:rFonts w:ascii="Verdana" w:hAnsi="Verdana"/>
            <w:noProof/>
            <w:color w:val="0000FF"/>
            <w:sz w:val="18"/>
            <w:szCs w:val="18"/>
            <w:u w:val="single"/>
          </w:rPr>
          <w:t>http://www.europarl.europa.eu/thinktank/en/document.html?reference=IPOL_STU(2018)596844</w:t>
        </w:r>
      </w:hyperlink>
    </w:p>
    <w:p>
      <w:pPr>
        <w:spacing w:after="240"/>
        <w:ind w:left="284" w:hanging="284"/>
        <w:rPr>
          <w:rFonts w:ascii="Verdana" w:eastAsia="DINOT" w:hAnsi="Verdana"/>
          <w:noProof/>
          <w:color w:val="0000FF"/>
          <w:sz w:val="18"/>
          <w:szCs w:val="18"/>
          <w:u w:val="single"/>
        </w:rPr>
      </w:pPr>
      <w:r>
        <w:rPr>
          <w:rFonts w:ascii="Verdana" w:hAnsi="Verdana"/>
          <w:noProof/>
          <w:sz w:val="18"/>
          <w:szCs w:val="18"/>
          <w:lang w:val="en-GB"/>
        </w:rPr>
        <w:t xml:space="preserve">GCG (2018) Grupo Campo Grande para la coexistencia del lobo y la ganaderia extensiva: «Declaration of the Campo Grande Group toward the coexistence of the iberian wolf and extensive stock-raising». </w:t>
      </w:r>
      <w:hyperlink r:id="rId37" w:history="1">
        <w:r>
          <w:rPr>
            <w:rFonts w:ascii="Verdana" w:hAnsi="Verdana"/>
            <w:noProof/>
            <w:color w:val="0000FF"/>
            <w:sz w:val="18"/>
            <w:szCs w:val="18"/>
            <w:u w:val="single"/>
          </w:rPr>
          <w:t>http://www.entretantos.org/wp-content/uploads/2018/08/DeclaracionGCG_v3_eng.pdf</w:t>
        </w:r>
      </w:hyperlink>
    </w:p>
    <w:p>
      <w:pPr>
        <w:spacing w:after="240"/>
        <w:ind w:left="284" w:hanging="284"/>
        <w:rPr>
          <w:rFonts w:ascii="Verdana" w:eastAsia="DINOT" w:hAnsi="Verdana"/>
          <w:noProof/>
          <w:sz w:val="18"/>
          <w:szCs w:val="18"/>
          <w:lang w:val="en-GB"/>
        </w:rPr>
      </w:pPr>
      <w:r>
        <w:rPr>
          <w:rFonts w:ascii="Verdana" w:hAnsi="Verdana"/>
          <w:noProof/>
          <w:sz w:val="18"/>
          <w:szCs w:val="18"/>
        </w:rPr>
        <w:t xml:space="preserve">Gtowaciflski, Z. e Profus, P. (1997). </w:t>
      </w:r>
      <w:r>
        <w:rPr>
          <w:rFonts w:ascii="Verdana" w:hAnsi="Verdana"/>
          <w:noProof/>
          <w:sz w:val="18"/>
          <w:szCs w:val="18"/>
          <w:lang w:val="en-GB"/>
        </w:rPr>
        <w:t xml:space="preserve">«Potential impact of wolves Canis lupus on prey populations in Eastern Poland». </w:t>
      </w:r>
      <w:r>
        <w:rPr>
          <w:rFonts w:ascii="Verdana" w:hAnsi="Verdana"/>
          <w:i/>
          <w:iCs/>
          <w:noProof/>
          <w:sz w:val="18"/>
          <w:szCs w:val="18"/>
          <w:lang w:val="en-GB"/>
        </w:rPr>
        <w:t>Biological Conservation</w:t>
      </w:r>
      <w:r>
        <w:rPr>
          <w:rFonts w:ascii="Verdana" w:hAnsi="Verdana"/>
          <w:noProof/>
          <w:sz w:val="18"/>
          <w:szCs w:val="18"/>
          <w:lang w:val="en-GB"/>
        </w:rPr>
        <w:t xml:space="preserve"> 80 (1997) 99-106.</w:t>
      </w:r>
    </w:p>
    <w:p>
      <w:pPr>
        <w:spacing w:after="240"/>
        <w:ind w:left="284" w:hanging="284"/>
        <w:rPr>
          <w:rFonts w:ascii="Verdana" w:eastAsia="DINOT" w:hAnsi="Verdana"/>
          <w:noProof/>
          <w:color w:val="0000FF"/>
          <w:sz w:val="18"/>
          <w:szCs w:val="18"/>
          <w:u w:val="single"/>
          <w:lang w:val="en-GB"/>
        </w:rPr>
      </w:pPr>
      <w:r>
        <w:rPr>
          <w:rFonts w:ascii="Verdana" w:hAnsi="Verdana"/>
          <w:noProof/>
          <w:sz w:val="18"/>
          <w:szCs w:val="18"/>
          <w:lang w:val="en-GB"/>
        </w:rPr>
        <w:t xml:space="preserve">Hovardas, T., K. Marsden, S. Psaroudas, Y. Mertzanis, K. Brandt (2017) </w:t>
      </w:r>
      <w:r>
        <w:rPr>
          <w:rFonts w:ascii="Verdana" w:hAnsi="Verdana"/>
          <w:i/>
          <w:noProof/>
          <w:sz w:val="18"/>
          <w:szCs w:val="18"/>
          <w:lang w:val="en-GB"/>
        </w:rPr>
        <w:t>Case studies for coexistence: examples of good practice in sup-porting coexistence between people and large carnivores</w:t>
      </w:r>
      <w:r>
        <w:rPr>
          <w:rFonts w:ascii="Verdana" w:hAnsi="Verdana"/>
          <w:noProof/>
          <w:sz w:val="18"/>
          <w:szCs w:val="18"/>
          <w:lang w:val="en-GB"/>
        </w:rPr>
        <w:t xml:space="preserve">. </w:t>
      </w:r>
      <w:r>
        <w:rPr>
          <w:rFonts w:ascii="Verdana" w:hAnsi="Verdana"/>
          <w:noProof/>
          <w:color w:val="0000FF"/>
          <w:sz w:val="18"/>
          <w:szCs w:val="18"/>
          <w:u w:val="single"/>
          <w:lang w:val="en-GB"/>
        </w:rPr>
        <w:t>http://ec.europa.eu/environment/nature/conservation/species/carnivores/pdf/144_case%20studies%20analysis%20report.pdf</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Kojola, I., P. Helle, S. Heikkinen (2011) «Susikannan viimeaikaiset muutokset Suomessa eri aineistojen valossa», </w:t>
      </w:r>
      <w:r>
        <w:rPr>
          <w:rFonts w:ascii="Verdana" w:hAnsi="Verdana"/>
          <w:i/>
          <w:iCs/>
          <w:noProof/>
          <w:sz w:val="18"/>
          <w:szCs w:val="18"/>
          <w:lang w:val="en-GB"/>
        </w:rPr>
        <w:t>Suomen Riista</w:t>
      </w:r>
      <w:r>
        <w:rPr>
          <w:rFonts w:ascii="Verdana" w:hAnsi="Verdana"/>
          <w:noProof/>
          <w:sz w:val="18"/>
          <w:szCs w:val="18"/>
          <w:lang w:val="en-GB"/>
        </w:rPr>
        <w:t xml:space="preserve"> 65: </w:t>
      </w:r>
      <w:hyperlink r:id="rId38" w:history="1">
        <w:r>
          <w:rPr>
            <w:rFonts w:ascii="Verdana" w:hAnsi="Verdana"/>
            <w:noProof/>
            <w:color w:val="0000FF"/>
            <w:sz w:val="18"/>
            <w:szCs w:val="18"/>
            <w:u w:val="single"/>
            <w:lang w:val="en-GB"/>
          </w:rPr>
          <w:t>http://jukuri.luke.fi/handle/10024/530616</w:t>
        </w:r>
      </w:hyperlink>
      <w:r>
        <w:rPr>
          <w:noProof/>
          <w:lang w:val="en-GB"/>
        </w:rPr>
        <w:t>.</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Kojola, I., Huitu, O., Toppinen, K., Heikura, K., Heikkinen, S. e Ronkainen, S. (2004). «Predation on European forest reindeer (Rangifer tarandus) by wolves (Canis lupus) in Finland». </w:t>
      </w:r>
      <w:r>
        <w:rPr>
          <w:rFonts w:ascii="Verdana" w:hAnsi="Verdana"/>
          <w:i/>
          <w:iCs/>
          <w:noProof/>
          <w:sz w:val="18"/>
          <w:szCs w:val="18"/>
          <w:lang w:val="en-GB"/>
        </w:rPr>
        <w:t>Journal of Zoology, London</w:t>
      </w:r>
      <w:r>
        <w:rPr>
          <w:rFonts w:ascii="Verdana" w:hAnsi="Verdana"/>
          <w:noProof/>
          <w:sz w:val="18"/>
          <w:szCs w:val="18"/>
          <w:lang w:val="en-GB"/>
        </w:rPr>
        <w:t>, 263(3): 229-236.</w:t>
      </w:r>
    </w:p>
    <w:p>
      <w:pPr>
        <w:spacing w:after="240"/>
        <w:ind w:left="284" w:hanging="284"/>
        <w:rPr>
          <w:rFonts w:ascii="Verdana" w:eastAsia="DINOT" w:hAnsi="Verdana"/>
          <w:noProof/>
          <w:sz w:val="18"/>
          <w:szCs w:val="18"/>
        </w:rPr>
      </w:pPr>
      <w:r>
        <w:rPr>
          <w:rFonts w:ascii="Verdana" w:hAnsi="Verdana"/>
          <w:noProof/>
          <w:sz w:val="18"/>
          <w:szCs w:val="18"/>
          <w:lang w:val="en-GB"/>
        </w:rPr>
        <w:t xml:space="preserve">KORA (2016) «Wolves living in proximity to humans». </w:t>
      </w:r>
      <w:hyperlink r:id="rId39" w:history="1">
        <w:r>
          <w:rPr>
            <w:rFonts w:ascii="Verdana" w:hAnsi="Verdana"/>
            <w:noProof/>
            <w:color w:val="0000FF"/>
            <w:sz w:val="18"/>
            <w:szCs w:val="18"/>
            <w:u w:val="single"/>
          </w:rPr>
          <w:t>https://www.kora.ch/fileadmin/file_sharing/5_Bibliothek/52_KORA_Publikationen/520_KORA_Berichte/KORA_Bericht_76_Wolves_living_in_proximity_to_humans.pdf</w:t>
        </w:r>
      </w:hyperlink>
    </w:p>
    <w:p>
      <w:pPr>
        <w:spacing w:after="240"/>
        <w:ind w:left="284" w:hanging="284"/>
        <w:rPr>
          <w:rFonts w:ascii="Verdana" w:hAnsi="Verdana"/>
          <w:noProof/>
          <w:sz w:val="18"/>
          <w:szCs w:val="18"/>
        </w:rPr>
      </w:pPr>
      <w:r>
        <w:rPr>
          <w:rFonts w:ascii="Verdana" w:hAnsi="Verdana"/>
          <w:noProof/>
          <w:sz w:val="18"/>
          <w:szCs w:val="18"/>
          <w:lang w:val="en-GB"/>
        </w:rPr>
        <w:t xml:space="preserve">Kontaktbüro Wölfe in Sachsen (2019), sítio Web do Kontaktbüro Wölfe in Sachsen. </w:t>
      </w:r>
      <w:hyperlink r:id="rId40" w:history="1">
        <w:r>
          <w:rPr>
            <w:rFonts w:ascii="Verdana" w:hAnsi="Verdana"/>
            <w:noProof/>
            <w:color w:val="0000FF"/>
            <w:sz w:val="18"/>
            <w:szCs w:val="18"/>
            <w:u w:val="single"/>
          </w:rPr>
          <w:t>https://www.wolf-sachsen.de/en/wolfsregion/the-contact-office</w:t>
        </w:r>
      </w:hyperlink>
    </w:p>
    <w:p>
      <w:pPr>
        <w:spacing w:after="240"/>
        <w:ind w:left="284" w:hanging="284"/>
        <w:rPr>
          <w:rFonts w:ascii="Verdana" w:eastAsia="DINOT" w:hAnsi="Verdana"/>
          <w:noProof/>
          <w:color w:val="0000FF"/>
          <w:sz w:val="18"/>
          <w:u w:val="single"/>
        </w:rPr>
      </w:pPr>
      <w:r>
        <w:rPr>
          <w:rFonts w:ascii="Verdana" w:hAnsi="Verdana"/>
          <w:noProof/>
          <w:sz w:val="18"/>
        </w:rPr>
        <w:t xml:space="preserve">LCIE (2018) Sítio Web da Large Carnivore Initiative for Europe. </w:t>
      </w:r>
      <w:hyperlink r:id="rId41" w:history="1">
        <w:r>
          <w:rPr>
            <w:rFonts w:ascii="Verdana" w:hAnsi="Verdana"/>
            <w:noProof/>
            <w:color w:val="0000FF"/>
            <w:sz w:val="18"/>
            <w:u w:val="single"/>
          </w:rPr>
          <w:t>http://www.lcie.org/Large-carnivores/Wolf-</w:t>
        </w:r>
      </w:hyperlink>
    </w:p>
    <w:p>
      <w:pPr>
        <w:spacing w:after="240"/>
        <w:ind w:left="284" w:hanging="284"/>
        <w:rPr>
          <w:rFonts w:ascii="Verdana" w:eastAsia="DINOT" w:hAnsi="Verdana"/>
          <w:noProof/>
          <w:sz w:val="18"/>
        </w:rPr>
      </w:pPr>
      <w:r>
        <w:rPr>
          <w:rFonts w:ascii="Verdana" w:hAnsi="Verdana"/>
          <w:noProof/>
          <w:sz w:val="18"/>
          <w:lang w:val="en-GB"/>
        </w:rPr>
        <w:t xml:space="preserve">LCIE (2019) «Policy support statements of the Large Carnivore Initiative for Europe (LCIE): Management of bold wolves». </w:t>
      </w:r>
      <w:r>
        <w:rPr>
          <w:rFonts w:ascii="Verdana" w:hAnsi="Verdana"/>
          <w:noProof/>
          <w:sz w:val="18"/>
          <w:lang w:val="en-GB"/>
        </w:rPr>
        <w:cr/>
      </w:r>
      <w:r>
        <w:rPr>
          <w:rFonts w:ascii="Verdana" w:hAnsi="Verdana"/>
          <w:noProof/>
          <w:sz w:val="18"/>
          <w:lang w:val="en-GB"/>
        </w:rPr>
        <w:br/>
      </w:r>
      <w:hyperlink r:id="rId42" w:history="1">
        <w:r>
          <w:rPr>
            <w:rStyle w:val="Hyperlink"/>
            <w:rFonts w:ascii="Verdana" w:hAnsi="Verdana"/>
            <w:noProof/>
            <w:sz w:val="18"/>
          </w:rPr>
          <w:t>https://lciepub.nina.no/pdf/636870453845842163_PPS_bold%20wolves.pdf</w:t>
        </w:r>
      </w:hyperlink>
      <w:r>
        <w:rPr>
          <w:rFonts w:ascii="Verdana" w:hAnsi="Verdana"/>
          <w:noProof/>
          <w:sz w:val="18"/>
        </w:rPr>
        <w:t xml:space="preserve"> </w:t>
      </w:r>
      <w:r>
        <w:rPr>
          <w:rFonts w:ascii="Verdana" w:hAnsi="Verdana"/>
          <w:noProof/>
          <w:sz w:val="18"/>
        </w:rPr>
        <w:cr/>
      </w:r>
      <w:r>
        <w:rPr>
          <w:rFonts w:ascii="Verdana" w:hAnsi="Verdana"/>
          <w:noProof/>
          <w:sz w:val="18"/>
        </w:rPr>
        <w:br/>
      </w:r>
    </w:p>
    <w:p>
      <w:pPr>
        <w:rPr>
          <w:rFonts w:ascii="Verdana" w:eastAsia="DINOT" w:hAnsi="Verdana"/>
          <w:i/>
          <w:noProof/>
          <w:sz w:val="18"/>
          <w:lang w:val="en-GB"/>
        </w:rPr>
      </w:pPr>
      <w:r>
        <w:rPr>
          <w:rFonts w:ascii="Verdana" w:hAnsi="Verdana"/>
          <w:noProof/>
          <w:sz w:val="18"/>
        </w:rPr>
        <w:t xml:space="preserve">Leonard, J. A., Echegaray, J., Randi, E. e Vilà, C. (2014). </w:t>
      </w:r>
      <w:r>
        <w:rPr>
          <w:rFonts w:ascii="Verdana" w:hAnsi="Verdana"/>
          <w:noProof/>
          <w:sz w:val="18"/>
          <w:lang w:val="en-GB"/>
        </w:rPr>
        <w:t>«Impact of hybridization on the conservation</w:t>
      </w:r>
    </w:p>
    <w:p>
      <w:pPr>
        <w:ind w:left="284"/>
        <w:rPr>
          <w:rFonts w:ascii="Verdana" w:eastAsia="DINOT" w:hAnsi="Verdana"/>
          <w:noProof/>
          <w:sz w:val="18"/>
          <w:lang w:val="en-GB"/>
        </w:rPr>
      </w:pPr>
      <w:r>
        <w:rPr>
          <w:rFonts w:ascii="Verdana" w:hAnsi="Verdana"/>
          <w:noProof/>
          <w:sz w:val="18"/>
          <w:lang w:val="en-GB"/>
        </w:rPr>
        <w:t xml:space="preserve">of wild canids, pp. 170-184. </w:t>
      </w:r>
      <w:r>
        <w:rPr>
          <w:rFonts w:ascii="Verdana" w:hAnsi="Verdana"/>
          <w:i/>
          <w:iCs/>
          <w:noProof/>
          <w:sz w:val="18"/>
          <w:lang w:val="en-GB"/>
        </w:rPr>
        <w:t>In</w:t>
      </w:r>
      <w:r>
        <w:rPr>
          <w:rFonts w:ascii="Verdana" w:hAnsi="Verdana"/>
          <w:noProof/>
          <w:sz w:val="18"/>
          <w:lang w:val="en-GB"/>
        </w:rPr>
        <w:t xml:space="preserve">: Gompper, M.E. (ed.). </w:t>
      </w:r>
      <w:r>
        <w:rPr>
          <w:rFonts w:ascii="Verdana" w:hAnsi="Verdana"/>
          <w:i/>
          <w:iCs/>
          <w:noProof/>
          <w:sz w:val="18"/>
          <w:lang w:val="en-GB"/>
        </w:rPr>
        <w:t>Free ranging dogs and wildlife conservation</w:t>
      </w:r>
      <w:r>
        <w:rPr>
          <w:rFonts w:ascii="Verdana" w:hAnsi="Verdana"/>
          <w:noProof/>
          <w:sz w:val="18"/>
          <w:lang w:val="en-GB"/>
        </w:rPr>
        <w:t>. Oxford University Press, Oxford, Reino Unido. 312 p.</w:t>
      </w:r>
    </w:p>
    <w:p>
      <w:pPr>
        <w:spacing w:after="240"/>
        <w:ind w:left="284" w:hanging="284"/>
        <w:rPr>
          <w:rFonts w:ascii="Verdana" w:eastAsia="DINOT" w:hAnsi="Verdana"/>
          <w:noProof/>
          <w:sz w:val="18"/>
          <w:lang w:val="en-GB"/>
        </w:rPr>
      </w:pPr>
    </w:p>
    <w:p>
      <w:pPr>
        <w:spacing w:after="240"/>
        <w:ind w:left="284" w:hanging="284"/>
        <w:rPr>
          <w:rFonts w:ascii="Verdana" w:eastAsia="DINOT" w:hAnsi="Verdana"/>
          <w:noProof/>
          <w:sz w:val="18"/>
          <w:lang w:val="en-GB"/>
        </w:rPr>
      </w:pPr>
      <w:r>
        <w:rPr>
          <w:rFonts w:ascii="Verdana" w:hAnsi="Verdana"/>
          <w:noProof/>
          <w:sz w:val="18"/>
          <w:lang w:val="en-GB"/>
        </w:rPr>
        <w:t xml:space="preserve">Liberg, O, G. Chapron, P. Wabakken, H. Pedersen, N. Hobbs, H. Sand (2011) «Shoot, shovel and shut up». </w:t>
      </w:r>
      <w:r>
        <w:rPr>
          <w:rFonts w:ascii="Verdana" w:hAnsi="Verdana"/>
          <w:i/>
          <w:iCs/>
          <w:noProof/>
          <w:sz w:val="18"/>
          <w:lang w:val="en-GB"/>
        </w:rPr>
        <w:t>Proceedings of the Royal Society B</w:t>
      </w:r>
      <w:r>
        <w:rPr>
          <w:rFonts w:ascii="Verdana" w:hAnsi="Verdana"/>
          <w:noProof/>
          <w:sz w:val="18"/>
          <w:lang w:val="en-GB"/>
        </w:rPr>
        <w:t xml:space="preserve">: volume 279, n.º 1730. </w:t>
      </w:r>
      <w:hyperlink r:id="rId43" w:history="1">
        <w:r>
          <w:rPr>
            <w:rFonts w:ascii="Verdana" w:hAnsi="Verdana"/>
            <w:noProof/>
            <w:color w:val="0000FF"/>
            <w:sz w:val="18"/>
            <w:u w:val="single"/>
            <w:lang w:val="en-GB"/>
          </w:rPr>
          <w:t>https://doi.org/10.1098/rspb.2011.1275</w:t>
        </w:r>
      </w:hyperlink>
    </w:p>
    <w:p>
      <w:pPr>
        <w:spacing w:after="240"/>
        <w:ind w:left="284" w:hanging="284"/>
        <w:rPr>
          <w:rFonts w:ascii="Verdana" w:eastAsia="DINOT" w:hAnsi="Verdana"/>
          <w:noProof/>
          <w:sz w:val="18"/>
        </w:rPr>
      </w:pPr>
      <w:r>
        <w:rPr>
          <w:rFonts w:ascii="Verdana" w:hAnsi="Verdana"/>
          <w:noProof/>
          <w:sz w:val="18"/>
          <w:lang w:val="en-GB"/>
        </w:rPr>
        <w:t xml:space="preserve">LIFE DINALP BEAR (2016)«Non-consumptive use of brown bears in tourism: guidelines for responsible practices». </w:t>
      </w:r>
      <w:hyperlink r:id="rId44" w:history="1">
        <w:r>
          <w:rPr>
            <w:rFonts w:ascii="Verdana" w:hAnsi="Verdana"/>
            <w:noProof/>
            <w:color w:val="0000FF"/>
            <w:sz w:val="18"/>
            <w:u w:val="single"/>
          </w:rPr>
          <w:t>http://dinalpbear.eu/wp-content/uploads/Odgovorno-opazovanje-medvedov-v-severnih-Dinaridih_EN_web.pdf</w:t>
        </w:r>
      </w:hyperlink>
    </w:p>
    <w:p>
      <w:pPr>
        <w:spacing w:after="240"/>
        <w:ind w:left="284" w:hanging="284"/>
        <w:rPr>
          <w:rFonts w:ascii="Verdana" w:hAnsi="Verdana"/>
          <w:noProof/>
          <w:sz w:val="18"/>
          <w:szCs w:val="18"/>
          <w:lang w:val="en-GB"/>
        </w:rPr>
      </w:pPr>
      <w:r>
        <w:rPr>
          <w:rFonts w:ascii="Verdana" w:hAnsi="Verdana"/>
          <w:noProof/>
          <w:sz w:val="18"/>
          <w:szCs w:val="18"/>
          <w:lang w:val="en-GB"/>
        </w:rPr>
        <w:t xml:space="preserve">LIFE EUROLARGECARNIVORES (2019) LIFE EUROLARGECARNIVORES: «Improving coexistence with large carnivores». </w:t>
      </w:r>
      <w:hyperlink r:id="rId45" w:history="1">
        <w:r>
          <w:rPr>
            <w:rFonts w:ascii="Verdana" w:hAnsi="Verdana"/>
            <w:noProof/>
            <w:color w:val="0000FF"/>
            <w:sz w:val="18"/>
            <w:szCs w:val="18"/>
            <w:u w:val="single"/>
            <w:lang w:val="en-GB"/>
          </w:rPr>
          <w:t>https://www.eurolargecarnivores.eu/en/</w:t>
        </w:r>
      </w:hyperlink>
    </w:p>
    <w:p>
      <w:pPr>
        <w:spacing w:after="240"/>
        <w:ind w:left="284" w:hanging="284"/>
        <w:rPr>
          <w:rFonts w:ascii="Verdana" w:eastAsia="DINOT" w:hAnsi="Verdana"/>
          <w:noProof/>
          <w:sz w:val="18"/>
          <w:lang w:val="en-GB"/>
        </w:rPr>
      </w:pPr>
      <w:r>
        <w:rPr>
          <w:rFonts w:ascii="Verdana" w:hAnsi="Verdana"/>
          <w:noProof/>
          <w:sz w:val="18"/>
          <w:lang w:val="en-GB"/>
        </w:rPr>
        <w:t>Linnell e Alleau (2016) «Predators That Kill Humans:</w:t>
      </w:r>
      <w:r>
        <w:rPr>
          <w:rFonts w:ascii="Verdana" w:hAnsi="Verdana"/>
          <w:i/>
          <w:noProof/>
          <w:sz w:val="18"/>
          <w:lang w:val="en-GB"/>
        </w:rPr>
        <w:t xml:space="preserve"> </w:t>
      </w:r>
      <w:r>
        <w:rPr>
          <w:rFonts w:ascii="Verdana" w:hAnsi="Verdana"/>
          <w:noProof/>
          <w:sz w:val="18"/>
          <w:lang w:val="en-GB"/>
        </w:rPr>
        <w:t xml:space="preserve">Myth, Reality, Context and the Politics of Wolf Attacks on People». </w:t>
      </w:r>
      <w:r>
        <w:rPr>
          <w:rFonts w:ascii="Verdana" w:hAnsi="Verdana"/>
          <w:i/>
          <w:iCs/>
          <w:noProof/>
          <w:sz w:val="18"/>
          <w:lang w:val="en-GB"/>
        </w:rPr>
        <w:t>Problematic Wildlife</w:t>
      </w:r>
      <w:r>
        <w:rPr>
          <w:rFonts w:ascii="Verdana" w:hAnsi="Verdana"/>
          <w:noProof/>
          <w:sz w:val="18"/>
          <w:lang w:val="en-GB"/>
        </w:rPr>
        <w:t xml:space="preserve">, DOI: 10.1007/978-3-319-22246-2_17: </w:t>
      </w:r>
      <w:hyperlink r:id="rId46" w:history="1">
        <w:r>
          <w:rPr>
            <w:rFonts w:ascii="Verdana" w:hAnsi="Verdana"/>
            <w:noProof/>
            <w:color w:val="0000FF"/>
            <w:sz w:val="18"/>
            <w:u w:val="single"/>
            <w:lang w:val="en-GB"/>
          </w:rPr>
          <w:t>https://www.researchgate.net/publication/301267098_Predators_That_Kill_Humans_Myth_Reality_Context_and_the_Politics_of_Wolf_Attacks_on_People</w:t>
        </w:r>
      </w:hyperlink>
      <w:r>
        <w:rPr>
          <w:noProof/>
          <w:lang w:val="en-GB"/>
        </w:rPr>
        <w:t>.</w:t>
      </w:r>
    </w:p>
    <w:p>
      <w:pPr>
        <w:spacing w:after="240"/>
        <w:ind w:left="284" w:hanging="284"/>
        <w:rPr>
          <w:rFonts w:ascii="Verdana" w:eastAsia="DINOT" w:hAnsi="Verdana"/>
          <w:noProof/>
          <w:sz w:val="18"/>
        </w:rPr>
      </w:pPr>
      <w:r>
        <w:rPr>
          <w:rFonts w:ascii="Verdana" w:hAnsi="Verdana"/>
          <w:noProof/>
          <w:sz w:val="18"/>
          <w:lang w:val="en-GB"/>
        </w:rPr>
        <w:t xml:space="preserve">Linnell, J. </w:t>
      </w:r>
      <w:r>
        <w:rPr>
          <w:rFonts w:ascii="Verdana" w:hAnsi="Verdana"/>
          <w:i/>
          <w:iCs/>
          <w:noProof/>
          <w:sz w:val="18"/>
          <w:lang w:val="en-GB"/>
        </w:rPr>
        <w:t>et al</w:t>
      </w:r>
      <w:r>
        <w:rPr>
          <w:rFonts w:ascii="Verdana" w:hAnsi="Verdana"/>
          <w:noProof/>
          <w:sz w:val="18"/>
          <w:lang w:val="en-GB"/>
        </w:rPr>
        <w:t xml:space="preserve">. </w:t>
      </w:r>
      <w:r>
        <w:rPr>
          <w:rFonts w:ascii="Verdana" w:hAnsi="Verdana"/>
          <w:noProof/>
          <w:sz w:val="18"/>
          <w:szCs w:val="18"/>
          <w:lang w:val="en-GB"/>
        </w:rPr>
        <w:t xml:space="preserve">(2002). </w:t>
      </w:r>
      <w:r>
        <w:rPr>
          <w:rFonts w:ascii="Verdana" w:hAnsi="Verdana"/>
          <w:i/>
          <w:noProof/>
          <w:sz w:val="18"/>
          <w:szCs w:val="18"/>
          <w:lang w:val="en-GB"/>
        </w:rPr>
        <w:t>The fear of wolves: A review of wolf attacks on humans</w:t>
      </w:r>
      <w:r>
        <w:rPr>
          <w:rFonts w:ascii="Verdana" w:hAnsi="Verdana"/>
          <w:noProof/>
          <w:sz w:val="18"/>
          <w:szCs w:val="18"/>
          <w:lang w:val="en-GB"/>
        </w:rPr>
        <w:t xml:space="preserve">. </w:t>
      </w:r>
      <w:r>
        <w:rPr>
          <w:rFonts w:ascii="Verdana" w:hAnsi="Verdana"/>
          <w:noProof/>
          <w:sz w:val="18"/>
        </w:rPr>
        <w:t xml:space="preserve">NINA Oppdragsmelding 731:1-65 Trondheim, janeiro de 2002. </w:t>
      </w:r>
      <w:hyperlink r:id="rId47" w:history="1">
        <w:r>
          <w:rPr>
            <w:rFonts w:ascii="Verdana" w:hAnsi="Verdana"/>
            <w:noProof/>
            <w:color w:val="0000FF"/>
            <w:sz w:val="18"/>
            <w:u w:val="single"/>
          </w:rPr>
          <w:t>https://mobil.wwf.de/fileadmin/fm-wwf/Publikationen-PDF/2002.Review.wolf.attacks.pdf</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Linnell, J. D. C., Brøseth, H., Solberg, E. J. e Brainerd, S. M. (2005). «The origins of the southern Scandinavian wolf population:</w:t>
      </w:r>
      <w:r>
        <w:rPr>
          <w:rFonts w:ascii="Verdana" w:hAnsi="Verdana"/>
          <w:i/>
          <w:noProof/>
          <w:sz w:val="18"/>
          <w:szCs w:val="18"/>
          <w:lang w:val="en-GB"/>
        </w:rPr>
        <w:t xml:space="preserve"> </w:t>
      </w:r>
      <w:r>
        <w:rPr>
          <w:rFonts w:ascii="Verdana" w:hAnsi="Verdana"/>
          <w:noProof/>
          <w:sz w:val="18"/>
          <w:szCs w:val="18"/>
          <w:lang w:val="en-GB"/>
        </w:rPr>
        <w:t xml:space="preserve">potential for natural immigration in relation to dispersal distances, geography and Baltic ice». </w:t>
      </w:r>
      <w:r>
        <w:rPr>
          <w:rFonts w:ascii="Verdana" w:hAnsi="Verdana"/>
          <w:i/>
          <w:iCs/>
          <w:noProof/>
          <w:sz w:val="18"/>
          <w:szCs w:val="18"/>
          <w:lang w:val="en-GB"/>
        </w:rPr>
        <w:t>Wildlife Biology</w:t>
      </w:r>
      <w:r>
        <w:rPr>
          <w:rFonts w:ascii="Verdana" w:hAnsi="Verdana"/>
          <w:noProof/>
          <w:sz w:val="18"/>
          <w:szCs w:val="18"/>
          <w:lang w:val="en-GB"/>
        </w:rPr>
        <w:t xml:space="preserve"> 11: 383-391.</w:t>
      </w:r>
    </w:p>
    <w:p>
      <w:pPr>
        <w:spacing w:after="240"/>
        <w:ind w:left="284" w:hanging="284"/>
        <w:rPr>
          <w:rFonts w:ascii="Verdana" w:eastAsia="DINOT" w:hAnsi="Verdana"/>
          <w:noProof/>
          <w:sz w:val="18"/>
          <w:szCs w:val="18"/>
          <w:lang w:val="en-GB"/>
        </w:rPr>
      </w:pPr>
      <w:r>
        <w:rPr>
          <w:rFonts w:ascii="Verdana" w:hAnsi="Verdana"/>
          <w:noProof/>
          <w:sz w:val="18"/>
          <w:szCs w:val="18"/>
          <w:lang w:val="en-GB"/>
        </w:rPr>
        <w:t>Linnell, J. D. C., Nilsen, E. B., Lande, U. S., Herfindal, I., Odden, J., Skogen, K., Andersen, R. e Breitenmoser, U. (2005). «Zoning as a means of mitigating conflicts with large carnivores:</w:t>
      </w:r>
      <w:r>
        <w:rPr>
          <w:rFonts w:ascii="Verdana" w:hAnsi="Verdana"/>
          <w:i/>
          <w:noProof/>
          <w:sz w:val="18"/>
          <w:szCs w:val="18"/>
          <w:lang w:val="en-GB"/>
        </w:rPr>
        <w:t xml:space="preserve"> </w:t>
      </w:r>
      <w:r>
        <w:rPr>
          <w:rFonts w:ascii="Verdana" w:hAnsi="Verdana"/>
          <w:noProof/>
          <w:sz w:val="18"/>
          <w:szCs w:val="18"/>
          <w:lang w:val="en-GB"/>
        </w:rPr>
        <w:t>principles and reality».</w:t>
      </w:r>
      <w:r>
        <w:rPr>
          <w:rFonts w:ascii="Verdana" w:hAnsi="Verdana"/>
          <w:i/>
          <w:noProof/>
          <w:sz w:val="18"/>
          <w:szCs w:val="18"/>
          <w:lang w:val="en-GB"/>
        </w:rPr>
        <w:t xml:space="preserve"> People &amp; Wildlife: conflict or co-existence?,</w:t>
      </w:r>
      <w:r>
        <w:rPr>
          <w:rFonts w:ascii="Verdana" w:hAnsi="Verdana"/>
          <w:noProof/>
          <w:sz w:val="18"/>
          <w:szCs w:val="18"/>
          <w:lang w:val="en-GB"/>
        </w:rPr>
        <w:t xml:space="preserve"> pp. 162-175. Woodroffe, R., Thirgood, S. e Rabinowitz, A. (eds.). Cambridge: Cambridge University Press.</w:t>
      </w:r>
    </w:p>
    <w:p>
      <w:pPr>
        <w:spacing w:after="240"/>
        <w:ind w:left="284" w:hanging="284"/>
        <w:rPr>
          <w:rFonts w:ascii="Verdana" w:eastAsia="DINOT" w:hAnsi="Verdana"/>
          <w:noProof/>
          <w:sz w:val="18"/>
          <w:szCs w:val="18"/>
          <w:lang w:val="en-GB"/>
        </w:rPr>
      </w:pPr>
      <w:r>
        <w:rPr>
          <w:rFonts w:ascii="Verdana" w:hAnsi="Verdana"/>
          <w:noProof/>
          <w:sz w:val="18"/>
          <w:szCs w:val="18"/>
          <w:lang w:val="en-GB"/>
        </w:rPr>
        <w:t>Linnell, J.D.C., Odeen J., Smith, M.E, Aanes, r. e Swenson, J.E. (1999) «Large carnivores that kill livestock:</w:t>
      </w:r>
      <w:r>
        <w:rPr>
          <w:rFonts w:ascii="Verdana" w:hAnsi="Verdana"/>
          <w:i/>
          <w:noProof/>
          <w:sz w:val="18"/>
          <w:szCs w:val="18"/>
          <w:lang w:val="en-GB"/>
        </w:rPr>
        <w:t xml:space="preserve"> </w:t>
      </w:r>
      <w:r>
        <w:rPr>
          <w:rFonts w:ascii="Verdana" w:hAnsi="Verdana"/>
          <w:noProof/>
          <w:sz w:val="18"/>
          <w:szCs w:val="18"/>
          <w:lang w:val="en-GB"/>
        </w:rPr>
        <w:t xml:space="preserve">do ‘problem individuals’ really exist?». </w:t>
      </w:r>
      <w:r>
        <w:rPr>
          <w:rFonts w:ascii="Verdana" w:hAnsi="Verdana"/>
          <w:i/>
          <w:iCs/>
          <w:noProof/>
          <w:sz w:val="18"/>
          <w:szCs w:val="18"/>
          <w:lang w:val="en-GB"/>
        </w:rPr>
        <w:t>Wildlife Society Bulletin</w:t>
      </w:r>
      <w:r>
        <w:rPr>
          <w:rFonts w:ascii="Verdana" w:hAnsi="Verdana"/>
          <w:noProof/>
          <w:sz w:val="18"/>
          <w:szCs w:val="18"/>
          <w:lang w:val="en-GB"/>
        </w:rPr>
        <w:t xml:space="preserve"> 1999, 27(3):698-705.</w:t>
      </w:r>
    </w:p>
    <w:p>
      <w:pPr>
        <w:ind w:left="284" w:hanging="284"/>
        <w:jc w:val="both"/>
        <w:rPr>
          <w:rFonts w:ascii="Verdana" w:hAnsi="Verdana"/>
          <w:noProof/>
          <w:sz w:val="18"/>
          <w:szCs w:val="18"/>
          <w:lang w:val="en-GB"/>
        </w:rPr>
      </w:pPr>
      <w:r>
        <w:rPr>
          <w:rFonts w:ascii="Verdana" w:hAnsi="Verdana"/>
          <w:noProof/>
          <w:sz w:val="18"/>
          <w:szCs w:val="20"/>
          <w:lang w:val="en-GB"/>
        </w:rPr>
        <w:t>Linnell</w:t>
      </w:r>
      <w:r>
        <w:rPr>
          <w:rFonts w:ascii="Verdana" w:hAnsi="Verdana"/>
          <w:noProof/>
          <w:sz w:val="18"/>
          <w:szCs w:val="18"/>
          <w:lang w:val="en-GB"/>
        </w:rPr>
        <w:t>, J. D. C., Promberger, C., Boitani, L., Swenson, J. E., Breitenmoser, U. e Andersen, R. (2005). «The linkage between conservation strategies for large carnivores and biodiversity:</w:t>
      </w:r>
      <w:r>
        <w:rPr>
          <w:rFonts w:ascii="Verdana" w:hAnsi="Verdana"/>
          <w:i/>
          <w:noProof/>
          <w:sz w:val="18"/>
          <w:szCs w:val="18"/>
          <w:lang w:val="en-GB"/>
        </w:rPr>
        <w:t xml:space="preserve"> </w:t>
      </w:r>
      <w:r>
        <w:rPr>
          <w:rFonts w:ascii="Verdana" w:hAnsi="Verdana"/>
          <w:noProof/>
          <w:sz w:val="18"/>
          <w:szCs w:val="18"/>
          <w:lang w:val="en-GB"/>
        </w:rPr>
        <w:t xml:space="preserve">the view from the ‘half-full’ forests of Europe». </w:t>
      </w:r>
      <w:r>
        <w:rPr>
          <w:rFonts w:ascii="Verdana" w:hAnsi="Verdana"/>
          <w:i/>
          <w:iCs/>
          <w:noProof/>
          <w:sz w:val="18"/>
          <w:szCs w:val="18"/>
          <w:lang w:val="en-GB"/>
        </w:rPr>
        <w:t>Carnivorous animals and biodiversity:</w:t>
      </w:r>
      <w:r>
        <w:rPr>
          <w:rFonts w:ascii="Verdana" w:hAnsi="Verdana"/>
          <w:noProof/>
          <w:sz w:val="18"/>
          <w:szCs w:val="18"/>
          <w:lang w:val="en-GB"/>
        </w:rPr>
        <w:t xml:space="preserve"> </w:t>
      </w:r>
      <w:r>
        <w:rPr>
          <w:rFonts w:ascii="Verdana" w:hAnsi="Verdana"/>
          <w:i/>
          <w:noProof/>
          <w:sz w:val="18"/>
          <w:szCs w:val="18"/>
          <w:lang w:val="en-GB"/>
        </w:rPr>
        <w:t>does conserving one save the other?</w:t>
      </w:r>
      <w:r>
        <w:rPr>
          <w:rFonts w:ascii="Verdana" w:hAnsi="Verdana"/>
          <w:noProof/>
          <w:sz w:val="18"/>
          <w:szCs w:val="18"/>
          <w:lang w:val="en-GB"/>
        </w:rPr>
        <w:t>, pp. 381-398. Ray, J. C., Redford, K. H., Steneck, R. S. e Berger, J. (eds.). Washington: Island Press.</w:t>
      </w:r>
    </w:p>
    <w:p>
      <w:pPr>
        <w:ind w:left="284" w:hanging="284"/>
        <w:jc w:val="both"/>
        <w:rPr>
          <w:rFonts w:ascii="Verdana" w:hAnsi="Verdana"/>
          <w:noProof/>
          <w:sz w:val="18"/>
          <w:szCs w:val="18"/>
          <w:lang w:val="en-GB"/>
        </w:rPr>
      </w:pPr>
    </w:p>
    <w:p>
      <w:pPr>
        <w:spacing w:after="240"/>
        <w:ind w:left="284" w:hanging="284"/>
        <w:rPr>
          <w:rFonts w:ascii="Verdana" w:eastAsia="DINOT" w:hAnsi="Verdana"/>
          <w:noProof/>
          <w:sz w:val="18"/>
          <w:szCs w:val="18"/>
        </w:rPr>
      </w:pPr>
      <w:r>
        <w:rPr>
          <w:rFonts w:ascii="Verdana" w:hAnsi="Verdana"/>
          <w:noProof/>
          <w:sz w:val="18"/>
          <w:szCs w:val="18"/>
          <w:lang w:val="en-GB"/>
        </w:rPr>
        <w:t xml:space="preserve">Linnell J., V. Salvatori e L. Boitani (2008). </w:t>
      </w:r>
      <w:r>
        <w:rPr>
          <w:rFonts w:ascii="Verdana" w:hAnsi="Verdana"/>
          <w:i/>
          <w:iCs/>
          <w:noProof/>
          <w:sz w:val="18"/>
          <w:szCs w:val="18"/>
          <w:lang w:val="en-GB"/>
        </w:rPr>
        <w:t>Guidelines for population level management plans for large carnivores in Europe</w:t>
      </w:r>
      <w:r>
        <w:rPr>
          <w:rFonts w:ascii="Verdana" w:hAnsi="Verdana"/>
          <w:noProof/>
          <w:sz w:val="18"/>
          <w:szCs w:val="18"/>
          <w:lang w:val="en-GB"/>
        </w:rPr>
        <w:t xml:space="preserve">. </w:t>
      </w:r>
      <w:r>
        <w:rPr>
          <w:rFonts w:ascii="Verdana" w:hAnsi="Verdana"/>
          <w:noProof/>
          <w:sz w:val="18"/>
          <w:szCs w:val="18"/>
        </w:rPr>
        <w:t xml:space="preserve">Relatório da Large Carnivore Initiative for Europe elaborado para a Comissão Europeia (contrato 070501/2005/424162/MAR/B2). </w:t>
      </w:r>
      <w:hyperlink r:id="rId48" w:history="1">
        <w:r>
          <w:rPr>
            <w:rFonts w:ascii="Verdana" w:hAnsi="Verdana"/>
            <w:noProof/>
            <w:color w:val="0000FF"/>
            <w:sz w:val="18"/>
            <w:szCs w:val="18"/>
            <w:u w:val="single"/>
          </w:rPr>
          <w:t>http://ec.europa.eu/environment/nature/conservation/species/carnivores/pdf/guidelines_for_population_level_management.pdf</w:t>
        </w:r>
      </w:hyperlink>
    </w:p>
    <w:p>
      <w:pPr>
        <w:spacing w:after="240"/>
        <w:ind w:left="284" w:hanging="284"/>
        <w:rPr>
          <w:rFonts w:ascii="Verdana" w:eastAsia="DINOT" w:hAnsi="Verdana"/>
          <w:noProof/>
          <w:sz w:val="18"/>
          <w:szCs w:val="18"/>
        </w:rPr>
      </w:pPr>
      <w:r>
        <w:rPr>
          <w:rFonts w:ascii="Verdana" w:hAnsi="Verdana"/>
          <w:noProof/>
          <w:sz w:val="18"/>
          <w:szCs w:val="18"/>
          <w:lang w:val="en-GB"/>
        </w:rPr>
        <w:t xml:space="preserve">Linnell, J. (2013). </w:t>
      </w:r>
      <w:r>
        <w:rPr>
          <w:rFonts w:ascii="Verdana" w:hAnsi="Verdana"/>
          <w:i/>
          <w:iCs/>
          <w:noProof/>
          <w:sz w:val="18"/>
          <w:szCs w:val="18"/>
          <w:lang w:val="en-GB"/>
        </w:rPr>
        <w:t>From conflict to coexistence</w:t>
      </w:r>
      <w:r>
        <w:rPr>
          <w:rFonts w:ascii="Verdana" w:hAnsi="Verdana"/>
          <w:noProof/>
          <w:sz w:val="18"/>
          <w:szCs w:val="18"/>
          <w:lang w:val="en-GB"/>
        </w:rPr>
        <w:t xml:space="preserve">: </w:t>
      </w:r>
      <w:r>
        <w:rPr>
          <w:rFonts w:ascii="Verdana" w:hAnsi="Verdana"/>
          <w:i/>
          <w:noProof/>
          <w:sz w:val="18"/>
          <w:szCs w:val="18"/>
          <w:lang w:val="en-GB"/>
        </w:rPr>
        <w:t>insights from multi-disciplinary research into the relationships between people, large carnivores and institutions</w:t>
      </w:r>
      <w:r>
        <w:rPr>
          <w:rFonts w:ascii="Verdana" w:hAnsi="Verdana"/>
          <w:noProof/>
          <w:sz w:val="18"/>
          <w:szCs w:val="18"/>
          <w:lang w:val="en-GB"/>
        </w:rPr>
        <w:t xml:space="preserve"> (contrato N°070307/2012/629085/SER/B3). </w:t>
      </w:r>
      <w:r>
        <w:rPr>
          <w:rFonts w:ascii="Verdana" w:hAnsi="Verdana"/>
          <w:noProof/>
          <w:sz w:val="18"/>
          <w:szCs w:val="18"/>
        </w:rPr>
        <w:t xml:space="preserve">John D. C. Linnell, Instituto Norueguês de Investigação sobre a Natureza (NINA), PO Box 5685 Sluppen, NO-7485 Trondheim, Noruega. 2013. </w:t>
      </w:r>
      <w:hyperlink r:id="rId49" w:history="1">
        <w:r>
          <w:rPr>
            <w:rFonts w:ascii="Verdana" w:hAnsi="Verdana"/>
            <w:noProof/>
            <w:color w:val="0000FF"/>
            <w:sz w:val="18"/>
            <w:szCs w:val="18"/>
            <w:u w:val="single"/>
          </w:rPr>
          <w:t>http://ec.europa.eu/environment/nature/conservation/species/carnivores/pdf/task_4_conflict_coexistence.pdf</w:t>
        </w:r>
      </w:hyperlink>
    </w:p>
    <w:p>
      <w:pPr>
        <w:spacing w:after="240"/>
        <w:ind w:left="284" w:hanging="284"/>
        <w:rPr>
          <w:rFonts w:ascii="Verdana" w:eastAsia="DINOT" w:hAnsi="Verdana"/>
          <w:noProof/>
          <w:sz w:val="18"/>
          <w:szCs w:val="18"/>
        </w:rPr>
      </w:pPr>
      <w:r>
        <w:rPr>
          <w:rFonts w:ascii="Verdana" w:hAnsi="Verdana"/>
          <w:noProof/>
          <w:sz w:val="18"/>
          <w:szCs w:val="18"/>
          <w:lang w:val="en-GB"/>
        </w:rPr>
        <w:t xml:space="preserve">Linnell, J. (2014) </w:t>
      </w:r>
      <w:r>
        <w:rPr>
          <w:rFonts w:ascii="Verdana" w:hAnsi="Verdana"/>
          <w:i/>
          <w:noProof/>
          <w:sz w:val="18"/>
          <w:szCs w:val="18"/>
          <w:lang w:val="en-GB"/>
        </w:rPr>
        <w:t>The symbolic wolf: Competing visions of the European landscapes</w:t>
      </w:r>
      <w:r>
        <w:rPr>
          <w:rFonts w:ascii="Verdana" w:hAnsi="Verdana"/>
          <w:noProof/>
          <w:sz w:val="18"/>
          <w:szCs w:val="18"/>
          <w:lang w:val="en-GB"/>
        </w:rPr>
        <w:t xml:space="preserve">. </w:t>
      </w:r>
      <w:r>
        <w:rPr>
          <w:rFonts w:ascii="Verdana" w:hAnsi="Verdana"/>
          <w:noProof/>
          <w:sz w:val="18"/>
          <w:szCs w:val="18"/>
        </w:rPr>
        <w:t xml:space="preserve">Blogue da LCIE: </w:t>
      </w:r>
      <w:hyperlink r:id="rId50" w:history="1">
        <w:r>
          <w:rPr>
            <w:rFonts w:ascii="Verdana" w:hAnsi="Verdana"/>
            <w:noProof/>
            <w:color w:val="0000FF"/>
            <w:sz w:val="18"/>
            <w:szCs w:val="18"/>
            <w:u w:val="single"/>
          </w:rPr>
          <w:t>http://www.lcie.org/Blog/ArtMID/6987/ArticleID/65/The-symbolic-wolf-Competing-visions-of-the-European-landscapes</w:t>
        </w:r>
      </w:hyperlink>
    </w:p>
    <w:p>
      <w:pPr>
        <w:spacing w:after="240"/>
        <w:ind w:left="284" w:hanging="284"/>
        <w:rPr>
          <w:rFonts w:ascii="Verdana" w:eastAsia="DINOT" w:hAnsi="Verdana"/>
          <w:noProof/>
          <w:color w:val="0000FF"/>
          <w:sz w:val="18"/>
          <w:szCs w:val="18"/>
          <w:u w:val="single"/>
          <w:lang w:val="en-GB"/>
        </w:rPr>
      </w:pPr>
      <w:r>
        <w:rPr>
          <w:rFonts w:ascii="Verdana" w:hAnsi="Verdana"/>
          <w:noProof/>
          <w:sz w:val="18"/>
          <w:szCs w:val="18"/>
          <w:lang w:val="en-GB"/>
        </w:rPr>
        <w:t xml:space="preserve">Linnell, J. (2016). </w:t>
      </w:r>
      <w:r>
        <w:rPr>
          <w:rFonts w:ascii="Verdana" w:hAnsi="Verdana"/>
          <w:i/>
          <w:noProof/>
          <w:sz w:val="18"/>
          <w:szCs w:val="18"/>
          <w:lang w:val="en-GB"/>
        </w:rPr>
        <w:t>First wolf reproduction in Austria since 19th century</w:t>
      </w:r>
      <w:r>
        <w:rPr>
          <w:rFonts w:ascii="Verdana" w:hAnsi="Verdana"/>
          <w:noProof/>
          <w:sz w:val="18"/>
          <w:szCs w:val="18"/>
          <w:lang w:val="en-GB"/>
        </w:rPr>
        <w:t xml:space="preserve">. </w:t>
      </w:r>
      <w:r>
        <w:rPr>
          <w:rFonts w:ascii="Verdana" w:hAnsi="Verdana"/>
          <w:noProof/>
          <w:color w:val="0000FF"/>
          <w:sz w:val="18"/>
          <w:szCs w:val="18"/>
          <w:u w:val="single"/>
          <w:lang w:val="en-GB"/>
        </w:rPr>
        <w:t>http://www.lcie.org/Blog/ArtMID/6987/ArticleID/87/First-wolf-reproduction-in-Austria-since-19th-century</w:t>
      </w:r>
    </w:p>
    <w:p>
      <w:pPr>
        <w:spacing w:after="240"/>
        <w:ind w:left="284" w:hanging="284"/>
        <w:rPr>
          <w:rFonts w:ascii="Verdana" w:eastAsia="DINOT" w:hAnsi="Verdana"/>
          <w:noProof/>
          <w:color w:val="0000FF"/>
          <w:sz w:val="18"/>
          <w:szCs w:val="18"/>
          <w:u w:val="single"/>
        </w:rPr>
      </w:pPr>
      <w:r>
        <w:rPr>
          <w:rFonts w:ascii="Verdana" w:hAnsi="Verdana"/>
          <w:noProof/>
          <w:sz w:val="18"/>
        </w:rPr>
        <w:t xml:space="preserve">Linnell, J. D. C. e Cretois, B. (2018). </w:t>
      </w:r>
      <w:r>
        <w:rPr>
          <w:rFonts w:ascii="Verdana" w:hAnsi="Verdana"/>
          <w:noProof/>
          <w:sz w:val="18"/>
          <w:szCs w:val="18"/>
        </w:rPr>
        <w:t xml:space="preserve">Investigação para a Comissão AGRI — </w:t>
      </w:r>
      <w:r>
        <w:rPr>
          <w:rFonts w:ascii="Verdana" w:hAnsi="Verdana"/>
          <w:i/>
          <w:noProof/>
          <w:sz w:val="18"/>
          <w:szCs w:val="18"/>
        </w:rPr>
        <w:t>The revival of wolves and other large predators and its impact on farmers and their livelihood in rural regions of Europe</w:t>
      </w:r>
      <w:r>
        <w:rPr>
          <w:rFonts w:ascii="Verdana" w:hAnsi="Verdana"/>
          <w:noProof/>
          <w:sz w:val="18"/>
          <w:szCs w:val="18"/>
        </w:rPr>
        <w:t xml:space="preserve">, Parlamento Europeu, departamento temático Políticas Estruturais e de Coesão, Bruxelas. </w:t>
      </w:r>
      <w:hyperlink r:id="rId51" w:history="1">
        <w:r>
          <w:rPr>
            <w:rFonts w:ascii="Verdana" w:hAnsi="Verdana"/>
            <w:noProof/>
            <w:color w:val="0000FF"/>
            <w:sz w:val="18"/>
            <w:szCs w:val="18"/>
            <w:u w:val="single"/>
          </w:rPr>
          <w:t>http://www.europarl.europa.eu/thinktank/en/document.html?reference=IPOL_STU%282018%29617488</w:t>
        </w:r>
      </w:hyperlink>
    </w:p>
    <w:p>
      <w:pPr>
        <w:spacing w:after="240"/>
        <w:ind w:left="284" w:hanging="284"/>
        <w:rPr>
          <w:rFonts w:ascii="Verdana" w:eastAsia="DINOT" w:hAnsi="Verdana"/>
          <w:noProof/>
          <w:color w:val="0000FF"/>
          <w:sz w:val="18"/>
          <w:szCs w:val="18"/>
          <w:u w:val="single"/>
        </w:rPr>
      </w:pPr>
      <w:r>
        <w:rPr>
          <w:rFonts w:ascii="Verdana" w:hAnsi="Verdana"/>
          <w:noProof/>
          <w:sz w:val="18"/>
          <w:lang w:val="en-GB"/>
        </w:rPr>
        <w:t>Linnell, J.</w:t>
      </w:r>
      <w:r>
        <w:rPr>
          <w:rFonts w:ascii="Verdana" w:hAnsi="Verdana"/>
          <w:noProof/>
          <w:color w:val="0000FF"/>
          <w:sz w:val="18"/>
          <w:szCs w:val="18"/>
          <w:u w:val="single"/>
          <w:lang w:val="en-GB"/>
        </w:rPr>
        <w:t xml:space="preserve"> D. C., Kovtun, E. e Rouart, I. (2021). </w:t>
      </w:r>
      <w:r>
        <w:rPr>
          <w:rFonts w:ascii="Verdana" w:hAnsi="Verdana"/>
          <w:i/>
          <w:iCs/>
          <w:noProof/>
          <w:color w:val="0000FF"/>
          <w:sz w:val="18"/>
          <w:szCs w:val="18"/>
          <w:u w:val="single"/>
          <w:lang w:val="en-GB"/>
        </w:rPr>
        <w:t>Wolf attacks on humans:</w:t>
      </w:r>
      <w:r>
        <w:rPr>
          <w:rFonts w:ascii="Verdana" w:hAnsi="Verdana"/>
          <w:noProof/>
          <w:color w:val="0000FF"/>
          <w:sz w:val="18"/>
          <w:szCs w:val="18"/>
          <w:u w:val="single"/>
          <w:lang w:val="en-GB"/>
        </w:rPr>
        <w:t xml:space="preserve"> </w:t>
      </w:r>
      <w:r>
        <w:rPr>
          <w:rFonts w:ascii="Verdana" w:hAnsi="Verdana"/>
          <w:i/>
          <w:iCs/>
          <w:noProof/>
          <w:color w:val="0000FF"/>
          <w:sz w:val="18"/>
          <w:szCs w:val="18"/>
          <w:u w:val="single"/>
          <w:lang w:val="en-GB"/>
        </w:rPr>
        <w:t>an update for 2002–2020.</w:t>
      </w:r>
      <w:r>
        <w:rPr>
          <w:rFonts w:ascii="Verdana" w:hAnsi="Verdana"/>
          <w:noProof/>
          <w:color w:val="0000FF"/>
          <w:sz w:val="18"/>
          <w:szCs w:val="18"/>
          <w:u w:val="single"/>
          <w:lang w:val="en-GB"/>
        </w:rPr>
        <w:t xml:space="preserve"> </w:t>
      </w:r>
      <w:r>
        <w:rPr>
          <w:rFonts w:ascii="Verdana" w:hAnsi="Verdana"/>
          <w:noProof/>
          <w:color w:val="0000FF"/>
          <w:sz w:val="18"/>
          <w:szCs w:val="18"/>
          <w:u w:val="single"/>
        </w:rPr>
        <w:t>Relatório 1994 do NINA, Instituto Norueguês de Investigação sobre a Natureza.</w:t>
      </w:r>
      <w:r>
        <w:rPr>
          <w:rFonts w:ascii="Verdana" w:hAnsi="Verdana"/>
          <w:noProof/>
          <w:color w:val="0000FF"/>
          <w:sz w:val="18"/>
          <w:szCs w:val="18"/>
          <w:u w:val="single"/>
        </w:rPr>
        <w:cr/>
      </w:r>
      <w:r>
        <w:rPr>
          <w:rFonts w:ascii="Verdana" w:hAnsi="Verdana"/>
          <w:noProof/>
          <w:color w:val="0000FF"/>
          <w:sz w:val="18"/>
          <w:szCs w:val="18"/>
          <w:u w:val="single"/>
        </w:rPr>
        <w:br/>
      </w:r>
      <w:hyperlink r:id="rId52" w:history="1">
        <w:r>
          <w:rPr>
            <w:rStyle w:val="Hyperlink"/>
            <w:rFonts w:ascii="Verdana" w:hAnsi="Verdana"/>
            <w:noProof/>
            <w:sz w:val="18"/>
            <w:szCs w:val="18"/>
          </w:rPr>
          <w:t>https://brage.nina.no/nina-xmlui/bitstream/handle/11250/2729772/ninarapport1944.pdf?sequence=1&amp;isAllowed=y</w:t>
        </w:r>
      </w:hyperlink>
      <w:r>
        <w:rPr>
          <w:rFonts w:ascii="Verdana" w:hAnsi="Verdana"/>
          <w:noProof/>
          <w:color w:val="0000FF"/>
          <w:sz w:val="18"/>
          <w:szCs w:val="18"/>
          <w:u w:val="single"/>
        </w:rPr>
        <w:t xml:space="preserve"> </w:t>
      </w:r>
    </w:p>
    <w:p>
      <w:pPr>
        <w:spacing w:after="240"/>
        <w:ind w:left="284" w:hanging="284"/>
        <w:rPr>
          <w:rFonts w:ascii="Verdana" w:eastAsia="DINOT" w:hAnsi="Verdana"/>
          <w:noProof/>
          <w:sz w:val="18"/>
          <w:szCs w:val="18"/>
          <w:lang w:val="en-GB"/>
        </w:rPr>
      </w:pPr>
      <w:r>
        <w:rPr>
          <w:rFonts w:ascii="Verdana" w:hAnsi="Verdana"/>
          <w:noProof/>
          <w:sz w:val="18"/>
          <w:szCs w:val="18"/>
        </w:rPr>
        <w:t xml:space="preserve">Lute, M.L., Carter N.H., López-Bao J.V., Linnell, J.D.C. (2018). </w:t>
      </w:r>
      <w:r>
        <w:rPr>
          <w:rFonts w:ascii="Verdana" w:hAnsi="Verdana"/>
          <w:noProof/>
          <w:sz w:val="18"/>
          <w:szCs w:val="18"/>
          <w:lang w:val="en-GB"/>
        </w:rPr>
        <w:t xml:space="preserve">«Conservation professionals agree on challenges to coexisting with large carnivores but not on solutions». </w:t>
      </w:r>
      <w:r>
        <w:rPr>
          <w:rFonts w:ascii="Verdana" w:hAnsi="Verdana"/>
          <w:i/>
          <w:iCs/>
          <w:noProof/>
          <w:sz w:val="18"/>
          <w:szCs w:val="18"/>
          <w:lang w:val="en-GB"/>
        </w:rPr>
        <w:t>Biological Conservation</w:t>
      </w:r>
      <w:r>
        <w:rPr>
          <w:rFonts w:ascii="Verdana" w:hAnsi="Verdana"/>
          <w:noProof/>
          <w:sz w:val="18"/>
          <w:szCs w:val="18"/>
          <w:lang w:val="en-GB"/>
        </w:rPr>
        <w:t xml:space="preserve">, volume 218, 2018, pp. 223-232. </w:t>
      </w:r>
      <w:hyperlink r:id="rId53" w:history="1">
        <w:r>
          <w:rPr>
            <w:rFonts w:ascii="Verdana" w:hAnsi="Verdana"/>
            <w:noProof/>
            <w:color w:val="0000FF"/>
            <w:sz w:val="18"/>
            <w:szCs w:val="18"/>
            <w:u w:val="single"/>
            <w:lang w:val="en-GB"/>
          </w:rPr>
          <w:t>https://www.sciencedirect.com/science/article/pii/S0006320717316166</w:t>
        </w:r>
      </w:hyperlink>
    </w:p>
    <w:p>
      <w:pPr>
        <w:spacing w:after="240"/>
        <w:ind w:left="284" w:hanging="284"/>
        <w:rPr>
          <w:rFonts w:ascii="Verdana" w:eastAsia="DINOT" w:hAnsi="Verdana"/>
          <w:noProof/>
          <w:sz w:val="18"/>
          <w:szCs w:val="18"/>
        </w:rPr>
      </w:pPr>
      <w:r>
        <w:rPr>
          <w:rFonts w:ascii="Verdana" w:hAnsi="Verdana"/>
          <w:noProof/>
          <w:sz w:val="18"/>
        </w:rPr>
        <w:t xml:space="preserve">Marsden, K. Hovardas, T. Spyros Psaroudas, S. Mertzanis, Y. Callisto, Baatz, U. </w:t>
      </w:r>
      <w:r>
        <w:rPr>
          <w:rFonts w:ascii="Verdana" w:hAnsi="Verdana"/>
          <w:noProof/>
          <w:sz w:val="18"/>
          <w:szCs w:val="18"/>
        </w:rPr>
        <w:t xml:space="preserve">(2016). </w:t>
      </w:r>
      <w:r>
        <w:rPr>
          <w:rFonts w:ascii="Verdana" w:hAnsi="Verdana"/>
          <w:i/>
          <w:iCs/>
          <w:noProof/>
          <w:sz w:val="18"/>
          <w:szCs w:val="18"/>
          <w:lang w:val="en-GB"/>
        </w:rPr>
        <w:t>EU Platform on Large Carnivores:</w:t>
      </w:r>
      <w:r>
        <w:rPr>
          <w:rFonts w:ascii="Verdana" w:hAnsi="Verdana"/>
          <w:noProof/>
          <w:sz w:val="18"/>
          <w:szCs w:val="18"/>
          <w:lang w:val="en-GB"/>
        </w:rPr>
        <w:t xml:space="preserve"> </w:t>
      </w:r>
      <w:r>
        <w:rPr>
          <w:rFonts w:ascii="Verdana" w:hAnsi="Verdana"/>
          <w:i/>
          <w:noProof/>
          <w:sz w:val="18"/>
          <w:szCs w:val="18"/>
          <w:lang w:val="en-GB"/>
        </w:rPr>
        <w:t>Supporting good practice for coexistence — presentation of examples and analysis of support through the EAFRD</w:t>
      </w:r>
      <w:r>
        <w:rPr>
          <w:rFonts w:ascii="Verdana" w:hAnsi="Verdana"/>
          <w:noProof/>
          <w:sz w:val="18"/>
          <w:szCs w:val="18"/>
          <w:lang w:val="en-GB"/>
        </w:rPr>
        <w:t xml:space="preserve">. </w:t>
      </w:r>
      <w:r>
        <w:rPr>
          <w:rFonts w:ascii="Verdana" w:hAnsi="Verdana"/>
          <w:noProof/>
          <w:sz w:val="18"/>
          <w:szCs w:val="18"/>
        </w:rPr>
        <w:t xml:space="preserve">Do Secretariado da Plataforma para a DG Ambiente da Comissão Europeia, Contrato de serviços n.º 07.0202/2015/713809/SER/ENV/B.3. </w:t>
      </w:r>
      <w:hyperlink r:id="rId54" w:history="1">
        <w:r>
          <w:rPr>
            <w:rFonts w:ascii="Verdana" w:hAnsi="Verdana"/>
            <w:noProof/>
            <w:color w:val="0000FF"/>
            <w:sz w:val="18"/>
            <w:szCs w:val="18"/>
            <w:u w:val="single"/>
          </w:rPr>
          <w:t>http://ec.europa.eu/environment/nature/conservation/species/carnivores/pdf/160906_LC%20Platform-case%20studies%20and%20RD.pdf</w:t>
        </w:r>
      </w:hyperlink>
    </w:p>
    <w:p>
      <w:pPr>
        <w:spacing w:after="240"/>
        <w:ind w:left="284" w:hanging="284"/>
        <w:rPr>
          <w:rFonts w:ascii="Verdana" w:eastAsia="DINOT" w:hAnsi="Verdana"/>
          <w:noProof/>
          <w:sz w:val="18"/>
          <w:lang w:val="en-GB"/>
        </w:rPr>
      </w:pPr>
      <w:r>
        <w:rPr>
          <w:rFonts w:ascii="Verdana" w:hAnsi="Verdana"/>
          <w:noProof/>
          <w:sz w:val="18"/>
          <w:szCs w:val="18"/>
          <w:lang w:val="en-GB"/>
        </w:rPr>
        <w:t xml:space="preserve">Marucco F, Boitani L.(2012). «Wolf population monitoring and livestock depredation preventive measures in Europe». </w:t>
      </w:r>
      <w:r>
        <w:rPr>
          <w:rFonts w:ascii="Verdana" w:hAnsi="Verdana"/>
          <w:i/>
          <w:iCs/>
          <w:noProof/>
          <w:sz w:val="18"/>
          <w:lang w:val="en-GB"/>
        </w:rPr>
        <w:t>Hystrix</w:t>
      </w:r>
      <w:r>
        <w:rPr>
          <w:rFonts w:ascii="Verdana" w:hAnsi="Verdana"/>
          <w:noProof/>
          <w:sz w:val="18"/>
          <w:lang w:val="en-GB"/>
        </w:rPr>
        <w:t xml:space="preserve"> 23(1): 1-4. doi:10.4404/hystrix-23.1-6364.</w:t>
      </w:r>
    </w:p>
    <w:p>
      <w:pPr>
        <w:spacing w:after="240"/>
        <w:ind w:left="284" w:hanging="284"/>
        <w:rPr>
          <w:rFonts w:ascii="Verdana" w:eastAsia="DINOT" w:hAnsi="Verdana"/>
          <w:noProof/>
          <w:color w:val="0000FF"/>
          <w:sz w:val="18"/>
          <w:szCs w:val="18"/>
          <w:u w:val="single"/>
          <w:lang w:val="en-GB"/>
        </w:rPr>
      </w:pPr>
      <w:r>
        <w:rPr>
          <w:rFonts w:ascii="Verdana" w:hAnsi="Verdana"/>
          <w:noProof/>
          <w:sz w:val="18"/>
          <w:lang w:val="en-GB"/>
        </w:rPr>
        <w:t xml:space="preserve">MTES, MAA (2018) </w:t>
      </w:r>
      <w:r>
        <w:rPr>
          <w:rFonts w:ascii="Verdana" w:hAnsi="Verdana"/>
          <w:i/>
          <w:iCs/>
          <w:noProof/>
          <w:sz w:val="18"/>
          <w:lang w:val="en-GB"/>
        </w:rPr>
        <w:t>French National action plan 2018-2023 on the wolf and stock-rearing</w:t>
      </w:r>
      <w:r>
        <w:rPr>
          <w:rFonts w:ascii="Verdana" w:hAnsi="Verdana"/>
          <w:noProof/>
          <w:sz w:val="18"/>
          <w:lang w:val="en-GB"/>
        </w:rPr>
        <w:t xml:space="preserve">. </w:t>
      </w:r>
      <w:r>
        <w:rPr>
          <w:rFonts w:ascii="Verdana" w:hAnsi="Verdana"/>
          <w:noProof/>
          <w:color w:val="0000FF"/>
          <w:sz w:val="18"/>
          <w:szCs w:val="18"/>
          <w:u w:val="single"/>
          <w:lang w:val="en-GB"/>
        </w:rPr>
        <w:t>http://www.auvergne-rhone-alpes.developpement-durable.gouv.fr/IMG/pdf/nap_wolf_and_stock-rearing_activities_2018-2023.pdf</w:t>
      </w:r>
    </w:p>
    <w:p>
      <w:pPr>
        <w:spacing w:after="240"/>
        <w:ind w:left="284" w:hanging="284"/>
        <w:rPr>
          <w:rFonts w:ascii="Verdana" w:eastAsia="DINOT" w:hAnsi="Verdana"/>
          <w:noProof/>
          <w:sz w:val="18"/>
          <w:lang w:val="en-GB"/>
        </w:rPr>
      </w:pPr>
      <w:r>
        <w:rPr>
          <w:rFonts w:ascii="Verdana" w:hAnsi="Verdana"/>
          <w:noProof/>
          <w:sz w:val="18"/>
          <w:szCs w:val="18"/>
          <w:lang w:val="en-GB"/>
        </w:rPr>
        <w:t>Mykrä</w:t>
      </w:r>
      <w:r>
        <w:rPr>
          <w:rFonts w:ascii="Verdana" w:hAnsi="Verdana"/>
          <w:noProof/>
          <w:sz w:val="18"/>
          <w:lang w:val="en-GB"/>
        </w:rPr>
        <w:t>, S., M. Pohja-Mykrä, T. Vuorisalo (2017) «Hunters’ attitudes matter:</w:t>
      </w:r>
      <w:r>
        <w:rPr>
          <w:rFonts w:ascii="Verdana" w:hAnsi="Verdana"/>
          <w:i/>
          <w:noProof/>
          <w:sz w:val="18"/>
          <w:lang w:val="en-GB"/>
        </w:rPr>
        <w:t xml:space="preserve"> </w:t>
      </w:r>
      <w:r>
        <w:rPr>
          <w:rFonts w:ascii="Verdana" w:hAnsi="Verdana"/>
          <w:noProof/>
          <w:sz w:val="18"/>
          <w:lang w:val="en-GB"/>
        </w:rPr>
        <w:t xml:space="preserve">diverging bear and wolf population trajectories in Finland in the late nineteenth century and today». </w:t>
      </w:r>
      <w:r>
        <w:rPr>
          <w:rFonts w:ascii="Verdana" w:hAnsi="Verdana"/>
          <w:i/>
          <w:iCs/>
          <w:noProof/>
          <w:sz w:val="18"/>
          <w:lang w:val="en-GB"/>
        </w:rPr>
        <w:t>European Journal of Wildlife Research</w:t>
      </w:r>
      <w:r>
        <w:rPr>
          <w:rFonts w:ascii="Verdana" w:hAnsi="Verdana"/>
          <w:noProof/>
          <w:sz w:val="18"/>
          <w:lang w:val="en-GB"/>
        </w:rPr>
        <w:t xml:space="preserve">. </w:t>
      </w:r>
      <w:hyperlink r:id="rId55" w:history="1">
        <w:r>
          <w:rPr>
            <w:rFonts w:ascii="Verdana" w:hAnsi="Verdana"/>
            <w:noProof/>
            <w:color w:val="0000FF"/>
            <w:sz w:val="18"/>
            <w:u w:val="single"/>
            <w:lang w:val="en-GB"/>
          </w:rPr>
          <w:t>https://link.springer.com/article/10.1007/s10344-017-1134-1</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Odden, J., Linnell, J. D. C., Moa, P. F., Herfindal, I., Kvam, T. e Andersen, R. (2002). «Lynx depredation on domestic sheep in Norway». </w:t>
      </w:r>
      <w:r>
        <w:rPr>
          <w:rFonts w:ascii="Verdana" w:hAnsi="Verdana"/>
          <w:i/>
          <w:iCs/>
          <w:noProof/>
          <w:sz w:val="18"/>
          <w:szCs w:val="18"/>
          <w:lang w:val="en-GB"/>
        </w:rPr>
        <w:t>Journal of Wildlife Management</w:t>
      </w:r>
      <w:r>
        <w:rPr>
          <w:rFonts w:ascii="Verdana" w:hAnsi="Verdana"/>
          <w:noProof/>
          <w:sz w:val="18"/>
          <w:szCs w:val="18"/>
          <w:lang w:val="en-GB"/>
        </w:rPr>
        <w:t xml:space="preserve"> 66(1): 98-105.</w:t>
      </w:r>
    </w:p>
    <w:p>
      <w:pPr>
        <w:spacing w:after="240"/>
        <w:ind w:left="284" w:hanging="284"/>
        <w:rPr>
          <w:rFonts w:ascii="Verdana" w:eastAsia="DINOT" w:hAnsi="Verdana"/>
          <w:noProof/>
          <w:sz w:val="18"/>
          <w:szCs w:val="18"/>
        </w:rPr>
      </w:pPr>
      <w:r>
        <w:rPr>
          <w:rFonts w:ascii="Verdana" w:hAnsi="Verdana"/>
          <w:noProof/>
          <w:sz w:val="18"/>
          <w:lang w:val="en-GB"/>
        </w:rPr>
        <w:t xml:space="preserve">Persson, J., Geir R. Rauset Guillaume Chapron. </w:t>
      </w:r>
      <w:r>
        <w:rPr>
          <w:rFonts w:ascii="Verdana" w:hAnsi="Verdana"/>
          <w:noProof/>
          <w:sz w:val="18"/>
          <w:szCs w:val="18"/>
          <w:lang w:val="en-GB"/>
        </w:rPr>
        <w:t xml:space="preserve">«Paying for an Endangered Predator Leads to Population Recovery». </w:t>
      </w:r>
      <w:r>
        <w:rPr>
          <w:rFonts w:ascii="Verdana" w:hAnsi="Verdana"/>
          <w:i/>
          <w:iCs/>
          <w:noProof/>
          <w:sz w:val="18"/>
          <w:szCs w:val="18"/>
        </w:rPr>
        <w:t>Conservation Letters</w:t>
      </w:r>
      <w:r>
        <w:rPr>
          <w:rFonts w:ascii="Verdana" w:hAnsi="Verdana"/>
          <w:noProof/>
          <w:sz w:val="18"/>
          <w:szCs w:val="18"/>
        </w:rPr>
        <w:t xml:space="preserve"> 8(5), primeira edição: 30 de março de 2015. </w:t>
      </w:r>
      <w:hyperlink r:id="rId56" w:history="1">
        <w:r>
          <w:rPr>
            <w:rFonts w:ascii="Verdana" w:hAnsi="Verdana"/>
            <w:noProof/>
            <w:color w:val="0000FF"/>
            <w:sz w:val="18"/>
            <w:szCs w:val="18"/>
            <w:u w:val="single"/>
          </w:rPr>
          <w:t>https://doi.org/10.1111/conl.12171</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Pohja-Mykrä, M. (2016) «Felony or act of justice?</w:t>
      </w:r>
      <w:r>
        <w:rPr>
          <w:rFonts w:ascii="Verdana" w:hAnsi="Verdana"/>
          <w:i/>
          <w:noProof/>
          <w:sz w:val="18"/>
          <w:szCs w:val="18"/>
          <w:lang w:val="en-GB"/>
        </w:rPr>
        <w:t xml:space="preserve"> — </w:t>
      </w:r>
      <w:r>
        <w:rPr>
          <w:rFonts w:ascii="Verdana" w:hAnsi="Verdana"/>
          <w:noProof/>
          <w:sz w:val="18"/>
          <w:szCs w:val="18"/>
          <w:lang w:val="en-GB"/>
        </w:rPr>
        <w:t>Illegal killing of large carnivores as defiance of authorities»</w:t>
      </w:r>
      <w:r>
        <w:rPr>
          <w:rFonts w:ascii="Verdana" w:hAnsi="Verdana"/>
          <w:i/>
          <w:noProof/>
          <w:sz w:val="18"/>
          <w:szCs w:val="18"/>
          <w:lang w:val="en-GB"/>
        </w:rPr>
        <w:t>.</w:t>
      </w:r>
      <w:r>
        <w:rPr>
          <w:rFonts w:ascii="Verdana" w:hAnsi="Verdana"/>
          <w:noProof/>
          <w:sz w:val="18"/>
          <w:szCs w:val="18"/>
          <w:lang w:val="en-GB"/>
        </w:rPr>
        <w:t xml:space="preserve"> </w:t>
      </w:r>
      <w:r>
        <w:rPr>
          <w:rFonts w:ascii="Verdana" w:hAnsi="Verdana"/>
          <w:i/>
          <w:iCs/>
          <w:noProof/>
          <w:sz w:val="18"/>
          <w:szCs w:val="18"/>
          <w:lang w:val="en-GB"/>
        </w:rPr>
        <w:t>Journal of Rural Studies</w:t>
      </w:r>
      <w:r>
        <w:rPr>
          <w:rFonts w:ascii="Verdana" w:hAnsi="Verdana"/>
          <w:noProof/>
          <w:sz w:val="18"/>
          <w:szCs w:val="18"/>
          <w:lang w:val="en-GB"/>
        </w:rPr>
        <w:t xml:space="preserve">, 44, 46-54. </w:t>
      </w:r>
      <w:hyperlink r:id="rId57" w:history="1">
        <w:r>
          <w:rPr>
            <w:rFonts w:ascii="Verdana" w:hAnsi="Verdana"/>
            <w:noProof/>
            <w:color w:val="0000FF"/>
            <w:sz w:val="18"/>
            <w:szCs w:val="18"/>
            <w:u w:val="single"/>
            <w:lang w:val="en-GB"/>
          </w:rPr>
          <w:t>https://doi.org/10.1016/j.jrurstud.2016.01.003</w:t>
        </w:r>
      </w:hyperlink>
    </w:p>
    <w:p>
      <w:pPr>
        <w:spacing w:after="240"/>
        <w:ind w:left="284" w:hanging="284"/>
        <w:rPr>
          <w:rFonts w:ascii="Verdana" w:eastAsia="DINOT" w:hAnsi="Verdana"/>
          <w:noProof/>
          <w:sz w:val="18"/>
          <w:szCs w:val="18"/>
        </w:rPr>
      </w:pPr>
      <w:r>
        <w:rPr>
          <w:rFonts w:ascii="Verdana" w:hAnsi="Verdana"/>
          <w:noProof/>
          <w:sz w:val="18"/>
          <w:szCs w:val="18"/>
          <w:lang w:val="en-GB"/>
        </w:rPr>
        <w:t xml:space="preserve">Proteggi il tuo bestiame (2019) Sítio Web da Proteggi il tuo bestiame. </w:t>
      </w:r>
      <w:hyperlink r:id="rId58" w:history="1">
        <w:r>
          <w:rPr>
            <w:rFonts w:ascii="Verdana" w:hAnsi="Verdana"/>
            <w:noProof/>
            <w:color w:val="0000FF"/>
            <w:sz w:val="18"/>
            <w:szCs w:val="18"/>
            <w:u w:val="single"/>
          </w:rPr>
          <w:t>http://www.protezionebestiame.it/</w:t>
        </w:r>
      </w:hyperlink>
    </w:p>
    <w:p>
      <w:pPr>
        <w:spacing w:after="240"/>
        <w:ind w:left="284" w:hanging="284"/>
        <w:rPr>
          <w:rFonts w:ascii="Verdana" w:hAnsi="Verdana"/>
          <w:noProof/>
          <w:sz w:val="18"/>
          <w:szCs w:val="18"/>
        </w:rPr>
      </w:pPr>
      <w:r>
        <w:rPr>
          <w:rFonts w:ascii="Verdana" w:hAnsi="Verdana"/>
          <w:noProof/>
          <w:sz w:val="18"/>
          <w:szCs w:val="18"/>
        </w:rPr>
        <w:t xml:space="preserve">Plataformas regionais GC (2019) Sítio Web das plataformas regionais para a coexistência entre as pessoas e os grandes carnívoros. </w:t>
      </w:r>
      <w:hyperlink r:id="rId59" w:history="1">
        <w:r>
          <w:rPr>
            <w:rFonts w:ascii="Verdana" w:hAnsi="Verdana"/>
            <w:noProof/>
            <w:color w:val="0000FF"/>
            <w:sz w:val="18"/>
            <w:szCs w:val="18"/>
            <w:u w:val="single"/>
          </w:rPr>
          <w:t>http://ec.europa.eu/environment/nature/conservation/species/carnivores/regional_platforms.htm</w:t>
        </w:r>
      </w:hyperlink>
    </w:p>
    <w:p>
      <w:pPr>
        <w:spacing w:after="240"/>
        <w:ind w:left="284" w:hanging="284"/>
        <w:rPr>
          <w:rFonts w:eastAsia="DINOT"/>
          <w:noProof/>
          <w:sz w:val="18"/>
          <w:szCs w:val="18"/>
        </w:rPr>
      </w:pPr>
      <w:r>
        <w:rPr>
          <w:rFonts w:ascii="Verdana" w:hAnsi="Verdana"/>
          <w:noProof/>
          <w:sz w:val="18"/>
          <w:szCs w:val="18"/>
        </w:rPr>
        <w:t xml:space="preserve">Reinhardt </w:t>
      </w:r>
      <w:r>
        <w:rPr>
          <w:rFonts w:ascii="Verdana" w:hAnsi="Verdana"/>
          <w:i/>
          <w:iCs/>
          <w:noProof/>
          <w:sz w:val="18"/>
          <w:szCs w:val="18"/>
        </w:rPr>
        <w:t>et al</w:t>
      </w:r>
      <w:r>
        <w:rPr>
          <w:rFonts w:ascii="Verdana" w:hAnsi="Verdana"/>
          <w:noProof/>
          <w:sz w:val="18"/>
          <w:szCs w:val="18"/>
        </w:rPr>
        <w:t xml:space="preserve">. (2018). </w:t>
      </w:r>
      <w:r>
        <w:rPr>
          <w:rFonts w:ascii="Verdana" w:hAnsi="Verdana"/>
          <w:i/>
          <w:noProof/>
          <w:sz w:val="18"/>
          <w:szCs w:val="18"/>
        </w:rPr>
        <w:t>Konzept im Umgang mit Wölfen, die sich Menschen gegenüber auffällig verhalten – Empfehlungen der DBBW</w:t>
      </w:r>
      <w:r>
        <w:rPr>
          <w:rFonts w:ascii="Verdana" w:hAnsi="Verdana"/>
          <w:noProof/>
          <w:sz w:val="18"/>
          <w:szCs w:val="18"/>
        </w:rPr>
        <w:t xml:space="preserve"> — BfN Skript 502. </w:t>
      </w:r>
      <w:r>
        <w:rPr>
          <w:rFonts w:ascii="Verdana" w:hAnsi="Verdana"/>
          <w:noProof/>
          <w:color w:val="0000FF"/>
          <w:sz w:val="18"/>
          <w:szCs w:val="18"/>
          <w:u w:val="single"/>
        </w:rPr>
        <w:t>https://www.bfn.de/fileadmin/BfN/service/Dokumente/skripten/Skript502.pdf</w:t>
      </w:r>
    </w:p>
    <w:p>
      <w:pPr>
        <w:spacing w:after="240"/>
        <w:ind w:left="284" w:hanging="284"/>
        <w:rPr>
          <w:rFonts w:ascii="Verdana" w:eastAsia="DINOT" w:hAnsi="Verdana"/>
          <w:noProof/>
          <w:sz w:val="18"/>
          <w:szCs w:val="18"/>
          <w:lang w:val="en-GB"/>
        </w:rPr>
      </w:pPr>
      <w:r>
        <w:rPr>
          <w:rFonts w:ascii="Verdana" w:hAnsi="Verdana"/>
          <w:i/>
          <w:iCs/>
          <w:noProof/>
          <w:sz w:val="18"/>
          <w:szCs w:val="18"/>
          <w:lang w:val="en-GB"/>
        </w:rPr>
        <w:t>Reporting under Article 17 of the Habitats Directive.</w:t>
      </w:r>
      <w:r>
        <w:rPr>
          <w:rFonts w:ascii="Verdana" w:hAnsi="Verdana"/>
          <w:noProof/>
          <w:sz w:val="18"/>
          <w:szCs w:val="18"/>
          <w:lang w:val="en-GB"/>
        </w:rPr>
        <w:t xml:space="preserve"> </w:t>
      </w:r>
      <w:r>
        <w:rPr>
          <w:rFonts w:ascii="Verdana" w:hAnsi="Verdana"/>
          <w:i/>
          <w:iCs/>
          <w:noProof/>
          <w:sz w:val="18"/>
          <w:szCs w:val="18"/>
          <w:lang w:val="en-GB"/>
        </w:rPr>
        <w:t>Explanatory Notes and Guidelines for the period 2013–2018</w:t>
      </w:r>
      <w:r>
        <w:rPr>
          <w:rFonts w:ascii="Verdana" w:hAnsi="Verdana"/>
          <w:noProof/>
          <w:sz w:val="18"/>
          <w:szCs w:val="18"/>
          <w:lang w:val="en-GB"/>
        </w:rPr>
        <w:t xml:space="preserve">. </w:t>
      </w:r>
      <w:r>
        <w:rPr>
          <w:rFonts w:ascii="Verdana" w:hAnsi="Verdana"/>
          <w:noProof/>
          <w:sz w:val="18"/>
          <w:szCs w:val="18"/>
        </w:rPr>
        <w:t xml:space="preserve">Versão final — maio de 2017. Agência Europeia do Ambiente (AEA) e Centro Temático Europeu sobre Diversidade Biológica (ETC/BD). </w:t>
      </w:r>
      <w:hyperlink r:id="rId60" w:history="1">
        <w:r>
          <w:rPr>
            <w:rFonts w:ascii="Verdana" w:hAnsi="Verdana"/>
            <w:noProof/>
            <w:color w:val="0000FF"/>
            <w:sz w:val="18"/>
            <w:szCs w:val="18"/>
            <w:u w:val="single"/>
            <w:lang w:val="en-GB"/>
          </w:rPr>
          <w:t>http://cdr.eionet.europa.eu/help/habitats_art17</w:t>
        </w:r>
      </w:hyperlink>
      <w:r>
        <w:rPr>
          <w:rFonts w:ascii="Verdana" w:hAnsi="Verdana"/>
          <w:noProof/>
          <w:color w:val="0000FF"/>
          <w:sz w:val="18"/>
          <w:szCs w:val="18"/>
          <w:u w:val="single"/>
          <w:lang w:val="en-GB"/>
        </w:rPr>
        <w:t xml:space="preserve">. </w:t>
      </w:r>
      <w:r>
        <w:rPr>
          <w:rFonts w:ascii="Verdana" w:hAnsi="Verdana"/>
          <w:noProof/>
          <w:sz w:val="18"/>
          <w:szCs w:val="18"/>
          <w:lang w:val="en-GB"/>
        </w:rPr>
        <w:t xml:space="preserve">Rigg R, Find’o S, Wechselberger M, Gorman M, Sillero-Zubiri C, MacDonald D. (2011). «Mitigating carnivore-livestock conflict in Europe: lessons from Slovakia 2011». </w:t>
      </w:r>
      <w:r>
        <w:rPr>
          <w:rFonts w:ascii="Verdana" w:hAnsi="Verdana"/>
          <w:i/>
          <w:iCs/>
          <w:noProof/>
          <w:sz w:val="18"/>
          <w:szCs w:val="18"/>
          <w:lang w:val="en-GB"/>
        </w:rPr>
        <w:t>Oryx</w:t>
      </w:r>
      <w:r>
        <w:rPr>
          <w:rFonts w:ascii="Verdana" w:hAnsi="Verdana"/>
          <w:noProof/>
          <w:sz w:val="18"/>
          <w:szCs w:val="18"/>
          <w:lang w:val="en-GB"/>
        </w:rPr>
        <w:t>, 45(2): 272–280. doi: 10.1017/S0030605310000074.</w:t>
      </w:r>
    </w:p>
    <w:p>
      <w:pPr>
        <w:spacing w:after="240"/>
        <w:ind w:left="284" w:hanging="284"/>
        <w:rPr>
          <w:rFonts w:ascii="Verdana" w:eastAsia="DINOT" w:hAnsi="Verdana"/>
          <w:noProof/>
          <w:sz w:val="18"/>
          <w:szCs w:val="18"/>
        </w:rPr>
      </w:pPr>
      <w:r>
        <w:rPr>
          <w:rFonts w:ascii="Verdana" w:hAnsi="Verdana"/>
          <w:noProof/>
          <w:sz w:val="18"/>
          <w:szCs w:val="18"/>
          <w:lang w:val="en-GB"/>
        </w:rPr>
        <w:t xml:space="preserve">Rigg, R., T. Skrbinšek, J. Linnell (2014) </w:t>
      </w:r>
      <w:r>
        <w:rPr>
          <w:rFonts w:ascii="Verdana" w:hAnsi="Verdana"/>
          <w:i/>
          <w:noProof/>
          <w:sz w:val="18"/>
          <w:szCs w:val="18"/>
          <w:lang w:val="en-GB"/>
        </w:rPr>
        <w:t>Engaging stakeholders in wildlife monitoring a pilot study of wolves in Slovakia using non-invasive genetic sampling.</w:t>
      </w:r>
      <w:r>
        <w:rPr>
          <w:rFonts w:ascii="Verdana" w:hAnsi="Verdana"/>
          <w:noProof/>
          <w:sz w:val="18"/>
          <w:szCs w:val="18"/>
          <w:lang w:val="en-GB"/>
        </w:rPr>
        <w:t xml:space="preserve"> </w:t>
      </w:r>
      <w:hyperlink r:id="rId61" w:history="1">
        <w:r>
          <w:rPr>
            <w:rFonts w:ascii="Verdana" w:hAnsi="Verdana"/>
            <w:noProof/>
            <w:color w:val="0000FF"/>
            <w:sz w:val="18"/>
            <w:szCs w:val="18"/>
            <w:u w:val="single"/>
          </w:rPr>
          <w:t>http://ec.europa.eu/environment/nature/conservation/species/carnivores/pdf/pa_slovakia_finalreport.pdf</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Ripple, W.J. e Beschta, R.L., (2012). «Large predators limit herbivore densities in northern forest ecosystems». </w:t>
      </w:r>
      <w:r>
        <w:rPr>
          <w:rFonts w:ascii="Verdana" w:hAnsi="Verdana"/>
          <w:i/>
          <w:iCs/>
          <w:noProof/>
          <w:sz w:val="18"/>
          <w:szCs w:val="18"/>
          <w:lang w:val="en-GB"/>
        </w:rPr>
        <w:t>European Journal of Wildlife Research</w:t>
      </w:r>
      <w:r>
        <w:rPr>
          <w:rFonts w:ascii="Verdana" w:hAnsi="Verdana"/>
          <w:noProof/>
          <w:sz w:val="18"/>
          <w:szCs w:val="18"/>
          <w:lang w:val="en-GB"/>
        </w:rPr>
        <w:t xml:space="preserve">, volume 58, pp. 733–742(2012). </w:t>
      </w:r>
      <w:hyperlink r:id="rId62" w:history="1">
        <w:r>
          <w:rPr>
            <w:rFonts w:ascii="Verdana" w:hAnsi="Verdana"/>
            <w:noProof/>
            <w:color w:val="0000FF"/>
            <w:sz w:val="18"/>
            <w:szCs w:val="18"/>
            <w:u w:val="single"/>
            <w:lang w:val="en-GB"/>
          </w:rPr>
          <w:t>https://link.springer.com/article/10.1007/s10344-012-0623-5</w:t>
        </w:r>
      </w:hyperlink>
    </w:p>
    <w:p>
      <w:pPr>
        <w:spacing w:after="240"/>
        <w:ind w:left="284" w:hanging="284"/>
        <w:rPr>
          <w:rFonts w:ascii="Verdana" w:eastAsia="DINOT" w:hAnsi="Verdana"/>
          <w:noProof/>
          <w:color w:val="0000FF"/>
          <w:sz w:val="18"/>
          <w:szCs w:val="18"/>
          <w:u w:val="single"/>
        </w:rPr>
      </w:pPr>
      <w:r>
        <w:rPr>
          <w:rFonts w:ascii="Verdana" w:hAnsi="Verdana"/>
          <w:noProof/>
          <w:sz w:val="18"/>
          <w:szCs w:val="18"/>
          <w:lang w:val="en-GB"/>
        </w:rPr>
        <w:t xml:space="preserve">Salvatori, V., Ed. (2012). </w:t>
      </w:r>
      <w:r>
        <w:rPr>
          <w:rFonts w:ascii="Verdana" w:hAnsi="Verdana"/>
          <w:i/>
          <w:noProof/>
          <w:sz w:val="18"/>
          <w:szCs w:val="18"/>
          <w:lang w:val="en-GB"/>
        </w:rPr>
        <w:t>Large carnivore conservation and Management in Europe: the contribution of EC co-funded LIFE projects</w:t>
      </w:r>
      <w:r>
        <w:rPr>
          <w:rFonts w:ascii="Verdana" w:hAnsi="Verdana"/>
          <w:noProof/>
          <w:sz w:val="18"/>
          <w:szCs w:val="18"/>
          <w:lang w:val="en-GB"/>
        </w:rPr>
        <w:t xml:space="preserve">. </w:t>
      </w:r>
      <w:r>
        <w:rPr>
          <w:rFonts w:ascii="Verdana" w:hAnsi="Verdana"/>
          <w:noProof/>
          <w:sz w:val="18"/>
        </w:rPr>
        <w:t xml:space="preserve">Istituto di Ecologia Applicata, Via B. Eustachio 10. 00161 Roma, Itália 2013. </w:t>
      </w:r>
      <w:r>
        <w:rPr>
          <w:rFonts w:ascii="Verdana" w:hAnsi="Verdana"/>
          <w:noProof/>
          <w:color w:val="0000FF"/>
          <w:sz w:val="18"/>
          <w:szCs w:val="18"/>
          <w:u w:val="single"/>
        </w:rPr>
        <w:t>http://ec.europa.eu/environment/nature/conservation/species/carnivores/pdf/task_2_life_and_lc.pdf</w:t>
      </w:r>
    </w:p>
    <w:p>
      <w:pPr>
        <w:spacing w:after="240"/>
        <w:ind w:left="284" w:hanging="284"/>
        <w:rPr>
          <w:rFonts w:ascii="Verdana" w:hAnsi="Verdana"/>
          <w:noProof/>
          <w:sz w:val="18"/>
          <w:szCs w:val="18"/>
          <w:lang w:val="en-GB"/>
        </w:rPr>
      </w:pPr>
      <w:r>
        <w:rPr>
          <w:rFonts w:ascii="Verdana" w:hAnsi="Verdana"/>
          <w:noProof/>
          <w:sz w:val="18"/>
          <w:szCs w:val="18"/>
        </w:rPr>
        <w:t xml:space="preserve">Salvatori, V., Godinho, R., Braschi, C., Boitani, L., Ciucci P., (2019). </w:t>
      </w:r>
      <w:r>
        <w:rPr>
          <w:rFonts w:ascii="Verdana" w:hAnsi="Verdana"/>
          <w:noProof/>
          <w:sz w:val="18"/>
          <w:szCs w:val="18"/>
          <w:lang w:val="en-GB"/>
        </w:rPr>
        <w:t xml:space="preserve">«High levels of recent wolf x dog introgressive hybridization in agricultural landscapes of central Italy». </w:t>
      </w:r>
      <w:r>
        <w:rPr>
          <w:rFonts w:ascii="Verdana" w:hAnsi="Verdana"/>
          <w:i/>
          <w:iCs/>
          <w:noProof/>
          <w:sz w:val="18"/>
          <w:szCs w:val="18"/>
          <w:lang w:val="en-GB"/>
        </w:rPr>
        <w:t>European Journal of Wildlife Research</w:t>
      </w:r>
      <w:r>
        <w:rPr>
          <w:rFonts w:ascii="Verdana" w:hAnsi="Verdana"/>
          <w:noProof/>
          <w:sz w:val="18"/>
          <w:szCs w:val="18"/>
          <w:lang w:val="en-GB"/>
        </w:rPr>
        <w:t>, 65, 73–87. doi.org/10.1007/s10344-019-1313-3.</w:t>
      </w:r>
    </w:p>
    <w:p>
      <w:pPr>
        <w:spacing w:after="240"/>
        <w:ind w:left="284" w:hanging="284"/>
        <w:rPr>
          <w:rFonts w:ascii="Verdana" w:eastAsia="DINOT" w:hAnsi="Verdana"/>
          <w:noProof/>
          <w:color w:val="0000FF"/>
          <w:sz w:val="18"/>
          <w:szCs w:val="18"/>
          <w:u w:val="single"/>
          <w:lang w:val="en-GB"/>
        </w:rPr>
      </w:pPr>
      <w:r>
        <w:rPr>
          <w:rFonts w:ascii="Verdana" w:hAnsi="Verdana"/>
          <w:noProof/>
          <w:sz w:val="18"/>
          <w:szCs w:val="18"/>
          <w:lang w:val="en-GB"/>
        </w:rPr>
        <w:t xml:space="preserve">Santiago-Avila FJ, Cornman AM, Treves A (2018) «Killing wolves to prevent predation on livestock may protect one farm but harm neighbours». </w:t>
      </w:r>
      <w:r>
        <w:rPr>
          <w:rFonts w:ascii="Verdana" w:hAnsi="Verdana"/>
          <w:i/>
          <w:iCs/>
          <w:noProof/>
          <w:sz w:val="18"/>
          <w:szCs w:val="18"/>
          <w:lang w:val="en-GB"/>
        </w:rPr>
        <w:t>PLoS ONE</w:t>
      </w:r>
      <w:r>
        <w:rPr>
          <w:rFonts w:ascii="Verdana" w:hAnsi="Verdana"/>
          <w:noProof/>
          <w:sz w:val="18"/>
          <w:szCs w:val="18"/>
          <w:lang w:val="en-GB"/>
        </w:rPr>
        <w:t xml:space="preserve"> 13(1): e0189729. </w:t>
      </w:r>
      <w:hyperlink r:id="rId63" w:history="1">
        <w:r>
          <w:rPr>
            <w:rFonts w:ascii="Verdana" w:hAnsi="Verdana"/>
            <w:noProof/>
            <w:color w:val="0000FF"/>
            <w:sz w:val="18"/>
            <w:szCs w:val="18"/>
            <w:u w:val="single"/>
            <w:lang w:val="en-GB"/>
          </w:rPr>
          <w:t>https://doi.org/10.1371/journal.pone.0189729</w:t>
        </w:r>
      </w:hyperlink>
    </w:p>
    <w:p>
      <w:pPr>
        <w:spacing w:after="240"/>
        <w:ind w:left="284" w:hanging="284"/>
        <w:rPr>
          <w:rFonts w:ascii="Verdana" w:eastAsia="DINOT" w:hAnsi="Verdana"/>
          <w:noProof/>
          <w:sz w:val="18"/>
          <w:szCs w:val="18"/>
        </w:rPr>
      </w:pPr>
      <w:r>
        <w:rPr>
          <w:rFonts w:ascii="Verdana" w:hAnsi="Verdana"/>
          <w:noProof/>
          <w:sz w:val="18"/>
          <w:szCs w:val="18"/>
          <w:lang w:val="en-GB"/>
        </w:rPr>
        <w:t xml:space="preserve">Skogen, K., Haaland, H., Brainerd, S. e Hustad, H. (2003). </w:t>
      </w:r>
      <w:r>
        <w:rPr>
          <w:rFonts w:ascii="Verdana" w:hAnsi="Verdana"/>
          <w:i/>
          <w:noProof/>
          <w:sz w:val="18"/>
          <w:szCs w:val="18"/>
          <w:lang w:val="en-GB"/>
        </w:rPr>
        <w:t>Local views on large carnivores and their management: a study in four municipalities</w:t>
      </w:r>
      <w:r>
        <w:rPr>
          <w:rFonts w:ascii="Verdana" w:hAnsi="Verdana"/>
          <w:noProof/>
          <w:sz w:val="18"/>
          <w:szCs w:val="18"/>
          <w:lang w:val="en-GB"/>
        </w:rPr>
        <w:t xml:space="preserve"> [Lokale syn på rovvilt og rovviltforvaltning. En undersøkelse i fire kommuner: Aurskog-Høland, Lesja, Lierne og Porsanger]. </w:t>
      </w:r>
      <w:r>
        <w:rPr>
          <w:rFonts w:ascii="Verdana" w:hAnsi="Verdana"/>
          <w:noProof/>
          <w:sz w:val="18"/>
          <w:szCs w:val="18"/>
        </w:rPr>
        <w:t>Instituto Norueguês de Investigação sobre a Naturezam, Fagrapport 070: 1-30.</w:t>
      </w:r>
    </w:p>
    <w:p>
      <w:pPr>
        <w:spacing w:after="240"/>
        <w:ind w:left="284" w:hanging="284"/>
        <w:rPr>
          <w:rFonts w:ascii="Verdana" w:hAnsi="Verdana"/>
          <w:noProof/>
          <w:sz w:val="18"/>
          <w:szCs w:val="18"/>
        </w:rPr>
      </w:pPr>
      <w:r>
        <w:rPr>
          <w:rFonts w:ascii="Verdana" w:hAnsi="Verdana"/>
          <w:noProof/>
          <w:sz w:val="18"/>
          <w:szCs w:val="18"/>
        </w:rPr>
        <w:t xml:space="preserve">Skogen, K. e Krange, O. (2003). </w:t>
      </w:r>
      <w:r>
        <w:rPr>
          <w:rFonts w:ascii="Verdana" w:hAnsi="Verdana"/>
          <w:noProof/>
          <w:sz w:val="18"/>
          <w:szCs w:val="18"/>
          <w:lang w:val="en-GB"/>
        </w:rPr>
        <w:t>«A wolf at the gate:</w:t>
      </w:r>
      <w:r>
        <w:rPr>
          <w:rFonts w:ascii="Verdana" w:hAnsi="Verdana"/>
          <w:i/>
          <w:noProof/>
          <w:sz w:val="18"/>
          <w:szCs w:val="18"/>
          <w:lang w:val="en-GB"/>
        </w:rPr>
        <w:t xml:space="preserve"> </w:t>
      </w:r>
      <w:r>
        <w:rPr>
          <w:rFonts w:ascii="Verdana" w:hAnsi="Verdana"/>
          <w:noProof/>
          <w:sz w:val="18"/>
          <w:szCs w:val="18"/>
          <w:lang w:val="en-GB"/>
        </w:rPr>
        <w:t xml:space="preserve">The anti-carnivore alliance and the symbolic construction of community». </w:t>
      </w:r>
      <w:r>
        <w:rPr>
          <w:rFonts w:ascii="Verdana" w:hAnsi="Verdana"/>
          <w:i/>
          <w:iCs/>
          <w:noProof/>
          <w:sz w:val="18"/>
          <w:szCs w:val="18"/>
        </w:rPr>
        <w:t>Sociologia Ruralis</w:t>
      </w:r>
      <w:r>
        <w:rPr>
          <w:rFonts w:ascii="Verdana" w:hAnsi="Verdana"/>
          <w:noProof/>
          <w:sz w:val="18"/>
          <w:szCs w:val="18"/>
        </w:rPr>
        <w:t xml:space="preserve"> 43(3): 309-325.</w:t>
      </w:r>
    </w:p>
    <w:p>
      <w:pPr>
        <w:spacing w:after="240"/>
        <w:ind w:left="284" w:hanging="284"/>
        <w:rPr>
          <w:rFonts w:ascii="Verdana" w:hAnsi="Verdana"/>
          <w:noProof/>
          <w:sz w:val="18"/>
          <w:szCs w:val="18"/>
          <w:lang w:val="en-GB"/>
        </w:rPr>
      </w:pPr>
      <w:r>
        <w:rPr>
          <w:rFonts w:ascii="Verdana" w:hAnsi="Verdana"/>
          <w:noProof/>
          <w:sz w:val="18"/>
          <w:szCs w:val="18"/>
        </w:rPr>
        <w:t xml:space="preserve">Sundqvist, A.K., Ellegren, H. e Vilà, C. (2008). </w:t>
      </w:r>
      <w:r>
        <w:rPr>
          <w:rFonts w:ascii="Verdana" w:hAnsi="Verdana"/>
          <w:noProof/>
          <w:sz w:val="18"/>
          <w:szCs w:val="18"/>
          <w:lang w:val="en-GB"/>
        </w:rPr>
        <w:t>«Wolf or dog?</w:t>
      </w:r>
      <w:r>
        <w:rPr>
          <w:rFonts w:ascii="Verdana" w:hAnsi="Verdana"/>
          <w:i/>
          <w:noProof/>
          <w:sz w:val="18"/>
          <w:szCs w:val="18"/>
          <w:lang w:val="en-GB"/>
        </w:rPr>
        <w:t xml:space="preserve"> </w:t>
      </w:r>
      <w:r>
        <w:rPr>
          <w:rFonts w:ascii="Verdana" w:hAnsi="Verdana"/>
          <w:noProof/>
          <w:sz w:val="18"/>
          <w:szCs w:val="18"/>
          <w:lang w:val="en-GB"/>
        </w:rPr>
        <w:t xml:space="preserve">Genetic identification of predator from saliva collected around bite wounds on prey». </w:t>
      </w:r>
      <w:r>
        <w:rPr>
          <w:rFonts w:ascii="Verdana" w:hAnsi="Verdana"/>
          <w:i/>
          <w:iCs/>
          <w:noProof/>
          <w:sz w:val="18"/>
          <w:szCs w:val="18"/>
          <w:lang w:val="en-GB"/>
        </w:rPr>
        <w:t>Conservation Genetics</w:t>
      </w:r>
      <w:r>
        <w:rPr>
          <w:rFonts w:ascii="Verdana" w:hAnsi="Verdana"/>
          <w:noProof/>
          <w:sz w:val="18"/>
          <w:szCs w:val="18"/>
          <w:lang w:val="en-GB"/>
        </w:rPr>
        <w:t>, 9 (5): 1275-1279.</w:t>
      </w:r>
    </w:p>
    <w:p>
      <w:pPr>
        <w:spacing w:after="240"/>
        <w:ind w:left="284" w:hanging="284"/>
        <w:rPr>
          <w:rFonts w:ascii="Verdana" w:eastAsia="DINOT" w:hAnsi="Verdana"/>
          <w:noProof/>
          <w:color w:val="0000FF"/>
          <w:sz w:val="18"/>
          <w:szCs w:val="18"/>
          <w:u w:val="single"/>
          <w:lang w:val="en-GB"/>
        </w:rPr>
      </w:pPr>
      <w:r>
        <w:rPr>
          <w:rFonts w:ascii="Verdana" w:hAnsi="Verdana"/>
          <w:noProof/>
          <w:sz w:val="18"/>
          <w:szCs w:val="18"/>
          <w:lang w:val="en-GB"/>
        </w:rPr>
        <w:t xml:space="preserve">Tasch, B. (2017). «First Official Proof of Wolf in Luxembourg Since 1893», </w:t>
      </w:r>
      <w:r>
        <w:rPr>
          <w:rFonts w:ascii="Verdana" w:hAnsi="Verdana"/>
          <w:i/>
          <w:iCs/>
          <w:noProof/>
          <w:sz w:val="18"/>
          <w:szCs w:val="18"/>
          <w:lang w:val="en-GB"/>
        </w:rPr>
        <w:t>Luxembourg Times</w:t>
      </w:r>
      <w:r>
        <w:rPr>
          <w:rFonts w:ascii="Verdana" w:hAnsi="Verdana"/>
          <w:noProof/>
          <w:sz w:val="18"/>
          <w:szCs w:val="18"/>
          <w:lang w:val="en-GB"/>
        </w:rPr>
        <w:t xml:space="preserve">, 1 de setembro de 2017. </w:t>
      </w:r>
      <w:r>
        <w:rPr>
          <w:rFonts w:ascii="Verdana" w:hAnsi="Verdana"/>
          <w:noProof/>
          <w:color w:val="0000FF"/>
          <w:sz w:val="18"/>
          <w:szCs w:val="18"/>
          <w:u w:val="single"/>
          <w:lang w:val="en-GB"/>
        </w:rPr>
        <w:t>http://luxtimes.lu/archives/1112-first-official-proof-of-wolf-in-luxembourg-since-1893</w:t>
      </w:r>
    </w:p>
    <w:p>
      <w:pPr>
        <w:spacing w:after="240"/>
        <w:ind w:left="284" w:hanging="284"/>
        <w:rPr>
          <w:rFonts w:ascii="Verdana" w:eastAsia="DINOT" w:hAnsi="Verdana"/>
          <w:noProof/>
          <w:sz w:val="18"/>
          <w:szCs w:val="18"/>
        </w:rPr>
      </w:pPr>
      <w:r>
        <w:rPr>
          <w:rFonts w:ascii="Verdana" w:hAnsi="Verdana"/>
          <w:noProof/>
          <w:sz w:val="18"/>
          <w:lang w:val="en-GB"/>
        </w:rPr>
        <w:t xml:space="preserve">Trouwborst, A. e F.M. Fleurke (2018). </w:t>
      </w:r>
      <w:r>
        <w:rPr>
          <w:rFonts w:ascii="Verdana" w:hAnsi="Verdana"/>
          <w:noProof/>
          <w:sz w:val="18"/>
          <w:szCs w:val="18"/>
          <w:lang w:val="en-GB"/>
        </w:rPr>
        <w:t xml:space="preserve">«Killing Wolves Legally — Exploring the Scope for Lethal Wolf Management under European Nature Conservation Law». </w:t>
      </w:r>
      <w:r>
        <w:rPr>
          <w:rFonts w:ascii="Verdana" w:hAnsi="Verdana"/>
          <w:i/>
          <w:iCs/>
          <w:noProof/>
          <w:sz w:val="18"/>
          <w:szCs w:val="18"/>
        </w:rPr>
        <w:t>Journal of International Wildlife Law and Policy</w:t>
      </w:r>
      <w:r>
        <w:rPr>
          <w:rFonts w:ascii="Verdana" w:hAnsi="Verdana"/>
          <w:noProof/>
          <w:sz w:val="18"/>
          <w:szCs w:val="18"/>
        </w:rPr>
        <w:t>, no prelo.</w:t>
      </w:r>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van Eeden LM, Eklund A, Miller JRB, López-Bao JV, Chapron G, Cejtin MR, Crowther MS, Dickman CR, Frank J, Krofel M, Macdonald DW, McManus J, Meyer TK, Middleton AD, Newsome TM, Ripple WJ, Ritchie EG, Schmitz OJ, Stoner KJ, Tourani M, Treves A. (2018) «Carnivore conservation needs evidence-based livestock protection». </w:t>
      </w:r>
      <w:r>
        <w:rPr>
          <w:rFonts w:ascii="Verdana" w:hAnsi="Verdana"/>
          <w:i/>
          <w:iCs/>
          <w:noProof/>
          <w:sz w:val="18"/>
          <w:szCs w:val="18"/>
          <w:lang w:val="en-GB"/>
        </w:rPr>
        <w:t>PLoS Biol</w:t>
      </w:r>
      <w:r>
        <w:rPr>
          <w:rFonts w:ascii="Verdana" w:hAnsi="Verdana"/>
          <w:noProof/>
          <w:sz w:val="18"/>
          <w:szCs w:val="18"/>
          <w:lang w:val="en-GB"/>
        </w:rPr>
        <w:t>. setembro de 2018;16(9):e2005577. doi. 10.1371/journal.pbio.2005577.</w:t>
      </w:r>
    </w:p>
    <w:p>
      <w:pPr>
        <w:spacing w:after="240"/>
        <w:ind w:left="284" w:hanging="284"/>
        <w:rPr>
          <w:rFonts w:ascii="Verdana" w:eastAsia="DINOT" w:hAnsi="Verdana"/>
          <w:noProof/>
          <w:sz w:val="18"/>
          <w:szCs w:val="18"/>
        </w:rPr>
      </w:pPr>
      <w:r>
        <w:rPr>
          <w:rFonts w:ascii="Verdana" w:hAnsi="Verdana"/>
          <w:noProof/>
          <w:sz w:val="18"/>
          <w:szCs w:val="18"/>
          <w:lang w:val="en-GB"/>
        </w:rPr>
        <w:t xml:space="preserve">Wielgus RB, Peebles KA (2014) «Effects of Wolf Mortality on Livestock Depredations». </w:t>
      </w:r>
      <w:r>
        <w:rPr>
          <w:rFonts w:ascii="Verdana" w:hAnsi="Verdana"/>
          <w:i/>
          <w:iCs/>
          <w:noProof/>
          <w:sz w:val="18"/>
          <w:szCs w:val="18"/>
        </w:rPr>
        <w:t>PLoS ONE</w:t>
      </w:r>
      <w:r>
        <w:rPr>
          <w:rFonts w:ascii="Verdana" w:hAnsi="Verdana"/>
          <w:noProof/>
          <w:sz w:val="18"/>
          <w:szCs w:val="18"/>
        </w:rPr>
        <w:t xml:space="preserve"> 9(12): e113505. </w:t>
      </w:r>
      <w:hyperlink r:id="rId64" w:history="1">
        <w:r>
          <w:rPr>
            <w:rFonts w:ascii="Verdana" w:hAnsi="Verdana"/>
            <w:noProof/>
            <w:color w:val="0000FF"/>
            <w:sz w:val="18"/>
            <w:szCs w:val="18"/>
            <w:u w:val="single"/>
          </w:rPr>
          <w:t>https://doi.org/10.1371/journal.pone.0113505</w:t>
        </w:r>
      </w:hyperlink>
    </w:p>
    <w:p>
      <w:pPr>
        <w:spacing w:after="240"/>
        <w:ind w:left="284" w:hanging="284"/>
        <w:rPr>
          <w:rFonts w:ascii="Verdana" w:eastAsia="DINOT" w:hAnsi="Verdana"/>
          <w:noProof/>
          <w:sz w:val="18"/>
          <w:szCs w:val="18"/>
          <w:lang w:val="en-GB"/>
        </w:rPr>
      </w:pPr>
      <w:r>
        <w:rPr>
          <w:rFonts w:ascii="Verdana" w:hAnsi="Verdana"/>
          <w:noProof/>
          <w:sz w:val="18"/>
          <w:szCs w:val="18"/>
          <w:lang w:val="en-GB"/>
        </w:rPr>
        <w:t xml:space="preserve">Young, J. C., Searle, K., Butler, A., Simmons, P., Watt A. D., Jordan, A. (2016). «The role of trust in the resolution of conservation conflicts», </w:t>
      </w:r>
      <w:r>
        <w:rPr>
          <w:rFonts w:ascii="Verdana" w:hAnsi="Verdana"/>
          <w:i/>
          <w:iCs/>
          <w:noProof/>
          <w:sz w:val="18"/>
          <w:szCs w:val="18"/>
          <w:lang w:val="en-GB"/>
        </w:rPr>
        <w:t>Biological Conservation</w:t>
      </w:r>
      <w:r>
        <w:rPr>
          <w:rFonts w:ascii="Verdana" w:hAnsi="Verdana"/>
          <w:noProof/>
          <w:sz w:val="18"/>
          <w:szCs w:val="18"/>
          <w:lang w:val="en-GB"/>
        </w:rPr>
        <w:t>, volume 195, 196-202.</w:t>
      </w:r>
    </w:p>
    <w:p>
      <w:pPr>
        <w:spacing w:after="240"/>
        <w:rPr>
          <w:rFonts w:ascii="Verdana" w:eastAsia="DINOT" w:hAnsi="Verdana"/>
          <w:noProof/>
          <w:sz w:val="20"/>
          <w:szCs w:val="20"/>
          <w:lang w:val="en-GB" w:eastAsia="de-DE"/>
        </w:rPr>
      </w:pPr>
    </w:p>
    <w:p>
      <w:pPr>
        <w:spacing w:after="240"/>
        <w:rPr>
          <w:rFonts w:ascii="Verdana" w:eastAsia="DINOT" w:hAnsi="Verdana"/>
          <w:noProof/>
          <w:sz w:val="18"/>
        </w:rPr>
      </w:pPr>
      <w:r>
        <w:rPr>
          <w:rFonts w:ascii="Verdana" w:hAnsi="Verdana"/>
          <w:b/>
          <w:noProof/>
          <w:sz w:val="20"/>
        </w:rPr>
        <w:t xml:space="preserve">Plataforma da UE relativa aos grandes carnívoros: </w:t>
      </w:r>
      <w:hyperlink r:id="rId65" w:history="1">
        <w:r>
          <w:rPr>
            <w:rFonts w:ascii="Verdana" w:hAnsi="Verdana"/>
            <w:noProof/>
            <w:color w:val="0000FF"/>
            <w:sz w:val="18"/>
            <w:u w:val="single"/>
          </w:rPr>
          <w:t>http://ec.europa.eu/environment/nature/conservation/species/carnivores/coexistence_platform.htm</w:t>
        </w:r>
      </w:hyperlink>
      <w:bookmarkEnd w:id="16"/>
    </w:p>
    <w:p>
      <w:pPr>
        <w:rPr>
          <w:rFonts w:ascii="Verdana" w:eastAsia="DINOT" w:hAnsi="Verdana"/>
          <w:b/>
          <w:noProof/>
          <w:sz w:val="20"/>
          <w:szCs w:val="20"/>
        </w:rPr>
      </w:pPr>
      <w:r>
        <w:rPr>
          <w:rFonts w:ascii="Verdana" w:hAnsi="Verdana"/>
          <w:b/>
          <w:noProof/>
          <w:sz w:val="20"/>
          <w:szCs w:val="20"/>
        </w:rPr>
        <w:t>Plataformas regionais relativas aos grandes carnívoros:</w:t>
      </w:r>
    </w:p>
    <w:p>
      <w:pPr>
        <w:spacing w:after="240"/>
        <w:rPr>
          <w:rFonts w:eastAsia="DINOT"/>
          <w:noProof/>
          <w:color w:val="0000FF"/>
          <w:sz w:val="18"/>
          <w:u w:val="single"/>
        </w:rPr>
      </w:pPr>
      <w:hyperlink r:id="rId66" w:history="1">
        <w:r>
          <w:rPr>
            <w:rFonts w:ascii="Verdana" w:hAnsi="Verdana"/>
            <w:noProof/>
            <w:color w:val="0000FF"/>
            <w:sz w:val="18"/>
            <w:u w:val="single"/>
          </w:rPr>
          <w:t>http://ec.europa.eu/environment/nature/conservation/species/carnivores/regional_platforms.htm</w:t>
        </w:r>
      </w:hyperlink>
    </w:p>
    <w:p>
      <w:pPr>
        <w:pStyle w:val="h2"/>
        <w:rPr>
          <w:b w:val="0"/>
          <w:noProof/>
          <w:sz w:val="20"/>
          <w:szCs w:val="20"/>
        </w:rPr>
      </w:pPr>
    </w:p>
    <w:sectPr>
      <w:headerReference w:type="even" r:id="rId67"/>
      <w:headerReference w:type="default" r:id="rId68"/>
      <w:footerReference w:type="even" r:id="rId69"/>
      <w:footerReference w:type="default" r:id="rId70"/>
      <w:headerReference w:type="first" r:id="rId71"/>
      <w:footerReference w:type="first" r:id="rId72"/>
      <w:pgSz w:w="11900" w:h="16820"/>
      <w:pgMar w:top="1191" w:right="1418" w:bottom="1247"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OT">
    <w:altName w:val="Segoe Script"/>
    <w:panose1 w:val="00000000000000000000"/>
    <w:charset w:val="00"/>
    <w:family w:val="swiss"/>
    <w:notTrueType/>
    <w:pitch w:val="variable"/>
    <w:sig w:usb0="800000AF" w:usb1="4000207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33</w:t>
    </w:r>
    <w:r>
      <w:rPr>
        <w:rStyle w:val="PageNumber"/>
      </w:rPr>
      <w:fldChar w:fldCharType="end"/>
    </w:r>
  </w:p>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Verdana" w:hAnsi="Verdana"/>
        <w:sz w:val="20"/>
        <w:szCs w:val="20"/>
      </w:rPr>
    </w:pPr>
    <w:r>
      <w:rPr>
        <w:rStyle w:val="PageNumber"/>
        <w:rFonts w:ascii="Verdana" w:hAnsi="Verdana"/>
        <w:sz w:val="20"/>
        <w:szCs w:val="20"/>
      </w:rPr>
      <w:fldChar w:fldCharType="begin"/>
    </w:r>
    <w:r>
      <w:rPr>
        <w:rStyle w:val="PageNumber"/>
        <w:rFonts w:ascii="Verdana" w:hAnsi="Verdana"/>
        <w:sz w:val="20"/>
        <w:szCs w:val="20"/>
      </w:rPr>
      <w:instrText xml:space="preserve">PAGE  </w:instrText>
    </w:r>
    <w:r>
      <w:rPr>
        <w:rStyle w:val="PageNumber"/>
        <w:rFonts w:ascii="Verdana" w:hAnsi="Verdana"/>
        <w:sz w:val="20"/>
        <w:szCs w:val="20"/>
      </w:rPr>
      <w:fldChar w:fldCharType="separate"/>
    </w:r>
    <w:r>
      <w:rPr>
        <w:rStyle w:val="PageNumber"/>
        <w:rFonts w:ascii="Verdana" w:hAnsi="Verdana"/>
        <w:noProof/>
        <w:sz w:val="20"/>
        <w:szCs w:val="20"/>
      </w:rPr>
      <w:t>9</w:t>
    </w:r>
    <w:r>
      <w:rPr>
        <w:rStyle w:val="PageNumber"/>
        <w:rFonts w:ascii="Verdana" w:hAnsi="Verdana"/>
        <w:sz w:val="20"/>
        <w:szCs w:val="20"/>
      </w:rPr>
      <w:fldChar w:fldCharType="end"/>
    </w:r>
  </w:p>
  <w:p>
    <w:pPr>
      <w:pStyle w:val="Footer"/>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97354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rPr>
        <w:rFonts w:ascii="Verdana" w:hAnsi="Verdana"/>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33</w:t>
    </w:r>
    <w:r>
      <w:rPr>
        <w:rStyle w:val="PageNumber"/>
      </w:rPr>
      <w:fldChar w:fldCharType="end"/>
    </w:r>
  </w:p>
  <w:p>
    <w:pPr>
      <w:pStyle w:val="Footer"/>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Verdana" w:hAnsi="Verdana"/>
        <w:sz w:val="20"/>
        <w:szCs w:val="20"/>
      </w:rPr>
    </w:pPr>
    <w:r>
      <w:rPr>
        <w:rStyle w:val="PageNumber"/>
        <w:rFonts w:ascii="Verdana" w:hAnsi="Verdana"/>
        <w:sz w:val="20"/>
        <w:szCs w:val="20"/>
      </w:rPr>
      <w:fldChar w:fldCharType="begin"/>
    </w:r>
    <w:r>
      <w:rPr>
        <w:rStyle w:val="PageNumber"/>
        <w:rFonts w:ascii="Verdana" w:hAnsi="Verdana"/>
        <w:sz w:val="20"/>
        <w:szCs w:val="20"/>
      </w:rPr>
      <w:instrText xml:space="preserve">PAGE  </w:instrText>
    </w:r>
    <w:r>
      <w:rPr>
        <w:rStyle w:val="PageNumber"/>
        <w:rFonts w:ascii="Verdana" w:hAnsi="Verdana"/>
        <w:sz w:val="20"/>
        <w:szCs w:val="20"/>
      </w:rPr>
      <w:fldChar w:fldCharType="separate"/>
    </w:r>
    <w:r>
      <w:rPr>
        <w:rStyle w:val="PageNumber"/>
        <w:rFonts w:ascii="Verdana" w:hAnsi="Verdana"/>
        <w:noProof/>
        <w:sz w:val="20"/>
        <w:szCs w:val="20"/>
      </w:rPr>
      <w:t>129</w:t>
    </w:r>
    <w:r>
      <w:rPr>
        <w:rStyle w:val="PageNumber"/>
        <w:rFonts w:ascii="Verdana" w:hAnsi="Verdana"/>
        <w:sz w:val="20"/>
        <w:szCs w:val="20"/>
      </w:rPr>
      <w:fldChar w:fldCharType="end"/>
    </w:r>
  </w:p>
  <w:p>
    <w:pPr>
      <w:pStyle w:val="Footer"/>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Verdana" w:hAnsi="Verdana"/>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jc w:val="lef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 xml:space="preserve">Diretiva 92/43/CEE do Conselho, de 21 de maio de 1992, relativa à preservação dos </w:t>
      </w:r>
      <w:r>
        <w:rPr>
          <w:rFonts w:ascii="Verdana" w:hAnsi="Verdana"/>
          <w:i/>
          <w:iCs/>
          <w:sz w:val="16"/>
          <w:szCs w:val="16"/>
        </w:rPr>
        <w:t>habitats</w:t>
      </w:r>
      <w:r>
        <w:rPr>
          <w:rFonts w:ascii="Verdana" w:hAnsi="Verdana"/>
          <w:sz w:val="16"/>
          <w:szCs w:val="16"/>
        </w:rPr>
        <w:t xml:space="preserve"> naturais e da fauna e da flora selvagens (JO L 206 de 22.7.1992, p. 7).</w:t>
      </w:r>
    </w:p>
  </w:footnote>
  <w:footnote w:id="3">
    <w:p>
      <w:pPr>
        <w:pStyle w:val="FootnoteText"/>
        <w:jc w:val="lef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 xml:space="preserve">Mais informações: </w:t>
      </w:r>
      <w:hyperlink r:id="rId1" w:history="1">
        <w:r>
          <w:rPr>
            <w:rStyle w:val="Hyperlink"/>
            <w:rFonts w:ascii="Verdana" w:hAnsi="Verdana"/>
            <w:sz w:val="16"/>
            <w:szCs w:val="16"/>
          </w:rPr>
          <w:t>http://ec.europa.eu/environment/nature/legislation/fitness_check/action_plan/index_en.htm</w:t>
        </w:r>
      </w:hyperlink>
      <w:r>
        <w:rPr>
          <w:rFonts w:ascii="Verdana" w:hAnsi="Verdana"/>
          <w:sz w:val="16"/>
          <w:szCs w:val="16"/>
        </w:rPr>
        <w:t>.</w:t>
      </w:r>
    </w:p>
  </w:footnote>
  <w:footnote w:id="4">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O artigo 2.º, n.º 3, reflete-se, por exemplo, nas disposições do artigo 16.º, que prevê a possibilidade de derrogação do regime de proteção rigorosa das espécies, nomeadamente, por razões imperativas ou de interesse público prioritário, incluindo razões de caráter social ou económico. Todavia, o artigo 2.º, n.º 3, não prevê uma base jurídica suplementar para a derrogação das disposições obrigatórias desta diretiva. Ver, no contexto da seleção de sítios Natura 2000 nos termos do artigo 4.º, n.º 1, o acórdão de 7 de novembro de 2000 no processo C-371/98, First Cooperate Shipping, ECLI:EU:C:2000:600, n.º 25.</w:t>
      </w:r>
    </w:p>
  </w:footnote>
  <w:footnote w:id="5">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 xml:space="preserve">Ver também </w:t>
      </w:r>
      <w:r>
        <w:rPr>
          <w:rFonts w:ascii="Verdana" w:hAnsi="Verdana"/>
          <w:i/>
          <w:sz w:val="16"/>
          <w:szCs w:val="16"/>
        </w:rPr>
        <w:t>Reporting under Article 17 of the Habitats Directive — Explanatory Notes and Guidelines for the period 2013–2018</w:t>
      </w:r>
      <w:r>
        <w:rPr>
          <w:rFonts w:ascii="Verdana" w:hAnsi="Verdana"/>
          <w:sz w:val="16"/>
          <w:szCs w:val="16"/>
        </w:rPr>
        <w:t xml:space="preserve"> [notas explicativas e orientações para a elaboração dos relatórios previstos no artigo 17.º da Diretiva </w:t>
      </w:r>
      <w:r>
        <w:rPr>
          <w:rFonts w:ascii="Verdana" w:hAnsi="Verdana"/>
          <w:i/>
          <w:iCs/>
          <w:sz w:val="16"/>
          <w:szCs w:val="16"/>
        </w:rPr>
        <w:t>Habitats</w:t>
      </w:r>
      <w:r>
        <w:rPr>
          <w:rFonts w:ascii="Verdana" w:hAnsi="Verdana"/>
          <w:sz w:val="16"/>
          <w:szCs w:val="16"/>
        </w:rPr>
        <w:t xml:space="preserve">, para o período de 2013-2018], p. 7, </w:t>
      </w:r>
      <w:hyperlink r:id="rId2" w:history="1">
        <w:r>
          <w:rPr>
            <w:rStyle w:val="Hyperlink"/>
            <w:rFonts w:ascii="Verdana" w:hAnsi="Verdana"/>
            <w:sz w:val="16"/>
            <w:szCs w:val="16"/>
          </w:rPr>
          <w:t>https://cdr.eionet.europa.eu/help/habitats_art17</w:t>
        </w:r>
      </w:hyperlink>
      <w:r>
        <w:rPr>
          <w:rFonts w:ascii="Verdana" w:hAnsi="Verdana"/>
          <w:sz w:val="16"/>
          <w:szCs w:val="16"/>
        </w:rPr>
        <w:t>.</w:t>
      </w:r>
    </w:p>
    <w:p>
      <w:pPr>
        <w:pStyle w:val="FootnoteText"/>
        <w:rPr>
          <w:rFonts w:ascii="Verdana" w:hAnsi="Verdana"/>
          <w:sz w:val="16"/>
          <w:szCs w:val="16"/>
        </w:rPr>
      </w:pPr>
    </w:p>
    <w:p>
      <w:pPr>
        <w:pStyle w:val="FootnoteText"/>
      </w:pPr>
    </w:p>
  </w:footnote>
  <w:footnote w:id="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Acórdão de 20 de outubro de 2005 no processo C-6/04, Comissão/Reino Unido, ECLI:EU:C:2005:626, n.º 112, e acórdão de 10 de janeiro de 2006 no processo C-98/03, Comissão/Alemanha, ECLI:EU:C:2006:3, n.º 66.</w:t>
      </w:r>
    </w:p>
  </w:footnote>
  <w:footnote w:id="7">
    <w:p>
      <w:pPr>
        <w:pStyle w:val="FootnoteText"/>
        <w:rPr>
          <w:rFonts w:ascii="Verdana" w:hAnsi="Verdana"/>
          <w:sz w:val="16"/>
          <w:szCs w:val="16"/>
        </w:rPr>
      </w:pPr>
      <w:r>
        <w:rPr>
          <w:lang w:val="en-GB"/>
        </w:rPr>
        <w:footnoteRef/>
      </w:r>
      <w:r>
        <w:rPr>
          <w:rFonts w:ascii="Verdana" w:hAnsi="Verdana"/>
          <w:sz w:val="16"/>
          <w:szCs w:val="16"/>
        </w:rPr>
        <w:t xml:space="preserve"> </w:t>
      </w:r>
      <w:r>
        <w:rPr>
          <w:rFonts w:ascii="Verdana" w:hAnsi="Verdana"/>
          <w:sz w:val="16"/>
          <w:szCs w:val="16"/>
        </w:rPr>
        <w:tab/>
        <w:t>Acórdão de 10 de maio de 2007 no processo C-508/04, Comissão/Áustria, ECLI:EU:C:2007:274, n.º 109.</w:t>
      </w:r>
    </w:p>
  </w:footnote>
  <w:footnote w:id="8">
    <w:p>
      <w:pPr>
        <w:pStyle w:val="FootnoteText"/>
        <w:rPr>
          <w:rFonts w:ascii="Verdana" w:hAnsi="Verdana"/>
          <w:sz w:val="16"/>
          <w:szCs w:val="16"/>
        </w:rPr>
      </w:pPr>
      <w:r>
        <w:footnoteRef/>
      </w:r>
      <w:r>
        <w:t xml:space="preserve"> </w:t>
      </w:r>
      <w:r>
        <w:tab/>
      </w:r>
      <w:r>
        <w:rPr>
          <w:rFonts w:ascii="Verdana" w:hAnsi="Verdana"/>
          <w:sz w:val="16"/>
          <w:szCs w:val="16"/>
        </w:rPr>
        <w:t>Ver igualmente o artigo I da Convenção de Bona.</w:t>
      </w:r>
    </w:p>
  </w:footnote>
  <w:footnote w:id="9">
    <w:p>
      <w:pPr>
        <w:pStyle w:val="FootnoteText"/>
        <w:ind w:left="240" w:hanging="240"/>
        <w:rPr>
          <w:rFonts w:ascii="Verdana" w:hAnsi="Verdana"/>
          <w:sz w:val="16"/>
          <w:szCs w:val="16"/>
        </w:rPr>
      </w:pPr>
      <w:r>
        <w:rPr>
          <w:rFonts w:ascii="Verdana" w:hAnsi="Verdana"/>
          <w:sz w:val="16"/>
          <w:szCs w:val="16"/>
          <w:lang w:val="en-GB"/>
        </w:rPr>
        <w:footnoteRef/>
      </w:r>
      <w:r>
        <w:rPr>
          <w:rFonts w:ascii="Verdana" w:hAnsi="Verdana"/>
          <w:sz w:val="16"/>
          <w:szCs w:val="16"/>
        </w:rPr>
        <w:tab/>
        <w:t>Ver, nomeadamente, o acórdão de 20 de outubro de 2005 no processo C-6/04, Comissão/Reino Unido, n.º 27, mas também os seguintes acórdãos: 30 de maio de 1991, processo C-57/89, Comissão/Alemanha, ECLI:EU:C:1991:89, n.</w:t>
      </w:r>
      <w:r>
        <w:rPr>
          <w:rFonts w:ascii="Verdana" w:hAnsi="Verdana"/>
          <w:sz w:val="16"/>
          <w:szCs w:val="16"/>
          <w:vertAlign w:val="superscript"/>
        </w:rPr>
        <w:t>os</w:t>
      </w:r>
      <w:r>
        <w:rPr>
          <w:rFonts w:ascii="Verdana" w:hAnsi="Verdana"/>
          <w:sz w:val="16"/>
          <w:szCs w:val="16"/>
        </w:rPr>
        <w:t> 18 e 24; 19 de setembro de 1996, processo C-236/95, Comissão/Grécia,</w:t>
      </w:r>
      <w:r>
        <w:rPr>
          <w:rFonts w:ascii="Verdana" w:hAnsi="Verdana"/>
        </w:rPr>
        <w:t xml:space="preserve"> </w:t>
      </w:r>
      <w:r>
        <w:rPr>
          <w:rFonts w:ascii="Verdana" w:hAnsi="Verdana"/>
          <w:sz w:val="16"/>
          <w:szCs w:val="16"/>
        </w:rPr>
        <w:t>ECLI:EU:C:1996:341, n.º 13; 19 de maio de 1999, processo C-225/97, Comissão/França, ECLI:EU:C:1999:252, n.º 37; 10 de maio de 2001, processo C-144/99, Comissão/Países Baixos, ECLI:EU:C:2001:257, n.º 21; 17 de maio de 2001, processo C-159/99, Comissão/Itália, ECLI:EU:C:2001:278, n.º 32.</w:t>
      </w:r>
    </w:p>
  </w:footnote>
  <w:footnote w:id="10">
    <w:p>
      <w:pPr>
        <w:pStyle w:val="FootnoteText"/>
        <w:ind w:left="240" w:hanging="240"/>
        <w:rPr>
          <w:rFonts w:ascii="Verdana" w:hAnsi="Verdana"/>
          <w:sz w:val="16"/>
          <w:szCs w:val="16"/>
        </w:rPr>
      </w:pPr>
      <w:r>
        <w:rPr>
          <w:rFonts w:ascii="Verdana" w:hAnsi="Verdana"/>
          <w:sz w:val="16"/>
          <w:szCs w:val="16"/>
          <w:lang w:val="en-GB"/>
        </w:rPr>
        <w:footnoteRef/>
      </w:r>
      <w:r>
        <w:rPr>
          <w:rFonts w:ascii="Verdana" w:hAnsi="Verdana"/>
          <w:sz w:val="16"/>
          <w:szCs w:val="16"/>
        </w:rPr>
        <w:tab/>
        <w:t>Por exemplo: processo C-6/04, Comissão/Reino Unido, n.º 21.</w:t>
      </w:r>
    </w:p>
  </w:footnote>
  <w:footnote w:id="1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 xml:space="preserve"> </w:t>
      </w:r>
      <w:r>
        <w:rPr>
          <w:rFonts w:ascii="Verdana" w:hAnsi="Verdana"/>
          <w:sz w:val="16"/>
          <w:szCs w:val="16"/>
        </w:rPr>
        <w:tab/>
        <w:t>Ver a este propósito o processo 29/84, Comissão/Alemanha, ECLI:EU:C:1985:229, n.º 23; processo C</w:t>
      </w:r>
      <w:r>
        <w:rPr>
          <w:rFonts w:ascii="Verdana" w:hAnsi="Verdana"/>
          <w:sz w:val="16"/>
          <w:szCs w:val="16"/>
        </w:rPr>
        <w:noBreakHyphen/>
        <w:t>363/85,</w:t>
      </w:r>
    </w:p>
    <w:p>
      <w:pPr>
        <w:pStyle w:val="FootnoteText"/>
        <w:ind w:firstLine="0"/>
        <w:rPr>
          <w:rFonts w:ascii="Verdana" w:hAnsi="Verdana"/>
          <w:sz w:val="16"/>
          <w:szCs w:val="16"/>
        </w:rPr>
      </w:pPr>
      <w:r>
        <w:rPr>
          <w:rFonts w:ascii="Verdana" w:hAnsi="Verdana"/>
          <w:sz w:val="16"/>
          <w:szCs w:val="16"/>
        </w:rPr>
        <w:t>Comissão/Itália, ECLI:EU:C:1987:196, n.º 7; e C-57/89, Comissão/Alemanha,</w:t>
      </w:r>
    </w:p>
    <w:p>
      <w:pPr>
        <w:pStyle w:val="FootnoteText"/>
        <w:ind w:firstLine="0"/>
        <w:rPr>
          <w:rFonts w:ascii="Verdana" w:hAnsi="Verdana"/>
          <w:sz w:val="16"/>
          <w:szCs w:val="16"/>
        </w:rPr>
      </w:pPr>
      <w:r>
        <w:rPr>
          <w:rFonts w:ascii="Verdana" w:hAnsi="Verdana"/>
          <w:sz w:val="16"/>
          <w:szCs w:val="16"/>
        </w:rPr>
        <w:t>ECLI:EU:C:1991:225, n.º 18.</w:t>
      </w:r>
    </w:p>
  </w:footnote>
  <w:footnote w:id="12">
    <w:p>
      <w:pPr>
        <w:pStyle w:val="FootnoteText"/>
        <w:rPr>
          <w:rFonts w:ascii="Verdana" w:hAnsi="Verdana"/>
        </w:rPr>
      </w:pPr>
      <w:r>
        <w:rPr>
          <w:rFonts w:ascii="Verdana" w:hAnsi="Verdana"/>
          <w:sz w:val="16"/>
          <w:szCs w:val="16"/>
          <w:lang w:val="en-GB"/>
        </w:rPr>
        <w:footnoteRef/>
      </w:r>
      <w:r>
        <w:rPr>
          <w:rFonts w:ascii="Verdana" w:hAnsi="Verdana"/>
          <w:sz w:val="16"/>
          <w:szCs w:val="16"/>
        </w:rPr>
        <w:tab/>
        <w:t>Processo C-98/03, Comissão/Alemanha, n.</w:t>
      </w:r>
      <w:r>
        <w:rPr>
          <w:rFonts w:ascii="Verdana" w:hAnsi="Verdana"/>
          <w:sz w:val="16"/>
          <w:szCs w:val="16"/>
          <w:vertAlign w:val="superscript"/>
        </w:rPr>
        <w:t>os</w:t>
      </w:r>
      <w:r>
        <w:rPr>
          <w:rFonts w:ascii="Verdana" w:hAnsi="Verdana"/>
          <w:sz w:val="16"/>
          <w:szCs w:val="16"/>
        </w:rPr>
        <w:t> 67-68.</w:t>
      </w:r>
    </w:p>
  </w:footnote>
  <w:footnote w:id="1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Ver o acórdão de 30 de janeiro de 2002 no processo C-103/00, Comissão/Grécia, ECLI:EU:C:2002:60, n.º 29.</w:t>
      </w:r>
    </w:p>
  </w:footnote>
  <w:footnote w:id="14">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Por exemplo, acórdão de 28 de março de 1990 nos processos apensos C-206 e 207/88, processos penais contra G. Vessoso e G. Zanetti, ECLI:EU:C:1990:145.</w:t>
      </w:r>
    </w:p>
  </w:footnote>
  <w:footnote w:id="15">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Acórdão de 13 de fevereiro de 2003 no processo C-75/01, Comissão/Luxemburgo, ECLI:EU:C:2003:95, n.º 28.</w:t>
      </w:r>
    </w:p>
  </w:footnote>
  <w:footnote w:id="16">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Ver, por exemplo, o processo C-6/04, Comissão/Reino Unido, n.</w:t>
      </w:r>
      <w:r>
        <w:rPr>
          <w:rFonts w:ascii="Verdana" w:hAnsi="Verdana"/>
          <w:sz w:val="16"/>
          <w:szCs w:val="16"/>
          <w:vertAlign w:val="superscript"/>
        </w:rPr>
        <w:t>os</w:t>
      </w:r>
      <w:r>
        <w:rPr>
          <w:rFonts w:ascii="Verdana" w:hAnsi="Verdana"/>
          <w:sz w:val="16"/>
          <w:szCs w:val="16"/>
        </w:rPr>
        <w:t> 25 e 26 e o processo C-98/03, Comissão/Alemanha, n.</w:t>
      </w:r>
      <w:r>
        <w:rPr>
          <w:rFonts w:ascii="Verdana" w:hAnsi="Verdana"/>
          <w:sz w:val="16"/>
          <w:szCs w:val="16"/>
          <w:vertAlign w:val="superscript"/>
        </w:rPr>
        <w:t>os</w:t>
      </w:r>
      <w:r>
        <w:rPr>
          <w:rFonts w:ascii="Verdana" w:hAnsi="Verdana"/>
          <w:sz w:val="16"/>
          <w:szCs w:val="16"/>
        </w:rPr>
        <w:t> 59 e 60.</w:t>
      </w:r>
    </w:p>
  </w:footnote>
  <w:footnote w:id="17">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Ver também o processo C-6/04, Comissão/Reino Unido, n.º 79.</w:t>
      </w:r>
    </w:p>
  </w:footnote>
  <w:footnote w:id="1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Por exemplo: acórdão de 23 de fevereiro de 1988 no processo C-429/85, Comissão/Itália, ECLI:EU:C:1988:83, n.º 12; acórdão de 11 de novembro de 1999 no processo C-315/98, Comissão/Itália, ECLI:EU:C:1999:551, n.º 10; acórdão de 13 de fevereiro de 2003 no processo C-75/01, Comissão/Luxemburgo, ECLI:EU:C:2003:95, n.º 28.</w:t>
      </w:r>
    </w:p>
  </w:footnote>
  <w:footnote w:id="19">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Processo C-508/04, Comissão/Áustria, n.º 80; acórdão de 15 de março de 2012 no processo C-46/11, Comissão/Polónia, </w:t>
      </w:r>
      <w:r>
        <w:rPr>
          <w:rStyle w:val="outputecliaff"/>
          <w:rFonts w:ascii="Verdana" w:hAnsi="Verdana"/>
          <w:sz w:val="16"/>
          <w:szCs w:val="16"/>
        </w:rPr>
        <w:t>ECLI:EU:C:2012:146,</w:t>
      </w:r>
      <w:r>
        <w:rPr>
          <w:rFonts w:ascii="Verdana" w:hAnsi="Verdana"/>
          <w:sz w:val="16"/>
          <w:szCs w:val="16"/>
        </w:rPr>
        <w:t xml:space="preserve"> n.º 28.</w:t>
      </w:r>
    </w:p>
  </w:footnote>
  <w:footnote w:id="20">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Acórdão de 14 de junho de 2007 no processo C-342/05, Comissão/Finlândia, </w:t>
      </w:r>
      <w:r>
        <w:rPr>
          <w:rStyle w:val="outputecliaff"/>
          <w:rFonts w:ascii="Verdana" w:hAnsi="Verdana"/>
          <w:sz w:val="16"/>
          <w:szCs w:val="16"/>
        </w:rPr>
        <w:t>ECLI:EU:C:2007:341,</w:t>
      </w:r>
      <w:r>
        <w:rPr>
          <w:rFonts w:ascii="Verdana" w:hAnsi="Verdana"/>
          <w:sz w:val="16"/>
          <w:szCs w:val="16"/>
        </w:rPr>
        <w:t xml:space="preserve"> n.º 22.</w:t>
      </w:r>
    </w:p>
  </w:footnote>
  <w:footnote w:id="2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Processo C-103/00, Comissão/Grécia. Ver também o acórdão de 17 de janeiro de 1991 no processo C</w:t>
      </w:r>
      <w:r>
        <w:rPr>
          <w:rFonts w:ascii="Verdana" w:hAnsi="Verdana"/>
          <w:sz w:val="16"/>
          <w:szCs w:val="16"/>
        </w:rPr>
        <w:noBreakHyphen/>
        <w:t xml:space="preserve">157/89, Comissão/Itália, ECLI:EU:C:1991:22, n.º 14, que diz respeito ao artigo 7.º da Diretiva Aves (2009/147/CE). </w:t>
      </w:r>
    </w:p>
  </w:footnote>
  <w:footnote w:id="22">
    <w:p>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rPr>
          <w:rFonts w:ascii="Verdana" w:hAnsi="Verdana"/>
          <w:sz w:val="16"/>
          <w:szCs w:val="16"/>
        </w:rPr>
      </w:pPr>
      <w:r>
        <w:rPr>
          <w:rFonts w:ascii="Verdana" w:hAnsi="Verdana"/>
          <w:sz w:val="16"/>
          <w:szCs w:val="16"/>
          <w:lang w:val="en-GB"/>
        </w:rPr>
        <w:footnoteRef/>
      </w:r>
      <w:r>
        <w:rPr>
          <w:rFonts w:ascii="Verdana" w:hAnsi="Verdana"/>
          <w:sz w:val="16"/>
          <w:szCs w:val="16"/>
        </w:rPr>
        <w:tab/>
        <w:t xml:space="preserve">Acórdão de 16 de março de 2006 no processo C-518/04, Comissão/Grécia, ECLI:EU:C:2006:183. </w:t>
      </w:r>
    </w:p>
  </w:footnote>
  <w:footnote w:id="23">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Acórdão de 11 de janeiro de 2007 no processo C-183/05, Comissão/Irlanda, ECLI:EU:C:2007:14.</w:t>
      </w:r>
    </w:p>
  </w:footnote>
  <w:footnote w:id="24">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 xml:space="preserve"> Acórdão de 9 de junho de 2011 no processo C-383/09, Comissão/França, </w:t>
      </w:r>
      <w:r>
        <w:rPr>
          <w:rStyle w:val="outputecliaff"/>
          <w:rFonts w:ascii="Verdana" w:hAnsi="Verdana"/>
          <w:sz w:val="16"/>
          <w:szCs w:val="16"/>
        </w:rPr>
        <w:t>ECLI:EU:C:2011:369.</w:t>
      </w:r>
    </w:p>
  </w:footnote>
  <w:footnote w:id="25">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Acórdão de 10 de novembro de 2016 no processo C-504/14, Comissão/Grécia, ECLI:EU:C:2016:847.</w:t>
      </w:r>
    </w:p>
  </w:footnote>
  <w:footnote w:id="26">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Processo C-383/09, Comissão/França, n.</w:t>
      </w:r>
      <w:r>
        <w:rPr>
          <w:rFonts w:ascii="Verdana" w:hAnsi="Verdana"/>
          <w:sz w:val="16"/>
          <w:szCs w:val="16"/>
          <w:vertAlign w:val="superscript"/>
        </w:rPr>
        <w:t>os</w:t>
      </w:r>
      <w:r>
        <w:rPr>
          <w:rFonts w:ascii="Verdana" w:hAnsi="Verdana"/>
          <w:sz w:val="16"/>
          <w:szCs w:val="16"/>
        </w:rPr>
        <w:t> 19 e 20.</w:t>
      </w:r>
    </w:p>
  </w:footnote>
  <w:footnote w:id="27">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Processo C-518/04, Comissão/Grécia, n.º 16.</w:t>
      </w:r>
    </w:p>
  </w:footnote>
  <w:footnote w:id="2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Processo C-183/05, Comissão/Irlanda, n.</w:t>
      </w:r>
      <w:r>
        <w:rPr>
          <w:rFonts w:ascii="Verdana" w:hAnsi="Verdana"/>
          <w:sz w:val="16"/>
          <w:szCs w:val="16"/>
          <w:vertAlign w:val="superscript"/>
        </w:rPr>
        <w:t>os</w:t>
      </w:r>
      <w:r>
        <w:rPr>
          <w:rFonts w:ascii="Verdana" w:hAnsi="Verdana"/>
          <w:sz w:val="16"/>
          <w:szCs w:val="16"/>
        </w:rPr>
        <w:t xml:space="preserve"> 29 e 30. </w:t>
      </w:r>
    </w:p>
  </w:footnote>
  <w:footnote w:id="29">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Processo C-103/00, Comissão/Grécia, n.º 39.</w:t>
      </w:r>
    </w:p>
  </w:footnote>
  <w:footnote w:id="30">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 xml:space="preserve"> Processos apensos C</w:t>
      </w:r>
      <w:r>
        <w:rPr>
          <w:rFonts w:ascii="Cambria Math" w:hAnsi="Cambria Math"/>
          <w:sz w:val="16"/>
          <w:szCs w:val="16"/>
        </w:rPr>
        <w:t>‑</w:t>
      </w:r>
      <w:r>
        <w:rPr>
          <w:rFonts w:ascii="Verdana" w:hAnsi="Verdana"/>
          <w:sz w:val="16"/>
          <w:szCs w:val="16"/>
        </w:rPr>
        <w:t>473/19 e C</w:t>
      </w:r>
      <w:r>
        <w:rPr>
          <w:rFonts w:ascii="Cambria Math" w:hAnsi="Cambria Math"/>
          <w:sz w:val="16"/>
          <w:szCs w:val="16"/>
        </w:rPr>
        <w:t>‑</w:t>
      </w:r>
      <w:r>
        <w:rPr>
          <w:rFonts w:ascii="Verdana" w:hAnsi="Verdana"/>
          <w:sz w:val="16"/>
          <w:szCs w:val="16"/>
        </w:rPr>
        <w:t>474/19, n.º 76.</w:t>
      </w:r>
    </w:p>
  </w:footnote>
  <w:footnote w:id="3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«Considerando […] que a manutenção dessa biodiversidade pode, em certos casos, requerer a manutenção e até mesmo o encorajamento de atividades humanas».</w:t>
      </w:r>
    </w:p>
  </w:footnote>
  <w:footnote w:id="32">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«Considerando que, em complemento da Diretiva 79/409/CEE, convém prever um sistema geral de proteção para certas espécies de fauna e de flora; que devem ser previstas medidas de gestão para certas espécies, se o respetivo estatuto o justificar, incluindo a proibição de certas modalidades de captura ou abate, prevendo, ao mesmo tempo, a possibilidade de derrogações, sob certas condições». </w:t>
      </w:r>
    </w:p>
  </w:footnote>
  <w:footnote w:id="3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Por exemplo, processo C-57/89, Comissão/Alemanha. </w:t>
      </w:r>
    </w:p>
  </w:footnote>
  <w:footnote w:id="34">
    <w:p>
      <w:pPr>
        <w:ind w:left="360" w:hanging="36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Para mais informações, ver:</w:t>
      </w:r>
    </w:p>
    <w:p>
      <w:pPr>
        <w:ind w:left="360" w:hanging="360"/>
        <w:rPr>
          <w:rFonts w:ascii="Verdana" w:hAnsi="Verdana" w:cs="Calibri"/>
          <w:sz w:val="16"/>
          <w:szCs w:val="16"/>
        </w:rPr>
      </w:pPr>
      <w:r>
        <w:rPr>
          <w:rFonts w:ascii="Verdana" w:hAnsi="Verdana"/>
          <w:sz w:val="16"/>
          <w:szCs w:val="16"/>
        </w:rPr>
        <w:tab/>
        <w:t xml:space="preserve">Estratégia nacional para a conservação do urso-pardo nos montes Cantábricos: </w:t>
      </w:r>
      <w:hyperlink r:id="rId3" w:history="1">
        <w:r>
          <w:rPr>
            <w:rStyle w:val="Hyperlink"/>
            <w:rFonts w:ascii="Verdana" w:hAnsi="Verdana"/>
            <w:sz w:val="16"/>
            <w:szCs w:val="16"/>
          </w:rPr>
          <w:t>https://www.miteco.gob.es/es/biodiversidad/publicaciones/pbl-fauna-flora-estrategias-oso-cantabrico.aspx</w:t>
        </w:r>
      </w:hyperlink>
      <w:r>
        <w:rPr>
          <w:rFonts w:ascii="Verdana" w:hAnsi="Verdana"/>
          <w:sz w:val="16"/>
          <w:szCs w:val="16"/>
        </w:rPr>
        <w:t>.</w:t>
      </w:r>
    </w:p>
    <w:p>
      <w:pPr>
        <w:ind w:left="360" w:hanging="360"/>
      </w:pPr>
      <w:r>
        <w:rPr>
          <w:rFonts w:ascii="Verdana" w:hAnsi="Verdana"/>
          <w:sz w:val="16"/>
          <w:szCs w:val="16"/>
        </w:rPr>
        <w:tab/>
        <w:t xml:space="preserve">Estratégia nacional para a conservação do urso-pardo nos Pirenéus: </w:t>
      </w:r>
      <w:hyperlink r:id="rId4" w:history="1">
        <w:r>
          <w:rPr>
            <w:rFonts w:ascii="Verdana" w:hAnsi="Verdana"/>
            <w:color w:val="0000FF"/>
            <w:sz w:val="16"/>
            <w:szCs w:val="16"/>
            <w:u w:val="single"/>
          </w:rPr>
          <w:t>https://www.miteco.gob.es/es/biodiversidad/temas/conservacion-de-especies/especies-proteccion-especial/ce-proteccion-estr-oso-pirineos.aspx</w:t>
        </w:r>
      </w:hyperlink>
      <w:r>
        <w:rPr>
          <w:rFonts w:ascii="Verdana" w:hAnsi="Verdana"/>
          <w:color w:val="0000FF"/>
          <w:sz w:val="16"/>
          <w:szCs w:val="16"/>
          <w:u w:val="single"/>
        </w:rPr>
        <w:t>.</w:t>
      </w:r>
    </w:p>
  </w:footnote>
  <w:footnote w:id="35">
    <w:p>
      <w:pPr>
        <w:pStyle w:val="FootnoteText"/>
        <w:ind w:left="360" w:hanging="36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Todavia, podem ser necessárias medidas de gestão ativa num sítio Natura 2000 específico caso a espécie em questão conste também do anexo II da diretiva, em conformidade com o artigo 6.º, n.º 1.</w:t>
      </w:r>
    </w:p>
  </w:footnote>
  <w:footnote w:id="36">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Ver, nomeadamente, o n.º 43 das conclusões da advogada-geral e o n.º 31 do acórdão no processo C</w:t>
      </w:r>
      <w:r>
        <w:rPr>
          <w:rFonts w:ascii="Verdana" w:hAnsi="Verdana"/>
          <w:sz w:val="16"/>
          <w:szCs w:val="16"/>
        </w:rPr>
        <w:noBreakHyphen/>
        <w:t xml:space="preserve">504/14, </w:t>
      </w:r>
      <w:r>
        <w:rPr>
          <w:rFonts w:ascii="Verdana" w:hAnsi="Verdana"/>
          <w:i/>
          <w:sz w:val="16"/>
          <w:szCs w:val="16"/>
        </w:rPr>
        <w:t>Caretta caretta</w:t>
      </w:r>
      <w:r>
        <w:rPr>
          <w:rFonts w:ascii="Verdana" w:hAnsi="Verdana"/>
          <w:sz w:val="16"/>
          <w:szCs w:val="16"/>
        </w:rPr>
        <w:t xml:space="preserve">, bem como o n.º 21 do acórdão no processo C-518/04, </w:t>
      </w:r>
      <w:r>
        <w:rPr>
          <w:rFonts w:ascii="Verdana" w:hAnsi="Verdana"/>
          <w:i/>
          <w:sz w:val="16"/>
          <w:szCs w:val="16"/>
        </w:rPr>
        <w:t>Vipera schweizeri</w:t>
      </w:r>
      <w:r>
        <w:rPr>
          <w:rFonts w:ascii="Verdana" w:hAnsi="Verdana"/>
          <w:sz w:val="16"/>
          <w:szCs w:val="16"/>
        </w:rPr>
        <w:t>.</w:t>
      </w:r>
    </w:p>
  </w:footnote>
  <w:footnote w:id="37">
    <w:p>
      <w:pPr>
        <w:pStyle w:val="FootnoteText"/>
        <w:ind w:left="360" w:hanging="360"/>
      </w:pPr>
      <w:r>
        <w:rPr>
          <w:rStyle w:val="FootnoteReference"/>
        </w:rPr>
        <w:footnoteRef/>
      </w:r>
      <w:r>
        <w:t xml:space="preserve"> </w:t>
      </w:r>
      <w:r>
        <w:tab/>
      </w:r>
      <w:r>
        <w:rPr>
          <w:rFonts w:ascii="Verdana" w:hAnsi="Verdana"/>
          <w:sz w:val="16"/>
          <w:szCs w:val="16"/>
        </w:rPr>
        <w:t>Processos apensos C</w:t>
      </w:r>
      <w:r>
        <w:rPr>
          <w:rFonts w:ascii="Cambria Math" w:hAnsi="Cambria Math"/>
          <w:sz w:val="16"/>
          <w:szCs w:val="16"/>
        </w:rPr>
        <w:t>‑</w:t>
      </w:r>
      <w:r>
        <w:rPr>
          <w:rFonts w:ascii="Verdana" w:hAnsi="Verdana"/>
          <w:sz w:val="16"/>
          <w:szCs w:val="16"/>
        </w:rPr>
        <w:t>473/19 e C</w:t>
      </w:r>
      <w:r>
        <w:rPr>
          <w:rFonts w:ascii="Cambria Math" w:hAnsi="Cambria Math"/>
          <w:sz w:val="16"/>
          <w:szCs w:val="16"/>
        </w:rPr>
        <w:t>‑</w:t>
      </w:r>
      <w:r>
        <w:rPr>
          <w:rFonts w:ascii="Verdana" w:hAnsi="Verdana"/>
          <w:sz w:val="16"/>
          <w:szCs w:val="16"/>
        </w:rPr>
        <w:t>474/19, n.º 57.</w:t>
      </w:r>
    </w:p>
  </w:footnote>
  <w:footnote w:id="38">
    <w:p>
      <w:pPr>
        <w:pStyle w:val="FootnoteText"/>
      </w:pPr>
      <w:r>
        <w:rPr>
          <w:rStyle w:val="FootnoteReference"/>
        </w:rPr>
        <w:footnoteRef/>
      </w:r>
      <w:r>
        <w:t xml:space="preserve"> </w:t>
      </w:r>
      <w:r>
        <w:tab/>
      </w:r>
      <w:r>
        <w:rPr>
          <w:rFonts w:ascii="Verdana" w:hAnsi="Verdana"/>
          <w:sz w:val="16"/>
          <w:szCs w:val="16"/>
        </w:rPr>
        <w:t>Processos apensos C</w:t>
      </w:r>
      <w:r>
        <w:rPr>
          <w:rFonts w:ascii="Cambria Math" w:hAnsi="Cambria Math"/>
          <w:sz w:val="16"/>
          <w:szCs w:val="16"/>
        </w:rPr>
        <w:t>‑</w:t>
      </w:r>
      <w:r>
        <w:rPr>
          <w:rFonts w:ascii="Verdana" w:hAnsi="Verdana"/>
          <w:sz w:val="16"/>
          <w:szCs w:val="16"/>
        </w:rPr>
        <w:t>473/19 e C</w:t>
      </w:r>
      <w:r>
        <w:rPr>
          <w:rFonts w:ascii="Cambria Math" w:hAnsi="Cambria Math"/>
          <w:sz w:val="16"/>
          <w:szCs w:val="16"/>
        </w:rPr>
        <w:t>‑</w:t>
      </w:r>
      <w:r>
        <w:rPr>
          <w:rFonts w:ascii="Verdana" w:hAnsi="Verdana"/>
          <w:sz w:val="16"/>
          <w:szCs w:val="16"/>
        </w:rPr>
        <w:t>474/19, n.º 78.</w:t>
      </w:r>
    </w:p>
  </w:footnote>
  <w:footnote w:id="39">
    <w:p>
      <w:pPr>
        <w:pStyle w:val="FootnoteText"/>
        <w:ind w:left="240" w:hanging="240"/>
      </w:pPr>
      <w:r>
        <w:rPr>
          <w:rStyle w:val="FootnoteReference"/>
        </w:rPr>
        <w:footnoteRef/>
      </w:r>
      <w:r>
        <w:t xml:space="preserve"> </w:t>
      </w:r>
      <w:r>
        <w:tab/>
      </w:r>
      <w:r>
        <w:rPr>
          <w:rFonts w:ascii="Verdana" w:hAnsi="Verdana"/>
          <w:sz w:val="16"/>
          <w:szCs w:val="16"/>
        </w:rPr>
        <w:t>Processos apensos C</w:t>
      </w:r>
      <w:r>
        <w:rPr>
          <w:rFonts w:ascii="Cambria Math" w:hAnsi="Cambria Math"/>
          <w:sz w:val="16"/>
          <w:szCs w:val="16"/>
        </w:rPr>
        <w:t>‑</w:t>
      </w:r>
      <w:r>
        <w:rPr>
          <w:rFonts w:ascii="Verdana" w:hAnsi="Verdana"/>
          <w:sz w:val="16"/>
          <w:szCs w:val="16"/>
        </w:rPr>
        <w:t>473/19 e C</w:t>
      </w:r>
      <w:r>
        <w:rPr>
          <w:rFonts w:ascii="Cambria Math" w:hAnsi="Cambria Math"/>
          <w:sz w:val="16"/>
          <w:szCs w:val="16"/>
        </w:rPr>
        <w:t>‑</w:t>
      </w:r>
      <w:r>
        <w:rPr>
          <w:rFonts w:ascii="Verdana" w:hAnsi="Verdana"/>
          <w:sz w:val="16"/>
          <w:szCs w:val="16"/>
        </w:rPr>
        <w:t>474/19, n.º 84.</w:t>
      </w:r>
    </w:p>
  </w:footnote>
  <w:footnote w:id="40">
    <w:p>
      <w:pPr>
        <w:pStyle w:val="FootnoteText"/>
        <w:ind w:left="240" w:hanging="240"/>
        <w:rPr>
          <w:rFonts w:ascii="Verdana" w:hAnsi="Verdana"/>
          <w:sz w:val="16"/>
          <w:szCs w:val="16"/>
        </w:rPr>
      </w:pPr>
      <w:r>
        <w:rPr>
          <w:rFonts w:ascii="Verdana" w:hAnsi="Verdana"/>
          <w:sz w:val="16"/>
          <w:szCs w:val="16"/>
          <w:lang w:val="en-GB"/>
        </w:rPr>
        <w:footnoteRef/>
      </w:r>
      <w:r>
        <w:rPr>
          <w:rFonts w:ascii="Verdana" w:hAnsi="Verdana"/>
          <w:sz w:val="16"/>
          <w:szCs w:val="16"/>
        </w:rPr>
        <w:tab/>
        <w:t>Esta solução já tinha sido aplicada no acórdão de 2 de agosto de 1993 no processo C-355/90, Comissão/Espanha, ECLI:EU:C:1993:331, n.º 15.</w:t>
      </w:r>
    </w:p>
  </w:footnote>
  <w:footnote w:id="41">
    <w:p>
      <w:pPr>
        <w:pStyle w:val="FootnoteText"/>
        <w:rPr>
          <w:rFonts w:ascii="Verdana" w:hAnsi="Verdana"/>
          <w:sz w:val="16"/>
          <w:szCs w:val="16"/>
        </w:rPr>
      </w:pPr>
      <w:r>
        <w:rPr>
          <w:rFonts w:ascii="Verdana" w:hAnsi="Verdana"/>
          <w:sz w:val="16"/>
          <w:szCs w:val="16"/>
        </w:rPr>
        <w:footnoteRef/>
      </w:r>
      <w:r>
        <w:rPr>
          <w:rFonts w:ascii="Verdana" w:hAnsi="Verdana"/>
          <w:sz w:val="16"/>
          <w:szCs w:val="16"/>
        </w:rPr>
        <w:tab/>
        <w:t>Acórdão de 15 de março de 2012 no processo C-340/10, Comissão/Chipre, ECLI:EU:C:2012:143, n.</w:t>
      </w:r>
      <w:r>
        <w:rPr>
          <w:rFonts w:ascii="Verdana" w:hAnsi="Verdana"/>
          <w:sz w:val="16"/>
          <w:szCs w:val="16"/>
          <w:vertAlign w:val="superscript"/>
        </w:rPr>
        <w:t>os</w:t>
      </w:r>
      <w:r>
        <w:rPr>
          <w:rFonts w:ascii="Verdana" w:hAnsi="Verdana"/>
          <w:sz w:val="16"/>
          <w:szCs w:val="16"/>
        </w:rPr>
        <w:t> 60 e 61.</w:t>
      </w:r>
    </w:p>
  </w:footnote>
  <w:footnote w:id="42">
    <w:p>
      <w:pPr>
        <w:pStyle w:val="FootnoteText"/>
        <w:ind w:left="360" w:hanging="360"/>
        <w:rPr>
          <w:rFonts w:ascii="Verdana" w:hAnsi="Verdana"/>
          <w:sz w:val="16"/>
          <w:szCs w:val="16"/>
        </w:rPr>
      </w:pPr>
      <w:r>
        <w:rPr>
          <w:rFonts w:ascii="Verdana" w:hAnsi="Verdana"/>
          <w:sz w:val="16"/>
          <w:szCs w:val="16"/>
          <w:vertAlign w:val="superscript"/>
        </w:rPr>
        <w:footnoteRef/>
      </w:r>
      <w:r>
        <w:rPr>
          <w:rFonts w:ascii="Verdana" w:hAnsi="Verdana"/>
          <w:sz w:val="16"/>
          <w:szCs w:val="16"/>
          <w:vertAlign w:val="superscript"/>
        </w:rPr>
        <w:t xml:space="preserve"> </w:t>
      </w:r>
      <w:r>
        <w:rPr>
          <w:rFonts w:ascii="Verdana" w:hAnsi="Verdana"/>
          <w:sz w:val="16"/>
          <w:szCs w:val="16"/>
          <w:vertAlign w:val="superscript"/>
        </w:rPr>
        <w:tab/>
      </w:r>
      <w:r>
        <w:rPr>
          <w:rFonts w:ascii="Verdana" w:hAnsi="Verdana"/>
          <w:sz w:val="16"/>
          <w:szCs w:val="16"/>
        </w:rPr>
        <w:t>Para mais informações, ver:</w:t>
      </w:r>
    </w:p>
    <w:p>
      <w:pPr>
        <w:pStyle w:val="FootnoteText"/>
        <w:ind w:left="360" w:firstLine="0"/>
        <w:rPr>
          <w:rFonts w:ascii="Verdana" w:hAnsi="Verdana"/>
          <w:sz w:val="16"/>
          <w:szCs w:val="16"/>
        </w:rPr>
      </w:pPr>
      <w:r>
        <w:rPr>
          <w:rFonts w:ascii="Verdana" w:hAnsi="Verdana"/>
          <w:sz w:val="16"/>
          <w:szCs w:val="16"/>
        </w:rPr>
        <w:t>«Estrategias marinas» [Estratégias marinhas],</w:t>
      </w:r>
    </w:p>
    <w:p>
      <w:pPr>
        <w:pStyle w:val="FootnoteText"/>
        <w:ind w:left="360" w:firstLine="0"/>
        <w:jc w:val="left"/>
        <w:rPr>
          <w:rFonts w:ascii="Verdana" w:hAnsi="Verdana"/>
          <w:sz w:val="16"/>
          <w:szCs w:val="16"/>
        </w:rPr>
      </w:pPr>
      <w:hyperlink r:id="rId5" w:history="1">
        <w:r>
          <w:rPr>
            <w:rStyle w:val="Hyperlink"/>
          </w:rPr>
          <w:t>http://www.miteco.gob.es/es/costas/temas/proteccion-medio-marino/estrategias-marinas/</w:t>
        </w:r>
      </w:hyperlink>
      <w:r>
        <w:t>.</w:t>
      </w:r>
    </w:p>
    <w:p>
      <w:pPr>
        <w:pStyle w:val="FootnoteText"/>
        <w:ind w:left="360" w:firstLine="0"/>
        <w:rPr>
          <w:rFonts w:ascii="Verdana" w:hAnsi="Verdana"/>
          <w:sz w:val="16"/>
          <w:szCs w:val="16"/>
        </w:rPr>
      </w:pPr>
      <w:r>
        <w:rPr>
          <w:rFonts w:ascii="Verdana" w:hAnsi="Verdana"/>
          <w:sz w:val="16"/>
          <w:szCs w:val="16"/>
          <w:lang w:val="en-GB"/>
        </w:rPr>
        <w:t xml:space="preserve">LIFE IP INTEMARES: </w:t>
      </w:r>
      <w:hyperlink r:id="rId6" w:history="1">
        <w:r>
          <w:rPr>
            <w:rStyle w:val="Hyperlink"/>
            <w:rFonts w:ascii="Verdana" w:hAnsi="Verdana"/>
            <w:sz w:val="16"/>
            <w:szCs w:val="16"/>
            <w:lang w:val="en-GB"/>
          </w:rPr>
          <w:t>https://fundacion-biodiversidad.es/es/biodiversidad-marina-y-litoral/proyectos-propios/life-ip-paf-intemares</w:t>
        </w:r>
      </w:hyperlink>
      <w:r>
        <w:rPr>
          <w:rFonts w:ascii="Verdana" w:hAnsi="Verdana"/>
          <w:sz w:val="16"/>
          <w:szCs w:val="16"/>
          <w:lang w:val="en-GB"/>
        </w:rPr>
        <w:t xml:space="preserve">. </w:t>
      </w:r>
      <w:r>
        <w:rPr>
          <w:rFonts w:ascii="Verdana" w:hAnsi="Verdana"/>
          <w:sz w:val="16"/>
          <w:szCs w:val="16"/>
        </w:rPr>
        <w:t xml:space="preserve">Sociedad Española de Cetáceos [Sociedade espanhola de cetáceos], </w:t>
      </w:r>
      <w:hyperlink r:id="rId7" w:history="1">
        <w:r>
          <w:rPr>
            <w:rStyle w:val="Hyperlink"/>
            <w:rFonts w:ascii="Verdana" w:hAnsi="Verdana"/>
            <w:sz w:val="16"/>
            <w:szCs w:val="16"/>
          </w:rPr>
          <w:t>https://cetaceos.com/</w:t>
        </w:r>
      </w:hyperlink>
      <w:r>
        <w:rPr>
          <w:rFonts w:ascii="Verdana" w:hAnsi="Verdana"/>
          <w:sz w:val="16"/>
          <w:szCs w:val="16"/>
        </w:rPr>
        <w:t>.</w:t>
      </w:r>
    </w:p>
  </w:footnote>
  <w:footnote w:id="43">
    <w:p>
      <w:pPr>
        <w:pStyle w:val="FootnoteText"/>
      </w:pPr>
      <w:r>
        <w:rPr>
          <w:rStyle w:val="FootnoteReference"/>
        </w:rPr>
        <w:footnoteRef/>
      </w:r>
      <w:r>
        <w:t xml:space="preserve"> </w:t>
      </w:r>
      <w:r>
        <w:tab/>
      </w:r>
      <w:hyperlink r:id="rId8" w:history="1">
        <w:r>
          <w:rPr>
            <w:rStyle w:val="Hyperlink"/>
          </w:rPr>
          <w:t>http://www.batlife.ro/</w:t>
        </w:r>
      </w:hyperlink>
      <w:r>
        <w:t>.</w:t>
      </w:r>
    </w:p>
  </w:footnote>
  <w:footnote w:id="44">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Enquanto atividades muito generalizadas, a agricultura, a silvicultura e a pesca são analisadas em pormenor no presente capítulo. Todavia, embora o nível de controlo legal sobre as atividades em curso possa variar, os princípios estabelecidos no presente capítulo devem ser considerados como sendo, em geral, aplicáveis também a outras atividades em curso (por exemplo, manutenção de vias de circulação, aquicultura, extração de matérias-primas, turismo, atividades de manutenção, etc.)</w:t>
      </w:r>
    </w:p>
  </w:footnote>
  <w:footnote w:id="45">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Processos apensos C</w:t>
      </w:r>
      <w:r>
        <w:rPr>
          <w:rFonts w:ascii="Cambria Math" w:hAnsi="Cambria Math"/>
          <w:sz w:val="16"/>
          <w:szCs w:val="16"/>
        </w:rPr>
        <w:t>‑</w:t>
      </w:r>
      <w:r>
        <w:rPr>
          <w:rFonts w:ascii="Verdana" w:hAnsi="Verdana"/>
          <w:sz w:val="16"/>
          <w:szCs w:val="16"/>
        </w:rPr>
        <w:t>473/19 e C</w:t>
      </w:r>
      <w:r>
        <w:rPr>
          <w:rFonts w:ascii="Cambria Math" w:hAnsi="Cambria Math"/>
          <w:sz w:val="16"/>
          <w:szCs w:val="16"/>
        </w:rPr>
        <w:t>‑</w:t>
      </w:r>
      <w:r>
        <w:rPr>
          <w:rFonts w:ascii="Verdana" w:hAnsi="Verdana"/>
          <w:sz w:val="16"/>
          <w:szCs w:val="16"/>
        </w:rPr>
        <w:t>474/19, n.º 53.</w:t>
      </w:r>
    </w:p>
  </w:footnote>
  <w:footnote w:id="4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 xml:space="preserve">No que se refere à relação entre a agricultura e a proteção do ambiente, a reforma de 2003 da política agrícola comum (PAC) é importante em dois aspetos fundamentais. Em primeiro lugar, desfez a associação entre as subvenções da UE e a produtividade das terras agrícolas. Desde então, a maioria dos agricultores recebe um pagamento único por exploração que já não está associado à sua produtividade. O incentivo ao aumento da produtividade dos agricultores é determinado exclusivamente por considerações económicas definidas pelos preços de mercado. Em segundo lugar, uma das condições para receber pagamentos únicos por exploração e qualquer outro apoio ao abrigo da PAC é o cumprimento de uma série de requisitos legais de gestão (RLG), incluindo as regras da UE em matéria de saúde pública, saúde animal e fitossanidade, de bem-estar animal e de ambiente, bem como o respeito de um conjunto de regras básicas de exploração agrícola (boas condições agrícolas e ambientais — BCAA). Ao abrigo de uma destas regras, a BCAA 7, os agricultores têm de garantir a manutenção de elementos paisagísticos tais como muros, sebes, encostas, cursos de água e árvores, trazendo benefícios em cadeia para a biodiversidade (ver </w:t>
      </w:r>
      <w:hyperlink r:id="rId9" w:history="1">
        <w:r>
          <w:rPr>
            <w:rStyle w:val="Hyperlink"/>
            <w:rFonts w:ascii="Verdana" w:hAnsi="Verdana"/>
            <w:sz w:val="16"/>
            <w:szCs w:val="16"/>
          </w:rPr>
          <w:t>https://ec.europa.eu/info/food-farming-fisheries/key-policies/common-agricultural-policy_pt</w:t>
        </w:r>
      </w:hyperlink>
      <w:r>
        <w:rPr>
          <w:rFonts w:ascii="Verdana" w:hAnsi="Verdana"/>
          <w:sz w:val="16"/>
          <w:szCs w:val="16"/>
        </w:rPr>
        <w:t>). Ver igualmente a avaliação da Comissão Europeia sobre a ecologização, publicada em dezembro de 2017 (</w:t>
      </w:r>
      <w:hyperlink r:id="rId10" w:history="1">
        <w:r>
          <w:rPr>
            <w:rFonts w:ascii="Verdana" w:hAnsi="Verdana"/>
            <w:sz w:val="16"/>
            <w:szCs w:val="16"/>
          </w:rPr>
          <w:t>https://ec.europa.eu/agriculture/evaluation/market-and-income-reports/greening-of-direct-payments_en</w:t>
        </w:r>
      </w:hyperlink>
      <w:r>
        <w:rPr>
          <w:rFonts w:ascii="Verdana" w:hAnsi="Verdana"/>
          <w:sz w:val="16"/>
          <w:szCs w:val="16"/>
        </w:rPr>
        <w:t xml:space="preserve">) e o relatório do Tribunal de Contas da UE intitulado </w:t>
      </w:r>
      <w:r>
        <w:rPr>
          <w:rFonts w:ascii="Verdana" w:hAnsi="Verdana"/>
          <w:i/>
          <w:sz w:val="16"/>
          <w:szCs w:val="16"/>
        </w:rPr>
        <w:t>Ecologização: um regime de apoio ao rendimento mais complexo, mas ainda não eficaz do ponto de vista ambiental</w:t>
      </w:r>
      <w:r>
        <w:rPr>
          <w:rFonts w:ascii="Verdana" w:hAnsi="Verdana"/>
          <w:sz w:val="16"/>
          <w:szCs w:val="16"/>
        </w:rPr>
        <w:t>, publicado em dezembro de 2017 (</w:t>
      </w:r>
      <w:hyperlink r:id="rId11" w:history="1">
        <w:r>
          <w:rPr>
            <w:rFonts w:ascii="Verdana" w:hAnsi="Verdana"/>
            <w:sz w:val="16"/>
            <w:szCs w:val="16"/>
          </w:rPr>
          <w:t>https://www.eca.europa.eu/pt/Pages/NewsItem.aspx?nid=9338</w:t>
        </w:r>
      </w:hyperlink>
      <w:r>
        <w:rPr>
          <w:rFonts w:ascii="Verdana" w:hAnsi="Verdana"/>
          <w:sz w:val="16"/>
          <w:szCs w:val="16"/>
        </w:rPr>
        <w:t>).</w:t>
      </w:r>
    </w:p>
  </w:footnote>
  <w:footnote w:id="47">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Processos apensos C-473/19 e C-474/19, Föreningen Skydda Skogen, em relação à aplicação do artigo 12.º às medidas florestais.</w:t>
      </w:r>
    </w:p>
  </w:footnote>
  <w:footnote w:id="48">
    <w:p>
      <w:pPr>
        <w:pStyle w:val="FootnoteText"/>
      </w:pPr>
      <w:r>
        <w:rPr>
          <w:rFonts w:ascii="Verdana" w:hAnsi="Verdana"/>
          <w:sz w:val="16"/>
          <w:szCs w:val="16"/>
        </w:rPr>
        <w:footnoteRef/>
      </w:r>
      <w:r>
        <w:rPr>
          <w:rFonts w:ascii="Verdana" w:hAnsi="Verdana"/>
          <w:sz w:val="16"/>
          <w:szCs w:val="16"/>
        </w:rPr>
        <w:t xml:space="preserve"> </w:t>
      </w:r>
      <w:r>
        <w:rPr>
          <w:rFonts w:ascii="Verdana" w:hAnsi="Verdana"/>
          <w:sz w:val="16"/>
          <w:szCs w:val="16"/>
        </w:rPr>
        <w:tab/>
        <w:t>Processos apensos C</w:t>
      </w:r>
      <w:r>
        <w:rPr>
          <w:rFonts w:ascii="Cambria Math" w:hAnsi="Cambria Math"/>
          <w:sz w:val="16"/>
          <w:szCs w:val="16"/>
        </w:rPr>
        <w:t>‑</w:t>
      </w:r>
      <w:r>
        <w:rPr>
          <w:rFonts w:ascii="Verdana" w:hAnsi="Verdana"/>
          <w:sz w:val="16"/>
          <w:szCs w:val="16"/>
        </w:rPr>
        <w:t>473/19 e C</w:t>
      </w:r>
      <w:r>
        <w:rPr>
          <w:rFonts w:ascii="Cambria Math" w:hAnsi="Cambria Math"/>
          <w:sz w:val="16"/>
          <w:szCs w:val="16"/>
        </w:rPr>
        <w:t>‑</w:t>
      </w:r>
      <w:r>
        <w:rPr>
          <w:rFonts w:ascii="Verdana" w:hAnsi="Verdana"/>
          <w:sz w:val="16"/>
          <w:szCs w:val="16"/>
        </w:rPr>
        <w:t>474/19, n.º 77.</w:t>
      </w:r>
    </w:p>
  </w:footnote>
  <w:footnote w:id="49">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 xml:space="preserve">Projeto LIFE. Quirópteros/Castilla León — </w:t>
      </w:r>
      <w:r>
        <w:rPr>
          <w:rFonts w:ascii="Verdana" w:hAnsi="Verdana"/>
          <w:i/>
          <w:sz w:val="16"/>
          <w:szCs w:val="16"/>
        </w:rPr>
        <w:t>Priority actions to protect bats in Castilla y León Communitary interesting zones</w:t>
      </w:r>
      <w:r>
        <w:rPr>
          <w:rFonts w:ascii="Verdana" w:hAnsi="Verdana"/>
          <w:sz w:val="16"/>
          <w:szCs w:val="16"/>
        </w:rPr>
        <w:t xml:space="preserve"> [Ações prioritárias para a proteção dos morcegos em zonas de interesse comunitário de Castela e Leão] (LIFE96 NAT/E/003081)</w:t>
      </w:r>
    </w:p>
    <w:p>
      <w:pPr>
        <w:pStyle w:val="FootnoteText"/>
        <w:ind w:firstLine="0"/>
        <w:rPr>
          <w:rFonts w:ascii="Verdana" w:hAnsi="Verdana"/>
          <w:sz w:val="16"/>
          <w:szCs w:val="16"/>
        </w:rPr>
      </w:pPr>
      <w:hyperlink r:id="rId12" w:history="1">
        <w:r>
          <w:rPr>
            <w:rFonts w:ascii="Verdana" w:hAnsi="Verdana"/>
            <w:sz w:val="16"/>
            <w:szCs w:val="16"/>
          </w:rPr>
          <w:t>http://ec.europa.eu/environment/life/project/Projects/index.cfm?fuseaction=search.dspPage&amp;n_proj_id=424</w:t>
        </w:r>
      </w:hyperlink>
      <w:r>
        <w:rPr>
          <w:rFonts w:ascii="Verdana" w:hAnsi="Verdana"/>
          <w:sz w:val="16"/>
          <w:szCs w:val="16"/>
        </w:rPr>
        <w:t>.</w:t>
      </w:r>
    </w:p>
  </w:footnote>
  <w:footnote w:id="50">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Regulamento (UE) 2019/1241 do Parlamento Europeu e do Conselho, de 20 de junho de 2019, relativo à conservação dos recursos haliêuticos e à proteção dos ecossistemas marinhos através de medidas técnicas.</w:t>
      </w:r>
    </w:p>
  </w:footnote>
  <w:footnote w:id="5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No acórdão de 18 de maio de 2006 (processo C-221/04, Comissão/Espanha, ECLI:EU:C:2006:329, n.º 69), o Tribunal de Justiça esclareceu que resulta da leitura das suas diversas versões linguísticas que o caráter intencional se refere tanto à captura como ao abate das espécies animais protegidas.</w:t>
      </w:r>
    </w:p>
  </w:footnote>
  <w:footnote w:id="52">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Uma vez que o Tribunal de Justiça salientou o facto de tanto a circulação de motociclos como a existência de barcos não serem atos isolados, em termos práticos, afigura-se que o caráter repetido das infrações foi decisivo para comprovar a existência de perturbação intencional. </w:t>
      </w:r>
    </w:p>
  </w:footnote>
  <w:footnote w:id="53">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 xml:space="preserve"> Ver o n.º 118 das conclusões do advogado-geral no processo C-6/04.</w:t>
      </w:r>
    </w:p>
  </w:footnote>
  <w:footnote w:id="54">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Processo C-221/04, Comissão/Espanha.</w:t>
      </w:r>
    </w:p>
  </w:footnote>
  <w:footnote w:id="55">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Processo C-221/04, Comissão/Espanha, n.º 71.</w:t>
      </w:r>
    </w:p>
  </w:footnote>
  <w:footnote w:id="56">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 xml:space="preserve"> </w:t>
      </w:r>
      <w:r>
        <w:rPr>
          <w:rFonts w:ascii="Verdana" w:hAnsi="Verdana"/>
          <w:sz w:val="16"/>
          <w:szCs w:val="16"/>
        </w:rPr>
        <w:tab/>
        <w:t>Processo C-221/04, Comissão/Espanha, n.</w:t>
      </w:r>
      <w:r>
        <w:rPr>
          <w:rFonts w:ascii="Verdana" w:hAnsi="Verdana"/>
          <w:sz w:val="16"/>
          <w:szCs w:val="16"/>
          <w:vertAlign w:val="superscript"/>
        </w:rPr>
        <w:t>os</w:t>
      </w:r>
      <w:r>
        <w:rPr>
          <w:rFonts w:ascii="Verdana" w:hAnsi="Verdana"/>
          <w:sz w:val="16"/>
          <w:szCs w:val="16"/>
        </w:rPr>
        <w:t> 72 a 74.</w:t>
      </w:r>
    </w:p>
  </w:footnote>
  <w:footnote w:id="57">
    <w:p>
      <w:pPr>
        <w:ind w:left="360" w:hanging="360"/>
        <w:rPr>
          <w:rFonts w:ascii="Verdana" w:hAnsi="Verdana" w:cstheme="majorHAnsi"/>
          <w:sz w:val="16"/>
          <w:szCs w:val="16"/>
          <w:lang w:val="en-GB"/>
        </w:rPr>
      </w:pPr>
      <w:r>
        <w:rPr>
          <w:rFonts w:ascii="Verdana" w:hAnsi="Verdana"/>
          <w:sz w:val="16"/>
          <w:szCs w:val="16"/>
        </w:rPr>
        <w:footnoteRef/>
      </w:r>
      <w:r>
        <w:rPr>
          <w:rFonts w:ascii="Verdana" w:hAnsi="Verdana"/>
          <w:sz w:val="16"/>
          <w:szCs w:val="16"/>
          <w:lang w:val="en-GB"/>
        </w:rPr>
        <w:t xml:space="preserve"> </w:t>
      </w:r>
      <w:r>
        <w:rPr>
          <w:rFonts w:ascii="Verdana" w:hAnsi="Verdana"/>
          <w:sz w:val="16"/>
          <w:szCs w:val="16"/>
          <w:lang w:val="en-GB"/>
        </w:rPr>
        <w:tab/>
        <w:t xml:space="preserve">LIFE MOFI: </w:t>
      </w:r>
    </w:p>
    <w:p>
      <w:pPr>
        <w:ind w:left="480" w:hanging="120"/>
        <w:rPr>
          <w:rFonts w:ascii="Verdana" w:hAnsi="Verdana" w:cstheme="majorHAnsi"/>
          <w:sz w:val="16"/>
          <w:szCs w:val="16"/>
          <w:lang w:val="en-GB"/>
        </w:rPr>
      </w:pPr>
      <w:hyperlink r:id="rId13" w:history="1">
        <w:r>
          <w:rPr>
            <w:rStyle w:val="Hyperlink"/>
            <w:rFonts w:ascii="Verdana" w:hAnsi="Verdana"/>
            <w:sz w:val="16"/>
            <w:szCs w:val="16"/>
            <w:lang w:val="en-GB"/>
          </w:rPr>
          <w:t>https://webgate.ec.europa.eu/life/publicWebsite/project/details/2592</w:t>
        </w:r>
      </w:hyperlink>
      <w:r>
        <w:rPr>
          <w:lang w:val="en-GB"/>
        </w:rPr>
        <w:t xml:space="preserve">  </w:t>
      </w:r>
      <w:hyperlink r:id="rId14" w:history="1">
        <w:r>
          <w:rPr>
            <w:rFonts w:ascii="Verdana" w:hAnsi="Verdana"/>
            <w:color w:val="0000FF"/>
            <w:sz w:val="16"/>
            <w:szCs w:val="16"/>
            <w:u w:val="single"/>
            <w:lang w:val="en-GB"/>
          </w:rPr>
          <w:t>h</w:t>
        </w:r>
      </w:hyperlink>
      <w:r>
        <w:rPr>
          <w:rFonts w:ascii="Verdana" w:hAnsi="Verdana"/>
          <w:color w:val="0000FF"/>
          <w:sz w:val="16"/>
          <w:szCs w:val="16"/>
          <w:u w:val="single"/>
          <w:lang w:val="en-GB"/>
        </w:rPr>
        <w:t>.</w:t>
      </w:r>
    </w:p>
    <w:p>
      <w:pPr>
        <w:ind w:left="480" w:hanging="120"/>
        <w:rPr>
          <w:rFonts w:ascii="Verdana" w:hAnsi="Verdana" w:cstheme="majorHAnsi"/>
          <w:sz w:val="16"/>
          <w:szCs w:val="16"/>
          <w:lang w:val="en-GB"/>
        </w:rPr>
      </w:pPr>
      <w:r>
        <w:rPr>
          <w:rFonts w:ascii="Verdana" w:hAnsi="Verdana"/>
          <w:i/>
          <w:sz w:val="16"/>
          <w:szCs w:val="16"/>
          <w:lang w:val="en-GB"/>
        </w:rPr>
        <w:t>Action Plan for the mitigation of the negative effects of monk seal-fisheries interactions in Greece</w:t>
      </w:r>
      <w:r>
        <w:rPr>
          <w:rFonts w:ascii="Verdana" w:hAnsi="Verdana"/>
          <w:sz w:val="16"/>
          <w:szCs w:val="16"/>
          <w:lang w:val="en-GB"/>
        </w:rPr>
        <w:t xml:space="preserve"> — relatório sumário em inglês (</w:t>
      </w:r>
      <w:hyperlink r:id="rId15" w:history="1">
        <w:r>
          <w:rPr>
            <w:rFonts w:ascii="Verdana" w:hAnsi="Verdana"/>
            <w:color w:val="0000FF"/>
            <w:sz w:val="16"/>
            <w:szCs w:val="16"/>
            <w:u w:val="single"/>
            <w:lang w:val="en-GB"/>
          </w:rPr>
          <w:t>https://www.monachus-guardian.org/library/mom09a.pdf</w:t>
        </w:r>
      </w:hyperlink>
      <w:r>
        <w:rPr>
          <w:rFonts w:ascii="Verdana" w:hAnsi="Verdana"/>
          <w:color w:val="0000FF"/>
          <w:sz w:val="16"/>
          <w:szCs w:val="16"/>
          <w:u w:val="single"/>
          <w:lang w:val="en-GB"/>
        </w:rPr>
        <w:t>).</w:t>
      </w:r>
    </w:p>
    <w:p>
      <w:pPr>
        <w:ind w:left="480" w:hanging="120"/>
        <w:rPr>
          <w:rFonts w:ascii="Verdana" w:hAnsi="Verdana" w:cstheme="majorHAnsi"/>
          <w:i/>
          <w:sz w:val="16"/>
          <w:szCs w:val="16"/>
          <w:lang w:val="en-GB"/>
        </w:rPr>
      </w:pPr>
      <w:r>
        <w:rPr>
          <w:rFonts w:ascii="Verdana" w:hAnsi="Verdana"/>
          <w:i/>
          <w:sz w:val="16"/>
          <w:szCs w:val="16"/>
          <w:lang w:val="en-GB"/>
        </w:rPr>
        <w:t xml:space="preserve">National Strategy and Action Plan for the Conservation of the Mediterranean Monk Seal in Greece, 2009-2015 </w:t>
      </w:r>
      <w:r>
        <w:rPr>
          <w:rFonts w:ascii="Verdana" w:hAnsi="Verdana"/>
          <w:sz w:val="16"/>
          <w:szCs w:val="16"/>
          <w:lang w:val="en-GB"/>
        </w:rPr>
        <w:t>[Estratégia nacional e plano de ação para a conservação da foca-monge na Grécia, 2009-2015]</w:t>
      </w:r>
    </w:p>
    <w:p>
      <w:pPr>
        <w:ind w:left="480" w:hanging="120"/>
        <w:rPr>
          <w:lang w:val="en-GB"/>
        </w:rPr>
      </w:pPr>
      <w:r>
        <w:rPr>
          <w:rFonts w:ascii="Verdana" w:hAnsi="Verdana"/>
          <w:sz w:val="16"/>
          <w:szCs w:val="16"/>
          <w:lang w:val="en-GB"/>
        </w:rPr>
        <w:t>(</w:t>
      </w:r>
      <w:hyperlink r:id="rId16" w:history="1">
        <w:r>
          <w:rPr>
            <w:rFonts w:ascii="Verdana" w:hAnsi="Verdana"/>
            <w:color w:val="0000FF"/>
            <w:sz w:val="16"/>
            <w:szCs w:val="16"/>
            <w:u w:val="single"/>
            <w:lang w:val="en-GB"/>
          </w:rPr>
          <w:t>https://www.monachus-guardian.org/library/notarb09b.pdf</w:t>
        </w:r>
      </w:hyperlink>
      <w:r>
        <w:rPr>
          <w:rFonts w:ascii="Verdana" w:hAnsi="Verdana"/>
          <w:color w:val="0000FF"/>
          <w:sz w:val="16"/>
          <w:szCs w:val="16"/>
          <w:u w:val="single"/>
          <w:lang w:val="en-GB"/>
        </w:rPr>
        <w:t xml:space="preserve"> </w:t>
      </w:r>
      <w:hyperlink r:id="rId17" w:history="1">
        <w:r>
          <w:rPr>
            <w:rFonts w:ascii="Verdana" w:hAnsi="Verdana"/>
            <w:color w:val="0000FF"/>
            <w:sz w:val="16"/>
            <w:szCs w:val="16"/>
            <w:u w:val="single"/>
            <w:lang w:val="en-GB"/>
          </w:rPr>
          <w:t>www.mom.gr</w:t>
        </w:r>
      </w:hyperlink>
      <w:r>
        <w:rPr>
          <w:rFonts w:ascii="Verdana" w:hAnsi="Verdana"/>
          <w:color w:val="0000FF"/>
          <w:sz w:val="16"/>
          <w:szCs w:val="16"/>
          <w:u w:val="single"/>
          <w:lang w:val="en-GB"/>
        </w:rPr>
        <w:t>).</w:t>
      </w:r>
    </w:p>
  </w:footnote>
  <w:footnote w:id="58">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No processo C-75/01, Comissão/Luxemburgo, n.</w:t>
      </w:r>
      <w:r>
        <w:rPr>
          <w:rFonts w:ascii="Verdana" w:hAnsi="Verdana"/>
          <w:sz w:val="16"/>
          <w:szCs w:val="16"/>
          <w:vertAlign w:val="superscript"/>
        </w:rPr>
        <w:t>os</w:t>
      </w:r>
      <w:r>
        <w:rPr>
          <w:rFonts w:ascii="Verdana" w:hAnsi="Verdana"/>
          <w:sz w:val="16"/>
          <w:szCs w:val="16"/>
        </w:rPr>
        <w:t> 53 e 54, o Tribunal de Justiça declarou que o Luxemburgo não garantiu a transposição plena e completa do artigo 12.º, n.º 1, alínea b), uma vez que a perturbação intencional das espécies em questão não foi proibida durante o período de migração.</w:t>
      </w:r>
    </w:p>
  </w:footnote>
  <w:footnote w:id="59">
    <w:p>
      <w:pPr>
        <w:pStyle w:val="FootnoteText"/>
        <w:ind w:left="360" w:hanging="360"/>
        <w:rPr>
          <w:rFonts w:ascii="Verdana" w:hAnsi="Verdana"/>
          <w:sz w:val="16"/>
          <w:szCs w:val="16"/>
        </w:rPr>
      </w:pPr>
      <w:r>
        <w:rPr>
          <w:rFonts w:ascii="Verdana" w:hAnsi="Verdana"/>
          <w:sz w:val="16"/>
          <w:szCs w:val="16"/>
        </w:rPr>
        <w:footnoteRef/>
      </w:r>
      <w:r>
        <w:rPr>
          <w:rFonts w:ascii="Verdana" w:hAnsi="Verdana"/>
          <w:sz w:val="16"/>
          <w:szCs w:val="16"/>
        </w:rPr>
        <w:tab/>
        <w:t xml:space="preserve">Todavia, as orientações relativas ao artigo 6.º contêm algumas informações úteis sobre o termo no que se refere aos </w:t>
      </w:r>
      <w:r>
        <w:rPr>
          <w:rFonts w:ascii="Verdana" w:hAnsi="Verdana"/>
          <w:i/>
          <w:iCs/>
          <w:sz w:val="16"/>
          <w:szCs w:val="16"/>
        </w:rPr>
        <w:t>habitats</w:t>
      </w:r>
      <w:r>
        <w:rPr>
          <w:rFonts w:ascii="Verdana" w:hAnsi="Verdana"/>
          <w:sz w:val="16"/>
          <w:szCs w:val="16"/>
        </w:rPr>
        <w:t xml:space="preserve">. Ver </w:t>
      </w:r>
      <w:r>
        <w:rPr>
          <w:rFonts w:ascii="Verdana" w:hAnsi="Verdana"/>
          <w:i/>
          <w:sz w:val="16"/>
          <w:szCs w:val="16"/>
        </w:rPr>
        <w:t xml:space="preserve">Gestão dos sítios Natura 2000 — As disposições do artigo 6.º da Diretiva </w:t>
      </w:r>
      <w:r>
        <w:rPr>
          <w:rFonts w:ascii="Verdana" w:hAnsi="Verdana"/>
          <w:sz w:val="16"/>
          <w:szCs w:val="16"/>
        </w:rPr>
        <w:t>Habitats</w:t>
      </w:r>
      <w:r>
        <w:rPr>
          <w:rFonts w:ascii="Verdana" w:hAnsi="Verdana"/>
          <w:i/>
          <w:sz w:val="16"/>
          <w:szCs w:val="16"/>
        </w:rPr>
        <w:t xml:space="preserve"> (92/43/CEE)</w:t>
      </w:r>
      <w:r>
        <w:rPr>
          <w:rFonts w:ascii="Verdana" w:hAnsi="Verdana"/>
          <w:sz w:val="16"/>
          <w:szCs w:val="16"/>
        </w:rPr>
        <w:t xml:space="preserve"> (</w:t>
      </w:r>
      <w:hyperlink r:id="rId18" w:history="1">
        <w:r>
          <w:rPr>
            <w:rFonts w:ascii="Verdana" w:hAnsi="Verdana"/>
            <w:sz w:val="16"/>
            <w:szCs w:val="16"/>
          </w:rPr>
          <w:t>https://ec.europa.eu/transparency/documents-register/detail?ref=C(2018)7621&amp;lang=pt</w:t>
        </w:r>
      </w:hyperlink>
      <w:r>
        <w:rPr>
          <w:rFonts w:ascii="Verdana" w:hAnsi="Verdana"/>
          <w:sz w:val="16"/>
          <w:szCs w:val="16"/>
        </w:rPr>
        <w:t>).</w:t>
      </w:r>
    </w:p>
  </w:footnote>
  <w:footnote w:id="60">
    <w:p>
      <w:pPr>
        <w:pStyle w:val="FootnoteText"/>
        <w:ind w:left="360" w:hanging="360"/>
      </w:pPr>
      <w:r>
        <w:footnoteRef/>
      </w:r>
      <w:r>
        <w:t xml:space="preserve"> </w:t>
      </w:r>
      <w:r>
        <w:tab/>
      </w:r>
      <w:r>
        <w:rPr>
          <w:rFonts w:ascii="Verdana" w:hAnsi="Verdana"/>
          <w:sz w:val="16"/>
          <w:szCs w:val="16"/>
        </w:rPr>
        <w:t>Processos apensos C</w:t>
      </w:r>
      <w:r>
        <w:rPr>
          <w:rFonts w:ascii="Cambria Math" w:hAnsi="Cambria Math"/>
          <w:sz w:val="16"/>
          <w:szCs w:val="16"/>
        </w:rPr>
        <w:t>‑</w:t>
      </w:r>
      <w:r>
        <w:rPr>
          <w:rFonts w:ascii="Verdana" w:hAnsi="Verdana"/>
          <w:sz w:val="16"/>
          <w:szCs w:val="16"/>
        </w:rPr>
        <w:t>473/19 e C</w:t>
      </w:r>
      <w:r>
        <w:rPr>
          <w:rFonts w:ascii="Cambria Math" w:hAnsi="Cambria Math"/>
          <w:sz w:val="16"/>
          <w:szCs w:val="16"/>
        </w:rPr>
        <w:t>‑</w:t>
      </w:r>
      <w:r>
        <w:rPr>
          <w:rFonts w:ascii="Verdana" w:hAnsi="Verdana"/>
          <w:sz w:val="16"/>
          <w:szCs w:val="16"/>
        </w:rPr>
        <w:t>474/19, n.</w:t>
      </w:r>
      <w:r>
        <w:rPr>
          <w:rFonts w:ascii="Verdana" w:hAnsi="Verdana"/>
          <w:sz w:val="16"/>
          <w:szCs w:val="16"/>
          <w:vertAlign w:val="superscript"/>
        </w:rPr>
        <w:t>os</w:t>
      </w:r>
      <w:r>
        <w:rPr>
          <w:rFonts w:ascii="Verdana" w:hAnsi="Verdana"/>
          <w:sz w:val="16"/>
          <w:szCs w:val="16"/>
        </w:rPr>
        <w:t> 57 e 84.</w:t>
      </w:r>
    </w:p>
  </w:footnote>
  <w:footnote w:id="61">
    <w:p>
      <w:pPr>
        <w:pStyle w:val="FootnoteText"/>
      </w:pPr>
      <w:r>
        <w:footnoteRef/>
      </w:r>
      <w:r>
        <w:t xml:space="preserve"> </w:t>
      </w:r>
      <w:r>
        <w:tab/>
      </w:r>
      <w:r>
        <w:rPr>
          <w:rFonts w:ascii="Verdana" w:hAnsi="Verdana"/>
          <w:sz w:val="16"/>
          <w:szCs w:val="16"/>
        </w:rPr>
        <w:t>Processos apensos C</w:t>
      </w:r>
      <w:r>
        <w:rPr>
          <w:rFonts w:ascii="Cambria Math" w:hAnsi="Cambria Math"/>
          <w:sz w:val="16"/>
          <w:szCs w:val="16"/>
        </w:rPr>
        <w:t>‑</w:t>
      </w:r>
      <w:r>
        <w:rPr>
          <w:rFonts w:ascii="Verdana" w:hAnsi="Verdana"/>
          <w:sz w:val="16"/>
          <w:szCs w:val="16"/>
        </w:rPr>
        <w:t>473/19 e C</w:t>
      </w:r>
      <w:r>
        <w:rPr>
          <w:rFonts w:ascii="Cambria Math" w:hAnsi="Cambria Math"/>
          <w:sz w:val="16"/>
          <w:szCs w:val="16"/>
        </w:rPr>
        <w:t>‑</w:t>
      </w:r>
      <w:r>
        <w:rPr>
          <w:rFonts w:ascii="Verdana" w:hAnsi="Verdana"/>
          <w:sz w:val="16"/>
          <w:szCs w:val="16"/>
        </w:rPr>
        <w:t>474/19, n.º 78.</w:t>
      </w:r>
    </w:p>
  </w:footnote>
  <w:footnote w:id="62">
    <w:p>
      <w:pPr>
        <w:pStyle w:val="FootnoteText"/>
        <w:jc w:val="lef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 xml:space="preserve">Fontes: </w:t>
      </w:r>
      <w:hyperlink r:id="rId19" w:history="1">
        <w:r>
          <w:rPr>
            <w:rStyle w:val="Hyperlink"/>
            <w:rFonts w:ascii="Verdana" w:hAnsi="Verdana"/>
            <w:sz w:val="16"/>
            <w:szCs w:val="16"/>
          </w:rPr>
          <w:t>https://rm.coe.int/threats-to-marine-turtles-in-thines-kiparissias-greece-complainant-rep/168073e91b</w:t>
        </w:r>
      </w:hyperlink>
    </w:p>
    <w:p>
      <w:pPr>
        <w:pStyle w:val="FootnoteText"/>
        <w:ind w:firstLine="0"/>
        <w:jc w:val="left"/>
        <w:rPr>
          <w:rFonts w:ascii="Verdana" w:hAnsi="Verdana"/>
          <w:sz w:val="16"/>
          <w:szCs w:val="16"/>
        </w:rPr>
      </w:pPr>
      <w:r>
        <w:rPr>
          <w:rFonts w:ascii="Verdana" w:hAnsi="Verdana"/>
          <w:sz w:val="16"/>
          <w:szCs w:val="16"/>
        </w:rPr>
        <w:t xml:space="preserve">Acórdão do TJUE (C-504/14): </w:t>
      </w:r>
      <w:hyperlink r:id="rId20" w:history="1">
        <w:r>
          <w:rPr>
            <w:rFonts w:ascii="Verdana" w:hAnsi="Verdana"/>
            <w:sz w:val="16"/>
            <w:szCs w:val="16"/>
          </w:rPr>
          <w:t>https://curia.europa.eu/juris/liste.jsf?language=pt&amp;num=C-504/14</w:t>
        </w:r>
      </w:hyperlink>
      <w:r>
        <w:rPr>
          <w:rFonts w:ascii="Verdana" w:hAnsi="Verdana"/>
          <w:sz w:val="16"/>
          <w:szCs w:val="16"/>
        </w:rPr>
        <w:t>.</w:t>
      </w:r>
    </w:p>
  </w:footnote>
  <w:footnote w:id="63">
    <w:p>
      <w:pPr>
        <w:pStyle w:val="FootnoteText"/>
      </w:pPr>
      <w:r>
        <w:rPr>
          <w:rStyle w:val="FootnoteReference"/>
        </w:rPr>
        <w:footnoteRef/>
      </w:r>
      <w:r>
        <w:t xml:space="preserve"> </w:t>
      </w:r>
      <w:r>
        <w:tab/>
      </w:r>
      <w:hyperlink r:id="rId21" w:history="1">
        <w:r>
          <w:rPr>
            <w:rStyle w:val="Hyperlink"/>
          </w:rPr>
          <w:t>https://accobams.org/</w:t>
        </w:r>
      </w:hyperlink>
      <w:r>
        <w:t>.</w:t>
      </w:r>
    </w:p>
  </w:footnote>
  <w:footnote w:id="64">
    <w:p>
      <w:pPr>
        <w:pStyle w:val="FootnoteText"/>
      </w:pPr>
      <w:r>
        <w:rPr>
          <w:rStyle w:val="FootnoteReference"/>
        </w:rPr>
        <w:footnoteRef/>
      </w:r>
      <w:r>
        <w:t xml:space="preserve"> </w:t>
      </w:r>
      <w:r>
        <w:tab/>
      </w:r>
      <w:hyperlink r:id="rId22" w:history="1">
        <w:r>
          <w:rPr>
            <w:rStyle w:val="Hyperlink"/>
          </w:rPr>
          <w:t>https://www.ascobans.org/</w:t>
        </w:r>
      </w:hyperlink>
      <w:r>
        <w:t>.</w:t>
      </w:r>
    </w:p>
  </w:footnote>
  <w:footnote w:id="65">
    <w:p>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r>
        <w:rPr>
          <w:rFonts w:ascii="Verdana" w:hAnsi="Verdana"/>
          <w:sz w:val="16"/>
          <w:szCs w:val="16"/>
        </w:rPr>
        <w:tab/>
        <w:t>https://www.npws.ie/sites/default/files/general/Underwater%20sound%20guidance_Jan%202014.pdf</w:t>
      </w:r>
    </w:p>
  </w:footnote>
  <w:footnote w:id="66">
    <w:p>
      <w:pPr>
        <w:pStyle w:val="FootnoteText"/>
        <w:ind w:left="360" w:hanging="360"/>
        <w:rPr>
          <w:rFonts w:ascii="Verdana" w:hAnsi="Verdana" w:cs="Arial"/>
          <w:sz w:val="16"/>
          <w:szCs w:val="16"/>
        </w:rPr>
      </w:pPr>
      <w:r>
        <w:rPr>
          <w:rFonts w:ascii="Verdana" w:hAnsi="Verdana" w:cs="Arial"/>
          <w:sz w:val="16"/>
          <w:szCs w:val="16"/>
          <w:lang w:val="en-GB"/>
        </w:rPr>
        <w:footnoteRef/>
      </w:r>
      <w:r>
        <w:rPr>
          <w:rFonts w:ascii="Verdana" w:hAnsi="Verdana"/>
          <w:sz w:val="16"/>
          <w:szCs w:val="16"/>
        </w:rPr>
        <w:tab/>
        <w:t xml:space="preserve">Vale a pena referir que este ponto constitui uma das diferenças entre a Diretiva </w:t>
      </w:r>
      <w:r>
        <w:rPr>
          <w:rFonts w:ascii="Verdana" w:hAnsi="Verdana"/>
          <w:i/>
          <w:iCs/>
          <w:sz w:val="16"/>
          <w:szCs w:val="16"/>
        </w:rPr>
        <w:t>Habitats</w:t>
      </w:r>
      <w:r>
        <w:rPr>
          <w:rFonts w:ascii="Verdana" w:hAnsi="Verdana"/>
          <w:sz w:val="16"/>
          <w:szCs w:val="16"/>
        </w:rPr>
        <w:t xml:space="preserve"> e a Convenção de Berna. Enquanto esta parte específica do artigo 12.º não contém a palavra «intencionais», este termo consta da redação comparável do artigo 6.º da Convenção de Berna.</w:t>
      </w:r>
    </w:p>
  </w:footnote>
  <w:footnote w:id="67">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No acórdão de 20 de outubro de 2005 (processo C-6/04, Comissão/Reino Unido, ECLI:EU:C:2005:626, n.º 79), o Tribunal de Justiça observou que </w:t>
      </w:r>
      <w:r>
        <w:rPr>
          <w:rFonts w:ascii="Verdana" w:hAnsi="Verdana"/>
          <w:i/>
          <w:sz w:val="16"/>
          <w:szCs w:val="16"/>
        </w:rPr>
        <w:t xml:space="preserve">«ao proibir apenas a deterioração ou a destruição intencional dos sítios de reprodução ou as áreas de repouso em causa, a legislação aplicável em Gibraltar não cumpre as exigências do referido artigo 12.º, n.º 1, alínea d)». </w:t>
      </w:r>
      <w:r>
        <w:rPr>
          <w:rFonts w:ascii="Verdana" w:hAnsi="Verdana"/>
          <w:sz w:val="16"/>
          <w:szCs w:val="16"/>
        </w:rPr>
        <w:t xml:space="preserve">O Tribunal de Justiça seguiu a mesma abordagem no acórdão de 11 de janeiro de 2007 (processo C-183/05, Comissão/Irlanda, ECLI:EU:C:2007:14, n.º 47): </w:t>
      </w:r>
      <w:r>
        <w:rPr>
          <w:rFonts w:ascii="Verdana" w:hAnsi="Verdana"/>
          <w:i/>
          <w:sz w:val="16"/>
          <w:szCs w:val="16"/>
        </w:rPr>
        <w:t>«ao prever que não constituem uma infração os atos não intencionais que perturbem ou destruam os locais de reprodução ou as áreas de repouso das espécies selvagens, a section 23(7)(b) do Wildlife Act não cumpre as exigências do referido artigo 12.º, n.º 1, alínea d), da Diretiva 92/43, que proíbe esses atos, sejam eles intencionais ou não»</w:t>
      </w:r>
      <w:r>
        <w:rPr>
          <w:rFonts w:ascii="Verdana" w:hAnsi="Verdana"/>
          <w:sz w:val="16"/>
          <w:szCs w:val="16"/>
        </w:rPr>
        <w:t>.</w:t>
      </w:r>
    </w:p>
  </w:footnote>
  <w:footnote w:id="6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Ver o acórdão de 10 de janeiro de 2006 no processo C-98/03, Comissão/Alemanha, ECLI:EU:C:2006:3, n.º 55.</w:t>
      </w:r>
    </w:p>
  </w:footnote>
  <w:footnote w:id="6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Processo C-103/00, Comissão/Grécia.</w:t>
      </w:r>
    </w:p>
  </w:footnote>
  <w:footnote w:id="7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Segundo o n.º 38 do acórdão, «não resta dúvida de que a existência de construções numa praia de reprodução como a de Daphni é suscetível de causar uma deterioração ou uma destruição do local de reprodução na aceção do artigo 12.º, n.º 1, alínea d), da diretiva».</w:t>
      </w:r>
    </w:p>
  </w:footnote>
  <w:footnote w:id="7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Acórdão de 17 de abril de 2018 no processo C-441/17, Comissão/Polónia, ECLI:EU:C:2018:255.</w:t>
      </w:r>
    </w:p>
  </w:footnote>
  <w:footnote w:id="72">
    <w:p>
      <w:pPr>
        <w:pStyle w:val="FootnoteText"/>
        <w:rPr>
          <w:rFonts w:ascii="Verdana" w:hAnsi="Verdana"/>
        </w:rPr>
      </w:pPr>
      <w:r>
        <w:rPr>
          <w:rFonts w:ascii="Verdana" w:hAnsi="Verdana"/>
          <w:sz w:val="16"/>
          <w:szCs w:val="16"/>
        </w:rPr>
        <w:footnoteRef/>
      </w:r>
      <w:r>
        <w:rPr>
          <w:rFonts w:ascii="Verdana" w:hAnsi="Verdana"/>
          <w:sz w:val="16"/>
          <w:szCs w:val="16"/>
        </w:rPr>
        <w:t xml:space="preserve"> </w:t>
      </w:r>
      <w:r>
        <w:rPr>
          <w:rFonts w:ascii="Verdana" w:hAnsi="Verdana"/>
          <w:sz w:val="16"/>
          <w:szCs w:val="16"/>
        </w:rPr>
        <w:tab/>
        <w:t>Processos apensos C</w:t>
      </w:r>
      <w:r>
        <w:rPr>
          <w:rFonts w:ascii="Cambria Math" w:hAnsi="Cambria Math"/>
          <w:sz w:val="16"/>
          <w:szCs w:val="16"/>
        </w:rPr>
        <w:t>‑</w:t>
      </w:r>
      <w:r>
        <w:rPr>
          <w:rFonts w:ascii="Verdana" w:hAnsi="Verdana"/>
          <w:sz w:val="16"/>
          <w:szCs w:val="16"/>
        </w:rPr>
        <w:t>473/19 e C</w:t>
      </w:r>
      <w:r>
        <w:rPr>
          <w:rFonts w:ascii="Cambria Math" w:hAnsi="Cambria Math"/>
          <w:sz w:val="16"/>
          <w:szCs w:val="16"/>
        </w:rPr>
        <w:t>‑</w:t>
      </w:r>
      <w:r>
        <w:rPr>
          <w:rFonts w:ascii="Verdana" w:hAnsi="Verdana"/>
          <w:sz w:val="16"/>
          <w:szCs w:val="16"/>
        </w:rPr>
        <w:t>474/19, n.º 84.</w:t>
      </w:r>
    </w:p>
  </w:footnote>
  <w:footnote w:id="7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O instrumento adequado para lidar com a deterioração devida a causas naturais ou acontecimentos imprevisíveis é o artigo 6.º, n.º 2, da Diretiva </w:t>
      </w:r>
      <w:r>
        <w:rPr>
          <w:rFonts w:ascii="Verdana" w:hAnsi="Verdana"/>
          <w:i/>
          <w:iCs/>
          <w:sz w:val="16"/>
          <w:szCs w:val="16"/>
        </w:rPr>
        <w:t>Habitats</w:t>
      </w:r>
      <w:r>
        <w:rPr>
          <w:rFonts w:ascii="Verdana" w:hAnsi="Verdana"/>
          <w:sz w:val="16"/>
          <w:szCs w:val="16"/>
        </w:rPr>
        <w:t xml:space="preserve">, que, porém, só se aplica a sítios Natura 2000. No acórdão de 20 de outubro de 2005 (processo C-6/04, Comissão/Reino Unido, ECLI:EU:C:2005:626, n.º 34), o Tribunal de Justiça afirmou que «para aplicar o artigo 6.º, n.º 2, da [D]iretiva </w:t>
      </w:r>
      <w:r>
        <w:rPr>
          <w:rFonts w:ascii="Verdana" w:hAnsi="Verdana"/>
          <w:i/>
          <w:iCs/>
          <w:sz w:val="16"/>
          <w:szCs w:val="16"/>
        </w:rPr>
        <w:t>[H]abitats</w:t>
      </w:r>
      <w:r>
        <w:rPr>
          <w:rFonts w:ascii="Verdana" w:hAnsi="Verdana"/>
          <w:sz w:val="16"/>
          <w:szCs w:val="16"/>
        </w:rPr>
        <w:t xml:space="preserve">, tanto pode ser necessário adotar medidas destinadas a evitar prejuízos e perturbações externas causados pelo Homem como medidas destinadas a neutralizar evoluções naturais suscetíveis de deteriorar o estado de conservação das espécies e dos </w:t>
      </w:r>
      <w:r>
        <w:rPr>
          <w:rFonts w:ascii="Verdana" w:hAnsi="Verdana"/>
          <w:i/>
          <w:iCs/>
          <w:sz w:val="16"/>
          <w:szCs w:val="16"/>
        </w:rPr>
        <w:t>habitats</w:t>
      </w:r>
      <w:r>
        <w:rPr>
          <w:rFonts w:ascii="Verdana" w:hAnsi="Verdana"/>
          <w:sz w:val="16"/>
          <w:szCs w:val="16"/>
        </w:rPr>
        <w:t xml:space="preserve"> naturais». </w:t>
      </w:r>
    </w:p>
  </w:footnote>
  <w:footnote w:id="74">
    <w:p>
      <w:pPr>
        <w:pStyle w:val="FootnoteText"/>
      </w:pPr>
      <w:r>
        <w:rPr>
          <w:rFonts w:ascii="Verdana" w:hAnsi="Verdana"/>
          <w:sz w:val="16"/>
          <w:szCs w:val="16"/>
        </w:rPr>
        <w:footnoteRef/>
      </w:r>
      <w:r>
        <w:rPr>
          <w:rFonts w:ascii="Verdana" w:hAnsi="Verdana"/>
          <w:sz w:val="16"/>
          <w:szCs w:val="16"/>
        </w:rPr>
        <w:t xml:space="preserve"> </w:t>
      </w:r>
      <w:r>
        <w:rPr>
          <w:rFonts w:ascii="Verdana" w:hAnsi="Verdana"/>
          <w:sz w:val="16"/>
          <w:szCs w:val="16"/>
        </w:rPr>
        <w:tab/>
        <w:t>Acórdão de 17 de abril de 2018 no processo C-441/17, Comissão/Polónia, ECLI:EU:C:2018:255.</w:t>
      </w:r>
    </w:p>
  </w:footnote>
  <w:footnote w:id="75">
    <w:p>
      <w:pPr>
        <w:ind w:left="360" w:hanging="360"/>
        <w:jc w:val="both"/>
        <w:rPr>
          <w:rFonts w:ascii="Verdana" w:hAnsi="Verdana"/>
          <w:sz w:val="16"/>
          <w:szCs w:val="16"/>
        </w:rPr>
      </w:pPr>
      <w:r>
        <w:rPr>
          <w:rFonts w:ascii="Verdana" w:hAnsi="Verdana"/>
          <w:sz w:val="16"/>
          <w:szCs w:val="16"/>
        </w:rPr>
        <w:footnoteRef/>
      </w:r>
      <w:r>
        <w:rPr>
          <w:rFonts w:ascii="Verdana" w:hAnsi="Verdana"/>
          <w:sz w:val="16"/>
          <w:szCs w:val="16"/>
        </w:rPr>
        <w:tab/>
        <w:t>O artigo 1.º, alínea f), define o «</w:t>
      </w:r>
      <w:r>
        <w:rPr>
          <w:rFonts w:ascii="Verdana" w:hAnsi="Verdana"/>
          <w:i/>
          <w:iCs/>
          <w:sz w:val="16"/>
          <w:szCs w:val="16"/>
        </w:rPr>
        <w:t>[h]abitat</w:t>
      </w:r>
      <w:r>
        <w:rPr>
          <w:rFonts w:ascii="Verdana" w:hAnsi="Verdana"/>
          <w:sz w:val="16"/>
          <w:szCs w:val="16"/>
        </w:rPr>
        <w:t xml:space="preserve"> de uma espécie» apenas como «o meio definido pelos fatores abióticos e bióticos específicos em que essa espécie vive em qualquer das fases do seu ciclo biológico».</w:t>
      </w:r>
    </w:p>
  </w:footnote>
  <w:footnote w:id="76">
    <w:p>
      <w:pPr>
        <w:pStyle w:val="FootnoteText"/>
        <w:rPr>
          <w:rFonts w:ascii="Verdana" w:hAnsi="Verdana"/>
          <w:sz w:val="16"/>
          <w:szCs w:val="16"/>
        </w:rPr>
      </w:pPr>
      <w:r>
        <w:rPr>
          <w:rFonts w:ascii="Verdana" w:hAnsi="Verdana"/>
          <w:sz w:val="16"/>
          <w:szCs w:val="16"/>
        </w:rPr>
        <w:footnoteRef/>
      </w:r>
      <w:r>
        <w:rPr>
          <w:rFonts w:ascii="Verdana" w:hAnsi="Verdana"/>
          <w:sz w:val="16"/>
          <w:szCs w:val="16"/>
        </w:rPr>
        <w:tab/>
        <w:t>Acórdão de 9 de junho de 2011 no processo C-383/09, Comissão/França, ECLI:EU:C:2011:369.</w:t>
      </w:r>
    </w:p>
  </w:footnote>
  <w:footnote w:id="77">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 xml:space="preserve">No processo C-477/19, ainda pendente, o TJUE decidirá se o conceito de «área de repouso» na aceção do artigo 12.º, n.º 1, alínea d), da Diretiva </w:t>
      </w:r>
      <w:r>
        <w:rPr>
          <w:rFonts w:ascii="Verdana" w:hAnsi="Verdana"/>
          <w:i/>
          <w:iCs/>
          <w:sz w:val="16"/>
          <w:szCs w:val="16"/>
        </w:rPr>
        <w:t>Habitats</w:t>
      </w:r>
      <w:r>
        <w:rPr>
          <w:rFonts w:ascii="Verdana" w:hAnsi="Verdana"/>
          <w:sz w:val="16"/>
          <w:szCs w:val="16"/>
        </w:rPr>
        <w:t xml:space="preserve"> dever ser interpretado como abrangendo igualmente antigas áreas de repouso entretanto abandonadas.</w:t>
      </w:r>
    </w:p>
  </w:footnote>
  <w:footnote w:id="78">
    <w:p>
      <w:pPr>
        <w:pStyle w:val="FootnoteText"/>
        <w:ind w:left="720" w:hanging="720"/>
        <w:rPr>
          <w:rFonts w:ascii="Verdana" w:hAnsi="Verdana"/>
          <w:sz w:val="16"/>
          <w:szCs w:val="16"/>
        </w:rPr>
      </w:pPr>
      <w:r>
        <w:rPr>
          <w:rFonts w:ascii="Verdana" w:hAnsi="Verdana"/>
          <w:sz w:val="16"/>
          <w:szCs w:val="16"/>
        </w:rPr>
        <w:footnoteRef/>
      </w:r>
      <w:r>
        <w:rPr>
          <w:rFonts w:ascii="Verdana" w:hAnsi="Verdana"/>
          <w:sz w:val="16"/>
          <w:szCs w:val="16"/>
        </w:rPr>
        <w:tab/>
      </w:r>
      <w:hyperlink r:id="rId23" w:history="1">
        <w:r>
          <w:rPr>
            <w:rStyle w:val="Hyperlink"/>
            <w:rFonts w:ascii="Verdana" w:hAnsi="Verdana"/>
            <w:sz w:val="16"/>
            <w:szCs w:val="16"/>
          </w:rPr>
          <w:t>http://www.eurobats.org/sites/default/files/documents/pdf/National_Reports/Inf.MoP7_.20-National%20Implementation%20Report%20of%20Germany.pdf</w:t>
        </w:r>
      </w:hyperlink>
      <w:r>
        <w:t>.</w:t>
      </w:r>
    </w:p>
  </w:footnote>
  <w:footnote w:id="79">
    <w:p>
      <w:pPr>
        <w:pStyle w:val="FootnoteText"/>
        <w:ind w:left="720" w:hanging="720"/>
        <w:rPr>
          <w:rFonts w:ascii="Verdana" w:hAnsi="Verdana"/>
          <w:sz w:val="16"/>
          <w:szCs w:val="16"/>
        </w:rPr>
      </w:pPr>
      <w:r>
        <w:rPr>
          <w:rFonts w:ascii="Verdana" w:hAnsi="Verdana"/>
          <w:sz w:val="16"/>
          <w:szCs w:val="16"/>
          <w:lang w:val="en-GB"/>
        </w:rPr>
        <w:footnoteRef/>
      </w:r>
      <w:r>
        <w:rPr>
          <w:rFonts w:ascii="Verdana" w:hAnsi="Verdana"/>
          <w:sz w:val="16"/>
          <w:szCs w:val="16"/>
        </w:rPr>
        <w:tab/>
        <w:t>C-103/00, Comissão/Grécia, n.º 27.</w:t>
      </w:r>
    </w:p>
  </w:footnote>
  <w:footnote w:id="8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Acórdão de 17 de abril de 2018 no processo C-441/17, Comissão/Polónia, ECLI:EU:C:2018:255, n.</w:t>
      </w:r>
      <w:r>
        <w:rPr>
          <w:rFonts w:ascii="Verdana" w:hAnsi="Verdana"/>
          <w:sz w:val="16"/>
          <w:szCs w:val="16"/>
          <w:vertAlign w:val="superscript"/>
        </w:rPr>
        <w:t>os</w:t>
      </w:r>
      <w:r>
        <w:rPr>
          <w:rFonts w:ascii="Verdana" w:hAnsi="Verdana"/>
          <w:sz w:val="16"/>
          <w:szCs w:val="16"/>
        </w:rPr>
        <w:t> 233 a 236.</w:t>
      </w:r>
    </w:p>
  </w:footnote>
  <w:footnote w:id="8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Acórdão de 10 de novembro de 2016 no processo C-504/14, Comissão/Grécia, ECLI:EU:C:2016:847, n.</w:t>
      </w:r>
      <w:r>
        <w:rPr>
          <w:rFonts w:ascii="Verdana" w:hAnsi="Verdana"/>
          <w:sz w:val="16"/>
          <w:szCs w:val="16"/>
          <w:vertAlign w:val="superscript"/>
        </w:rPr>
        <w:t>os</w:t>
      </w:r>
      <w:r>
        <w:rPr>
          <w:rFonts w:ascii="Verdana" w:hAnsi="Verdana"/>
          <w:sz w:val="16"/>
          <w:szCs w:val="16"/>
        </w:rPr>
        <w:t> 160 e 114.</w:t>
      </w:r>
    </w:p>
  </w:footnote>
  <w:footnote w:id="82">
    <w:p>
      <w:pPr>
        <w:pStyle w:val="FootnoteText"/>
        <w:rPr>
          <w:rFonts w:ascii="Verdana" w:hAnsi="Verdana"/>
          <w:sz w:val="16"/>
          <w:szCs w:val="16"/>
        </w:rPr>
      </w:pPr>
      <w:r>
        <w:rPr>
          <w:rFonts w:ascii="Verdana" w:hAnsi="Verdana"/>
          <w:sz w:val="16"/>
          <w:szCs w:val="16"/>
        </w:rPr>
        <w:footnoteRef/>
      </w:r>
      <w:r>
        <w:t xml:space="preserve"> </w:t>
      </w:r>
      <w:hyperlink r:id="rId24" w:history="1">
        <w:r>
          <w:rPr>
            <w:rFonts w:ascii="Verdana" w:hAnsi="Verdana"/>
            <w:sz w:val="16"/>
            <w:szCs w:val="16"/>
          </w:rPr>
          <w:t>http://www.iberlince.eu/index.php/port/</w:t>
        </w:r>
      </w:hyperlink>
    </w:p>
  </w:footnote>
  <w:footnote w:id="83">
    <w:p>
      <w:pPr>
        <w:pStyle w:val="FootnoteText"/>
        <w:rPr>
          <w:rFonts w:ascii="Verdana" w:hAnsi="Verdana"/>
          <w:bCs/>
          <w:sz w:val="16"/>
          <w:szCs w:val="16"/>
        </w:rPr>
      </w:pPr>
      <w:r>
        <w:rPr>
          <w:rFonts w:ascii="Verdana" w:hAnsi="Verdana"/>
          <w:sz w:val="16"/>
          <w:szCs w:val="16"/>
        </w:rPr>
        <w:footnoteRef/>
      </w:r>
      <w:r>
        <w:rPr>
          <w:rFonts w:ascii="Verdana" w:hAnsi="Verdana"/>
          <w:sz w:val="16"/>
          <w:szCs w:val="16"/>
        </w:rPr>
        <w:t xml:space="preserve"> </w:t>
      </w:r>
      <w:r>
        <w:rPr>
          <w:rFonts w:ascii="Verdana" w:hAnsi="Verdana"/>
          <w:bCs/>
          <w:sz w:val="16"/>
          <w:szCs w:val="16"/>
        </w:rPr>
        <w:t>Regulamento (UE) 2017/1004 do Parlamento Europeu e do Conselho, de 17 de maio de 2017, relativo ao estabelecimento de um quadro da União para a recolha, gestão e utilização de dados no setor das pescas e para o apoio ao aconselhamento científico relacionado com a política comum das pescas, e que revoga o Regulamento (CE) n.º 199/2008 do Conselho (</w:t>
      </w:r>
      <w:hyperlink r:id="rId25" w:history="1">
        <w:r>
          <w:rPr>
            <w:rFonts w:ascii="Verdana" w:hAnsi="Verdana"/>
            <w:sz w:val="16"/>
            <w:szCs w:val="16"/>
          </w:rPr>
          <w:t>https://op.europa.eu/pt/publication-detail/-/publication/dd3dc59f-557f-11e7-a5ca-01aa75ed71a1</w:t>
        </w:r>
      </w:hyperlink>
      <w:r>
        <w:rPr>
          <w:rFonts w:ascii="Verdana" w:hAnsi="Verdana"/>
          <w:sz w:val="16"/>
          <w:szCs w:val="16"/>
        </w:rPr>
        <w:t>).</w:t>
      </w:r>
    </w:p>
  </w:footnote>
  <w:footnote w:id="84">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O artigo 6.º, n.º 3, da Diretiva </w:t>
      </w:r>
      <w:r>
        <w:rPr>
          <w:rFonts w:ascii="Verdana" w:hAnsi="Verdana"/>
          <w:i/>
          <w:iCs/>
          <w:sz w:val="16"/>
          <w:szCs w:val="16"/>
        </w:rPr>
        <w:t>Habitats</w:t>
      </w:r>
      <w:r>
        <w:rPr>
          <w:rFonts w:ascii="Verdana" w:hAnsi="Verdana"/>
          <w:sz w:val="16"/>
          <w:szCs w:val="16"/>
        </w:rPr>
        <w:t xml:space="preserve"> faz referência a «afetar […] de forma significativa». As orientações sobre esta questão podem ser encontradas no endereço </w:t>
      </w:r>
      <w:hyperlink r:id="rId26" w:history="1">
        <w:r>
          <w:rPr>
            <w:rStyle w:val="Hyperlink"/>
            <w:rFonts w:ascii="Verdana" w:hAnsi="Verdana"/>
            <w:sz w:val="16"/>
            <w:szCs w:val="16"/>
          </w:rPr>
          <w:t>https://ec.europa.eu/environment/nature/natura2000/management/docs/art6/PT_art_6_guide_jun_2019.pdf</w:t>
        </w:r>
      </w:hyperlink>
      <w:r>
        <w:rPr>
          <w:rFonts w:ascii="Verdana" w:hAnsi="Verdana"/>
          <w:sz w:val="16"/>
          <w:szCs w:val="16"/>
        </w:rPr>
        <w:t>.</w:t>
      </w:r>
    </w:p>
  </w:footnote>
  <w:footnote w:id="85">
    <w:p>
      <w:pPr>
        <w:pStyle w:val="FootnoteText"/>
      </w:pPr>
      <w:r>
        <w:rPr>
          <w:rStyle w:val="FootnoteReference"/>
        </w:rPr>
        <w:footnoteRef/>
      </w:r>
      <w:r>
        <w:t xml:space="preserve"> </w:t>
      </w:r>
      <w:r>
        <w:tab/>
        <w:t>Ver o acórdão de 28 de fevereiro de 1991 no processo C-131/88, Comissão/Alemanha, ECLI:EU:C:1991:87.</w:t>
      </w:r>
    </w:p>
  </w:footnote>
  <w:footnote w:id="8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Ver, por exemplo, o processo C-315/98, Comissão/Itália, n.º 10.</w:t>
      </w:r>
    </w:p>
  </w:footnote>
  <w:footnote w:id="87">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Acórdão de 15 de março de 2012 no processo C-46/11, Comissão/Polónia, ECLI:EU:C:2012:146, n.</w:t>
      </w:r>
      <w:r>
        <w:rPr>
          <w:rFonts w:ascii="Verdana" w:hAnsi="Verdana"/>
          <w:sz w:val="16"/>
          <w:szCs w:val="16"/>
          <w:vertAlign w:val="superscript"/>
        </w:rPr>
        <w:t>os</w:t>
      </w:r>
      <w:r>
        <w:rPr>
          <w:rFonts w:ascii="Verdana" w:hAnsi="Verdana"/>
          <w:sz w:val="16"/>
          <w:szCs w:val="16"/>
        </w:rPr>
        <w:t> 28 e 56.</w:t>
      </w:r>
    </w:p>
    <w:p>
      <w:pPr>
        <w:pStyle w:val="FootnoteText"/>
        <w:ind w:firstLine="0"/>
        <w:rPr>
          <w:rFonts w:ascii="Verdana" w:hAnsi="Verdana"/>
          <w:sz w:val="16"/>
          <w:szCs w:val="16"/>
        </w:rPr>
      </w:pPr>
      <w:r>
        <w:rPr>
          <w:rFonts w:ascii="Verdana" w:hAnsi="Verdana"/>
          <w:sz w:val="16"/>
          <w:szCs w:val="16"/>
        </w:rPr>
        <w:t>Ver também as conclusões de 11 de janeiro de 2007 do advogado-geral no processo C-508/04, n.º 31.</w:t>
      </w:r>
    </w:p>
  </w:footnote>
  <w:footnote w:id="8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Ver, nomeadamente, os seguintes acórdãos: processo C-59/89, Comissão/Alemanha, n.</w:t>
      </w:r>
      <w:r>
        <w:rPr>
          <w:rFonts w:ascii="Verdana" w:hAnsi="Verdana"/>
          <w:sz w:val="16"/>
          <w:szCs w:val="16"/>
          <w:vertAlign w:val="superscript"/>
        </w:rPr>
        <w:t>os</w:t>
      </w:r>
      <w:r>
        <w:rPr>
          <w:rFonts w:ascii="Verdana" w:hAnsi="Verdana"/>
          <w:sz w:val="16"/>
          <w:szCs w:val="16"/>
        </w:rPr>
        <w:t> 18 e 24; processo C-225/97, Comissão/França, n.º 37; 17 de maio de 2001; processo C-159/99, Comissão/Itália, n.º 32; processo C-75/01, Comissão/Luxemburgo, n.</w:t>
      </w:r>
      <w:r>
        <w:rPr>
          <w:rFonts w:ascii="Verdana" w:hAnsi="Verdana"/>
          <w:sz w:val="16"/>
          <w:szCs w:val="16"/>
          <w:vertAlign w:val="superscript"/>
        </w:rPr>
        <w:t>os</w:t>
      </w:r>
      <w:r>
        <w:rPr>
          <w:rFonts w:ascii="Verdana" w:hAnsi="Verdana"/>
          <w:sz w:val="16"/>
          <w:szCs w:val="16"/>
        </w:rPr>
        <w:t> 28, 87 e 88; processo C-6/04, Comissão/Reino Unido, n.º 27.</w:t>
      </w:r>
    </w:p>
  </w:footnote>
  <w:footnote w:id="8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 xml:space="preserve"> Processo C-6/04, Comissão/Reino Unido, n.</w:t>
      </w:r>
      <w:r>
        <w:rPr>
          <w:rFonts w:ascii="Verdana" w:hAnsi="Verdana"/>
          <w:sz w:val="16"/>
          <w:szCs w:val="16"/>
          <w:vertAlign w:val="superscript"/>
        </w:rPr>
        <w:t>os</w:t>
      </w:r>
      <w:r>
        <w:rPr>
          <w:rFonts w:ascii="Verdana" w:hAnsi="Verdana"/>
          <w:sz w:val="16"/>
          <w:szCs w:val="16"/>
        </w:rPr>
        <w:t xml:space="preserve"> 25 e 26.</w:t>
      </w:r>
    </w:p>
  </w:footnote>
  <w:footnote w:id="90">
    <w:p>
      <w:pPr>
        <w:pStyle w:val="FootnoteText"/>
        <w:rPr>
          <w:rFonts w:ascii="Verdana" w:hAnsi="Verdana"/>
          <w:sz w:val="16"/>
          <w:szCs w:val="16"/>
        </w:rPr>
      </w:pPr>
      <w:r>
        <w:rPr>
          <w:rFonts w:ascii="Verdana" w:hAnsi="Verdana"/>
          <w:sz w:val="16"/>
          <w:szCs w:val="16"/>
        </w:rPr>
        <w:footnoteRef/>
      </w:r>
      <w:r>
        <w:rPr>
          <w:rFonts w:ascii="Verdana" w:hAnsi="Verdana"/>
          <w:sz w:val="16"/>
          <w:szCs w:val="16"/>
        </w:rPr>
        <w:tab/>
        <w:t>Processo C-508/04, Comissão/Áustria, n.º 110.</w:t>
      </w:r>
    </w:p>
    <w:p>
      <w:pPr>
        <w:pStyle w:val="FootnoteText"/>
        <w:ind w:firstLine="0"/>
        <w:rPr>
          <w:rFonts w:ascii="Verdana" w:hAnsi="Verdana"/>
          <w:sz w:val="16"/>
          <w:szCs w:val="16"/>
        </w:rPr>
      </w:pPr>
      <w:r>
        <w:rPr>
          <w:rFonts w:ascii="Verdana" w:hAnsi="Verdana"/>
          <w:sz w:val="16"/>
          <w:szCs w:val="16"/>
        </w:rPr>
        <w:t>Conclusões de 11 de janeiro de 2007 do advogado-geral no processo C-508/04, n.º 53.</w:t>
      </w:r>
    </w:p>
  </w:footnote>
  <w:footnote w:id="9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Processo C-46/11, Comissão/Polónia, n.º 29.</w:t>
      </w:r>
    </w:p>
  </w:footnote>
  <w:footnote w:id="92">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Por exemplo, processos apensos C-206 e 207/88, Vessoso e G. Zanetti</w:t>
      </w:r>
    </w:p>
  </w:footnote>
  <w:footnote w:id="9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Processo C-75/01, Comissão/Luxemburgo, n.º 28.</w:t>
      </w:r>
    </w:p>
  </w:footnote>
  <w:footnote w:id="94">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Processo C-6/04, Comissão/Reino Unido, n.</w:t>
      </w:r>
      <w:r>
        <w:rPr>
          <w:rFonts w:ascii="Verdana" w:hAnsi="Verdana"/>
          <w:sz w:val="16"/>
          <w:szCs w:val="16"/>
          <w:vertAlign w:val="superscript"/>
        </w:rPr>
        <w:t>os</w:t>
      </w:r>
      <w:r>
        <w:rPr>
          <w:rFonts w:ascii="Verdana" w:hAnsi="Verdana"/>
          <w:sz w:val="16"/>
          <w:szCs w:val="16"/>
        </w:rPr>
        <w:t xml:space="preserve"> 109 a 113.</w:t>
      </w:r>
    </w:p>
  </w:footnote>
  <w:footnote w:id="95">
    <w:p>
      <w:pPr>
        <w:pStyle w:val="FootnoteText"/>
        <w:rPr>
          <w:rFonts w:ascii="Verdana" w:hAnsi="Verdana"/>
          <w:sz w:val="16"/>
          <w:szCs w:val="16"/>
        </w:rPr>
      </w:pPr>
      <w:r>
        <w:rPr>
          <w:rFonts w:ascii="Verdana" w:hAnsi="Verdana"/>
          <w:sz w:val="16"/>
          <w:szCs w:val="16"/>
        </w:rPr>
        <w:footnoteRef/>
      </w:r>
      <w:r>
        <w:rPr>
          <w:rFonts w:ascii="Verdana" w:hAnsi="Verdana"/>
          <w:sz w:val="16"/>
          <w:szCs w:val="16"/>
        </w:rPr>
        <w:tab/>
        <w:t>Processo C-183/05, Comissão/Irlanda, n.</w:t>
      </w:r>
      <w:r>
        <w:rPr>
          <w:rFonts w:ascii="Verdana" w:hAnsi="Verdana"/>
          <w:sz w:val="16"/>
          <w:szCs w:val="16"/>
          <w:vertAlign w:val="superscript"/>
        </w:rPr>
        <w:t>os</w:t>
      </w:r>
      <w:r>
        <w:rPr>
          <w:rFonts w:ascii="Verdana" w:hAnsi="Verdana"/>
          <w:sz w:val="16"/>
          <w:szCs w:val="16"/>
        </w:rPr>
        <w:t xml:space="preserve"> 47 a 49.</w:t>
      </w:r>
    </w:p>
  </w:footnote>
  <w:footnote w:id="9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Processo C-98/03, Comissão/Alemanha, n.</w:t>
      </w:r>
      <w:r>
        <w:rPr>
          <w:rFonts w:ascii="Verdana" w:hAnsi="Verdana"/>
          <w:sz w:val="16"/>
          <w:szCs w:val="16"/>
          <w:vertAlign w:val="superscript"/>
        </w:rPr>
        <w:t>os</w:t>
      </w:r>
      <w:r>
        <w:rPr>
          <w:rFonts w:ascii="Verdana" w:hAnsi="Verdana"/>
          <w:sz w:val="16"/>
          <w:szCs w:val="16"/>
        </w:rPr>
        <w:t> 57 a 62.</w:t>
      </w:r>
    </w:p>
  </w:footnote>
  <w:footnote w:id="97">
    <w:p>
      <w:pPr>
        <w:pStyle w:val="FootnoteText"/>
        <w:rPr>
          <w:rFonts w:ascii="Verdana" w:hAnsi="Verdana"/>
          <w:sz w:val="16"/>
          <w:szCs w:val="16"/>
        </w:rPr>
      </w:pPr>
      <w:r>
        <w:rPr>
          <w:rFonts w:ascii="Verdana" w:hAnsi="Verdana"/>
          <w:sz w:val="16"/>
          <w:szCs w:val="16"/>
        </w:rPr>
        <w:footnoteRef/>
      </w:r>
      <w:r>
        <w:rPr>
          <w:rFonts w:ascii="Verdana" w:hAnsi="Verdana"/>
          <w:sz w:val="16"/>
          <w:szCs w:val="16"/>
        </w:rPr>
        <w:tab/>
        <w:t>Processo C-508/04, Comissão/Áustria, n.º 111.</w:t>
      </w:r>
    </w:p>
  </w:footnote>
  <w:footnote w:id="9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Ver o n.º 33 das conclusões do advogado-geral no processo C-10/96.</w:t>
      </w:r>
    </w:p>
  </w:footnote>
  <w:footnote w:id="9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Ver os seguintes acórdãos do TJUE relativamente às derrogações previstas na Diretiva Aves: acórdão de 8 de julho de 1987 no processo C-262/85, Comissão/República Italiana, ECLI:EU:C:1987:340; acórdão de 7 de março de 1996 no processo C-118/94, WWF Itália/Regione Veneto, ECLI:EU:C:1996:86; acórdão de 12 de dezembro de 1996 no processo C-10/96, Ligue royale belge pour la protection des oiseaux e Société d’études ornithologiques/Région Wallonne, ECLI:EU:C:1996:504.</w:t>
      </w:r>
    </w:p>
  </w:footnote>
  <w:footnote w:id="10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Processo C-6/04, Comissão/Reino Unido, n.º 111.</w:t>
      </w:r>
    </w:p>
    <w:p>
      <w:pPr>
        <w:pStyle w:val="FootnoteText"/>
        <w:ind w:left="360" w:firstLine="0"/>
        <w:rPr>
          <w:rFonts w:ascii="Verdana" w:hAnsi="Verdana"/>
          <w:sz w:val="16"/>
          <w:szCs w:val="16"/>
        </w:rPr>
      </w:pPr>
      <w:r>
        <w:rPr>
          <w:rFonts w:ascii="Verdana" w:hAnsi="Verdana"/>
          <w:sz w:val="16"/>
          <w:szCs w:val="16"/>
        </w:rPr>
        <w:t>Ver também o processo C-508/04, Comissão/Áustria, n.º 110, no contexto da disposição de derrogação comparável do artigo 9.º da Diretiva Aves (2009/147/CE).</w:t>
      </w:r>
    </w:p>
  </w:footnote>
  <w:footnote w:id="10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Acórdão de 10 de outubro de 2019 no processo C-674/17, Tapiola, ECLI:EU:C:2019:851, n.º 41.</w:t>
      </w:r>
    </w:p>
  </w:footnote>
  <w:footnote w:id="102">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Processo C-6/04, Comissão/Reino Unido, n.º 112.</w:t>
      </w:r>
    </w:p>
  </w:footnote>
  <w:footnote w:id="103">
    <w:p>
      <w:pPr>
        <w:pStyle w:val="FootnoteText"/>
        <w:ind w:left="360" w:hanging="360"/>
      </w:pPr>
      <w:r>
        <w:rPr>
          <w:rStyle w:val="FootnoteReference"/>
        </w:rPr>
        <w:footnoteRef/>
      </w:r>
      <w:r>
        <w:t xml:space="preserve"> </w:t>
      </w:r>
      <w:r>
        <w:tab/>
      </w:r>
      <w:r>
        <w:rPr>
          <w:rFonts w:ascii="Verdana" w:hAnsi="Verdana"/>
          <w:sz w:val="16"/>
          <w:szCs w:val="16"/>
        </w:rPr>
        <w:t>Processo C-674/17, n.º 59.</w:t>
      </w:r>
    </w:p>
  </w:footnote>
  <w:footnote w:id="104">
    <w:p>
      <w:pPr>
        <w:pStyle w:val="FootnoteText"/>
        <w:rPr>
          <w:rFonts w:ascii="Verdana" w:hAnsi="Verdana"/>
          <w:sz w:val="16"/>
          <w:szCs w:val="16"/>
        </w:rPr>
      </w:pPr>
      <w:r>
        <w:rPr>
          <w:rFonts w:ascii="Verdana" w:hAnsi="Verdana"/>
          <w:sz w:val="16"/>
          <w:szCs w:val="16"/>
        </w:rPr>
        <w:footnoteRef/>
      </w:r>
      <w:r>
        <w:rPr>
          <w:rFonts w:ascii="Verdana" w:hAnsi="Verdana"/>
          <w:sz w:val="16"/>
          <w:szCs w:val="16"/>
        </w:rPr>
        <w:tab/>
        <w:t>Acórdão de 14 de junho de 2007 no processo C-342/05, Comissão/Finlândia, ECLI:EU:C:2007:341, n.º 45.</w:t>
      </w:r>
    </w:p>
  </w:footnote>
  <w:footnote w:id="105">
    <w:p>
      <w:pPr>
        <w:pStyle w:val="FootnoteText"/>
      </w:pPr>
      <w:r>
        <w:rPr>
          <w:rFonts w:ascii="Verdana" w:hAnsi="Verdana"/>
          <w:sz w:val="16"/>
          <w:szCs w:val="16"/>
        </w:rPr>
        <w:footnoteRef/>
      </w:r>
      <w:r>
        <w:tab/>
      </w:r>
      <w:r>
        <w:rPr>
          <w:rFonts w:ascii="Verdana" w:hAnsi="Verdana"/>
          <w:sz w:val="16"/>
          <w:szCs w:val="16"/>
        </w:rPr>
        <w:t>Processo C-342/05, Comissão/Finlândia, n.º 25.</w:t>
      </w:r>
    </w:p>
  </w:footnote>
  <w:footnote w:id="10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Ver também o processo C-6/04, Comissão/Reino Unido, n.</w:t>
      </w:r>
      <w:r>
        <w:rPr>
          <w:rFonts w:ascii="Verdana" w:hAnsi="Verdana"/>
          <w:sz w:val="16"/>
          <w:szCs w:val="16"/>
          <w:vertAlign w:val="superscript"/>
        </w:rPr>
        <w:t>os</w:t>
      </w:r>
      <w:r>
        <w:rPr>
          <w:rFonts w:ascii="Verdana" w:hAnsi="Verdana"/>
          <w:sz w:val="16"/>
          <w:szCs w:val="16"/>
        </w:rPr>
        <w:t> 109 a 113.</w:t>
      </w:r>
    </w:p>
  </w:footnote>
  <w:footnote w:id="107">
    <w:p>
      <w:pPr>
        <w:pStyle w:val="FootnoteText"/>
        <w:rPr>
          <w:rFonts w:ascii="Verdana" w:hAnsi="Verdana"/>
          <w:sz w:val="16"/>
          <w:szCs w:val="16"/>
        </w:rPr>
      </w:pPr>
      <w:r>
        <w:rPr>
          <w:rFonts w:ascii="Verdana" w:hAnsi="Verdana"/>
          <w:sz w:val="16"/>
          <w:szCs w:val="16"/>
        </w:rPr>
        <w:footnoteRef/>
      </w:r>
      <w:r>
        <w:rPr>
          <w:rFonts w:ascii="Verdana" w:hAnsi="Verdana"/>
          <w:sz w:val="16"/>
          <w:szCs w:val="16"/>
        </w:rPr>
        <w:tab/>
        <w:t>Processo C-508/04, Comissão/Áustria, n.</w:t>
      </w:r>
      <w:r>
        <w:rPr>
          <w:rFonts w:ascii="Verdana" w:hAnsi="Verdana"/>
          <w:sz w:val="16"/>
          <w:szCs w:val="16"/>
          <w:vertAlign w:val="superscript"/>
        </w:rPr>
        <w:t>os</w:t>
      </w:r>
      <w:r>
        <w:rPr>
          <w:rFonts w:ascii="Verdana" w:hAnsi="Verdana"/>
          <w:sz w:val="16"/>
          <w:szCs w:val="16"/>
        </w:rPr>
        <w:t> 120 e 128.</w:t>
      </w:r>
    </w:p>
  </w:footnote>
  <w:footnote w:id="108">
    <w:p>
      <w:pPr>
        <w:pStyle w:val="FootnoteText"/>
        <w:rPr>
          <w:rFonts w:ascii="Verdana" w:hAnsi="Verdana"/>
          <w:sz w:val="16"/>
          <w:szCs w:val="16"/>
        </w:rPr>
      </w:pPr>
      <w:r>
        <w:rPr>
          <w:rFonts w:ascii="Verdana" w:hAnsi="Verdana"/>
          <w:sz w:val="16"/>
          <w:szCs w:val="16"/>
        </w:rPr>
        <w:footnoteRef/>
      </w:r>
      <w:r>
        <w:rPr>
          <w:rFonts w:ascii="Verdana" w:hAnsi="Verdana"/>
          <w:sz w:val="16"/>
          <w:szCs w:val="16"/>
        </w:rPr>
        <w:tab/>
        <w:t>Acórdão de 10 de outubro de 2019 no processo C-674/17.</w:t>
      </w:r>
    </w:p>
  </w:footnote>
  <w:footnote w:id="10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lang w:val="en-GB"/>
        </w:rPr>
        <w:tab/>
        <w:t>Kojola, I., Huitu, O., Toppinen, K., Heikura, K., Heikkinen, S. e Ronkainen, S. (2004). «Predation on European forest reindeer (</w:t>
      </w:r>
      <w:r>
        <w:rPr>
          <w:rFonts w:ascii="Verdana" w:hAnsi="Verdana"/>
          <w:i/>
          <w:sz w:val="16"/>
          <w:szCs w:val="16"/>
          <w:lang w:val="en-GB"/>
        </w:rPr>
        <w:t>Rangifer tarandus</w:t>
      </w:r>
      <w:r>
        <w:rPr>
          <w:rFonts w:ascii="Verdana" w:hAnsi="Verdana"/>
          <w:sz w:val="16"/>
          <w:szCs w:val="16"/>
          <w:lang w:val="en-GB"/>
        </w:rPr>
        <w:t>) by wolves (</w:t>
      </w:r>
      <w:r>
        <w:rPr>
          <w:rFonts w:ascii="Verdana" w:hAnsi="Verdana"/>
          <w:i/>
          <w:sz w:val="16"/>
          <w:szCs w:val="16"/>
          <w:lang w:val="en-GB"/>
        </w:rPr>
        <w:t>Canis lupus</w:t>
      </w:r>
      <w:r>
        <w:rPr>
          <w:rFonts w:ascii="Verdana" w:hAnsi="Verdana"/>
          <w:sz w:val="16"/>
          <w:szCs w:val="16"/>
          <w:lang w:val="en-GB"/>
        </w:rPr>
        <w:t xml:space="preserve">) in Finland». </w:t>
      </w:r>
      <w:r>
        <w:rPr>
          <w:rFonts w:ascii="Verdana" w:hAnsi="Verdana"/>
          <w:i/>
          <w:iCs/>
          <w:sz w:val="16"/>
          <w:szCs w:val="16"/>
        </w:rPr>
        <w:t>Journal of Zoology, London</w:t>
      </w:r>
      <w:r>
        <w:rPr>
          <w:rFonts w:ascii="Verdana" w:hAnsi="Verdana"/>
          <w:sz w:val="16"/>
          <w:szCs w:val="16"/>
        </w:rPr>
        <w:t>, 263(3): 229-236.</w:t>
      </w:r>
    </w:p>
  </w:footnote>
  <w:footnote w:id="110">
    <w:p>
      <w:pPr>
        <w:pStyle w:val="FootnoteText"/>
        <w:ind w:left="480" w:hanging="48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Processo C-46/11, Comissão/Polónia, n.º 31.</w:t>
      </w:r>
    </w:p>
  </w:footnote>
  <w:footnote w:id="11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Acórdão de 8 de julho de 1987 no processo C-247/85, Comissão/Bélgica, ECLI:EU:C:1987:339, n.º 56. «[E]sta disposição da diretiva não se destina a evitar a ameaça de dano de reduzida importância. Com efeito, o facto de essa derrogação ao regime geral de proteção exigir a existência de danos de uma certa importância corresponde ao efeito protetor pretendido pela diretiva».</w:t>
      </w:r>
    </w:p>
  </w:footnote>
  <w:footnote w:id="112">
    <w:p>
      <w:pPr>
        <w:pStyle w:val="FootnoteText"/>
        <w:ind w:left="360" w:hanging="360"/>
        <w:rPr>
          <w:rFonts w:ascii="Verdana" w:hAnsi="Verdana"/>
          <w:sz w:val="16"/>
          <w:szCs w:val="16"/>
        </w:rPr>
      </w:pPr>
      <w:r>
        <w:rPr>
          <w:rFonts w:ascii="Verdana" w:hAnsi="Verdana"/>
          <w:sz w:val="16"/>
          <w:szCs w:val="16"/>
        </w:rPr>
        <w:footnoteRef/>
      </w:r>
      <w:r>
        <w:rPr>
          <w:rFonts w:ascii="Verdana" w:hAnsi="Verdana"/>
          <w:sz w:val="16"/>
          <w:szCs w:val="16"/>
        </w:rPr>
        <w:tab/>
        <w:t>Processo C-342/05, Comissão/Finlândia, n.º 40.</w:t>
      </w:r>
    </w:p>
  </w:footnote>
  <w:footnote w:id="113">
    <w:p>
      <w:pPr>
        <w:pStyle w:val="FootnoteText"/>
        <w:ind w:left="360" w:hanging="360"/>
        <w:rPr>
          <w:rFonts w:ascii="Verdana" w:hAnsi="Verdana"/>
          <w:sz w:val="16"/>
          <w:szCs w:val="16"/>
        </w:rPr>
      </w:pPr>
      <w:r>
        <w:rPr>
          <w:rFonts w:ascii="Verdana" w:hAnsi="Verdana"/>
          <w:sz w:val="16"/>
          <w:szCs w:val="16"/>
        </w:rPr>
        <w:footnoteRef/>
      </w:r>
      <w:r>
        <w:rPr>
          <w:rFonts w:ascii="Verdana" w:hAnsi="Verdana"/>
          <w:sz w:val="16"/>
          <w:szCs w:val="16"/>
        </w:rPr>
        <w:tab/>
        <w:t>Processo C-342/05, Comissão/Finlândia, n.</w:t>
      </w:r>
      <w:r>
        <w:rPr>
          <w:rFonts w:ascii="Verdana" w:hAnsi="Verdana"/>
          <w:sz w:val="16"/>
          <w:szCs w:val="16"/>
          <w:vertAlign w:val="superscript"/>
        </w:rPr>
        <w:t>os</w:t>
      </w:r>
      <w:r>
        <w:rPr>
          <w:rFonts w:ascii="Verdana" w:hAnsi="Verdana"/>
          <w:sz w:val="16"/>
          <w:szCs w:val="16"/>
        </w:rPr>
        <w:t> 41 a 44 e 47.</w:t>
      </w:r>
    </w:p>
  </w:footnote>
  <w:footnote w:id="114">
    <w:p>
      <w:pPr>
        <w:pStyle w:val="FootnoteText"/>
        <w:ind w:left="360" w:hanging="360"/>
        <w:rPr>
          <w:rFonts w:ascii="Verdana" w:hAnsi="Verdana"/>
          <w:sz w:val="16"/>
          <w:szCs w:val="16"/>
        </w:rPr>
      </w:pPr>
      <w:r>
        <w:rPr>
          <w:rFonts w:ascii="Verdana" w:hAnsi="Verdana"/>
          <w:sz w:val="16"/>
          <w:szCs w:val="16"/>
        </w:rPr>
        <w:footnoteRef/>
      </w:r>
      <w:r>
        <w:rPr>
          <w:rFonts w:ascii="Verdana" w:hAnsi="Verdana"/>
          <w:sz w:val="16"/>
          <w:szCs w:val="16"/>
        </w:rPr>
        <w:tab/>
      </w:r>
      <w:hyperlink r:id="rId27" w:history="1">
        <w:r>
          <w:rPr>
            <w:rStyle w:val="Hyperlink"/>
            <w:rFonts w:ascii="Verdana" w:hAnsi="Verdana"/>
            <w:sz w:val="16"/>
            <w:szCs w:val="16"/>
          </w:rPr>
          <w:t>http://ec.europa.eu/environment/nature/conservation/species/carnivores/coexistence_platform.htm</w:t>
        </w:r>
      </w:hyperlink>
    </w:p>
  </w:footnote>
  <w:footnote w:id="115">
    <w:p>
      <w:pPr>
        <w:pStyle w:val="FootnoteText"/>
        <w:rPr>
          <w:rFonts w:ascii="Verdana" w:hAnsi="Verdana"/>
          <w:sz w:val="16"/>
          <w:szCs w:val="16"/>
          <w:lang w:val="en-GB"/>
        </w:rPr>
      </w:pPr>
      <w:r>
        <w:rPr>
          <w:rFonts w:ascii="Verdana" w:hAnsi="Verdana"/>
          <w:sz w:val="16"/>
          <w:szCs w:val="16"/>
          <w:lang w:val="en-GB"/>
        </w:rPr>
        <w:footnoteRef/>
      </w:r>
      <w:r>
        <w:rPr>
          <w:rFonts w:ascii="Verdana" w:hAnsi="Verdana"/>
          <w:sz w:val="16"/>
          <w:szCs w:val="16"/>
        </w:rPr>
        <w:t xml:space="preserve"> Ver, a título de exemplo, as orientações para a gestão do castor na Baviera, emitidas pelo Ministério do Ambiente da Baviera: Bayerisches Staatsministerium für Umwelt und Verbraucherschutz, 2016. </w:t>
      </w:r>
      <w:r>
        <w:rPr>
          <w:rFonts w:ascii="Verdana" w:hAnsi="Verdana"/>
          <w:sz w:val="16"/>
          <w:szCs w:val="16"/>
          <w:lang w:val="en-GB"/>
        </w:rPr>
        <w:t>«Richtlinien zum Bibermanagement».</w:t>
      </w:r>
    </w:p>
    <w:p>
      <w:pPr>
        <w:pStyle w:val="FootnoteText"/>
        <w:ind w:firstLine="0"/>
        <w:rPr>
          <w:rFonts w:ascii="Verdana" w:hAnsi="Verdana"/>
          <w:sz w:val="16"/>
          <w:szCs w:val="16"/>
          <w:lang w:val="en-GB"/>
        </w:rPr>
      </w:pPr>
      <w:hyperlink r:id="rId28" w:history="1">
        <w:r>
          <w:rPr>
            <w:rStyle w:val="Hyperlink"/>
            <w:rFonts w:ascii="Verdana" w:hAnsi="Verdana"/>
            <w:sz w:val="16"/>
            <w:szCs w:val="16"/>
            <w:lang w:val="en-GB"/>
          </w:rPr>
          <w:t>https://www.stmuv.bayern.de/service/recht/naturschutz/doc/bibermanagement_2016/richtlinien_bibermanagement_2016.pdf</w:t>
        </w:r>
      </w:hyperlink>
      <w:r>
        <w:rPr>
          <w:rFonts w:ascii="Verdana" w:hAnsi="Verdana"/>
          <w:color w:val="0000FF"/>
          <w:sz w:val="16"/>
          <w:szCs w:val="16"/>
          <w:u w:val="single"/>
          <w:lang w:val="en-GB"/>
        </w:rPr>
        <w:t xml:space="preserve"> </w:t>
      </w:r>
    </w:p>
  </w:footnote>
  <w:footnote w:id="116">
    <w:p>
      <w:pPr>
        <w:pStyle w:val="FootnoteText"/>
        <w:ind w:left="720" w:hanging="720"/>
        <w:rPr>
          <w:rFonts w:ascii="Verdana" w:hAnsi="Verdana"/>
          <w:sz w:val="16"/>
          <w:szCs w:val="16"/>
        </w:rPr>
      </w:pPr>
      <w:r>
        <w:footnoteRef/>
      </w:r>
      <w:r>
        <w:t xml:space="preserve"> </w:t>
      </w:r>
      <w:r>
        <w:tab/>
      </w:r>
      <w:r>
        <w:rPr>
          <w:rFonts w:ascii="Verdana" w:hAnsi="Verdana"/>
          <w:sz w:val="16"/>
          <w:szCs w:val="16"/>
        </w:rPr>
        <w:t>Para mais informações, ver:</w:t>
      </w:r>
    </w:p>
    <w:p>
      <w:pPr>
        <w:pStyle w:val="FootnoteText"/>
        <w:ind w:left="720" w:firstLine="0"/>
        <w:rPr>
          <w:rFonts w:ascii="Verdana" w:hAnsi="Verdana"/>
          <w:sz w:val="16"/>
          <w:szCs w:val="16"/>
        </w:rPr>
      </w:pPr>
      <w:r>
        <w:rPr>
          <w:rFonts w:ascii="Verdana" w:hAnsi="Verdana"/>
          <w:sz w:val="16"/>
          <w:szCs w:val="16"/>
        </w:rPr>
        <w:t>Plataforma GC da UE (2014), Acordo de participação na Plataforma da UE para a coexistência entre o Homem e os grandes carnívoros:</w:t>
      </w:r>
      <w:r>
        <w:rPr>
          <w:rFonts w:ascii="Verdana" w:hAnsi="Verdana"/>
          <w:sz w:val="16"/>
          <w:szCs w:val="16"/>
        </w:rPr>
        <w:tab/>
      </w:r>
      <w:r>
        <w:rPr>
          <w:rFonts w:ascii="Verdana" w:hAnsi="Verdana"/>
          <w:sz w:val="16"/>
          <w:szCs w:val="16"/>
        </w:rPr>
        <w:br/>
      </w:r>
      <w:hyperlink r:id="rId29" w:history="1">
        <w:r>
          <w:rPr>
            <w:rStyle w:val="Hyperlink"/>
            <w:rFonts w:ascii="Verdana" w:hAnsi="Verdana"/>
            <w:sz w:val="16"/>
            <w:szCs w:val="16"/>
          </w:rPr>
          <w:t>https://ec.europa.eu/environment/nature/conservation/species/carnivores/pdf/PT_Agreement.pdf</w:t>
        </w:r>
      </w:hyperlink>
      <w:r>
        <w:rPr>
          <w:rFonts w:ascii="Verdana" w:hAnsi="Verdana"/>
          <w:sz w:val="16"/>
          <w:szCs w:val="16"/>
        </w:rPr>
        <w:t xml:space="preserve"> </w:t>
      </w:r>
    </w:p>
    <w:p>
      <w:pPr>
        <w:pStyle w:val="FootnoteText"/>
        <w:ind w:left="720" w:firstLine="0"/>
        <w:rPr>
          <w:rFonts w:ascii="Verdana" w:hAnsi="Verdana"/>
          <w:sz w:val="16"/>
          <w:szCs w:val="16"/>
        </w:rPr>
      </w:pPr>
      <w:r>
        <w:rPr>
          <w:rFonts w:ascii="Verdana" w:hAnsi="Verdana"/>
          <w:sz w:val="16"/>
          <w:szCs w:val="16"/>
        </w:rPr>
        <w:t xml:space="preserve">Plataforma GC da UE (2018a), Plano de Comunicação, Versão 2: </w:t>
      </w:r>
    </w:p>
    <w:p>
      <w:pPr>
        <w:pStyle w:val="FootnoteText"/>
        <w:ind w:left="720" w:firstLine="0"/>
        <w:rPr>
          <w:rFonts w:ascii="Verdana" w:hAnsi="Verdana"/>
          <w:sz w:val="16"/>
          <w:szCs w:val="16"/>
        </w:rPr>
      </w:pPr>
      <w:hyperlink r:id="rId30" w:history="1">
        <w:r>
          <w:rPr>
            <w:rStyle w:val="Hyperlink"/>
            <w:rFonts w:ascii="Verdana" w:hAnsi="Verdana"/>
            <w:sz w:val="16"/>
            <w:szCs w:val="16"/>
          </w:rPr>
          <w:t>https://ec.europa.eu/environment/nature/conservation/species/carnivores/pdf/2014_LC%20Platform%20Communication%20Plan%20v2.pdf</w:t>
        </w:r>
      </w:hyperlink>
      <w:r>
        <w:rPr>
          <w:rFonts w:ascii="Verdana" w:hAnsi="Verdana"/>
          <w:sz w:val="16"/>
          <w:szCs w:val="16"/>
        </w:rPr>
        <w:t xml:space="preserve"> </w:t>
      </w:r>
    </w:p>
    <w:p>
      <w:pPr>
        <w:pStyle w:val="FootnoteText"/>
        <w:ind w:left="720" w:firstLine="0"/>
        <w:rPr>
          <w:rFonts w:ascii="Verdana" w:hAnsi="Verdana"/>
          <w:sz w:val="16"/>
          <w:szCs w:val="16"/>
        </w:rPr>
      </w:pPr>
      <w:r>
        <w:rPr>
          <w:rFonts w:ascii="Verdana" w:hAnsi="Verdana"/>
          <w:sz w:val="16"/>
          <w:szCs w:val="16"/>
        </w:rPr>
        <w:t>Plataforma GC da UE (2018b), sítio Web.</w:t>
      </w:r>
    </w:p>
    <w:p>
      <w:pPr>
        <w:pStyle w:val="FootnoteText"/>
        <w:ind w:left="720" w:firstLine="0"/>
        <w:rPr>
          <w:rFonts w:ascii="Verdana" w:hAnsi="Verdana"/>
          <w:sz w:val="16"/>
          <w:szCs w:val="16"/>
        </w:rPr>
      </w:pPr>
      <w:hyperlink r:id="rId31" w:history="1">
        <w:r>
          <w:rPr>
            <w:rStyle w:val="Hyperlink"/>
            <w:rFonts w:ascii="Verdana" w:hAnsi="Verdana"/>
            <w:sz w:val="16"/>
            <w:szCs w:val="16"/>
          </w:rPr>
          <w:t>https://ec.europa.eu/environment/nature/conservation/species/carnivores/coexistence_platform.htm</w:t>
        </w:r>
      </w:hyperlink>
    </w:p>
  </w:footnote>
  <w:footnote w:id="117">
    <w:p>
      <w:pPr>
        <w:pStyle w:val="FootnoteText"/>
        <w:ind w:left="480" w:hanging="480"/>
        <w:rPr>
          <w:rFonts w:ascii="Verdana" w:hAnsi="Verdana"/>
          <w:sz w:val="16"/>
          <w:szCs w:val="16"/>
        </w:rPr>
      </w:pPr>
      <w:r>
        <w:rPr>
          <w:rFonts w:ascii="Verdana" w:hAnsi="Verdana"/>
          <w:sz w:val="16"/>
          <w:szCs w:val="16"/>
          <w:lang w:val="en-GB"/>
        </w:rPr>
        <w:footnoteRef/>
      </w:r>
      <w:r>
        <w:rPr>
          <w:rFonts w:ascii="Verdana" w:hAnsi="Verdana"/>
          <w:sz w:val="16"/>
          <w:szCs w:val="16"/>
        </w:rPr>
        <w:t xml:space="preserve"> </w:t>
      </w:r>
      <w:r>
        <w:rPr>
          <w:rFonts w:ascii="Verdana" w:hAnsi="Verdana"/>
          <w:sz w:val="16"/>
          <w:szCs w:val="16"/>
        </w:rPr>
        <w:tab/>
        <w:t xml:space="preserve">Comunicação da Comissão C(2018) 7621 final, Bruxelas, 21.11.2018, «Gestão dos sítios Natura 2000 — As disposições do artigo 6.º da Diretiva </w:t>
      </w:r>
      <w:r>
        <w:rPr>
          <w:rFonts w:ascii="Verdana" w:hAnsi="Verdana"/>
          <w:i/>
          <w:iCs/>
          <w:sz w:val="16"/>
          <w:szCs w:val="16"/>
        </w:rPr>
        <w:t>Habitats</w:t>
      </w:r>
      <w:r>
        <w:rPr>
          <w:rFonts w:ascii="Verdana" w:hAnsi="Verdana"/>
          <w:sz w:val="16"/>
          <w:szCs w:val="16"/>
        </w:rPr>
        <w:t xml:space="preserve"> (92/43/CEE)»,</w:t>
      </w:r>
    </w:p>
    <w:p>
      <w:pPr>
        <w:pStyle w:val="FootnoteText"/>
        <w:ind w:left="480" w:hanging="480"/>
        <w:rPr>
          <w:rFonts w:ascii="Verdana" w:hAnsi="Verdana"/>
          <w:sz w:val="16"/>
          <w:szCs w:val="16"/>
        </w:rPr>
      </w:pPr>
      <w:r>
        <w:tab/>
      </w:r>
      <w:hyperlink r:id="rId32" w:history="1">
        <w:r>
          <w:rPr>
            <w:rFonts w:ascii="Verdana" w:hAnsi="Verdana"/>
            <w:sz w:val="16"/>
            <w:szCs w:val="16"/>
          </w:rPr>
          <w:t>https://eur-lex.europa.eu/legal-content/PT/TXT/?qid=1548663172672&amp;uri=CELEX:52019XC0125(07)</w:t>
        </w:r>
      </w:hyperlink>
      <w:r>
        <w:rPr>
          <w:rFonts w:ascii="Verdana" w:hAnsi="Verdana"/>
          <w:sz w:val="16"/>
          <w:szCs w:val="16"/>
        </w:rPr>
        <w:t xml:space="preserve"> </w:t>
      </w:r>
    </w:p>
  </w:footnote>
  <w:footnote w:id="118">
    <w:p>
      <w:pPr>
        <w:pStyle w:val="FootnoteText"/>
        <w:ind w:left="720" w:hanging="720"/>
        <w:rPr>
          <w:rFonts w:ascii="Verdana" w:hAnsi="Verdana"/>
          <w:sz w:val="16"/>
          <w:szCs w:val="16"/>
        </w:rPr>
      </w:pPr>
      <w:r>
        <w:rPr>
          <w:rFonts w:ascii="Verdana" w:hAnsi="Verdana"/>
          <w:sz w:val="16"/>
          <w:szCs w:val="16"/>
          <w:lang w:val="en-GB"/>
        </w:rPr>
        <w:footnoteRef/>
      </w:r>
      <w:r>
        <w:rPr>
          <w:rFonts w:ascii="Verdana" w:hAnsi="Verdana"/>
          <w:sz w:val="16"/>
          <w:szCs w:val="16"/>
        </w:rPr>
        <w:tab/>
        <w:t xml:space="preserve">Ver também Linnell J., V. Salvatori e L. Boitani (2008). </w:t>
      </w:r>
      <w:r>
        <w:rPr>
          <w:rFonts w:ascii="Verdana" w:hAnsi="Verdana"/>
          <w:i/>
          <w:iCs/>
          <w:sz w:val="16"/>
          <w:szCs w:val="16"/>
          <w:lang w:val="en-GB"/>
        </w:rPr>
        <w:t>Guidelines for population level management plans for large carnivores in Europe</w:t>
      </w:r>
      <w:r>
        <w:rPr>
          <w:rFonts w:ascii="Verdana" w:hAnsi="Verdana"/>
          <w:sz w:val="16"/>
          <w:szCs w:val="16"/>
          <w:lang w:val="en-GB"/>
        </w:rPr>
        <w:t xml:space="preserve">. </w:t>
      </w:r>
      <w:r>
        <w:rPr>
          <w:rFonts w:ascii="Verdana" w:hAnsi="Verdana"/>
          <w:sz w:val="16"/>
          <w:szCs w:val="16"/>
        </w:rPr>
        <w:t>Relatório da Large Carnivore Initiative for Europe elaborado para a Comissão Europeia.</w:t>
      </w:r>
    </w:p>
  </w:footnote>
  <w:footnote w:id="119">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Ver: </w:t>
      </w:r>
      <w:hyperlink r:id="rId33" w:history="1">
        <w:r>
          <w:rPr>
            <w:rFonts w:ascii="Verdana" w:hAnsi="Verdana"/>
            <w:sz w:val="16"/>
            <w:szCs w:val="16"/>
          </w:rPr>
          <w:t>https://portals.iucn.org/library/efiles/documents/2013-009.pdf</w:t>
        </w:r>
      </w:hyperlink>
      <w:r>
        <w:rPr>
          <w:rFonts w:ascii="Verdana" w:hAnsi="Verdana"/>
          <w:sz w:val="16"/>
          <w:szCs w:val="16"/>
        </w:rPr>
        <w:t xml:space="preserve"> </w:t>
      </w:r>
    </w:p>
  </w:footnote>
  <w:footnote w:id="120">
    <w:p>
      <w:pPr>
        <w:pStyle w:val="FootnoteText"/>
        <w:ind w:left="480" w:hanging="48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Processo C-674/17, n.º 41.</w:t>
      </w:r>
    </w:p>
  </w:footnote>
  <w:footnote w:id="121">
    <w:p>
      <w:pPr>
        <w:pStyle w:val="FootnoteText"/>
        <w:ind w:left="480" w:hanging="480"/>
      </w:pPr>
      <w:r>
        <w:footnoteRef/>
      </w:r>
      <w:r>
        <w:t xml:space="preserve"> </w:t>
      </w:r>
      <w:r>
        <w:tab/>
      </w:r>
      <w:r>
        <w:rPr>
          <w:rFonts w:ascii="Verdana" w:hAnsi="Verdana"/>
          <w:sz w:val="16"/>
          <w:szCs w:val="16"/>
        </w:rPr>
        <w:t>Ver os n.</w:t>
      </w:r>
      <w:r>
        <w:rPr>
          <w:rFonts w:ascii="Verdana" w:hAnsi="Verdana"/>
          <w:sz w:val="16"/>
          <w:szCs w:val="16"/>
          <w:vertAlign w:val="superscript"/>
        </w:rPr>
        <w:t>os</w:t>
      </w:r>
      <w:r>
        <w:rPr>
          <w:rFonts w:ascii="Verdana" w:hAnsi="Verdana"/>
          <w:sz w:val="16"/>
          <w:szCs w:val="16"/>
        </w:rPr>
        <w:t> 34 a 37 do acórdão no processo C-674/17.</w:t>
      </w:r>
    </w:p>
  </w:footnote>
  <w:footnote w:id="122">
    <w:p>
      <w:pPr>
        <w:pStyle w:val="FootnoteText"/>
        <w:ind w:left="480" w:hanging="48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C-674/17, n.º 43.</w:t>
      </w:r>
    </w:p>
  </w:footnote>
  <w:footnote w:id="123">
    <w:p>
      <w:pPr>
        <w:pStyle w:val="FootnoteText"/>
        <w:ind w:left="480" w:hanging="48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C-674/17, n.º 45.</w:t>
      </w:r>
    </w:p>
  </w:footnote>
  <w:footnote w:id="124">
    <w:p>
      <w:pPr>
        <w:pStyle w:val="FootnoteText"/>
        <w:ind w:left="480" w:hanging="480"/>
      </w:pPr>
      <w:r>
        <w:footnoteRef/>
      </w:r>
      <w:r>
        <w:t xml:space="preserve"> </w:t>
      </w:r>
      <w:r>
        <w:tab/>
      </w:r>
      <w:r>
        <w:rPr>
          <w:rFonts w:ascii="Verdana" w:hAnsi="Verdana"/>
          <w:sz w:val="16"/>
          <w:szCs w:val="16"/>
        </w:rPr>
        <w:t>C-674/17, n.º 48.</w:t>
      </w:r>
    </w:p>
  </w:footnote>
  <w:footnote w:id="125">
    <w:p>
      <w:pPr>
        <w:pStyle w:val="FootnoteText"/>
        <w:ind w:left="480" w:hanging="480"/>
      </w:pPr>
      <w:r>
        <w:footnoteRef/>
      </w:r>
      <w:r>
        <w:t xml:space="preserve"> </w:t>
      </w:r>
      <w:r>
        <w:tab/>
      </w:r>
      <w:r>
        <w:rPr>
          <w:rFonts w:ascii="Verdana" w:hAnsi="Verdana"/>
          <w:sz w:val="16"/>
          <w:szCs w:val="16"/>
        </w:rPr>
        <w:t>Ver o n.º 35 do acórdão no processo C-674/17.</w:t>
      </w:r>
    </w:p>
  </w:footnote>
  <w:footnote w:id="126">
    <w:p>
      <w:pPr>
        <w:pStyle w:val="FootnoteText"/>
        <w:ind w:left="360" w:hanging="360"/>
        <w:rPr>
          <w:rFonts w:ascii="Verdana" w:hAnsi="Verdana"/>
          <w:sz w:val="16"/>
          <w:szCs w:val="16"/>
        </w:rPr>
      </w:pPr>
      <w:r>
        <w:rPr>
          <w:rFonts w:ascii="Verdana" w:hAnsi="Verdana"/>
          <w:sz w:val="16"/>
          <w:szCs w:val="16"/>
        </w:rPr>
        <w:footnoteRef/>
      </w:r>
      <w:r>
        <w:rPr>
          <w:rFonts w:ascii="Verdana" w:hAnsi="Verdana"/>
          <w:sz w:val="16"/>
          <w:szCs w:val="16"/>
        </w:rPr>
        <w:tab/>
        <w:t>Num processo relativo à disposição comparável do artigo 9.º da Diretiva Aves (2009/147/CE) (acórdão de 27 de abril de 1988 no processo C-252/85, Comissão/França, ECLI:EU:C:1988:202), o Tribunal de Justiça declarou que: «decorre, além do mais, do artigo 2.º conjugado com o décimo primeiro considerando da diretiva que o critério das pequenas quantidades não tem caráter absoluto referindo-se à manutenção da população total e à situação reprodutiva da espécie em causa». </w:t>
      </w:r>
    </w:p>
  </w:footnote>
  <w:footnote w:id="127">
    <w:p>
      <w:pPr>
        <w:pStyle w:val="FootnoteText"/>
        <w:ind w:left="480" w:hanging="48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C-674/17, n.º 72. Ver também os acórdãos de 8 de junho de 2006, WWF Italia e outros, C‑60/05, EU:C:2006:378, n.</w:t>
      </w:r>
      <w:r>
        <w:rPr>
          <w:rFonts w:ascii="Verdana" w:hAnsi="Verdana"/>
          <w:sz w:val="16"/>
          <w:szCs w:val="16"/>
          <w:vertAlign w:val="superscript"/>
        </w:rPr>
        <w:t>os</w:t>
      </w:r>
      <w:r>
        <w:rPr>
          <w:rFonts w:ascii="Verdana" w:hAnsi="Verdana"/>
          <w:sz w:val="16"/>
          <w:szCs w:val="16"/>
        </w:rPr>
        <w:t> 25 e 29, e de 21 de junho de 2018, Comissão/Malta, C‑557/15, EU:C:2018:477, n.º 62, no contexto do artigo 9.º da Diretiva Aves (2009/147/CE).</w:t>
      </w:r>
    </w:p>
  </w:footnote>
  <w:footnote w:id="128">
    <w:p>
      <w:pPr>
        <w:pStyle w:val="FootnoteText"/>
        <w:ind w:left="480" w:hanging="48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C-674/17, n.</w:t>
      </w:r>
      <w:r>
        <w:rPr>
          <w:rFonts w:ascii="Verdana" w:hAnsi="Verdana"/>
          <w:sz w:val="16"/>
          <w:szCs w:val="16"/>
          <w:vertAlign w:val="superscript"/>
        </w:rPr>
        <w:t>os</w:t>
      </w:r>
      <w:r>
        <w:rPr>
          <w:rFonts w:ascii="Verdana" w:hAnsi="Verdana"/>
          <w:sz w:val="16"/>
          <w:szCs w:val="16"/>
        </w:rPr>
        <w:t> 70 a 72.</w:t>
      </w:r>
    </w:p>
  </w:footnote>
  <w:footnote w:id="129">
    <w:p>
      <w:pPr>
        <w:pStyle w:val="FootnoteText"/>
        <w:ind w:left="480" w:hanging="480"/>
        <w:rPr>
          <w:rFonts w:ascii="Verdana" w:hAnsi="Verdana"/>
          <w:sz w:val="16"/>
          <w:szCs w:val="16"/>
        </w:rPr>
      </w:pPr>
      <w:r>
        <w:rPr>
          <w:rFonts w:ascii="Verdana" w:hAnsi="Verdana"/>
          <w:sz w:val="16"/>
          <w:szCs w:val="16"/>
          <w:lang w:val="en-GB"/>
        </w:rPr>
        <w:footnoteRef/>
      </w:r>
      <w:r>
        <w:rPr>
          <w:rFonts w:ascii="Verdana" w:hAnsi="Verdana"/>
          <w:sz w:val="16"/>
          <w:szCs w:val="16"/>
        </w:rPr>
        <w:tab/>
        <w:t xml:space="preserve">Isto é também coerente com as indicações fornecidas no </w:t>
      </w:r>
      <w:r>
        <w:rPr>
          <w:rFonts w:ascii="Verdana" w:hAnsi="Verdana"/>
          <w:bCs/>
          <w:sz w:val="16"/>
          <w:szCs w:val="16"/>
        </w:rPr>
        <w:t>Documento de orientação sobre a caça no âmbito da Diretiva 79/409/CEE do Conselho relativa à conservação das aves selvagens para a definição de «pequenas quantidades». O documento de orientação considera que «pequenas quantidades» deve ser um número muito inferior aos números característicos da captura nos termos do artigo 7.º e ainda mais baixo para as espécies que não podem ser caçadas.</w:t>
      </w:r>
    </w:p>
  </w:footnote>
  <w:footnote w:id="130">
    <w:p>
      <w:pPr>
        <w:pStyle w:val="FootnoteText"/>
        <w:ind w:left="480" w:hanging="48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Acórdão de 8 de junho de 2006 no processo C-60/05, Comissão/Itália, ECLI:EU:C:2006:378.</w:t>
      </w:r>
    </w:p>
  </w:footnote>
  <w:footnote w:id="131">
    <w:p>
      <w:pPr>
        <w:pStyle w:val="FootnoteText"/>
        <w:ind w:left="480" w:hanging="480"/>
      </w:pPr>
      <w:r>
        <w:footnoteRef/>
      </w:r>
      <w:r>
        <w:t xml:space="preserve"> </w:t>
      </w:r>
      <w:r>
        <w:tab/>
      </w:r>
      <w:r>
        <w:rPr>
          <w:rFonts w:ascii="Verdana" w:hAnsi="Verdana"/>
          <w:sz w:val="16"/>
          <w:szCs w:val="16"/>
        </w:rPr>
        <w:t>Processo C-674/17, n.º 73.</w:t>
      </w:r>
    </w:p>
  </w:footnote>
  <w:footnote w:id="132">
    <w:p>
      <w:pPr>
        <w:pStyle w:val="FootnoteText"/>
        <w:ind w:left="480" w:hanging="480"/>
      </w:pPr>
      <w:r>
        <w:footnoteRef/>
      </w:r>
      <w:r>
        <w:t xml:space="preserve"> </w:t>
      </w:r>
      <w:r>
        <w:tab/>
      </w:r>
      <w:r>
        <w:rPr>
          <w:rFonts w:ascii="Verdana" w:hAnsi="Verdana"/>
          <w:sz w:val="16"/>
          <w:szCs w:val="16"/>
        </w:rPr>
        <w:t>Processo C-674/17, n.º 74.</w:t>
      </w:r>
    </w:p>
  </w:footnote>
  <w:footnote w:id="13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Processo C-10/96, Ligue royale belge pour la protection des oiseaux ASBL e Société d’études ornithologiques AVES ASBL/Região da Valónia; acórdão de 16 de Outubro de 2003 no processo C-182/02, Ligue pour la protection des oiseaux e outros/Premier ministre e Ministre de l'Aménagement du territoire et de l'Environnement, ECLI:EU:C:2003:558.</w:t>
      </w:r>
    </w:p>
  </w:footnote>
  <w:footnote w:id="134">
    <w:p>
      <w:pPr>
        <w:pStyle w:val="FootnoteText"/>
        <w:ind w:left="480" w:hanging="480"/>
      </w:pPr>
      <w:r>
        <w:footnoteRef/>
      </w:r>
      <w:r>
        <w:t xml:space="preserve"> </w:t>
      </w:r>
      <w:r>
        <w:tab/>
      </w:r>
      <w:r>
        <w:rPr>
          <w:rFonts w:ascii="Verdana" w:hAnsi="Verdana"/>
          <w:sz w:val="16"/>
        </w:rPr>
        <w:t>C-674/17, n.º 51.</w:t>
      </w:r>
    </w:p>
  </w:footnote>
  <w:footnote w:id="135">
    <w:p>
      <w:pPr>
        <w:pStyle w:val="FootnoteText"/>
        <w:ind w:left="480" w:hanging="480"/>
        <w:rPr>
          <w:rFonts w:ascii="Verdana" w:hAnsi="Verdana"/>
          <w:sz w:val="16"/>
        </w:rPr>
      </w:pPr>
      <w:r>
        <w:rPr>
          <w:rFonts w:ascii="Verdana" w:hAnsi="Verdana"/>
          <w:sz w:val="16"/>
        </w:rPr>
        <w:footnoteRef/>
      </w:r>
      <w:r>
        <w:rPr>
          <w:rFonts w:ascii="Verdana" w:hAnsi="Verdana"/>
          <w:sz w:val="16"/>
        </w:rPr>
        <w:t xml:space="preserve"> </w:t>
      </w:r>
      <w:r>
        <w:rPr>
          <w:rFonts w:ascii="Verdana" w:hAnsi="Verdana"/>
          <w:sz w:val="16"/>
        </w:rPr>
        <w:tab/>
        <w:t>C-674/17, n.º 48.</w:t>
      </w:r>
    </w:p>
  </w:footnote>
  <w:footnote w:id="136">
    <w:p>
      <w:pPr>
        <w:pStyle w:val="FootnoteText"/>
        <w:ind w:left="720" w:hanging="720"/>
        <w:rPr>
          <w:rFonts w:ascii="Verdana" w:eastAsia="Calibri"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 xml:space="preserve">Ver, a título de exemplo, o princípio da proporcionalidade no contexto do artigo 6.º, Comunicação da Comissão C(2018) 7621 final, «Gestão dos sítios Natura 2000 — As disposições do artigo 6.º da Diretiva </w:t>
      </w:r>
      <w:r>
        <w:rPr>
          <w:rFonts w:ascii="Verdana" w:hAnsi="Verdana"/>
          <w:i/>
          <w:iCs/>
          <w:sz w:val="16"/>
          <w:szCs w:val="16"/>
        </w:rPr>
        <w:t>Habitats</w:t>
      </w:r>
      <w:r>
        <w:rPr>
          <w:rFonts w:ascii="Verdana" w:hAnsi="Verdana"/>
          <w:sz w:val="16"/>
          <w:szCs w:val="16"/>
        </w:rPr>
        <w:t xml:space="preserve"> (92/43/CEE)», p. 55.</w:t>
      </w:r>
    </w:p>
    <w:p>
      <w:pPr>
        <w:pStyle w:val="FootnoteText"/>
        <w:ind w:left="600" w:firstLine="120"/>
        <w:rPr>
          <w:rFonts w:ascii="Verdana" w:hAnsi="Verdana"/>
          <w:sz w:val="16"/>
          <w:szCs w:val="16"/>
        </w:rPr>
      </w:pPr>
      <w:r>
        <w:rPr>
          <w:rFonts w:ascii="Verdana" w:hAnsi="Verdana"/>
          <w:sz w:val="16"/>
          <w:szCs w:val="16"/>
        </w:rPr>
        <w:t xml:space="preserve">https://eur-lex.europa.eu/legal-content/PT/TXT/?qid=1548663172672&amp;uri=CELEX:52019XC0125(07) </w:t>
      </w:r>
    </w:p>
  </w:footnote>
  <w:footnote w:id="137">
    <w:p>
      <w:pPr>
        <w:pStyle w:val="FootnoteText"/>
        <w:ind w:left="720" w:hanging="720"/>
        <w:rPr>
          <w:rFonts w:ascii="Verdana" w:hAnsi="Verdana"/>
          <w:sz w:val="16"/>
          <w:szCs w:val="16"/>
        </w:rPr>
      </w:pPr>
      <w:r>
        <w:rPr>
          <w:rFonts w:ascii="Verdana" w:hAnsi="Verdana"/>
          <w:sz w:val="16"/>
          <w:szCs w:val="16"/>
          <w:lang w:val="en-GB"/>
        </w:rPr>
        <w:footnoteRef/>
      </w:r>
      <w:r>
        <w:rPr>
          <w:rFonts w:ascii="Verdana" w:hAnsi="Verdana"/>
          <w:sz w:val="16"/>
          <w:szCs w:val="16"/>
        </w:rPr>
        <w:tab/>
        <w:t>Ver o n.º 33 das conclusões do advogado-geral no processo C-10/96.</w:t>
      </w:r>
    </w:p>
  </w:footnote>
  <w:footnote w:id="138">
    <w:p>
      <w:pPr>
        <w:pStyle w:val="FootnoteText"/>
        <w:ind w:left="720" w:hanging="72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Segundo o advogado-geral no processo C-10/96, este termo «pode ser interpretado como significando uma solução que resolve um problema específico com que se defrontam as autoridades nacionais e que, ao mesmo tempo, respeita, o mais possível, as proibições enunciadas pela diretiva; só se pode autorizar uma derrogação quando não puder ser adotada qualquer outra solução que não envolva o afastamento dessas proibições».</w:t>
      </w:r>
    </w:p>
  </w:footnote>
  <w:footnote w:id="139">
    <w:p>
      <w:pPr>
        <w:pStyle w:val="FootnoteText"/>
        <w:ind w:left="240" w:hanging="240"/>
        <w:rPr>
          <w:rFonts w:ascii="Verdana" w:hAnsi="Verdana"/>
          <w:sz w:val="16"/>
          <w:szCs w:val="16"/>
        </w:rPr>
      </w:pPr>
      <w:r>
        <w:rPr>
          <w:rFonts w:ascii="Verdana" w:hAnsi="Verdana"/>
          <w:sz w:val="16"/>
          <w:szCs w:val="16"/>
        </w:rPr>
        <w:footnoteRef/>
      </w:r>
      <w:r>
        <w:rPr>
          <w:rFonts w:ascii="Verdana" w:hAnsi="Verdana"/>
          <w:sz w:val="16"/>
          <w:szCs w:val="16"/>
        </w:rPr>
        <w:tab/>
        <w:t>Ver os n.</w:t>
      </w:r>
      <w:r>
        <w:rPr>
          <w:rFonts w:ascii="Verdana" w:hAnsi="Verdana"/>
          <w:sz w:val="16"/>
          <w:szCs w:val="16"/>
          <w:vertAlign w:val="superscript"/>
        </w:rPr>
        <w:t>os</w:t>
      </w:r>
      <w:r>
        <w:rPr>
          <w:rFonts w:ascii="Verdana" w:hAnsi="Verdana"/>
          <w:sz w:val="16"/>
          <w:szCs w:val="16"/>
        </w:rPr>
        <w:t> 24 a 27 das conclusões do advogado-geral no processo C-342/05.</w:t>
      </w:r>
    </w:p>
  </w:footnote>
  <w:footnote w:id="140">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Ver também o n.º 39 das conclusões do advogado-geral no processo C-10/96.</w:t>
      </w:r>
    </w:p>
  </w:footnote>
  <w:footnote w:id="141">
    <w:p>
      <w:pPr>
        <w:pStyle w:val="FootnoteText"/>
        <w:ind w:left="720" w:hanging="720"/>
        <w:rPr>
          <w:rFonts w:ascii="Verdana" w:hAnsi="Verdana"/>
          <w:sz w:val="16"/>
          <w:szCs w:val="16"/>
        </w:rPr>
      </w:pPr>
      <w:r>
        <w:rPr>
          <w:rFonts w:ascii="Verdana" w:hAnsi="Verdana"/>
          <w:sz w:val="16"/>
          <w:szCs w:val="16"/>
          <w:lang w:val="en-GB"/>
        </w:rPr>
        <w:footnoteRef/>
      </w:r>
      <w:r>
        <w:rPr>
          <w:rFonts w:ascii="Verdana" w:hAnsi="Verdana"/>
          <w:sz w:val="16"/>
          <w:szCs w:val="16"/>
        </w:rPr>
        <w:tab/>
        <w:t>Processo C-182/02, Ligue pour la protection des oiseaux e outros/Premier ministre e Ministre de l'Aménagement du territoire et de l'Environnement, n.º 16.</w:t>
      </w:r>
    </w:p>
  </w:footnote>
  <w:footnote w:id="142">
    <w:p>
      <w:pPr>
        <w:pStyle w:val="FootnoteText"/>
        <w:ind w:left="720" w:hanging="720"/>
        <w:rPr>
          <w:rFonts w:ascii="Verdana" w:hAnsi="Verdana"/>
          <w:sz w:val="16"/>
          <w:szCs w:val="16"/>
        </w:rPr>
      </w:pPr>
      <w:r>
        <w:rPr>
          <w:rFonts w:ascii="Verdana" w:hAnsi="Verdana"/>
          <w:sz w:val="16"/>
          <w:szCs w:val="16"/>
          <w:lang w:val="en-GB"/>
        </w:rPr>
        <w:footnoteRef/>
      </w:r>
      <w:r>
        <w:rPr>
          <w:rFonts w:ascii="Verdana" w:hAnsi="Verdana"/>
          <w:sz w:val="16"/>
          <w:szCs w:val="16"/>
        </w:rPr>
        <w:tab/>
        <w:t>Ver também o acórdão de 15 de dezembro de 2005 no processo C-344/03, Comissão/Finlândia, ECLI:EU:C:2005:770, n.</w:t>
      </w:r>
      <w:r>
        <w:rPr>
          <w:rFonts w:ascii="Verdana" w:hAnsi="Verdana"/>
          <w:sz w:val="16"/>
          <w:szCs w:val="16"/>
          <w:vertAlign w:val="superscript"/>
        </w:rPr>
        <w:t>os</w:t>
      </w:r>
      <w:r>
        <w:rPr>
          <w:rFonts w:ascii="Verdana" w:hAnsi="Verdana"/>
          <w:sz w:val="16"/>
          <w:szCs w:val="16"/>
        </w:rPr>
        <w:t> 18 a 46.</w:t>
      </w:r>
    </w:p>
  </w:footnote>
  <w:footnote w:id="143">
    <w:p>
      <w:pPr>
        <w:pStyle w:val="FootnoteText"/>
        <w:ind w:left="720" w:hanging="720"/>
        <w:rPr>
          <w:rFonts w:ascii="Verdana" w:hAnsi="Verdana"/>
          <w:sz w:val="16"/>
          <w:szCs w:val="16"/>
        </w:rPr>
      </w:pPr>
      <w:r>
        <w:rPr>
          <w:rFonts w:ascii="Verdana" w:hAnsi="Verdana"/>
          <w:sz w:val="16"/>
          <w:szCs w:val="16"/>
        </w:rPr>
        <w:footnoteRef/>
      </w:r>
      <w:r>
        <w:rPr>
          <w:rFonts w:ascii="Verdana" w:hAnsi="Verdana"/>
          <w:sz w:val="16"/>
          <w:szCs w:val="16"/>
        </w:rPr>
        <w:tab/>
        <w:t>Acórdão de 9 de dezembro de 2004 no processo C-79/03, Comissão/Espanha, ECLI:EU:C:2004:782, n.º 27. Ver também as conclusões do advogado-geral apresentadas em 7 de novembro de 1996 no processo C-10/96, ECLI:EU:C:1996:430, n.º 36: «o artigo 9.º só admite uma derrogação “se não existir outra solução satisfatória”, e não se a aplicação de uma proibição se limitar a causar alguns inconvenientes aos afetados ou exigir que estes alterem os seus hábitos». «[É] próprio da proteção do ambiente que algumas categorias de pessoas sejam obrigadas a alterar o seu comportamento em benefício de um bem geral; neste caso, a abolição, como consequência da diretiva, da “tenderie” ou da “captura de aves para efeitos recreativos”». «Que essas atividades possam ser “ancestrais” não basta para justificar uma derrogação à diretiva</w:t>
      </w:r>
      <w:r>
        <w:rPr>
          <w:rFonts w:ascii="Verdana" w:hAnsi="Verdana"/>
          <w:i/>
          <w:sz w:val="16"/>
          <w:szCs w:val="16"/>
        </w:rPr>
        <w:t>»</w:t>
      </w:r>
      <w:r>
        <w:rPr>
          <w:rFonts w:ascii="Verdana" w:hAnsi="Verdana"/>
          <w:sz w:val="16"/>
          <w:szCs w:val="16"/>
        </w:rPr>
        <w:t>.</w:t>
      </w:r>
    </w:p>
  </w:footnote>
  <w:footnote w:id="144">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Ver os n.</w:t>
      </w:r>
      <w:r>
        <w:rPr>
          <w:rFonts w:ascii="Verdana" w:hAnsi="Verdana"/>
          <w:sz w:val="16"/>
          <w:szCs w:val="16"/>
          <w:vertAlign w:val="superscript"/>
        </w:rPr>
        <w:t>os</w:t>
      </w:r>
      <w:r>
        <w:rPr>
          <w:rFonts w:ascii="Verdana" w:hAnsi="Verdana"/>
          <w:sz w:val="16"/>
          <w:szCs w:val="16"/>
        </w:rPr>
        <w:t> 21, 22, 26 e 27 do acórdão.</w:t>
      </w:r>
    </w:p>
  </w:footnote>
  <w:footnote w:id="145">
    <w:p>
      <w:pPr>
        <w:pStyle w:val="FootnoteText"/>
        <w:ind w:left="720" w:hanging="720"/>
        <w:rPr>
          <w:rFonts w:ascii="Verdana" w:hAnsi="Verdana"/>
          <w:sz w:val="16"/>
          <w:szCs w:val="16"/>
        </w:rPr>
      </w:pPr>
      <w:r>
        <w:rPr>
          <w:rFonts w:ascii="Verdana" w:hAnsi="Verdana"/>
          <w:sz w:val="16"/>
          <w:szCs w:val="16"/>
          <w:lang w:val="en-GB"/>
        </w:rPr>
        <w:footnoteRef/>
      </w:r>
      <w:r>
        <w:rPr>
          <w:rFonts w:ascii="Verdana" w:hAnsi="Verdana"/>
          <w:sz w:val="16"/>
          <w:szCs w:val="16"/>
        </w:rPr>
        <w:tab/>
        <w:t>Processo C-10/96, Ligue royale belge pour la protection des oiseaux ASBL e Société d'études ornithologiques AVES ASBL/Região da Valónia.</w:t>
      </w:r>
    </w:p>
  </w:footnote>
  <w:footnote w:id="146">
    <w:p>
      <w:pPr>
        <w:pStyle w:val="FootnoteText"/>
        <w:ind w:left="720" w:hanging="720"/>
        <w:rPr>
          <w:rFonts w:ascii="Verdana" w:hAnsi="Verdana"/>
          <w:sz w:val="16"/>
          <w:szCs w:val="16"/>
        </w:rPr>
      </w:pPr>
      <w:r>
        <w:rPr>
          <w:rFonts w:ascii="Verdana" w:hAnsi="Verdana"/>
          <w:sz w:val="16"/>
          <w:szCs w:val="16"/>
        </w:rPr>
        <w:footnoteRef/>
      </w:r>
      <w:r>
        <w:rPr>
          <w:rFonts w:ascii="Verdana" w:hAnsi="Verdana"/>
          <w:sz w:val="16"/>
          <w:szCs w:val="16"/>
        </w:rPr>
        <w:tab/>
        <w:t>Em conformidade com o ponto 3.4.</w:t>
      </w:r>
      <w:r>
        <w:rPr>
          <w:rFonts w:ascii="Verdana" w:hAnsi="Verdana"/>
          <w:bCs/>
          <w:sz w:val="16"/>
          <w:szCs w:val="16"/>
        </w:rPr>
        <w:t>12 do Documento de orientação sobre a caça no âmbito da Diretiva 79/409/CEE do Conselho relativa à conservação das aves selvagens.</w:t>
      </w:r>
    </w:p>
  </w:footnote>
  <w:footnote w:id="147">
    <w:p>
      <w:pPr>
        <w:pStyle w:val="FootnoteText"/>
        <w:ind w:left="720" w:hanging="72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Para as definições de «área de repartição» e «população», consultar também o documento intitulado «Reporting under Article 17 of the Habitats Directive — Explanatory Notes and Guidelines» [notas explicativas e orientações para a elaboração dos relatórios previstos no artigo 17.º], relativo ao período de 2013–2018, p. 29f.</w:t>
      </w:r>
    </w:p>
    <w:p>
      <w:pPr>
        <w:pStyle w:val="FootnoteText"/>
        <w:ind w:firstLine="0"/>
        <w:rPr>
          <w:rFonts w:ascii="Verdana" w:hAnsi="Verdana"/>
          <w:color w:val="0000FF"/>
          <w:sz w:val="16"/>
          <w:szCs w:val="16"/>
          <w:u w:val="single"/>
        </w:rPr>
      </w:pPr>
      <w:r>
        <w:tab/>
      </w:r>
      <w:hyperlink r:id="rId34" w:history="1">
        <w:r>
          <w:rPr>
            <w:rStyle w:val="Hyperlink"/>
            <w:rFonts w:ascii="Verdana" w:hAnsi="Verdana"/>
            <w:sz w:val="16"/>
            <w:szCs w:val="16"/>
          </w:rPr>
          <w:t>https://cdr.eionet.europa.eu/help/habitats_art17</w:t>
        </w:r>
      </w:hyperlink>
    </w:p>
  </w:footnote>
  <w:footnote w:id="148">
    <w:p>
      <w:pPr>
        <w:pStyle w:val="FootnoteText"/>
        <w:ind w:left="720" w:hanging="720"/>
        <w:rPr>
          <w:rFonts w:ascii="Verdana" w:hAnsi="Verdana"/>
          <w:sz w:val="16"/>
          <w:szCs w:val="16"/>
        </w:rPr>
      </w:pPr>
      <w:r>
        <w:rPr>
          <w:rFonts w:ascii="Verdana" w:hAnsi="Verdana"/>
          <w:sz w:val="16"/>
          <w:szCs w:val="16"/>
          <w:lang w:val="en-GB"/>
        </w:rPr>
        <w:footnoteRef/>
      </w:r>
      <w:r>
        <w:rPr>
          <w:rFonts w:ascii="Verdana" w:hAnsi="Verdana"/>
          <w:sz w:val="16"/>
          <w:szCs w:val="16"/>
        </w:rPr>
        <w:tab/>
        <w:t>Relativamente às espécies com populações transfronteiriças ou espécies que migram atravessando as fronteiras da UE, a área de repartição natural global destas espécies deve ser considerada sempre que possível ou viável.</w:t>
      </w:r>
    </w:p>
  </w:footnote>
  <w:footnote w:id="149">
    <w:p>
      <w:pPr>
        <w:pStyle w:val="FootnoteText"/>
        <w:ind w:left="720" w:hanging="720"/>
        <w:rPr>
          <w:rFonts w:ascii="Verdana" w:hAnsi="Verdana"/>
          <w:sz w:val="16"/>
          <w:szCs w:val="16"/>
        </w:rPr>
      </w:pPr>
      <w:r>
        <w:rPr>
          <w:rFonts w:ascii="Verdana" w:hAnsi="Verdana"/>
          <w:sz w:val="16"/>
          <w:szCs w:val="16"/>
          <w:lang w:val="en-GB"/>
        </w:rPr>
        <w:footnoteRef/>
      </w:r>
      <w:r>
        <w:rPr>
          <w:rFonts w:ascii="Verdana" w:hAnsi="Verdana"/>
          <w:sz w:val="16"/>
          <w:szCs w:val="16"/>
        </w:rPr>
        <w:tab/>
        <w:t xml:space="preserve">Uma metapopulação consiste num grupo de populações da mesma espécie separadas espacialmente que interagem a determinado nível. O termo «metapopulação» foi cunhado por Richard Levins em 1969 para descrever um modelo de dinâmica das populações de insetos-praga em campos agrícolas, mas a ideia tem sido mais vastamente aplicada a espécies em </w:t>
      </w:r>
      <w:r>
        <w:rPr>
          <w:rFonts w:ascii="Verdana" w:hAnsi="Verdana"/>
          <w:i/>
          <w:iCs/>
          <w:sz w:val="16"/>
          <w:szCs w:val="16"/>
        </w:rPr>
        <w:t>habitats</w:t>
      </w:r>
      <w:r>
        <w:rPr>
          <w:rFonts w:ascii="Verdana" w:hAnsi="Verdana"/>
          <w:sz w:val="16"/>
          <w:szCs w:val="16"/>
        </w:rPr>
        <w:t xml:space="preserve"> fragmentados de forma natural ou artificial.</w:t>
      </w:r>
    </w:p>
  </w:footnote>
  <w:footnote w:id="150">
    <w:p>
      <w:pPr>
        <w:pStyle w:val="FootnoteText"/>
        <w:ind w:left="720" w:hanging="720"/>
        <w:rPr>
          <w:rFonts w:ascii="Verdana" w:hAnsi="Verdana"/>
          <w:sz w:val="16"/>
          <w:szCs w:val="16"/>
        </w:rPr>
      </w:pPr>
      <w:r>
        <w:rPr>
          <w:rFonts w:ascii="Verdana" w:hAnsi="Verdana"/>
          <w:sz w:val="16"/>
          <w:szCs w:val="16"/>
          <w:lang w:val="en-GB"/>
        </w:rPr>
        <w:footnoteRef/>
      </w:r>
      <w:r>
        <w:rPr>
          <w:rFonts w:ascii="Verdana" w:hAnsi="Verdana"/>
          <w:sz w:val="16"/>
          <w:szCs w:val="16"/>
        </w:rPr>
        <w:tab/>
        <w:t>Ver, em especial: processo C-247/85, Comissão/Bélgica, n.º 7; acórdão de 8 de julho de 1987 no processo C-262/85, Comissão/Itália, n.º 7; processo C-118/94, WWF Italy/Regione Veneto, n.º 21; C-674/17, n.º 41.</w:t>
      </w:r>
    </w:p>
  </w:footnote>
  <w:footnote w:id="151">
    <w:p>
      <w:pPr>
        <w:pStyle w:val="FootnoteText"/>
      </w:pPr>
      <w:r>
        <w:footnoteRef/>
      </w:r>
      <w:r>
        <w:t xml:space="preserve"> </w:t>
      </w:r>
      <w:r>
        <w:rPr>
          <w:rFonts w:ascii="Verdana" w:hAnsi="Verdana"/>
          <w:sz w:val="16"/>
          <w:szCs w:val="16"/>
        </w:rPr>
        <w:t>C-674/17, n.º 59.</w:t>
      </w:r>
    </w:p>
  </w:footnote>
  <w:footnote w:id="152">
    <w:p>
      <w:pPr>
        <w:pStyle w:val="FootnoteText"/>
      </w:pPr>
      <w:r>
        <w:footnoteRef/>
      </w:r>
      <w:r>
        <w:t xml:space="preserve"> </w:t>
      </w:r>
      <w:r>
        <w:rPr>
          <w:rFonts w:ascii="Verdana" w:hAnsi="Verdana"/>
          <w:sz w:val="16"/>
          <w:szCs w:val="16"/>
        </w:rPr>
        <w:t>C-674/17, n.º 61.</w:t>
      </w:r>
    </w:p>
  </w:footnote>
  <w:footnote w:id="153">
    <w:p>
      <w:pPr>
        <w:pStyle w:val="FootnoteText"/>
      </w:pPr>
      <w:r>
        <w:footnoteRef/>
      </w:r>
      <w:r>
        <w:t xml:space="preserve"> </w:t>
      </w:r>
      <w:r>
        <w:rPr>
          <w:rFonts w:ascii="Verdana" w:hAnsi="Verdana"/>
          <w:sz w:val="16"/>
          <w:szCs w:val="16"/>
        </w:rPr>
        <w:t>C-674/17, n.º 60.</w:t>
      </w:r>
    </w:p>
  </w:footnote>
  <w:footnote w:id="154">
    <w:p>
      <w:pPr>
        <w:pStyle w:val="FootnoteText"/>
      </w:pPr>
      <w:r>
        <w:rPr>
          <w:rFonts w:ascii="Verdana" w:hAnsi="Verdana"/>
          <w:sz w:val="16"/>
          <w:szCs w:val="16"/>
          <w:lang w:val="en-GB"/>
        </w:rPr>
        <w:footnoteRef/>
      </w:r>
      <w:r>
        <w:rPr>
          <w:rFonts w:ascii="Verdana" w:hAnsi="Verdana"/>
          <w:sz w:val="16"/>
          <w:szCs w:val="16"/>
        </w:rPr>
        <w:tab/>
        <w:t xml:space="preserve">Ver, em especial: acórdão de 10 de maio de 2007 no processo C-508/04, Comissão/Áustria, n.º 115, e acórdão de 14 de junho de 2007 no processo 342/05, Comissão/Finlândia, </w:t>
      </w:r>
      <w:r>
        <w:rPr>
          <w:rStyle w:val="outputecliaff"/>
          <w:rFonts w:ascii="Verdana" w:hAnsi="Verdana"/>
          <w:sz w:val="16"/>
          <w:szCs w:val="16"/>
        </w:rPr>
        <w:t>n.º 28.</w:t>
      </w:r>
    </w:p>
  </w:footnote>
  <w:footnote w:id="155">
    <w:p>
      <w:pPr>
        <w:pStyle w:val="FootnoteText"/>
        <w:ind w:left="720" w:hanging="720"/>
      </w:pPr>
      <w:r>
        <w:rPr>
          <w:rFonts w:ascii="Verdana" w:hAnsi="Verdana"/>
          <w:sz w:val="16"/>
          <w:szCs w:val="16"/>
          <w:lang w:val="en-GB"/>
        </w:rPr>
        <w:footnoteRef/>
      </w:r>
      <w:r>
        <w:rPr>
          <w:rFonts w:ascii="Verdana" w:hAnsi="Verdana"/>
          <w:sz w:val="16"/>
          <w:szCs w:val="16"/>
        </w:rPr>
        <w:tab/>
        <w:t xml:space="preserve">Ver, em especial: processo C-508/04, Comissão/Áustria, n.º 115, e processo C-342/05, Comissão/Finlândia, </w:t>
      </w:r>
      <w:r>
        <w:rPr>
          <w:rStyle w:val="outputecliaff"/>
          <w:rFonts w:ascii="Verdana" w:hAnsi="Verdana"/>
          <w:sz w:val="16"/>
          <w:szCs w:val="16"/>
        </w:rPr>
        <w:t>n.º 28.</w:t>
      </w:r>
    </w:p>
  </w:footnote>
  <w:footnote w:id="156">
    <w:p>
      <w:pPr>
        <w:pStyle w:val="FootnoteText"/>
        <w:ind w:left="720" w:hanging="720"/>
        <w:rPr>
          <w:rFonts w:ascii="Verdana" w:hAnsi="Verdana"/>
          <w:sz w:val="16"/>
          <w:szCs w:val="16"/>
        </w:rPr>
      </w:pPr>
      <w:r>
        <w:rPr>
          <w:rFonts w:ascii="Verdana" w:hAnsi="Verdana"/>
          <w:sz w:val="16"/>
          <w:szCs w:val="16"/>
        </w:rPr>
        <w:footnoteRef/>
      </w:r>
      <w:r>
        <w:rPr>
          <w:rFonts w:ascii="Verdana" w:hAnsi="Verdana"/>
          <w:sz w:val="16"/>
          <w:szCs w:val="16"/>
        </w:rPr>
        <w:tab/>
        <w:t>Acórdão de 14 de junho de 2007 no processo C-342/05, Comissão/Finlândia, ECLI:EU:C:2007:341, n.º 29.</w:t>
      </w:r>
    </w:p>
  </w:footnote>
  <w:footnote w:id="157">
    <w:p>
      <w:pPr>
        <w:pStyle w:val="FootnoteText"/>
      </w:pPr>
      <w:r>
        <w:footnoteRef/>
      </w:r>
      <w:r>
        <w:t xml:space="preserve"> </w:t>
      </w:r>
      <w:r>
        <w:tab/>
        <w:t>C-342/05; n.</w:t>
      </w:r>
      <w:r>
        <w:rPr>
          <w:vertAlign w:val="superscript"/>
        </w:rPr>
        <w:t>os</w:t>
      </w:r>
      <w:r>
        <w:t> 30 e 31.</w:t>
      </w:r>
    </w:p>
  </w:footnote>
  <w:footnote w:id="158">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C-674/17; n.</w:t>
      </w:r>
      <w:r>
        <w:rPr>
          <w:rFonts w:ascii="Verdana" w:hAnsi="Verdana"/>
          <w:sz w:val="16"/>
          <w:szCs w:val="16"/>
          <w:vertAlign w:val="superscript"/>
        </w:rPr>
        <w:t>os</w:t>
      </w:r>
      <w:r>
        <w:rPr>
          <w:rFonts w:ascii="Verdana" w:hAnsi="Verdana"/>
          <w:sz w:val="16"/>
          <w:szCs w:val="16"/>
        </w:rPr>
        <w:t> 68 e 69.</w:t>
      </w:r>
    </w:p>
  </w:footnote>
  <w:footnote w:id="159">
    <w:p>
      <w:pPr>
        <w:pStyle w:val="FootnoteText"/>
      </w:pPr>
      <w:r>
        <w:footnoteRef/>
      </w:r>
      <w:r>
        <w:t xml:space="preserve"> </w:t>
      </w:r>
      <w:r>
        <w:tab/>
        <w:t>C-674-17; n.º 66.</w:t>
      </w:r>
    </w:p>
  </w:footnote>
  <w:footnote w:id="160">
    <w:p>
      <w:pPr>
        <w:pStyle w:val="FootnoteText"/>
      </w:pPr>
      <w:r>
        <w:footnoteRef/>
      </w:r>
      <w:r>
        <w:t xml:space="preserve"> </w:t>
      </w:r>
      <w:r>
        <w:tab/>
      </w:r>
      <w:r>
        <w:rPr>
          <w:rFonts w:ascii="Verdana" w:hAnsi="Verdana"/>
          <w:sz w:val="16"/>
          <w:szCs w:val="16"/>
        </w:rPr>
        <w:t>C-674/17, n.º 66.</w:t>
      </w:r>
    </w:p>
  </w:footnote>
  <w:footnote w:id="161">
    <w:p>
      <w:pPr>
        <w:pStyle w:val="FootnoteText"/>
      </w:pPr>
      <w:r>
        <w:footnoteRef/>
      </w:r>
      <w:r>
        <w:t xml:space="preserve"> </w:t>
      </w:r>
      <w:r>
        <w:rPr>
          <w:rFonts w:ascii="Verdana" w:hAnsi="Verdana"/>
          <w:sz w:val="16"/>
          <w:szCs w:val="16"/>
        </w:rPr>
        <w:t>Ver C-674/17, n.º 41.</w:t>
      </w:r>
    </w:p>
  </w:footnote>
  <w:footnote w:id="162">
    <w:p>
      <w:pPr>
        <w:pStyle w:val="FootnoteText"/>
        <w:ind w:left="720" w:hanging="720"/>
        <w:rPr>
          <w:rFonts w:ascii="Verdana" w:hAnsi="Verdana"/>
          <w:sz w:val="16"/>
          <w:szCs w:val="16"/>
        </w:rPr>
      </w:pPr>
      <w:r>
        <w:rPr>
          <w:rFonts w:ascii="Verdana" w:hAnsi="Verdana"/>
          <w:sz w:val="16"/>
          <w:szCs w:val="16"/>
        </w:rPr>
        <w:footnoteRef/>
      </w:r>
      <w:r>
        <w:rPr>
          <w:rFonts w:ascii="Verdana" w:hAnsi="Verdana"/>
          <w:sz w:val="16"/>
          <w:szCs w:val="16"/>
        </w:rPr>
        <w:tab/>
        <w:t>Ver, a título de exemplo, o modelo neerlandês: «Staatscourant (2015): BeleidslijnTijdelijkeNatuur (concept 11 juni 2015) — Nr. 20901</w:t>
      </w:r>
      <w:r>
        <w:rPr>
          <w:rFonts w:ascii="Verdana" w:hAnsi="Verdana"/>
          <w:color w:val="365F91" w:themeColor="accent1" w:themeShade="BF"/>
          <w:sz w:val="16"/>
          <w:szCs w:val="16"/>
        </w:rPr>
        <w:t>6</w:t>
      </w:r>
      <w:r>
        <w:rPr>
          <w:rFonts w:ascii="Verdana" w:hAnsi="Verdana"/>
          <w:sz w:val="16"/>
          <w:szCs w:val="16"/>
        </w:rPr>
        <w:t>».</w:t>
      </w:r>
      <w:r>
        <w:rPr>
          <w:rFonts w:ascii="Verdana" w:hAnsi="Verdana"/>
          <w:color w:val="365F91" w:themeColor="accent1" w:themeShade="BF"/>
          <w:sz w:val="16"/>
          <w:szCs w:val="16"/>
        </w:rPr>
        <w:t xml:space="preserve"> </w:t>
      </w:r>
      <w:hyperlink r:id="rId35" w:history="1">
        <w:r>
          <w:rPr>
            <w:rFonts w:ascii="Verdana" w:hAnsi="Verdana"/>
            <w:sz w:val="16"/>
            <w:szCs w:val="16"/>
          </w:rPr>
          <w:t>https://zoek.officielebekendmakingen.nl/stcrt-2015-29016.html</w:t>
        </w:r>
      </w:hyperlink>
    </w:p>
  </w:footnote>
  <w:footnote w:id="163">
    <w:p>
      <w:pPr>
        <w:pStyle w:val="FootnoteText"/>
        <w:ind w:left="720" w:hanging="720"/>
      </w:pPr>
      <w:r>
        <w:footnoteRef/>
      </w:r>
      <w:r>
        <w:t xml:space="preserve"> </w:t>
      </w:r>
      <w:r>
        <w:tab/>
        <w:t xml:space="preserve">Para mais informações, ver sítio Web do projeto «LIFE in quarries» no endereço: </w:t>
      </w:r>
      <w:hyperlink r:id="rId36" w:history="1">
        <w:r>
          <w:rPr>
            <w:rStyle w:val="Hyperlink"/>
            <w:rFonts w:ascii="Verdana" w:hAnsi="Verdana"/>
            <w:sz w:val="16"/>
            <w:szCs w:val="16"/>
          </w:rPr>
          <w:t>https://www.lifeinquarries.eu</w:t>
        </w:r>
      </w:hyperlink>
      <w:r>
        <w:t>.</w:t>
      </w:r>
    </w:p>
  </w:footnote>
  <w:footnote w:id="164">
    <w:p>
      <w:pPr>
        <w:pStyle w:val="FootnoteText"/>
        <w:ind w:left="720" w:hanging="720"/>
        <w:rPr>
          <w:rFonts w:ascii="Verdana" w:hAnsi="Verdana"/>
          <w:sz w:val="16"/>
          <w:szCs w:val="16"/>
        </w:rPr>
      </w:pPr>
      <w:r>
        <w:rPr>
          <w:rFonts w:ascii="Verdana" w:hAnsi="Verdana"/>
          <w:sz w:val="16"/>
          <w:szCs w:val="16"/>
          <w:lang w:val="en-US"/>
        </w:rPr>
        <w:footnoteRef/>
      </w:r>
      <w:r>
        <w:rPr>
          <w:rFonts w:ascii="Verdana" w:hAnsi="Verdana"/>
          <w:sz w:val="16"/>
          <w:szCs w:val="16"/>
        </w:rPr>
        <w:tab/>
        <w:t xml:space="preserve">Ver também o acórdão de 26 de janeiro de 2012 no processo C-192/11, Comissão/Polónia, </w:t>
      </w:r>
      <w:r>
        <w:rPr>
          <w:rStyle w:val="PageNumber"/>
          <w:rFonts w:ascii="Verdana" w:hAnsi="Verdana"/>
          <w:sz w:val="16"/>
          <w:szCs w:val="16"/>
        </w:rPr>
        <w:t>ECLI:EU:C:2012:44,</w:t>
      </w:r>
      <w:r>
        <w:rPr>
          <w:rFonts w:ascii="Verdana" w:hAnsi="Verdana"/>
          <w:sz w:val="16"/>
          <w:szCs w:val="16"/>
        </w:rPr>
        <w:t>, n.</w:t>
      </w:r>
      <w:r>
        <w:rPr>
          <w:rFonts w:ascii="Verdana" w:hAnsi="Verdana"/>
          <w:sz w:val="16"/>
          <w:szCs w:val="16"/>
          <w:vertAlign w:val="superscript"/>
        </w:rPr>
        <w:t>os</w:t>
      </w:r>
      <w:r>
        <w:rPr>
          <w:rFonts w:ascii="Verdana" w:hAnsi="Verdana"/>
          <w:sz w:val="16"/>
          <w:szCs w:val="16"/>
        </w:rPr>
        <w:t> 65 e 67, relativo à disposição comparável do artigo 9.º, n.º 2, alínea e), da Diretiva Aves (2009/147/CE).</w:t>
      </w:r>
    </w:p>
  </w:footnote>
  <w:footnote w:id="165">
    <w:p>
      <w:pPr>
        <w:pStyle w:val="FootnoteText"/>
        <w:ind w:left="720" w:hanging="720"/>
        <w:rPr>
          <w:rFonts w:ascii="Verdana" w:hAnsi="Verdana"/>
          <w:sz w:val="16"/>
          <w:szCs w:val="16"/>
        </w:rPr>
      </w:pPr>
      <w:r>
        <w:rPr>
          <w:rFonts w:ascii="Verdana" w:hAnsi="Verdana"/>
          <w:sz w:val="16"/>
          <w:szCs w:val="16"/>
        </w:rPr>
        <w:footnoteRef/>
      </w:r>
      <w:r>
        <w:rPr>
          <w:rFonts w:ascii="Verdana" w:hAnsi="Verdana"/>
          <w:sz w:val="16"/>
          <w:szCs w:val="16"/>
        </w:rPr>
        <w:tab/>
        <w:t>No âmbito do acordo atual entre a Comissão Europeia e o Secretariado da Convenção de Berna, a União Europeia colige todas as derrogações comunicadas pelos Estados-Membros da UE nos relatórios relativos a um determinado período e remete-as ao Secretariado da Convenção de Berna.</w:t>
      </w:r>
    </w:p>
  </w:footnote>
  <w:footnote w:id="166">
    <w:p>
      <w:pPr>
        <w:pStyle w:val="FootnoteText"/>
        <w:ind w:left="720" w:hanging="720"/>
        <w:rPr>
          <w:rFonts w:ascii="Verdana" w:hAnsi="Verdana"/>
          <w:sz w:val="16"/>
          <w:szCs w:val="16"/>
        </w:rPr>
      </w:pPr>
      <w:r>
        <w:rPr>
          <w:rFonts w:ascii="Verdana" w:hAnsi="Verdana"/>
          <w:sz w:val="16"/>
          <w:szCs w:val="16"/>
        </w:rPr>
        <w:footnoteRef/>
      </w:r>
      <w:r>
        <w:rPr>
          <w:rFonts w:ascii="Verdana" w:hAnsi="Verdana"/>
          <w:sz w:val="16"/>
          <w:szCs w:val="16"/>
        </w:rPr>
        <w:tab/>
        <w:t xml:space="preserve">A ferramenta HaBiDeS+ pode ser acedida em linha no endereço: </w:t>
      </w:r>
      <w:hyperlink r:id="rId37" w:history="1">
        <w:r>
          <w:rPr>
            <w:rStyle w:val="Hyperlink"/>
            <w:rFonts w:ascii="Verdana" w:hAnsi="Verdana"/>
            <w:sz w:val="16"/>
            <w:szCs w:val="16"/>
          </w:rPr>
          <w:t>https://webforms.eionet.europa.eu/</w:t>
        </w:r>
      </w:hyperlink>
      <w:r>
        <w:t>.</w:t>
      </w:r>
    </w:p>
  </w:footnote>
  <w:footnote w:id="167">
    <w:p>
      <w:pPr>
        <w:pStyle w:val="FootnoteText"/>
        <w:rPr>
          <w:rFonts w:ascii="Verdana" w:hAnsi="Verdana"/>
          <w:sz w:val="18"/>
          <w:szCs w:val="18"/>
        </w:rPr>
      </w:pPr>
      <w:r>
        <w:rPr>
          <w:rFonts w:ascii="Verdana" w:hAnsi="Verdana"/>
          <w:sz w:val="18"/>
          <w:szCs w:val="18"/>
        </w:rPr>
        <w:footnoteRef/>
      </w:r>
      <w:r>
        <w:rPr>
          <w:rFonts w:ascii="Verdana" w:hAnsi="Verdana"/>
          <w:sz w:val="18"/>
          <w:szCs w:val="18"/>
        </w:rPr>
        <w:t xml:space="preserve"> </w:t>
      </w:r>
      <w:r>
        <w:rPr>
          <w:rFonts w:ascii="Verdana" w:hAnsi="Verdana"/>
          <w:sz w:val="18"/>
          <w:szCs w:val="18"/>
        </w:rPr>
        <w:tab/>
      </w:r>
      <w:hyperlink r:id="rId38" w:history="1">
        <w:r>
          <w:rPr>
            <w:rStyle w:val="Hyperlink"/>
            <w:rFonts w:ascii="Verdana" w:hAnsi="Verdana"/>
            <w:sz w:val="18"/>
            <w:szCs w:val="18"/>
          </w:rPr>
          <w:t>https://eur-lex.europa.eu/legal-content/PT/TXT/?uri=CELEX:01992L0043-20130701</w:t>
        </w:r>
      </w:hyperlink>
      <w:r>
        <w:t>.</w:t>
      </w:r>
    </w:p>
  </w:footnote>
  <w:footnote w:id="168">
    <w:p>
      <w:pPr>
        <w:pStyle w:val="FootnoteText"/>
      </w:pPr>
      <w:r>
        <w:footnoteRef/>
      </w:r>
      <w:r>
        <w:t xml:space="preserve"> </w:t>
      </w:r>
      <w:r>
        <w:tab/>
      </w:r>
      <w:hyperlink r:id="rId39" w:history="1">
        <w:r>
          <w:t>https://link.springer.com/article/10.1007/s10344-012-0623-5</w:t>
        </w:r>
      </w:hyperlink>
      <w:r>
        <w:t>.</w:t>
      </w:r>
    </w:p>
  </w:footnote>
  <w:footnote w:id="169">
    <w:p>
      <w:pPr>
        <w:pStyle w:val="FootnoteText"/>
      </w:pPr>
      <w:r>
        <w:footnoteRef/>
      </w:r>
      <w:r>
        <w:t xml:space="preserve"> </w:t>
      </w:r>
      <w:r>
        <w:tab/>
      </w:r>
      <w:hyperlink r:id="rId40" w:history="1">
        <w:r>
          <w:t>https://www.eea.europa.eu/publications/state-of-nature-in-the-eu-2020</w:t>
        </w:r>
      </w:hyperlink>
      <w:r>
        <w:t>.</w:t>
      </w:r>
    </w:p>
  </w:footnote>
  <w:footnote w:id="170">
    <w:p>
      <w:pPr>
        <w:pStyle w:val="FootnoteText"/>
        <w:ind w:left="720" w:hanging="720"/>
      </w:pPr>
      <w:r>
        <w:footnoteRef/>
      </w:r>
      <w:r>
        <w:t xml:space="preserve"> </w:t>
      </w:r>
      <w:r>
        <w:tab/>
        <w:t xml:space="preserve">Ao abrigo do artigo 17.º da Diretiva </w:t>
      </w:r>
      <w:r>
        <w:rPr>
          <w:i/>
          <w:iCs/>
        </w:rPr>
        <w:t>Habitats</w:t>
      </w:r>
      <w:r>
        <w:t>, a Roménia, a Lituânia, a Letónia, a Estónia e a Itália comunicaram que o lobo estava em estado de conservação favorável em todas as respetivas regiões biogeográficas.</w:t>
      </w:r>
    </w:p>
  </w:footnote>
  <w:footnote w:id="171">
    <w:p>
      <w:pPr>
        <w:pStyle w:val="FootnoteText"/>
      </w:pPr>
      <w:r>
        <w:footnoteRef/>
      </w:r>
      <w:r>
        <w:t xml:space="preserve"> </w:t>
      </w:r>
      <w:r>
        <w:tab/>
      </w:r>
      <w:hyperlink r:id="rId41" w:history="1">
        <w:r>
          <w:t>https://science.sciencemag.org/content/346/6216/1517</w:t>
        </w:r>
      </w:hyperlink>
      <w:r>
        <w:t>.</w:t>
      </w:r>
    </w:p>
  </w:footnote>
  <w:footnote w:id="172">
    <w:p>
      <w:pPr>
        <w:pStyle w:val="FootnoteText"/>
      </w:pPr>
      <w:r>
        <w:footnoteRef/>
      </w:r>
      <w:r>
        <w:t xml:space="preserve"> </w:t>
      </w:r>
      <w:hyperlink r:id="rId42" w:history="1">
        <w:r>
          <w:t>https://ec.europa.eu/environment/nature/conservation/species/carnivores/promoting_management.htm</w:t>
        </w:r>
      </w:hyperlink>
      <w:r>
        <w:t xml:space="preserve">. </w:t>
      </w:r>
    </w:p>
    <w:p>
      <w:pPr>
        <w:pStyle w:val="FootnoteText"/>
        <w:rPr>
          <w:lang w:val="nl-NL"/>
        </w:rPr>
      </w:pPr>
    </w:p>
  </w:footnote>
  <w:footnote w:id="173">
    <w:p>
      <w:pPr>
        <w:pStyle w:val="FootnoteText"/>
        <w:ind w:left="720" w:hanging="720"/>
        <w:rPr>
          <w:lang w:val="nl-NL"/>
        </w:rPr>
      </w:pPr>
      <w:r>
        <w:footnoteRef/>
      </w:r>
      <w:r>
        <w:t xml:space="preserve"> </w:t>
      </w:r>
      <w:r>
        <w:tab/>
      </w:r>
      <w:hyperlink r:id="rId43" w:history="1">
        <w:r>
          <w:rPr>
            <w:sz w:val="18"/>
            <w:szCs w:val="18"/>
            <w:lang w:val="nl-NL"/>
          </w:rPr>
          <w:t>https://nature-art17.eionet.europa.eu/article17/species/summary/?period=5&amp;group=Mammals&amp;subject=Canis+lupus&amp;region</w:t>
        </w:r>
      </w:hyperlink>
      <w:r>
        <w:rPr>
          <w:sz w:val="18"/>
          <w:szCs w:val="18"/>
          <w:lang w:val="nl-NL"/>
        </w:rPr>
        <w:t>=</w:t>
      </w:r>
    </w:p>
  </w:footnote>
  <w:footnote w:id="174">
    <w:p>
      <w:pPr>
        <w:pStyle w:val="FootnoteText"/>
        <w:rPr>
          <w:lang w:val="nl-NL"/>
        </w:rPr>
      </w:pPr>
      <w:r>
        <w:footnoteRef/>
      </w:r>
      <w:r>
        <w:rPr>
          <w:lang w:val="nl-NL"/>
        </w:rPr>
        <w:t xml:space="preserve"> </w:t>
      </w:r>
      <w:r>
        <w:rPr>
          <w:lang w:val="nl-NL"/>
        </w:rPr>
        <w:tab/>
      </w:r>
      <w:hyperlink r:id="rId44" w:history="1">
        <w:r>
          <w:rPr>
            <w:sz w:val="18"/>
            <w:szCs w:val="18"/>
            <w:lang w:val="nl-NL"/>
          </w:rPr>
          <w:t>https://www.europarl.europa.eu/RegData/etudes/STUD/2018/617488/IPOL_STU(2018)617488_EN.pdf</w:t>
        </w:r>
      </w:hyperlink>
      <w:r>
        <w:rPr>
          <w:lang w:val="nl-NL"/>
        </w:rPr>
        <w:t>.</w:t>
      </w:r>
    </w:p>
  </w:footnote>
  <w:footnote w:id="175">
    <w:p>
      <w:pPr>
        <w:pStyle w:val="FootnoteText"/>
        <w:ind w:left="720" w:hanging="720"/>
      </w:pPr>
      <w:r>
        <w:footnoteRef/>
      </w:r>
      <w:r>
        <w:t xml:space="preserve"> </w:t>
      </w:r>
      <w:r>
        <w:tab/>
        <w:t xml:space="preserve">Lista vermelha das espécies ameaçadas da UICN de 2018: </w:t>
      </w:r>
      <w:hyperlink r:id="rId45" w:history="1">
        <w:r>
          <w:t>https://www.iucnredlist.org/ja/species/3746/144226239</w:t>
        </w:r>
      </w:hyperlink>
      <w:r>
        <w:t>. Outros dados recentes fornecem números ligeiramente diferentes dos do estudo acima referido em alguns casos relativamente às populações ibérica, dos Alpes Orientais e Centrais e carélia.</w:t>
      </w:r>
    </w:p>
  </w:footnote>
  <w:footnote w:id="176">
    <w:p>
      <w:pPr>
        <w:pStyle w:val="FootnoteText"/>
      </w:pPr>
      <w:r>
        <w:rPr>
          <w:rStyle w:val="FootnoteReference"/>
        </w:rPr>
        <w:footnoteRef/>
      </w:r>
      <w:r>
        <w:t xml:space="preserve"> </w:t>
      </w:r>
      <w:r>
        <w:tab/>
      </w:r>
      <w:hyperlink r:id="rId46" w:history="1">
        <w:r>
          <w:rPr>
            <w:rStyle w:val="Hyperlink"/>
            <w:sz w:val="18"/>
            <w:szCs w:val="18"/>
          </w:rPr>
          <w:t>https://ec.europa.eu/environment/nature/conservation/species/carnivores/pdf/key_actions_large_carnivores_2015.pdf</w:t>
        </w:r>
      </w:hyperlink>
      <w:r>
        <w:t>.</w:t>
      </w:r>
    </w:p>
  </w:footnote>
  <w:footnote w:id="177">
    <w:p>
      <w:pPr>
        <w:pStyle w:val="FootnoteText"/>
        <w:ind w:left="720" w:hanging="720"/>
        <w:rPr>
          <w:lang w:val="en-GB"/>
        </w:rPr>
      </w:pPr>
      <w:r>
        <w:rPr>
          <w:rFonts w:ascii="Verdana" w:hAnsi="Verdana"/>
          <w:sz w:val="16"/>
          <w:szCs w:val="16"/>
        </w:rPr>
        <w:footnoteRef/>
      </w:r>
      <w:r>
        <w:rPr>
          <w:rFonts w:ascii="Verdana" w:hAnsi="Verdana"/>
          <w:sz w:val="16"/>
          <w:szCs w:val="16"/>
          <w:lang w:val="en-GB"/>
        </w:rPr>
        <w:t xml:space="preserve"> </w:t>
      </w:r>
      <w:r>
        <w:rPr>
          <w:rFonts w:ascii="Verdana" w:hAnsi="Verdana"/>
          <w:sz w:val="16"/>
          <w:szCs w:val="16"/>
          <w:lang w:val="en-GB"/>
        </w:rPr>
        <w:tab/>
        <w:t>LIFE09 NAT/ES/000533 INNOVATION AGAINST POISON; LIFE Antidoto LIFE07 NAT/IT/000436; LIFE PLUTO LIFE13 NAT/IT/000311; LIFE WOLFALPS LIFE12/NAT/IT/000807; WOLFLIFE (LIFE13 NAT/RO/000205).</w:t>
      </w:r>
    </w:p>
  </w:footnote>
  <w:footnote w:id="178">
    <w:p>
      <w:pPr>
        <w:pStyle w:val="FootnoteText"/>
        <w:ind w:left="720" w:hanging="720"/>
      </w:pPr>
      <w:r>
        <w:footnoteRef/>
      </w:r>
      <w:r>
        <w:rPr>
          <w:lang w:val="en-GB"/>
        </w:rPr>
        <w:t xml:space="preserve"> </w:t>
      </w:r>
      <w:r>
        <w:rPr>
          <w:lang w:val="en-GB"/>
        </w:rPr>
        <w:tab/>
        <w:t xml:space="preserve">Salvatori, V </w:t>
      </w:r>
      <w:r>
        <w:rPr>
          <w:i/>
          <w:iCs/>
          <w:lang w:val="en-GB"/>
        </w:rPr>
        <w:t>et al</w:t>
      </w:r>
      <w:r>
        <w:rPr>
          <w:lang w:val="en-GB"/>
        </w:rPr>
        <w:t xml:space="preserve">. (2020) </w:t>
      </w:r>
      <w:r>
        <w:rPr>
          <w:i/>
          <w:lang w:val="en-GB"/>
        </w:rPr>
        <w:t>European agreements for nature conservation need to explicitly address wolf-dog hybridisation.</w:t>
      </w:r>
      <w:r>
        <w:rPr>
          <w:lang w:val="en-GB"/>
        </w:rPr>
        <w:t xml:space="preserve"> </w:t>
      </w:r>
      <w:hyperlink r:id="rId47" w:history="1">
        <w:r>
          <w:t>https://www.sciencedirect.com/science/article/pii/S000632071931674X</w:t>
        </w:r>
      </w:hyperlink>
      <w:r>
        <w:t xml:space="preserve">. </w:t>
      </w:r>
    </w:p>
  </w:footnote>
  <w:footnote w:id="179">
    <w:p>
      <w:pPr>
        <w:pStyle w:val="FootnoteText"/>
      </w:pPr>
      <w:r>
        <w:footnoteRef/>
      </w:r>
      <w:r>
        <w:t xml:space="preserve"> </w:t>
      </w:r>
      <w:r>
        <w:tab/>
        <w:t>Salvatori, V et al. (2019).</w:t>
      </w:r>
    </w:p>
  </w:footnote>
  <w:footnote w:id="180">
    <w:p>
      <w:pPr>
        <w:pStyle w:val="FootnoteText"/>
      </w:pPr>
      <w:r>
        <w:rPr>
          <w:rStyle w:val="FootnoteReference"/>
        </w:rPr>
        <w:footnoteRef/>
      </w:r>
      <w:r>
        <w:t xml:space="preserve"> </w:t>
      </w:r>
      <w:r>
        <w:tab/>
      </w:r>
      <w:hyperlink r:id="rId48" w:history="1">
        <w:r>
          <w:rPr>
            <w:rStyle w:val="Hyperlink"/>
          </w:rPr>
          <w:t>https://rm.coe.int/0900001680746351</w:t>
        </w:r>
      </w:hyperlink>
      <w:r>
        <w:t>.</w:t>
      </w:r>
    </w:p>
  </w:footnote>
  <w:footnote w:id="181">
    <w:p>
      <w:pPr>
        <w:pStyle w:val="FootnoteText"/>
      </w:pPr>
      <w:r>
        <w:rPr>
          <w:rStyle w:val="FootnoteReference"/>
        </w:rPr>
        <w:footnoteRef/>
      </w:r>
      <w:r>
        <w:t xml:space="preserve"> </w:t>
      </w:r>
      <w:r>
        <w:tab/>
      </w:r>
      <w:hyperlink r:id="rId49" w:history="1">
        <w:r>
          <w:rPr>
            <w:rStyle w:val="Hyperlink"/>
            <w:sz w:val="18"/>
            <w:szCs w:val="18"/>
          </w:rPr>
          <w:t>http://www.auvergne-rhone-alpes.developpement-durable.gouv.fr/IMG/pdf/20200327bilandommages2019_especes.pdf</w:t>
        </w:r>
      </w:hyperlink>
      <w:r>
        <w:t>.</w:t>
      </w:r>
    </w:p>
  </w:footnote>
  <w:footnote w:id="182">
    <w:p>
      <w:pPr>
        <w:pStyle w:val="FootnoteText"/>
      </w:pPr>
      <w:r>
        <w:rPr>
          <w:rStyle w:val="FootnoteReference"/>
        </w:rPr>
        <w:footnoteRef/>
      </w:r>
      <w:r>
        <w:t xml:space="preserve"> </w:t>
      </w:r>
      <w:r>
        <w:tab/>
      </w:r>
      <w:hyperlink r:id="rId50" w:history="1">
        <w:r>
          <w:rPr>
            <w:rStyle w:val="Hyperlink"/>
          </w:rPr>
          <w:t>https://www.dbb-wolf.de/Wolfsvorkommen/territorien/karte-der-territorien</w:t>
        </w:r>
      </w:hyperlink>
      <w:r>
        <w:t>.</w:t>
      </w:r>
    </w:p>
  </w:footnote>
  <w:footnote w:id="183">
    <w:p>
      <w:pPr>
        <w:pStyle w:val="FootnoteText"/>
        <w:ind w:left="720" w:hanging="720"/>
        <w:rPr>
          <w:rFonts w:ascii="Verdana" w:hAnsi="Verdana"/>
          <w:sz w:val="16"/>
          <w:szCs w:val="16"/>
        </w:rPr>
      </w:pPr>
      <w:r>
        <w:rPr>
          <w:rFonts w:ascii="Verdana" w:hAnsi="Verdana"/>
          <w:sz w:val="16"/>
          <w:szCs w:val="16"/>
        </w:rPr>
        <w:footnoteRef/>
      </w:r>
      <w:r>
        <w:t xml:space="preserve"> </w:t>
      </w:r>
      <w:r>
        <w:tab/>
      </w:r>
      <w:hyperlink r:id="rId51" w:history="1">
        <w:r>
          <w:t>https://www.slu.se/globalassets/ew/org/centrb/vsc/vsc-dokument/vsc-publikationer/rapporter/viltskadestatistikrapporter/viltskadestatistik-2018-1-webb.pdf</w:t>
        </w:r>
      </w:hyperlink>
      <w:r>
        <w:t>.</w:t>
      </w:r>
      <w:r>
        <w:rPr>
          <w:sz w:val="16"/>
          <w:szCs w:val="16"/>
        </w:rPr>
        <w:t xml:space="preserve"> </w:t>
      </w:r>
    </w:p>
  </w:footnote>
  <w:footnote w:id="184">
    <w:p>
      <w:pPr>
        <w:pStyle w:val="FootnoteText"/>
        <w:ind w:left="720" w:hanging="720"/>
      </w:pPr>
      <w:r>
        <w:rPr>
          <w:rStyle w:val="FootnoteReference"/>
        </w:rPr>
        <w:footnoteRef/>
      </w:r>
      <w:r>
        <w:t xml:space="preserve"> </w:t>
      </w:r>
      <w:r>
        <w:tab/>
        <w:t>«</w:t>
      </w:r>
      <w:r>
        <w:rPr>
          <w:i/>
        </w:rPr>
        <w:t>Apesar da necessidade de reconhecer que o potencial de ataques de lobo a pessoas ser superior a zero […], atualmente há mais de 12 000 lobos na Europa e mais de 50 000 lobos na América do Norte, muitos dos quais vivem na proximidade de milhões de humanos, e ainda assim só encontramos provas de uma mão-cheia de ataques nas últimas décadas</w:t>
      </w:r>
      <w:r>
        <w:t xml:space="preserve">» [tradução livre]: Predators_That_Kill_Humans_Myth_Reality_Context_and_the_Politics_of_Wolf_Attacks_on_People </w:t>
      </w:r>
      <w:hyperlink r:id="rId52" w:history="1">
        <w:r>
          <w:rPr>
            <w:rStyle w:val="Hyperlink"/>
          </w:rPr>
          <w:t>https://www.researchgate.net/publication/301267098</w:t>
        </w:r>
      </w:hyperlink>
      <w:r>
        <w:t>.</w:t>
      </w:r>
    </w:p>
  </w:footnote>
  <w:footnote w:id="185">
    <w:p>
      <w:pPr>
        <w:pStyle w:val="FootnoteText"/>
        <w:ind w:left="720" w:hanging="720"/>
      </w:pPr>
      <w:r>
        <w:footnoteRef/>
      </w:r>
      <w:r>
        <w:t xml:space="preserve"> </w:t>
      </w:r>
      <w:r>
        <w:tab/>
        <w:t>Ver, a título de exemplo, os níveis de caça de ungulados nos últimos anos em França.</w:t>
      </w:r>
      <w:r>
        <w:cr/>
      </w:r>
      <w:r>
        <w:br/>
      </w:r>
      <w:hyperlink r:id="rId53" w:history="1">
        <w:r>
          <w:t>http://www.oncfs.gouv.fr/Tableaux-de-chasse-ru599/-Grands-ongules-Tableaux-de-chasse-nationaux-news467</w:t>
        </w:r>
      </w:hyperlink>
      <w:r>
        <w:t>.</w:t>
      </w:r>
    </w:p>
  </w:footnote>
  <w:footnote w:id="186">
    <w:p>
      <w:pPr>
        <w:pStyle w:val="FootnoteText"/>
        <w:ind w:left="720" w:hanging="720"/>
        <w:rPr>
          <w:lang w:val="en-GB"/>
        </w:rPr>
      </w:pPr>
      <w:r>
        <w:footnoteRef/>
      </w:r>
      <w:r>
        <w:t xml:space="preserve"> </w:t>
      </w:r>
      <w:r>
        <w:tab/>
        <w:t xml:space="preserve">Ver igualmente Carpio </w:t>
      </w:r>
      <w:r>
        <w:rPr>
          <w:i/>
          <w:iCs/>
        </w:rPr>
        <w:t>et al</w:t>
      </w:r>
      <w:r>
        <w:t xml:space="preserve">. </w:t>
      </w:r>
      <w:r>
        <w:rPr>
          <w:lang w:val="en-GB"/>
        </w:rPr>
        <w:t xml:space="preserve">(2020) </w:t>
      </w:r>
      <w:r>
        <w:rPr>
          <w:i/>
          <w:lang w:val="en-GB"/>
        </w:rPr>
        <w:t>Wild ungulate overabundance in Europe: contexts, causes, monitoring and management recommendations</w:t>
      </w:r>
      <w:r>
        <w:rPr>
          <w:lang w:val="en-GB"/>
        </w:rPr>
        <w:t>.</w:t>
      </w:r>
    </w:p>
  </w:footnote>
  <w:footnote w:id="187">
    <w:p>
      <w:pPr>
        <w:pStyle w:val="FootnoteText"/>
        <w:ind w:left="720" w:hanging="720"/>
        <w:rPr>
          <w:sz w:val="18"/>
          <w:szCs w:val="18"/>
        </w:rPr>
      </w:pPr>
      <w:r>
        <w:footnoteRef/>
      </w:r>
      <w:r>
        <w:rPr>
          <w:sz w:val="18"/>
          <w:szCs w:val="18"/>
        </w:rPr>
        <w:t xml:space="preserve"> </w:t>
      </w:r>
      <w:r>
        <w:rPr>
          <w:sz w:val="18"/>
          <w:szCs w:val="18"/>
        </w:rPr>
        <w:tab/>
        <w:t>Por exemplo, os conflitos entre as perspetivas de paisagens produtivas tradicionais, paisagens de património, paisagens recreativas, paisagens de conservação da natureza ou paisagens multifuncionais, ou os conflitos e tensões relacionados com a passagem de estilos de vida tradicionais (e rurais) em declínio para estilos de vida modernos (e urbanos).</w:t>
      </w:r>
    </w:p>
    <w:p>
      <w:pPr>
        <w:pStyle w:val="FootnoteText"/>
        <w:ind w:left="714" w:firstLine="0"/>
        <w:rPr>
          <w:sz w:val="18"/>
          <w:szCs w:val="18"/>
        </w:rPr>
      </w:pPr>
      <w:hyperlink r:id="rId54" w:history="1">
        <w:r>
          <w:rPr>
            <w:sz w:val="18"/>
            <w:szCs w:val="18"/>
          </w:rPr>
          <w:t>https://ec.europa.eu/environment/nature/conservation/species/carnivores/pdf/task_4_conflict_coexistence.pdf</w:t>
        </w:r>
      </w:hyperlink>
      <w:r>
        <w:t>.</w:t>
      </w:r>
    </w:p>
    <w:p>
      <w:pPr>
        <w:pStyle w:val="FootnoteText"/>
        <w:ind w:left="714" w:firstLine="0"/>
      </w:pPr>
      <w:hyperlink r:id="rId55" w:history="1">
        <w:r>
          <w:rPr>
            <w:sz w:val="18"/>
            <w:szCs w:val="18"/>
          </w:rPr>
          <w:t>https://www.lcie.org/Blog/ArtMID/6987/ArticleID/65/The-symbolic-wolf-Competing-visions-of-the-European-landscapes</w:t>
        </w:r>
      </w:hyperlink>
      <w:r>
        <w:t>.</w:t>
      </w:r>
    </w:p>
  </w:footnote>
  <w:footnote w:id="188">
    <w:p>
      <w:pPr>
        <w:pStyle w:val="FootnoteText"/>
      </w:pPr>
      <w:r>
        <w:footnoteRef/>
      </w:r>
      <w:r>
        <w:t xml:space="preserve"> </w:t>
      </w:r>
      <w:r>
        <w:tab/>
      </w:r>
      <w:hyperlink r:id="rId56" w:history="1">
        <w:r>
          <w:t>https://ec.europa.eu/environment/nature/conservation/species/carnivores/promoting_best_practices.htm</w:t>
        </w:r>
      </w:hyperlink>
      <w:r>
        <w:t>.</w:t>
      </w:r>
    </w:p>
  </w:footnote>
  <w:footnote w:id="189">
    <w:p>
      <w:pPr>
        <w:pStyle w:val="FootnoteText"/>
      </w:pPr>
      <w:r>
        <w:footnoteRef/>
      </w:r>
      <w:r>
        <w:t xml:space="preserve"> </w:t>
      </w:r>
      <w:r>
        <w:tab/>
      </w:r>
      <w:hyperlink r:id="rId57" w:history="1">
        <w:r>
          <w:t>https://ec.europa.eu/environment/nature/conservation/species/carnivores/coexistence_platform.htm</w:t>
        </w:r>
      </w:hyperlink>
      <w:r>
        <w:t>.</w:t>
      </w:r>
    </w:p>
  </w:footnote>
  <w:footnote w:id="190">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r>
      <w:hyperlink r:id="rId58" w:history="1">
        <w:r>
          <w:t>https://ec.europa.eu/environment/nature/conservation/species/carnivores/case_studies.htm</w:t>
        </w:r>
      </w:hyperlink>
      <w:r>
        <w:t>.</w:t>
      </w:r>
      <w:r>
        <w:rPr>
          <w:sz w:val="16"/>
          <w:szCs w:val="16"/>
        </w:rPr>
        <w:t xml:space="preserve"> </w:t>
      </w:r>
    </w:p>
  </w:footnote>
  <w:footnote w:id="191">
    <w:p>
      <w:pPr>
        <w:pStyle w:val="FootnoteText"/>
        <w:rPr>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r>
      <w:hyperlink r:id="rId59" w:history="1">
        <w:r>
          <w:rPr>
            <w:sz w:val="18"/>
            <w:szCs w:val="18"/>
          </w:rPr>
          <w:t>https://www.europarl.europa.eu/RegData/etudes/STUD/2018/596844/IPOL_STU(2018)596844_EN.pdf</w:t>
        </w:r>
      </w:hyperlink>
      <w:r>
        <w:t>.</w:t>
      </w:r>
    </w:p>
  </w:footnote>
  <w:footnote w:id="192">
    <w:p>
      <w:pPr>
        <w:pStyle w:val="FootnoteText"/>
        <w:ind w:left="720" w:hanging="720"/>
        <w:rPr>
          <w:sz w:val="16"/>
          <w:szCs w:val="16"/>
        </w:rPr>
      </w:pPr>
      <w:r>
        <w:rPr>
          <w:rFonts w:ascii="Verdana" w:hAnsi="Verdana"/>
          <w:sz w:val="16"/>
          <w:szCs w:val="16"/>
        </w:rPr>
        <w:footnoteRef/>
      </w:r>
      <w:r>
        <w:t xml:space="preserve"> </w:t>
      </w:r>
      <w:hyperlink r:id="rId60" w:history="1">
        <w:r>
          <w:rPr>
            <w:sz w:val="18"/>
            <w:szCs w:val="18"/>
          </w:rPr>
          <w:t>https://ec.europa.eu/environment/nature/conservation/species/carnivores/pdf/Briefing%20note%20state%20aid_EU%20Platform.pdf</w:t>
        </w:r>
      </w:hyperlink>
      <w:r>
        <w:t>.</w:t>
      </w:r>
      <w:r>
        <w:rPr>
          <w:sz w:val="16"/>
          <w:szCs w:val="16"/>
        </w:rPr>
        <w:t xml:space="preserve"> </w:t>
      </w:r>
    </w:p>
  </w:footnote>
  <w:footnote w:id="193">
    <w:p>
      <w:pPr>
        <w:pStyle w:val="FootnoteText"/>
      </w:pPr>
      <w:r>
        <w:footnoteRef/>
      </w:r>
      <w:r>
        <w:t xml:space="preserve"> </w:t>
      </w:r>
      <w:r>
        <w:tab/>
      </w:r>
      <w:hyperlink r:id="rId61" w:history="1">
        <w:r>
          <w:t>http://www.protectiondestroupeaux.ch/en/cdpnews/</w:t>
        </w:r>
      </w:hyperlink>
      <w:r>
        <w:t>.</w:t>
      </w:r>
    </w:p>
  </w:footnote>
  <w:footnote w:id="194">
    <w:p>
      <w:pPr>
        <w:pStyle w:val="FootnoteText"/>
        <w:ind w:left="720" w:hanging="72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r>
      <w:r>
        <w:t>https://www.miteco.gob.es/es/biodiversidad/temas/conservacion-de-especies/especies-silvestres/ce-silvestres-interacciones.aspx</w:t>
      </w:r>
    </w:p>
  </w:footnote>
  <w:footnote w:id="195">
    <w:p>
      <w:pPr>
        <w:pStyle w:val="FootnoteText"/>
        <w:ind w:left="720" w:hanging="720"/>
        <w:rPr>
          <w:rFonts w:ascii="Verdana" w:hAnsi="Verdana"/>
          <w:sz w:val="16"/>
          <w:szCs w:val="16"/>
        </w:rPr>
      </w:pPr>
      <w:r>
        <w:rPr>
          <w:rFonts w:ascii="Verdana" w:hAnsi="Verdana"/>
          <w:sz w:val="16"/>
          <w:szCs w:val="16"/>
        </w:rPr>
        <w:footnoteRef/>
      </w:r>
      <w:r>
        <w:t xml:space="preserve"> </w:t>
      </w:r>
      <w:r>
        <w:tab/>
      </w:r>
      <w:hyperlink r:id="rId62" w:history="1">
        <w:r>
          <w:t>http://ex.lifewolfalps.eu/wp-content/uploads/2014/05/LWA_brochure-E3_168x240_5mm-abbondanzaBassa.pdf</w:t>
        </w:r>
      </w:hyperlink>
      <w:r>
        <w:t>.</w:t>
      </w:r>
    </w:p>
  </w:footnote>
  <w:footnote w:id="196">
    <w:p>
      <w:pPr>
        <w:pStyle w:val="FootnoteText"/>
      </w:pPr>
      <w:r>
        <w:rPr>
          <w:rFonts w:ascii="Verdana" w:hAnsi="Verdana"/>
          <w:sz w:val="16"/>
          <w:szCs w:val="16"/>
        </w:rPr>
        <w:footnoteRef/>
      </w:r>
      <w:r>
        <w:rPr>
          <w:rFonts w:ascii="Verdana" w:hAnsi="Verdana"/>
          <w:sz w:val="16"/>
          <w:szCs w:val="16"/>
        </w:rPr>
        <w:t xml:space="preserve"> </w:t>
      </w:r>
      <w:r>
        <w:rPr>
          <w:rFonts w:ascii="Verdana" w:hAnsi="Verdana"/>
          <w:sz w:val="16"/>
          <w:szCs w:val="16"/>
        </w:rPr>
        <w:tab/>
      </w:r>
      <w:hyperlink r:id="rId63" w:history="1">
        <w:r>
          <w:rPr>
            <w:rFonts w:ascii="Verdana" w:hAnsi="Verdana"/>
            <w:sz w:val="16"/>
            <w:szCs w:val="16"/>
          </w:rPr>
          <w:t>https://www.loupfrance.fr/suivi-du-loup/situation-du-loup-en-france/</w:t>
        </w:r>
      </w:hyperlink>
      <w:r>
        <w:t>.</w:t>
      </w:r>
    </w:p>
  </w:footnote>
  <w:footnote w:id="197">
    <w:p>
      <w:pPr>
        <w:pStyle w:val="FootnoteText"/>
        <w:ind w:left="720" w:hanging="720"/>
      </w:pPr>
      <w:r>
        <w:footnoteRef/>
      </w:r>
      <w:r>
        <w:t xml:space="preserve"> </w:t>
      </w:r>
      <w:r>
        <w:tab/>
        <w:t>Sondagens realizadas pela Savanta ComRes em 2020, em seis Estados-Membros, mostram que a maioria das pessoas é contra o abate de lobos, mesmo que estes ataquem animais domésticos.</w:t>
      </w:r>
    </w:p>
    <w:p>
      <w:pPr>
        <w:pStyle w:val="FootnoteText"/>
        <w:ind w:left="720" w:firstLine="0"/>
      </w:pPr>
      <w:hyperlink r:id="rId64" w:history="1">
        <w:r>
          <w:t>https://www.eurogroupforanimals.org/news/new-poll-shows-eu-citizens-stand-wolves</w:t>
        </w:r>
      </w:hyperlink>
      <w:r>
        <w:t xml:space="preserve">. </w:t>
      </w:r>
    </w:p>
  </w:footnote>
  <w:footnote w:id="198">
    <w:p>
      <w:pPr>
        <w:pStyle w:val="FootnoteText"/>
        <w:ind w:left="720" w:hanging="720"/>
      </w:pPr>
      <w:r>
        <w:footnoteRef/>
      </w:r>
      <w:r>
        <w:t xml:space="preserve"> </w:t>
      </w:r>
      <w:hyperlink r:id="rId65" w:history="1">
        <w:r>
          <w:t>https://ec.europa.eu/environment/nature/conservation/species/carnivores/case_studies_sub_rural_development_programmes.htm</w:t>
        </w:r>
      </w:hyperlink>
      <w:r>
        <w:t>.</w:t>
      </w:r>
    </w:p>
  </w:footnote>
  <w:footnote w:id="199">
    <w:p>
      <w:pPr>
        <w:pStyle w:val="FootnoteText"/>
        <w:ind w:left="720" w:hanging="720"/>
      </w:pPr>
      <w:r>
        <w:footnoteRef/>
      </w:r>
      <w:r>
        <w:t xml:space="preserve"> </w:t>
      </w:r>
      <w:r>
        <w:tab/>
      </w:r>
      <w:hyperlink r:id="rId66" w:history="1">
        <w:r>
          <w:t>https://ec.europa.eu/info/sites/info/files/food-farming-fisheries/key_policies/documents/factsheet-agri-practices-under-ecoscheme_en.pdf</w:t>
        </w:r>
      </w:hyperlink>
      <w:r>
        <w:t xml:space="preserve">. </w:t>
      </w:r>
    </w:p>
  </w:footnote>
  <w:footnote w:id="200">
    <w:p>
      <w:pPr>
        <w:pStyle w:val="FootnoteText"/>
        <w:ind w:left="720" w:hanging="720"/>
      </w:pPr>
      <w:r>
        <w:rPr>
          <w:rStyle w:val="FootnoteReference"/>
        </w:rPr>
        <w:footnoteRef/>
      </w:r>
      <w:r>
        <w:t xml:space="preserve"> </w:t>
      </w:r>
      <w:r>
        <w:tab/>
        <w:t xml:space="preserve">Ver, por exemplo, o projeto «Carnivora Dinarica» entre a Eslovénia e a Croácia: </w:t>
      </w:r>
      <w:hyperlink r:id="rId67" w:history="1">
        <w:r>
          <w:rPr>
            <w:rStyle w:val="Hyperlink"/>
          </w:rPr>
          <w:t>https://www.carnivoradinarica.eu/en/</w:t>
        </w:r>
      </w:hyperlink>
      <w:r>
        <w:t xml:space="preserve">. Mais informações sobre os projetos Interreg no domínio da biodiversidade: </w:t>
      </w:r>
      <w:hyperlink r:id="rId68" w:history="1">
        <w:r>
          <w:rPr>
            <w:rStyle w:val="Hyperlink"/>
          </w:rPr>
          <w:t>https://ec.europa.eu/environment/nature/natura2000/financing/docs/Interreg%20Natura2000.pdf</w:t>
        </w:r>
      </w:hyperlink>
      <w:r>
        <w:t xml:space="preserve">. </w:t>
      </w:r>
      <w:r>
        <w:cr/>
      </w:r>
    </w:p>
  </w:footnote>
  <w:footnote w:id="201">
    <w:p>
      <w:pPr>
        <w:pStyle w:val="FootnoteText"/>
      </w:pPr>
      <w:r>
        <w:footnoteRef/>
      </w:r>
      <w:r>
        <w:t xml:space="preserve"> </w:t>
      </w:r>
      <w:r>
        <w:tab/>
      </w:r>
      <w:hyperlink r:id="rId69" w:history="1">
        <w:r>
          <w:rPr>
            <w:sz w:val="18"/>
            <w:szCs w:val="18"/>
          </w:rPr>
          <w:t>https://ec.europa.eu/environment/nature/conservation/species/carnivores/pdf/Briefing%20note%20state%20aid_EU%20Platform.pdf</w:t>
        </w:r>
      </w:hyperlink>
      <w:r>
        <w:rPr>
          <w:sz w:val="18"/>
          <w:szCs w:val="18"/>
        </w:rPr>
        <w:t>.</w:t>
      </w:r>
      <w:r>
        <w:t xml:space="preserve"> </w:t>
      </w:r>
    </w:p>
  </w:footnote>
  <w:footnote w:id="202">
    <w:p>
      <w:pPr>
        <w:pStyle w:val="FootnoteText"/>
      </w:pPr>
      <w:r>
        <w:footnoteRef/>
      </w:r>
      <w:r>
        <w:t xml:space="preserve"> </w:t>
      </w:r>
      <w:r>
        <w:tab/>
      </w:r>
      <w:hyperlink r:id="rId70" w:history="1">
        <w:r>
          <w:rPr>
            <w:rStyle w:val="Hyperlink"/>
          </w:rPr>
          <w:t>https://ec.europa.eu/environment/nature/natura2000/financing/docs/PAF%20format%20EN.docx</w:t>
        </w:r>
      </w:hyperlink>
      <w:r>
        <w:t>.</w:t>
      </w:r>
    </w:p>
  </w:footnote>
  <w:footnote w:id="203">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N.º 32.</w:t>
      </w:r>
    </w:p>
  </w:footnote>
  <w:footnote w:id="204">
    <w:p>
      <w:pPr>
        <w:pStyle w:val="FootnoteText"/>
        <w:ind w:left="720" w:hanging="720"/>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 xml:space="preserve">Ver o n.º 37 do acórdão no processo C-674/17: «Por conseguinte, o objetivo de uma derrogação baseada no artigo 16.º, n.º 1, alínea e), da Diretiva </w:t>
      </w:r>
      <w:r>
        <w:rPr>
          <w:rFonts w:ascii="Verdana" w:hAnsi="Verdana"/>
          <w:i/>
          <w:iCs/>
          <w:sz w:val="16"/>
          <w:szCs w:val="16"/>
        </w:rPr>
        <w:t>Habitats</w:t>
      </w:r>
      <w:r>
        <w:rPr>
          <w:rFonts w:ascii="Verdana" w:hAnsi="Verdana"/>
          <w:sz w:val="16"/>
          <w:szCs w:val="16"/>
        </w:rPr>
        <w:t xml:space="preserve"> não pode, em princípio, ser confundido com os objetivos das derrogações baseadas no artigo 16.º, n.º 1, alíneas a) a d), desta diretiva, de modo que a primeira disposição apenas pode servir de fundamento à adoção de uma derrogação nos casos em que estas últimas disposições não sejam pertinentes».</w:t>
      </w:r>
    </w:p>
  </w:footnote>
  <w:footnote w:id="205">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Processo C-674/17, n.º 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825"/>
    <w:multiLevelType w:val="hybridMultilevel"/>
    <w:tmpl w:val="2E5E5280"/>
    <w:lvl w:ilvl="0" w:tplc="1D8279E8">
      <w:start w:val="3"/>
      <w:numFmt w:val="bullet"/>
      <w:lvlText w:val="-"/>
      <w:lvlJc w:val="left"/>
      <w:pPr>
        <w:ind w:left="6" w:hanging="360"/>
      </w:pPr>
      <w:rPr>
        <w:rFonts w:ascii="Calibri" w:eastAsiaTheme="minorHAnsi" w:hAnsi="Calibri" w:cstheme="minorHAnsi"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
    <w:nsid w:val="010427BE"/>
    <w:multiLevelType w:val="multilevel"/>
    <w:tmpl w:val="D6C02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6D83745"/>
    <w:multiLevelType w:val="hybridMultilevel"/>
    <w:tmpl w:val="688A14E6"/>
    <w:lvl w:ilvl="0" w:tplc="CD581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A1F48"/>
    <w:multiLevelType w:val="hybridMultilevel"/>
    <w:tmpl w:val="33780A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8AF419B"/>
    <w:multiLevelType w:val="hybridMultilevel"/>
    <w:tmpl w:val="BF5EFD74"/>
    <w:lvl w:ilvl="0" w:tplc="0832BE80">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E482035"/>
    <w:multiLevelType w:val="hybridMultilevel"/>
    <w:tmpl w:val="C1020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1ED66B8"/>
    <w:multiLevelType w:val="hybridMultilevel"/>
    <w:tmpl w:val="BC7A31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5045DBA"/>
    <w:multiLevelType w:val="hybridMultilevel"/>
    <w:tmpl w:val="E514C8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nsid w:val="1AA9795B"/>
    <w:multiLevelType w:val="hybridMultilevel"/>
    <w:tmpl w:val="DFAAFC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534612"/>
    <w:multiLevelType w:val="singleLevel"/>
    <w:tmpl w:val="0809000F"/>
    <w:lvl w:ilvl="0">
      <w:start w:val="1"/>
      <w:numFmt w:val="decimal"/>
      <w:pStyle w:val="ListBullet"/>
      <w:lvlText w:val="%1."/>
      <w:lvlJc w:val="left"/>
      <w:pPr>
        <w:tabs>
          <w:tab w:val="num" w:pos="360"/>
        </w:tabs>
        <w:ind w:left="360" w:hanging="360"/>
      </w:pPr>
    </w:lvl>
  </w:abstractNum>
  <w:abstractNum w:abstractNumId="10">
    <w:nsid w:val="225D7A37"/>
    <w:multiLevelType w:val="hybridMultilevel"/>
    <w:tmpl w:val="3BB2711E"/>
    <w:lvl w:ilvl="0" w:tplc="7B5AC74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83A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DC63192"/>
    <w:multiLevelType w:val="hybridMultilevel"/>
    <w:tmpl w:val="C65E9300"/>
    <w:lvl w:ilvl="0" w:tplc="1C4CD2B0">
      <w:start w:val="1"/>
      <w:numFmt w:val="decimal"/>
      <w:lvlText w:val="%1."/>
      <w:lvlJc w:val="left"/>
      <w:pPr>
        <w:tabs>
          <w:tab w:val="num" w:pos="1080"/>
        </w:tabs>
        <w:ind w:left="1080" w:hanging="360"/>
      </w:pPr>
    </w:lvl>
    <w:lvl w:ilvl="1" w:tplc="3D880420" w:tentative="1">
      <w:start w:val="1"/>
      <w:numFmt w:val="lowerLetter"/>
      <w:lvlText w:val="%2."/>
      <w:lvlJc w:val="left"/>
      <w:pPr>
        <w:tabs>
          <w:tab w:val="num" w:pos="1728"/>
        </w:tabs>
        <w:ind w:left="1728" w:hanging="360"/>
      </w:pPr>
    </w:lvl>
    <w:lvl w:ilvl="2" w:tplc="C0F6413E" w:tentative="1">
      <w:start w:val="1"/>
      <w:numFmt w:val="lowerRoman"/>
      <w:lvlText w:val="%3."/>
      <w:lvlJc w:val="right"/>
      <w:pPr>
        <w:tabs>
          <w:tab w:val="num" w:pos="2448"/>
        </w:tabs>
        <w:ind w:left="2448" w:hanging="180"/>
      </w:pPr>
    </w:lvl>
    <w:lvl w:ilvl="3" w:tplc="3EE2D34C" w:tentative="1">
      <w:start w:val="1"/>
      <w:numFmt w:val="decimal"/>
      <w:lvlText w:val="%4."/>
      <w:lvlJc w:val="left"/>
      <w:pPr>
        <w:tabs>
          <w:tab w:val="num" w:pos="3168"/>
        </w:tabs>
        <w:ind w:left="3168" w:hanging="360"/>
      </w:pPr>
    </w:lvl>
    <w:lvl w:ilvl="4" w:tplc="C83671AE" w:tentative="1">
      <w:start w:val="1"/>
      <w:numFmt w:val="lowerLetter"/>
      <w:lvlText w:val="%5."/>
      <w:lvlJc w:val="left"/>
      <w:pPr>
        <w:tabs>
          <w:tab w:val="num" w:pos="3888"/>
        </w:tabs>
        <w:ind w:left="3888" w:hanging="360"/>
      </w:pPr>
    </w:lvl>
    <w:lvl w:ilvl="5" w:tplc="9C3C303C" w:tentative="1">
      <w:start w:val="1"/>
      <w:numFmt w:val="lowerRoman"/>
      <w:lvlText w:val="%6."/>
      <w:lvlJc w:val="right"/>
      <w:pPr>
        <w:tabs>
          <w:tab w:val="num" w:pos="4608"/>
        </w:tabs>
        <w:ind w:left="4608" w:hanging="180"/>
      </w:pPr>
    </w:lvl>
    <w:lvl w:ilvl="6" w:tplc="D592D502" w:tentative="1">
      <w:start w:val="1"/>
      <w:numFmt w:val="decimal"/>
      <w:lvlText w:val="%7."/>
      <w:lvlJc w:val="left"/>
      <w:pPr>
        <w:tabs>
          <w:tab w:val="num" w:pos="5328"/>
        </w:tabs>
        <w:ind w:left="5328" w:hanging="360"/>
      </w:pPr>
    </w:lvl>
    <w:lvl w:ilvl="7" w:tplc="28862246" w:tentative="1">
      <w:start w:val="1"/>
      <w:numFmt w:val="lowerLetter"/>
      <w:lvlText w:val="%8."/>
      <w:lvlJc w:val="left"/>
      <w:pPr>
        <w:tabs>
          <w:tab w:val="num" w:pos="6048"/>
        </w:tabs>
        <w:ind w:left="6048" w:hanging="360"/>
      </w:pPr>
    </w:lvl>
    <w:lvl w:ilvl="8" w:tplc="18DE7DF6" w:tentative="1">
      <w:start w:val="1"/>
      <w:numFmt w:val="lowerRoman"/>
      <w:lvlText w:val="%9."/>
      <w:lvlJc w:val="right"/>
      <w:pPr>
        <w:tabs>
          <w:tab w:val="num" w:pos="6768"/>
        </w:tabs>
        <w:ind w:left="6768" w:hanging="180"/>
      </w:pPr>
    </w:lvl>
  </w:abstractNum>
  <w:abstractNum w:abstractNumId="13">
    <w:nsid w:val="307238BC"/>
    <w:multiLevelType w:val="hybridMultilevel"/>
    <w:tmpl w:val="F134029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AA519E"/>
    <w:multiLevelType w:val="hybridMultilevel"/>
    <w:tmpl w:val="0870030E"/>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34A735B5"/>
    <w:multiLevelType w:val="hybridMultilevel"/>
    <w:tmpl w:val="C3087BDE"/>
    <w:lvl w:ilvl="0" w:tplc="F3BE4F68">
      <w:start w:val="16"/>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9663C61"/>
    <w:multiLevelType w:val="multilevel"/>
    <w:tmpl w:val="313AF260"/>
    <w:styleLink w:val="GendocOriginal01PointnumeroteAltNList"/>
    <w:lvl w:ilvl="0">
      <w:start w:val="1"/>
      <w:numFmt w:val="decimal"/>
      <w:pStyle w:val="GendocOriginal01PointnumeroteAltN"/>
      <w:lvlText w:val="%1"/>
      <w:lvlJc w:val="left"/>
      <w:pPr>
        <w:tabs>
          <w:tab w:val="num" w:pos="0"/>
        </w:tabs>
        <w:ind w:left="0" w:hanging="539"/>
      </w:pPr>
      <w:rPr>
        <w:color w:val="000000"/>
      </w:rPr>
    </w:lvl>
    <w:lvl w:ilvl="1">
      <w:start w:val="1"/>
      <w:numFmt w:val="decimal"/>
      <w:lvlText w:val="%2)"/>
      <w:lvlJc w:val="left"/>
      <w:pPr>
        <w:tabs>
          <w:tab w:val="num" w:pos="680"/>
        </w:tabs>
        <w:ind w:left="680" w:hanging="680"/>
      </w:pPr>
      <w:rPr>
        <w:b w:val="0"/>
        <w:bCs w:val="0"/>
        <w:i w:val="0"/>
        <w:iCs w:val="0"/>
        <w:color w:val="000000"/>
      </w:rPr>
    </w:lvl>
    <w:lvl w:ilvl="2">
      <w:start w:val="1"/>
      <w:numFmt w:val="lowerLetter"/>
      <w:lvlText w:val="%3)"/>
      <w:lvlJc w:val="left"/>
      <w:pPr>
        <w:ind w:left="1361" w:hanging="681"/>
      </w:pPr>
      <w:rPr>
        <w:color w:val="000000"/>
      </w:rPr>
    </w:lvl>
    <w:lvl w:ilvl="3">
      <w:start w:val="1"/>
      <w:numFmt w:val="lowerRoman"/>
      <w:lvlText w:val="%4)"/>
      <w:lvlJc w:val="left"/>
      <w:pPr>
        <w:ind w:left="2041" w:hanging="680"/>
      </w:pPr>
      <w:rPr>
        <w:color w:val="000000"/>
      </w:rPr>
    </w:lvl>
    <w:lvl w:ilvl="4">
      <w:start w:val="1"/>
      <w:numFmt w:val="decimal"/>
      <w:lvlText w:val="%5 -"/>
      <w:lvlJc w:val="left"/>
      <w:pPr>
        <w:ind w:left="2722" w:hanging="681"/>
      </w:pPr>
      <w:rPr>
        <w:color w:val="000000"/>
      </w:rPr>
    </w:lvl>
    <w:lvl w:ilvl="5">
      <w:start w:val="1"/>
      <w:numFmt w:val="lowerLetter"/>
      <w:lvlText w:val="%6 -"/>
      <w:lvlJc w:val="left"/>
      <w:pPr>
        <w:ind w:left="3402" w:hanging="680"/>
      </w:pPr>
      <w:rPr>
        <w:color w:val="000000"/>
      </w:rPr>
    </w:lvl>
    <w:lvl w:ilvl="6">
      <w:start w:val="1"/>
      <w:numFmt w:val="bullet"/>
      <w:lvlText w:val=""/>
      <w:lvlJc w:val="left"/>
      <w:pPr>
        <w:tabs>
          <w:tab w:val="num" w:pos="1442"/>
        </w:tabs>
        <w:ind w:left="1442" w:hanging="360"/>
      </w:pPr>
      <w:rPr>
        <w:rFonts w:ascii="Wingdings" w:hAnsi="Wingdings" w:cs="Wingdings"/>
        <w:color w:val="000000"/>
      </w:rPr>
    </w:lvl>
    <w:lvl w:ilvl="7">
      <w:start w:val="1"/>
      <w:numFmt w:val="bullet"/>
      <w:lvlText w:val=""/>
      <w:lvlJc w:val="left"/>
      <w:pPr>
        <w:tabs>
          <w:tab w:val="num" w:pos="1802"/>
        </w:tabs>
        <w:ind w:left="1802" w:hanging="360"/>
      </w:pPr>
      <w:rPr>
        <w:rFonts w:ascii="Wingdings" w:hAnsi="Wingdings" w:cs="Wingdings"/>
        <w:color w:val="000000"/>
      </w:rPr>
    </w:lvl>
    <w:lvl w:ilvl="8">
      <w:start w:val="1"/>
      <w:numFmt w:val="bullet"/>
      <w:lvlText w:val=""/>
      <w:lvlJc w:val="left"/>
      <w:pPr>
        <w:tabs>
          <w:tab w:val="num" w:pos="2162"/>
        </w:tabs>
        <w:ind w:left="2162" w:hanging="360"/>
      </w:pPr>
      <w:rPr>
        <w:rFonts w:ascii="Wingdings" w:hAnsi="Wingdings" w:cs="Wingdings"/>
        <w:color w:val="000000"/>
      </w:rPr>
    </w:lvl>
  </w:abstractNum>
  <w:abstractNum w:abstractNumId="17">
    <w:nsid w:val="3FCF206C"/>
    <w:multiLevelType w:val="hybridMultilevel"/>
    <w:tmpl w:val="80F6DFB6"/>
    <w:lvl w:ilvl="0" w:tplc="F88CD748">
      <w:numFmt w:val="bullet"/>
      <w:lvlText w:val="-"/>
      <w:lvlJc w:val="left"/>
      <w:pPr>
        <w:ind w:left="360" w:hanging="360"/>
      </w:pPr>
      <w:rPr>
        <w:rFonts w:ascii="Verdana" w:eastAsia="Times New Roman" w:hAnsi="Verdana"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FB104A"/>
    <w:multiLevelType w:val="hybridMultilevel"/>
    <w:tmpl w:val="EF401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4F0FBA"/>
    <w:multiLevelType w:val="hybridMultilevel"/>
    <w:tmpl w:val="27A07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945C81"/>
    <w:multiLevelType w:val="hybridMultilevel"/>
    <w:tmpl w:val="5FE2E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9954EB"/>
    <w:multiLevelType w:val="hybridMultilevel"/>
    <w:tmpl w:val="157E0546"/>
    <w:lvl w:ilvl="0" w:tplc="40BCDF06">
      <w:start w:val="1"/>
      <w:numFmt w:val="lowerLetter"/>
      <w:lvlText w:val="%1)"/>
      <w:lvlJc w:val="left"/>
      <w:pPr>
        <w:tabs>
          <w:tab w:val="num" w:pos="720"/>
        </w:tabs>
        <w:ind w:left="720" w:hanging="360"/>
      </w:pPr>
    </w:lvl>
    <w:lvl w:ilvl="1" w:tplc="892E2D0E" w:tentative="1">
      <w:start w:val="1"/>
      <w:numFmt w:val="lowerLetter"/>
      <w:lvlText w:val="%2."/>
      <w:lvlJc w:val="left"/>
      <w:pPr>
        <w:tabs>
          <w:tab w:val="num" w:pos="1440"/>
        </w:tabs>
        <w:ind w:left="1440" w:hanging="360"/>
      </w:pPr>
    </w:lvl>
    <w:lvl w:ilvl="2" w:tplc="FF32DCBA" w:tentative="1">
      <w:start w:val="1"/>
      <w:numFmt w:val="lowerRoman"/>
      <w:lvlText w:val="%3."/>
      <w:lvlJc w:val="right"/>
      <w:pPr>
        <w:tabs>
          <w:tab w:val="num" w:pos="2160"/>
        </w:tabs>
        <w:ind w:left="2160" w:hanging="180"/>
      </w:pPr>
    </w:lvl>
    <w:lvl w:ilvl="3" w:tplc="8DBA9E08" w:tentative="1">
      <w:start w:val="1"/>
      <w:numFmt w:val="decimal"/>
      <w:lvlText w:val="%4."/>
      <w:lvlJc w:val="left"/>
      <w:pPr>
        <w:tabs>
          <w:tab w:val="num" w:pos="2880"/>
        </w:tabs>
        <w:ind w:left="2880" w:hanging="360"/>
      </w:pPr>
    </w:lvl>
    <w:lvl w:ilvl="4" w:tplc="27FC5A6A" w:tentative="1">
      <w:start w:val="1"/>
      <w:numFmt w:val="lowerLetter"/>
      <w:lvlText w:val="%5."/>
      <w:lvlJc w:val="left"/>
      <w:pPr>
        <w:tabs>
          <w:tab w:val="num" w:pos="3600"/>
        </w:tabs>
        <w:ind w:left="3600" w:hanging="360"/>
      </w:pPr>
    </w:lvl>
    <w:lvl w:ilvl="5" w:tplc="EAA66C34" w:tentative="1">
      <w:start w:val="1"/>
      <w:numFmt w:val="lowerRoman"/>
      <w:lvlText w:val="%6."/>
      <w:lvlJc w:val="right"/>
      <w:pPr>
        <w:tabs>
          <w:tab w:val="num" w:pos="4320"/>
        </w:tabs>
        <w:ind w:left="4320" w:hanging="180"/>
      </w:pPr>
    </w:lvl>
    <w:lvl w:ilvl="6" w:tplc="66E01A26" w:tentative="1">
      <w:start w:val="1"/>
      <w:numFmt w:val="decimal"/>
      <w:lvlText w:val="%7."/>
      <w:lvlJc w:val="left"/>
      <w:pPr>
        <w:tabs>
          <w:tab w:val="num" w:pos="5040"/>
        </w:tabs>
        <w:ind w:left="5040" w:hanging="360"/>
      </w:pPr>
    </w:lvl>
    <w:lvl w:ilvl="7" w:tplc="93FCBB5C" w:tentative="1">
      <w:start w:val="1"/>
      <w:numFmt w:val="lowerLetter"/>
      <w:lvlText w:val="%8."/>
      <w:lvlJc w:val="left"/>
      <w:pPr>
        <w:tabs>
          <w:tab w:val="num" w:pos="5760"/>
        </w:tabs>
        <w:ind w:left="5760" w:hanging="360"/>
      </w:pPr>
    </w:lvl>
    <w:lvl w:ilvl="8" w:tplc="3D02CDA0" w:tentative="1">
      <w:start w:val="1"/>
      <w:numFmt w:val="lowerRoman"/>
      <w:lvlText w:val="%9."/>
      <w:lvlJc w:val="right"/>
      <w:pPr>
        <w:tabs>
          <w:tab w:val="num" w:pos="6480"/>
        </w:tabs>
        <w:ind w:left="6480" w:hanging="180"/>
      </w:pPr>
    </w:lvl>
  </w:abstractNum>
  <w:abstractNum w:abstractNumId="22">
    <w:nsid w:val="4A11218B"/>
    <w:multiLevelType w:val="hybridMultilevel"/>
    <w:tmpl w:val="F2DA3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A432656"/>
    <w:multiLevelType w:val="multilevel"/>
    <w:tmpl w:val="4238C89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rPr>
        <w:rFonts w:ascii="Times New Roman" w:hAnsi="Times New Roman"/>
        <w:b w:val="0"/>
        <w:bCs w:val="0"/>
        <w:i w:val="0"/>
        <w:iCs w:val="0"/>
        <w:caps w:val="0"/>
        <w:smallCaps w:val="0"/>
        <w:strike w:val="0"/>
        <w:dstrike w:val="0"/>
        <w:color w:val="0000FF"/>
        <w:spacing w:val="0"/>
        <w:w w:val="100"/>
        <w:kern w:val="0"/>
        <w:position w:val="0"/>
        <w:sz w:val="24"/>
        <w:u w:val="none"/>
        <w:effect w:val="none"/>
        <w:bdr w:val="none" w:sz="0" w:space="0" w:color="auto"/>
        <w:shd w:val="clear" w:color="auto" w:fill="auto"/>
        <w:em w:val="none"/>
      </w:r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A567739"/>
    <w:multiLevelType w:val="hybridMultilevel"/>
    <w:tmpl w:val="511C383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BB46D29"/>
    <w:multiLevelType w:val="hybridMultilevel"/>
    <w:tmpl w:val="F85440A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6">
    <w:nsid w:val="4F3916C7"/>
    <w:multiLevelType w:val="hybridMultilevel"/>
    <w:tmpl w:val="0F522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D3520E"/>
    <w:multiLevelType w:val="hybridMultilevel"/>
    <w:tmpl w:val="59B60DD0"/>
    <w:lvl w:ilvl="0" w:tplc="8DAEF734">
      <w:start w:val="1"/>
      <w:numFmt w:val="decimal"/>
      <w:lvlText w:val="%1."/>
      <w:lvlJc w:val="left"/>
      <w:pPr>
        <w:tabs>
          <w:tab w:val="num" w:pos="720"/>
        </w:tabs>
        <w:ind w:left="720" w:hanging="360"/>
      </w:pPr>
    </w:lvl>
    <w:lvl w:ilvl="1" w:tplc="1DFE212E" w:tentative="1">
      <w:start w:val="1"/>
      <w:numFmt w:val="lowerLetter"/>
      <w:lvlText w:val="%2."/>
      <w:lvlJc w:val="left"/>
      <w:pPr>
        <w:tabs>
          <w:tab w:val="num" w:pos="1440"/>
        </w:tabs>
        <w:ind w:left="1440" w:hanging="360"/>
      </w:pPr>
    </w:lvl>
    <w:lvl w:ilvl="2" w:tplc="3F2A7DB8" w:tentative="1">
      <w:start w:val="1"/>
      <w:numFmt w:val="lowerRoman"/>
      <w:lvlText w:val="%3."/>
      <w:lvlJc w:val="right"/>
      <w:pPr>
        <w:tabs>
          <w:tab w:val="num" w:pos="2160"/>
        </w:tabs>
        <w:ind w:left="2160" w:hanging="180"/>
      </w:pPr>
    </w:lvl>
    <w:lvl w:ilvl="3" w:tplc="97E487C6" w:tentative="1">
      <w:start w:val="1"/>
      <w:numFmt w:val="decimal"/>
      <w:lvlText w:val="%4."/>
      <w:lvlJc w:val="left"/>
      <w:pPr>
        <w:tabs>
          <w:tab w:val="num" w:pos="2880"/>
        </w:tabs>
        <w:ind w:left="2880" w:hanging="360"/>
      </w:pPr>
    </w:lvl>
    <w:lvl w:ilvl="4" w:tplc="4E5EC596" w:tentative="1">
      <w:start w:val="1"/>
      <w:numFmt w:val="lowerLetter"/>
      <w:lvlText w:val="%5."/>
      <w:lvlJc w:val="left"/>
      <w:pPr>
        <w:tabs>
          <w:tab w:val="num" w:pos="3600"/>
        </w:tabs>
        <w:ind w:left="3600" w:hanging="360"/>
      </w:pPr>
    </w:lvl>
    <w:lvl w:ilvl="5" w:tplc="A2CE61F2" w:tentative="1">
      <w:start w:val="1"/>
      <w:numFmt w:val="lowerRoman"/>
      <w:lvlText w:val="%6."/>
      <w:lvlJc w:val="right"/>
      <w:pPr>
        <w:tabs>
          <w:tab w:val="num" w:pos="4320"/>
        </w:tabs>
        <w:ind w:left="4320" w:hanging="180"/>
      </w:pPr>
    </w:lvl>
    <w:lvl w:ilvl="6" w:tplc="F7866854" w:tentative="1">
      <w:start w:val="1"/>
      <w:numFmt w:val="decimal"/>
      <w:lvlText w:val="%7."/>
      <w:lvlJc w:val="left"/>
      <w:pPr>
        <w:tabs>
          <w:tab w:val="num" w:pos="5040"/>
        </w:tabs>
        <w:ind w:left="5040" w:hanging="360"/>
      </w:pPr>
    </w:lvl>
    <w:lvl w:ilvl="7" w:tplc="DF9C0AA2" w:tentative="1">
      <w:start w:val="1"/>
      <w:numFmt w:val="lowerLetter"/>
      <w:lvlText w:val="%8."/>
      <w:lvlJc w:val="left"/>
      <w:pPr>
        <w:tabs>
          <w:tab w:val="num" w:pos="5760"/>
        </w:tabs>
        <w:ind w:left="5760" w:hanging="360"/>
      </w:pPr>
    </w:lvl>
    <w:lvl w:ilvl="8" w:tplc="6B4808E0" w:tentative="1">
      <w:start w:val="1"/>
      <w:numFmt w:val="lowerRoman"/>
      <w:lvlText w:val="%9."/>
      <w:lvlJc w:val="right"/>
      <w:pPr>
        <w:tabs>
          <w:tab w:val="num" w:pos="6480"/>
        </w:tabs>
        <w:ind w:left="6480" w:hanging="180"/>
      </w:pPr>
    </w:lvl>
  </w:abstractNum>
  <w:abstractNum w:abstractNumId="28">
    <w:nsid w:val="53117CF2"/>
    <w:multiLevelType w:val="hybridMultilevel"/>
    <w:tmpl w:val="F1340290"/>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546B477B"/>
    <w:multiLevelType w:val="singleLevel"/>
    <w:tmpl w:val="7254A01C"/>
    <w:lvl w:ilvl="0">
      <w:numFmt w:val="bullet"/>
      <w:lvlText w:val="-"/>
      <w:lvlJc w:val="left"/>
      <w:pPr>
        <w:tabs>
          <w:tab w:val="num" w:pos="360"/>
        </w:tabs>
        <w:ind w:left="360" w:hanging="360"/>
      </w:pPr>
      <w:rPr>
        <w:rFonts w:hint="default"/>
      </w:rPr>
    </w:lvl>
  </w:abstractNum>
  <w:abstractNum w:abstractNumId="30">
    <w:nsid w:val="573B4D48"/>
    <w:multiLevelType w:val="hybridMultilevel"/>
    <w:tmpl w:val="18361FFA"/>
    <w:lvl w:ilvl="0" w:tplc="5E32336C">
      <w:start w:val="1"/>
      <w:numFmt w:val="decimal"/>
      <w:lvlText w:val="%1."/>
      <w:lvlJc w:val="left"/>
      <w:pPr>
        <w:tabs>
          <w:tab w:val="num" w:pos="540"/>
        </w:tabs>
        <w:ind w:left="540" w:hanging="360"/>
      </w:pPr>
    </w:lvl>
    <w:lvl w:ilvl="1" w:tplc="058AE434" w:tentative="1">
      <w:start w:val="1"/>
      <w:numFmt w:val="lowerLetter"/>
      <w:lvlText w:val="%2."/>
      <w:lvlJc w:val="left"/>
      <w:pPr>
        <w:tabs>
          <w:tab w:val="num" w:pos="1260"/>
        </w:tabs>
        <w:ind w:left="1260" w:hanging="360"/>
      </w:pPr>
    </w:lvl>
    <w:lvl w:ilvl="2" w:tplc="34868762" w:tentative="1">
      <w:start w:val="1"/>
      <w:numFmt w:val="lowerRoman"/>
      <w:lvlText w:val="%3."/>
      <w:lvlJc w:val="right"/>
      <w:pPr>
        <w:tabs>
          <w:tab w:val="num" w:pos="1980"/>
        </w:tabs>
        <w:ind w:left="1980" w:hanging="180"/>
      </w:pPr>
    </w:lvl>
    <w:lvl w:ilvl="3" w:tplc="2962F6CC" w:tentative="1">
      <w:start w:val="1"/>
      <w:numFmt w:val="decimal"/>
      <w:lvlText w:val="%4."/>
      <w:lvlJc w:val="left"/>
      <w:pPr>
        <w:tabs>
          <w:tab w:val="num" w:pos="2700"/>
        </w:tabs>
        <w:ind w:left="2700" w:hanging="360"/>
      </w:pPr>
    </w:lvl>
    <w:lvl w:ilvl="4" w:tplc="B7F4A6C0" w:tentative="1">
      <w:start w:val="1"/>
      <w:numFmt w:val="lowerLetter"/>
      <w:lvlText w:val="%5."/>
      <w:lvlJc w:val="left"/>
      <w:pPr>
        <w:tabs>
          <w:tab w:val="num" w:pos="3420"/>
        </w:tabs>
        <w:ind w:left="3420" w:hanging="360"/>
      </w:pPr>
    </w:lvl>
    <w:lvl w:ilvl="5" w:tplc="985EF3B8" w:tentative="1">
      <w:start w:val="1"/>
      <w:numFmt w:val="lowerRoman"/>
      <w:lvlText w:val="%6."/>
      <w:lvlJc w:val="right"/>
      <w:pPr>
        <w:tabs>
          <w:tab w:val="num" w:pos="4140"/>
        </w:tabs>
        <w:ind w:left="4140" w:hanging="180"/>
      </w:pPr>
    </w:lvl>
    <w:lvl w:ilvl="6" w:tplc="8146F532" w:tentative="1">
      <w:start w:val="1"/>
      <w:numFmt w:val="decimal"/>
      <w:lvlText w:val="%7."/>
      <w:lvlJc w:val="left"/>
      <w:pPr>
        <w:tabs>
          <w:tab w:val="num" w:pos="4860"/>
        </w:tabs>
        <w:ind w:left="4860" w:hanging="360"/>
      </w:pPr>
    </w:lvl>
    <w:lvl w:ilvl="7" w:tplc="23605E42" w:tentative="1">
      <w:start w:val="1"/>
      <w:numFmt w:val="lowerLetter"/>
      <w:lvlText w:val="%8."/>
      <w:lvlJc w:val="left"/>
      <w:pPr>
        <w:tabs>
          <w:tab w:val="num" w:pos="5580"/>
        </w:tabs>
        <w:ind w:left="5580" w:hanging="360"/>
      </w:pPr>
    </w:lvl>
    <w:lvl w:ilvl="8" w:tplc="9F227968" w:tentative="1">
      <w:start w:val="1"/>
      <w:numFmt w:val="lowerRoman"/>
      <w:lvlText w:val="%9."/>
      <w:lvlJc w:val="right"/>
      <w:pPr>
        <w:tabs>
          <w:tab w:val="num" w:pos="6300"/>
        </w:tabs>
        <w:ind w:left="6300" w:hanging="180"/>
      </w:pPr>
    </w:lvl>
  </w:abstractNum>
  <w:abstractNum w:abstractNumId="31">
    <w:nsid w:val="57D26EC2"/>
    <w:multiLevelType w:val="hybridMultilevel"/>
    <w:tmpl w:val="A13E4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CF74B9"/>
    <w:multiLevelType w:val="hybridMultilevel"/>
    <w:tmpl w:val="609A8E5E"/>
    <w:lvl w:ilvl="0" w:tplc="9E0E058C">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5FCB2EFF"/>
    <w:multiLevelType w:val="hybridMultilevel"/>
    <w:tmpl w:val="4A60B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0EE4E5A"/>
    <w:multiLevelType w:val="singleLevel"/>
    <w:tmpl w:val="04090001"/>
    <w:lvl w:ilvl="0">
      <w:start w:val="1"/>
      <w:numFmt w:val="bullet"/>
      <w:lvlText w:val=""/>
      <w:lvlJc w:val="left"/>
      <w:pPr>
        <w:ind w:left="720" w:hanging="360"/>
      </w:pPr>
      <w:rPr>
        <w:rFonts w:ascii="Symbol" w:hAnsi="Symbol" w:hint="default"/>
      </w:rPr>
    </w:lvl>
  </w:abstractNum>
  <w:abstractNum w:abstractNumId="35">
    <w:nsid w:val="61262B66"/>
    <w:multiLevelType w:val="hybridMultilevel"/>
    <w:tmpl w:val="0CF2E906"/>
    <w:lvl w:ilvl="0" w:tplc="F71C9F02">
      <w:start w:val="1"/>
      <w:numFmt w:val="bullet"/>
      <w:pStyle w:val="Par-numbera"/>
      <w:lvlText w:val=""/>
      <w:lvlJc w:val="left"/>
      <w:pPr>
        <w:tabs>
          <w:tab w:val="num" w:pos="720"/>
        </w:tabs>
        <w:ind w:left="720" w:hanging="360"/>
      </w:pPr>
      <w:rPr>
        <w:rFonts w:ascii="Symbol" w:hAnsi="Symbol" w:hint="default"/>
      </w:rPr>
    </w:lvl>
    <w:lvl w:ilvl="1" w:tplc="BFD028CA">
      <w:start w:val="1"/>
      <w:numFmt w:val="decimal"/>
      <w:lvlText w:val="%2."/>
      <w:lvlJc w:val="left"/>
      <w:pPr>
        <w:tabs>
          <w:tab w:val="num" w:pos="1440"/>
        </w:tabs>
        <w:ind w:left="1440" w:hanging="360"/>
      </w:pPr>
    </w:lvl>
    <w:lvl w:ilvl="2" w:tplc="4A0874CE">
      <w:start w:val="1"/>
      <w:numFmt w:val="decimal"/>
      <w:lvlText w:val="%3."/>
      <w:lvlJc w:val="left"/>
      <w:pPr>
        <w:tabs>
          <w:tab w:val="num" w:pos="2160"/>
        </w:tabs>
        <w:ind w:left="2160" w:hanging="360"/>
      </w:pPr>
    </w:lvl>
    <w:lvl w:ilvl="3" w:tplc="80A80D4A">
      <w:start w:val="1"/>
      <w:numFmt w:val="decimal"/>
      <w:lvlText w:val="%4."/>
      <w:lvlJc w:val="left"/>
      <w:pPr>
        <w:tabs>
          <w:tab w:val="num" w:pos="2880"/>
        </w:tabs>
        <w:ind w:left="2880" w:hanging="360"/>
      </w:pPr>
    </w:lvl>
    <w:lvl w:ilvl="4" w:tplc="41A02766">
      <w:start w:val="1"/>
      <w:numFmt w:val="decimal"/>
      <w:lvlText w:val="%5."/>
      <w:lvlJc w:val="left"/>
      <w:pPr>
        <w:tabs>
          <w:tab w:val="num" w:pos="3600"/>
        </w:tabs>
        <w:ind w:left="3600" w:hanging="360"/>
      </w:pPr>
    </w:lvl>
    <w:lvl w:ilvl="5" w:tplc="EA4ADD74">
      <w:start w:val="1"/>
      <w:numFmt w:val="decimal"/>
      <w:lvlText w:val="%6."/>
      <w:lvlJc w:val="left"/>
      <w:pPr>
        <w:tabs>
          <w:tab w:val="num" w:pos="4320"/>
        </w:tabs>
        <w:ind w:left="4320" w:hanging="360"/>
      </w:pPr>
    </w:lvl>
    <w:lvl w:ilvl="6" w:tplc="2B12B3DC">
      <w:start w:val="1"/>
      <w:numFmt w:val="decimal"/>
      <w:lvlText w:val="%7."/>
      <w:lvlJc w:val="left"/>
      <w:pPr>
        <w:tabs>
          <w:tab w:val="num" w:pos="5040"/>
        </w:tabs>
        <w:ind w:left="5040" w:hanging="360"/>
      </w:pPr>
    </w:lvl>
    <w:lvl w:ilvl="7" w:tplc="7EDEA5DE">
      <w:start w:val="1"/>
      <w:numFmt w:val="decimal"/>
      <w:lvlText w:val="%8."/>
      <w:lvlJc w:val="left"/>
      <w:pPr>
        <w:tabs>
          <w:tab w:val="num" w:pos="5760"/>
        </w:tabs>
        <w:ind w:left="5760" w:hanging="360"/>
      </w:pPr>
    </w:lvl>
    <w:lvl w:ilvl="8" w:tplc="D3BA06D0">
      <w:start w:val="1"/>
      <w:numFmt w:val="decimal"/>
      <w:lvlText w:val="%9."/>
      <w:lvlJc w:val="left"/>
      <w:pPr>
        <w:tabs>
          <w:tab w:val="num" w:pos="6480"/>
        </w:tabs>
        <w:ind w:left="6480" w:hanging="360"/>
      </w:pPr>
    </w:lvl>
  </w:abstractNum>
  <w:abstractNum w:abstractNumId="36">
    <w:nsid w:val="6507163A"/>
    <w:multiLevelType w:val="hybridMultilevel"/>
    <w:tmpl w:val="CAC46156"/>
    <w:lvl w:ilvl="0" w:tplc="DFFA2B8A">
      <w:start w:val="1"/>
      <w:numFmt w:val="bullet"/>
      <w:lvlText w:val=""/>
      <w:lvlJc w:val="left"/>
      <w:pPr>
        <w:tabs>
          <w:tab w:val="num" w:pos="363"/>
        </w:tabs>
        <w:ind w:left="363" w:hanging="360"/>
      </w:pPr>
      <w:rPr>
        <w:rFonts w:ascii="Symbol" w:hAnsi="Symbol" w:hint="default"/>
      </w:rPr>
    </w:lvl>
    <w:lvl w:ilvl="1" w:tplc="98DCC24A" w:tentative="1">
      <w:start w:val="1"/>
      <w:numFmt w:val="bullet"/>
      <w:lvlText w:val="o"/>
      <w:lvlJc w:val="left"/>
      <w:pPr>
        <w:tabs>
          <w:tab w:val="num" w:pos="1083"/>
        </w:tabs>
        <w:ind w:left="1083" w:hanging="360"/>
      </w:pPr>
      <w:rPr>
        <w:rFonts w:ascii="Courier New" w:hAnsi="Courier New" w:cs="Courier New" w:hint="default"/>
      </w:rPr>
    </w:lvl>
    <w:lvl w:ilvl="2" w:tplc="1256CC9E" w:tentative="1">
      <w:start w:val="1"/>
      <w:numFmt w:val="bullet"/>
      <w:lvlText w:val=""/>
      <w:lvlJc w:val="left"/>
      <w:pPr>
        <w:tabs>
          <w:tab w:val="num" w:pos="1803"/>
        </w:tabs>
        <w:ind w:left="1803" w:hanging="360"/>
      </w:pPr>
      <w:rPr>
        <w:rFonts w:ascii="Wingdings" w:hAnsi="Wingdings" w:hint="default"/>
      </w:rPr>
    </w:lvl>
    <w:lvl w:ilvl="3" w:tplc="5C4ADCD2" w:tentative="1">
      <w:start w:val="1"/>
      <w:numFmt w:val="bullet"/>
      <w:lvlText w:val=""/>
      <w:lvlJc w:val="left"/>
      <w:pPr>
        <w:tabs>
          <w:tab w:val="num" w:pos="2523"/>
        </w:tabs>
        <w:ind w:left="2523" w:hanging="360"/>
      </w:pPr>
      <w:rPr>
        <w:rFonts w:ascii="Symbol" w:hAnsi="Symbol" w:hint="default"/>
      </w:rPr>
    </w:lvl>
    <w:lvl w:ilvl="4" w:tplc="19C295BE" w:tentative="1">
      <w:start w:val="1"/>
      <w:numFmt w:val="bullet"/>
      <w:lvlText w:val="o"/>
      <w:lvlJc w:val="left"/>
      <w:pPr>
        <w:tabs>
          <w:tab w:val="num" w:pos="3243"/>
        </w:tabs>
        <w:ind w:left="3243" w:hanging="360"/>
      </w:pPr>
      <w:rPr>
        <w:rFonts w:ascii="Courier New" w:hAnsi="Courier New" w:cs="Courier New" w:hint="default"/>
      </w:rPr>
    </w:lvl>
    <w:lvl w:ilvl="5" w:tplc="05AC189C" w:tentative="1">
      <w:start w:val="1"/>
      <w:numFmt w:val="bullet"/>
      <w:lvlText w:val=""/>
      <w:lvlJc w:val="left"/>
      <w:pPr>
        <w:tabs>
          <w:tab w:val="num" w:pos="3963"/>
        </w:tabs>
        <w:ind w:left="3963" w:hanging="360"/>
      </w:pPr>
      <w:rPr>
        <w:rFonts w:ascii="Wingdings" w:hAnsi="Wingdings" w:hint="default"/>
      </w:rPr>
    </w:lvl>
    <w:lvl w:ilvl="6" w:tplc="67F47024" w:tentative="1">
      <w:start w:val="1"/>
      <w:numFmt w:val="bullet"/>
      <w:lvlText w:val=""/>
      <w:lvlJc w:val="left"/>
      <w:pPr>
        <w:tabs>
          <w:tab w:val="num" w:pos="4683"/>
        </w:tabs>
        <w:ind w:left="4683" w:hanging="360"/>
      </w:pPr>
      <w:rPr>
        <w:rFonts w:ascii="Symbol" w:hAnsi="Symbol" w:hint="default"/>
      </w:rPr>
    </w:lvl>
    <w:lvl w:ilvl="7" w:tplc="74B0ED72" w:tentative="1">
      <w:start w:val="1"/>
      <w:numFmt w:val="bullet"/>
      <w:lvlText w:val="o"/>
      <w:lvlJc w:val="left"/>
      <w:pPr>
        <w:tabs>
          <w:tab w:val="num" w:pos="5403"/>
        </w:tabs>
        <w:ind w:left="5403" w:hanging="360"/>
      </w:pPr>
      <w:rPr>
        <w:rFonts w:ascii="Courier New" w:hAnsi="Courier New" w:cs="Courier New" w:hint="default"/>
      </w:rPr>
    </w:lvl>
    <w:lvl w:ilvl="8" w:tplc="BF162A3A" w:tentative="1">
      <w:start w:val="1"/>
      <w:numFmt w:val="bullet"/>
      <w:lvlText w:val=""/>
      <w:lvlJc w:val="left"/>
      <w:pPr>
        <w:tabs>
          <w:tab w:val="num" w:pos="6123"/>
        </w:tabs>
        <w:ind w:left="6123" w:hanging="360"/>
      </w:pPr>
      <w:rPr>
        <w:rFonts w:ascii="Wingdings" w:hAnsi="Wingdings" w:hint="default"/>
      </w:rPr>
    </w:lvl>
  </w:abstractNum>
  <w:abstractNum w:abstractNumId="37">
    <w:nsid w:val="66DE2039"/>
    <w:multiLevelType w:val="hybridMultilevel"/>
    <w:tmpl w:val="FE5EEA0E"/>
    <w:lvl w:ilvl="0" w:tplc="DD5CC516">
      <w:start w:val="1"/>
      <w:numFmt w:val="lowerLetter"/>
      <w:lvlText w:val="%1)"/>
      <w:lvlJc w:val="left"/>
      <w:pPr>
        <w:ind w:left="360" w:hanging="360"/>
      </w:pPr>
      <w:rPr>
        <w:rFonts w:asciiTheme="minorHAnsi" w:eastAsiaTheme="minorHAnsi" w:hAnsiTheme="minorHAnsi" w:cstheme="minorBid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nsid w:val="670E47E3"/>
    <w:multiLevelType w:val="hybridMultilevel"/>
    <w:tmpl w:val="34A02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B7F2D9A"/>
    <w:multiLevelType w:val="hybridMultilevel"/>
    <w:tmpl w:val="18361FFA"/>
    <w:lvl w:ilvl="0" w:tplc="491AEC94">
      <w:start w:val="1"/>
      <w:numFmt w:val="decimal"/>
      <w:lvlText w:val="%1."/>
      <w:lvlJc w:val="left"/>
      <w:pPr>
        <w:tabs>
          <w:tab w:val="num" w:pos="540"/>
        </w:tabs>
        <w:ind w:left="540" w:hanging="360"/>
      </w:pPr>
    </w:lvl>
    <w:lvl w:ilvl="1" w:tplc="897A8E44" w:tentative="1">
      <w:start w:val="1"/>
      <w:numFmt w:val="lowerLetter"/>
      <w:lvlText w:val="%2."/>
      <w:lvlJc w:val="left"/>
      <w:pPr>
        <w:tabs>
          <w:tab w:val="num" w:pos="1260"/>
        </w:tabs>
        <w:ind w:left="1260" w:hanging="360"/>
      </w:pPr>
    </w:lvl>
    <w:lvl w:ilvl="2" w:tplc="56EC359A" w:tentative="1">
      <w:start w:val="1"/>
      <w:numFmt w:val="lowerRoman"/>
      <w:lvlText w:val="%3."/>
      <w:lvlJc w:val="right"/>
      <w:pPr>
        <w:tabs>
          <w:tab w:val="num" w:pos="1980"/>
        </w:tabs>
        <w:ind w:left="1980" w:hanging="180"/>
      </w:pPr>
    </w:lvl>
    <w:lvl w:ilvl="3" w:tplc="A8C65BDE" w:tentative="1">
      <w:start w:val="1"/>
      <w:numFmt w:val="decimal"/>
      <w:lvlText w:val="%4."/>
      <w:lvlJc w:val="left"/>
      <w:pPr>
        <w:tabs>
          <w:tab w:val="num" w:pos="2700"/>
        </w:tabs>
        <w:ind w:left="2700" w:hanging="360"/>
      </w:pPr>
    </w:lvl>
    <w:lvl w:ilvl="4" w:tplc="C46CEB0C" w:tentative="1">
      <w:start w:val="1"/>
      <w:numFmt w:val="lowerLetter"/>
      <w:lvlText w:val="%5."/>
      <w:lvlJc w:val="left"/>
      <w:pPr>
        <w:tabs>
          <w:tab w:val="num" w:pos="3420"/>
        </w:tabs>
        <w:ind w:left="3420" w:hanging="360"/>
      </w:pPr>
    </w:lvl>
    <w:lvl w:ilvl="5" w:tplc="CEC4B5A2" w:tentative="1">
      <w:start w:val="1"/>
      <w:numFmt w:val="lowerRoman"/>
      <w:lvlText w:val="%6."/>
      <w:lvlJc w:val="right"/>
      <w:pPr>
        <w:tabs>
          <w:tab w:val="num" w:pos="4140"/>
        </w:tabs>
        <w:ind w:left="4140" w:hanging="180"/>
      </w:pPr>
    </w:lvl>
    <w:lvl w:ilvl="6" w:tplc="976458B8" w:tentative="1">
      <w:start w:val="1"/>
      <w:numFmt w:val="decimal"/>
      <w:lvlText w:val="%7."/>
      <w:lvlJc w:val="left"/>
      <w:pPr>
        <w:tabs>
          <w:tab w:val="num" w:pos="4860"/>
        </w:tabs>
        <w:ind w:left="4860" w:hanging="360"/>
      </w:pPr>
    </w:lvl>
    <w:lvl w:ilvl="7" w:tplc="02225398" w:tentative="1">
      <w:start w:val="1"/>
      <w:numFmt w:val="lowerLetter"/>
      <w:lvlText w:val="%8."/>
      <w:lvlJc w:val="left"/>
      <w:pPr>
        <w:tabs>
          <w:tab w:val="num" w:pos="5580"/>
        </w:tabs>
        <w:ind w:left="5580" w:hanging="360"/>
      </w:pPr>
    </w:lvl>
    <w:lvl w:ilvl="8" w:tplc="78223B2E" w:tentative="1">
      <w:start w:val="1"/>
      <w:numFmt w:val="lowerRoman"/>
      <w:lvlText w:val="%9."/>
      <w:lvlJc w:val="right"/>
      <w:pPr>
        <w:tabs>
          <w:tab w:val="num" w:pos="6300"/>
        </w:tabs>
        <w:ind w:left="6300" w:hanging="180"/>
      </w:pPr>
    </w:lvl>
  </w:abstractNum>
  <w:abstractNum w:abstractNumId="40">
    <w:nsid w:val="6C1B1AEC"/>
    <w:multiLevelType w:val="hybridMultilevel"/>
    <w:tmpl w:val="303CDA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D2B69AC"/>
    <w:multiLevelType w:val="multilevel"/>
    <w:tmpl w:val="87C4D80A"/>
    <w:styleLink w:val="01PointnumeroteAltNList"/>
    <w:lvl w:ilvl="0">
      <w:start w:val="1"/>
      <w:numFmt w:val="decimal"/>
      <w:pStyle w:val="01PointnumeroteAltN"/>
      <w:lvlText w:val="%1"/>
      <w:lvlJc w:val="left"/>
      <w:pPr>
        <w:tabs>
          <w:tab w:val="num" w:pos="0"/>
        </w:tabs>
        <w:ind w:left="0" w:hanging="539"/>
      </w:pPr>
      <w:rPr>
        <w:color w:val="000000"/>
      </w:rPr>
    </w:lvl>
    <w:lvl w:ilvl="1">
      <w:start w:val="1"/>
      <w:numFmt w:val="decimal"/>
      <w:lvlText w:val="%2)"/>
      <w:lvlJc w:val="left"/>
      <w:pPr>
        <w:tabs>
          <w:tab w:val="num" w:pos="680"/>
        </w:tabs>
        <w:ind w:left="680" w:hanging="680"/>
      </w:pPr>
      <w:rPr>
        <w:b w:val="0"/>
        <w:bCs w:val="0"/>
        <w:i w:val="0"/>
        <w:iCs w:val="0"/>
        <w:color w:val="000000"/>
      </w:rPr>
    </w:lvl>
    <w:lvl w:ilvl="2">
      <w:start w:val="1"/>
      <w:numFmt w:val="lowerLetter"/>
      <w:lvlText w:val="%3)"/>
      <w:lvlJc w:val="left"/>
      <w:pPr>
        <w:ind w:left="1361" w:hanging="681"/>
      </w:pPr>
      <w:rPr>
        <w:color w:val="000000"/>
      </w:rPr>
    </w:lvl>
    <w:lvl w:ilvl="3">
      <w:start w:val="1"/>
      <w:numFmt w:val="lowerRoman"/>
      <w:lvlText w:val="%4)"/>
      <w:lvlJc w:val="left"/>
      <w:pPr>
        <w:ind w:left="2041" w:hanging="680"/>
      </w:pPr>
      <w:rPr>
        <w:color w:val="000000"/>
      </w:rPr>
    </w:lvl>
    <w:lvl w:ilvl="4">
      <w:start w:val="1"/>
      <w:numFmt w:val="decimal"/>
      <w:lvlText w:val="%5 -"/>
      <w:lvlJc w:val="left"/>
      <w:pPr>
        <w:ind w:left="2722" w:hanging="681"/>
      </w:pPr>
      <w:rPr>
        <w:color w:val="000000"/>
      </w:rPr>
    </w:lvl>
    <w:lvl w:ilvl="5">
      <w:start w:val="1"/>
      <w:numFmt w:val="lowerLetter"/>
      <w:lvlText w:val="%6 -"/>
      <w:lvlJc w:val="left"/>
      <w:pPr>
        <w:ind w:left="3402" w:hanging="680"/>
      </w:pPr>
      <w:rPr>
        <w:color w:val="000000"/>
      </w:rPr>
    </w:lvl>
    <w:lvl w:ilvl="6">
      <w:start w:val="1"/>
      <w:numFmt w:val="bullet"/>
      <w:lvlText w:val=""/>
      <w:lvlJc w:val="left"/>
      <w:pPr>
        <w:tabs>
          <w:tab w:val="num" w:pos="1442"/>
        </w:tabs>
        <w:ind w:left="1442" w:hanging="360"/>
      </w:pPr>
      <w:rPr>
        <w:rFonts w:ascii="Wingdings" w:hAnsi="Wingdings" w:cs="Wingdings"/>
        <w:color w:val="000000"/>
      </w:rPr>
    </w:lvl>
    <w:lvl w:ilvl="7">
      <w:start w:val="1"/>
      <w:numFmt w:val="bullet"/>
      <w:lvlText w:val=""/>
      <w:lvlJc w:val="left"/>
      <w:pPr>
        <w:tabs>
          <w:tab w:val="num" w:pos="1802"/>
        </w:tabs>
        <w:ind w:left="1802" w:hanging="360"/>
      </w:pPr>
      <w:rPr>
        <w:rFonts w:ascii="Wingdings" w:hAnsi="Wingdings" w:cs="Wingdings"/>
        <w:color w:val="000000"/>
      </w:rPr>
    </w:lvl>
    <w:lvl w:ilvl="8">
      <w:start w:val="1"/>
      <w:numFmt w:val="bullet"/>
      <w:lvlText w:val=""/>
      <w:lvlJc w:val="left"/>
      <w:pPr>
        <w:tabs>
          <w:tab w:val="num" w:pos="2162"/>
        </w:tabs>
        <w:ind w:left="2162" w:hanging="360"/>
      </w:pPr>
      <w:rPr>
        <w:rFonts w:ascii="Wingdings" w:hAnsi="Wingdings" w:cs="Wingdings"/>
        <w:color w:val="000000"/>
      </w:rPr>
    </w:lvl>
  </w:abstractNum>
  <w:abstractNum w:abstractNumId="42">
    <w:nsid w:val="6D854E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1B041E8"/>
    <w:multiLevelType w:val="hybridMultilevel"/>
    <w:tmpl w:val="F9F025F4"/>
    <w:lvl w:ilvl="0" w:tplc="B5BA44A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733D48C1"/>
    <w:multiLevelType w:val="hybridMultilevel"/>
    <w:tmpl w:val="B39C1E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nsid w:val="759D6081"/>
    <w:multiLevelType w:val="hybridMultilevel"/>
    <w:tmpl w:val="1A28CF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8BF184B"/>
    <w:multiLevelType w:val="hybridMultilevel"/>
    <w:tmpl w:val="50E274F2"/>
    <w:lvl w:ilvl="0" w:tplc="7A522894">
      <w:start w:val="1"/>
      <w:numFmt w:val="lowerRoman"/>
      <w:lvlText w:val="%1)"/>
      <w:lvlJc w:val="left"/>
      <w:pPr>
        <w:tabs>
          <w:tab w:val="num" w:pos="1440"/>
        </w:tabs>
        <w:ind w:left="1440" w:hanging="720"/>
      </w:pPr>
      <w:rPr>
        <w:rFonts w:hint="default"/>
      </w:rPr>
    </w:lvl>
    <w:lvl w:ilvl="1" w:tplc="12443BFC" w:tentative="1">
      <w:start w:val="1"/>
      <w:numFmt w:val="lowerLetter"/>
      <w:lvlText w:val="%2."/>
      <w:lvlJc w:val="left"/>
      <w:pPr>
        <w:tabs>
          <w:tab w:val="num" w:pos="1800"/>
        </w:tabs>
        <w:ind w:left="1800" w:hanging="360"/>
      </w:pPr>
    </w:lvl>
    <w:lvl w:ilvl="2" w:tplc="9ADEAE5A" w:tentative="1">
      <w:start w:val="1"/>
      <w:numFmt w:val="lowerRoman"/>
      <w:lvlText w:val="%3."/>
      <w:lvlJc w:val="right"/>
      <w:pPr>
        <w:tabs>
          <w:tab w:val="num" w:pos="2520"/>
        </w:tabs>
        <w:ind w:left="2520" w:hanging="180"/>
      </w:pPr>
    </w:lvl>
    <w:lvl w:ilvl="3" w:tplc="44060A0C" w:tentative="1">
      <w:start w:val="1"/>
      <w:numFmt w:val="decimal"/>
      <w:lvlText w:val="%4."/>
      <w:lvlJc w:val="left"/>
      <w:pPr>
        <w:tabs>
          <w:tab w:val="num" w:pos="3240"/>
        </w:tabs>
        <w:ind w:left="3240" w:hanging="360"/>
      </w:pPr>
    </w:lvl>
    <w:lvl w:ilvl="4" w:tplc="C08AF85E" w:tentative="1">
      <w:start w:val="1"/>
      <w:numFmt w:val="lowerLetter"/>
      <w:lvlText w:val="%5."/>
      <w:lvlJc w:val="left"/>
      <w:pPr>
        <w:tabs>
          <w:tab w:val="num" w:pos="3960"/>
        </w:tabs>
        <w:ind w:left="3960" w:hanging="360"/>
      </w:pPr>
    </w:lvl>
    <w:lvl w:ilvl="5" w:tplc="E9F61750" w:tentative="1">
      <w:start w:val="1"/>
      <w:numFmt w:val="lowerRoman"/>
      <w:lvlText w:val="%6."/>
      <w:lvlJc w:val="right"/>
      <w:pPr>
        <w:tabs>
          <w:tab w:val="num" w:pos="4680"/>
        </w:tabs>
        <w:ind w:left="4680" w:hanging="180"/>
      </w:pPr>
    </w:lvl>
    <w:lvl w:ilvl="6" w:tplc="E0387BA4" w:tentative="1">
      <w:start w:val="1"/>
      <w:numFmt w:val="decimal"/>
      <w:lvlText w:val="%7."/>
      <w:lvlJc w:val="left"/>
      <w:pPr>
        <w:tabs>
          <w:tab w:val="num" w:pos="5400"/>
        </w:tabs>
        <w:ind w:left="5400" w:hanging="360"/>
      </w:pPr>
    </w:lvl>
    <w:lvl w:ilvl="7" w:tplc="A4FE4A26" w:tentative="1">
      <w:start w:val="1"/>
      <w:numFmt w:val="lowerLetter"/>
      <w:lvlText w:val="%8."/>
      <w:lvlJc w:val="left"/>
      <w:pPr>
        <w:tabs>
          <w:tab w:val="num" w:pos="6120"/>
        </w:tabs>
        <w:ind w:left="6120" w:hanging="360"/>
      </w:pPr>
    </w:lvl>
    <w:lvl w:ilvl="8" w:tplc="03AC4368" w:tentative="1">
      <w:start w:val="1"/>
      <w:numFmt w:val="lowerRoman"/>
      <w:lvlText w:val="%9."/>
      <w:lvlJc w:val="right"/>
      <w:pPr>
        <w:tabs>
          <w:tab w:val="num" w:pos="6840"/>
        </w:tabs>
        <w:ind w:left="6840" w:hanging="180"/>
      </w:pPr>
    </w:lvl>
  </w:abstractNum>
  <w:num w:numId="1">
    <w:abstractNumId w:val="9"/>
  </w:num>
  <w:num w:numId="2">
    <w:abstractNumId w:val="35"/>
  </w:num>
  <w:num w:numId="3">
    <w:abstractNumId w:val="23"/>
  </w:num>
  <w:num w:numId="4">
    <w:abstractNumId w:val="42"/>
  </w:num>
  <w:num w:numId="5">
    <w:abstractNumId w:val="34"/>
  </w:num>
  <w:num w:numId="6">
    <w:abstractNumId w:val="11"/>
  </w:num>
  <w:num w:numId="7">
    <w:abstractNumId w:val="31"/>
  </w:num>
  <w:num w:numId="8">
    <w:abstractNumId w:val="36"/>
  </w:num>
  <w:num w:numId="9">
    <w:abstractNumId w:val="29"/>
  </w:num>
  <w:num w:numId="10">
    <w:abstractNumId w:val="27"/>
  </w:num>
  <w:num w:numId="11">
    <w:abstractNumId w:val="12"/>
  </w:num>
  <w:num w:numId="12">
    <w:abstractNumId w:val="5"/>
  </w:num>
  <w:num w:numId="13">
    <w:abstractNumId w:val="46"/>
  </w:num>
  <w:num w:numId="14">
    <w:abstractNumId w:val="30"/>
  </w:num>
  <w:num w:numId="15">
    <w:abstractNumId w:val="21"/>
  </w:num>
  <w:num w:numId="16">
    <w:abstractNumId w:val="14"/>
  </w:num>
  <w:num w:numId="17">
    <w:abstractNumId w:val="39"/>
  </w:num>
  <w:num w:numId="18">
    <w:abstractNumId w:val="28"/>
  </w:num>
  <w:num w:numId="19">
    <w:abstractNumId w:val="0"/>
  </w:num>
  <w:num w:numId="20">
    <w:abstractNumId w:val="15"/>
  </w:num>
  <w:num w:numId="21">
    <w:abstractNumId w:val="44"/>
  </w:num>
  <w:num w:numId="22">
    <w:abstractNumId w:val="32"/>
  </w:num>
  <w:num w:numId="23">
    <w:abstractNumId w:val="37"/>
  </w:num>
  <w:num w:numId="24">
    <w:abstractNumId w:val="43"/>
  </w:num>
  <w:num w:numId="25">
    <w:abstractNumId w:val="22"/>
  </w:num>
  <w:num w:numId="26">
    <w:abstractNumId w:val="8"/>
  </w:num>
  <w:num w:numId="27">
    <w:abstractNumId w:val="18"/>
  </w:num>
  <w:num w:numId="28">
    <w:abstractNumId w:val="24"/>
  </w:num>
  <w:num w:numId="29">
    <w:abstractNumId w:val="45"/>
  </w:num>
  <w:num w:numId="30">
    <w:abstractNumId w:val="6"/>
  </w:num>
  <w:num w:numId="31">
    <w:abstractNumId w:val="3"/>
  </w:num>
  <w:num w:numId="32">
    <w:abstractNumId w:val="13"/>
  </w:num>
  <w:num w:numId="33">
    <w:abstractNumId w:val="33"/>
  </w:num>
  <w:num w:numId="34">
    <w:abstractNumId w:val="25"/>
  </w:num>
  <w:num w:numId="35">
    <w:abstractNumId w:val="7"/>
  </w:num>
  <w:num w:numId="36">
    <w:abstractNumId w:val="10"/>
  </w:num>
  <w:num w:numId="37">
    <w:abstractNumId w:val="20"/>
  </w:num>
  <w:num w:numId="38">
    <w:abstractNumId w:val="26"/>
  </w:num>
  <w:num w:numId="39">
    <w:abstractNumId w:val="41"/>
  </w:num>
  <w:num w:numId="40">
    <w:abstractNumId w:val="16"/>
  </w:num>
  <w:num w:numId="41">
    <w:abstractNumId w:val="4"/>
  </w:num>
  <w:num w:numId="42">
    <w:abstractNumId w:val="2"/>
  </w:num>
  <w:num w:numId="43">
    <w:abstractNumId w:val="38"/>
  </w:num>
  <w:num w:numId="44">
    <w:abstractNumId w:val="40"/>
  </w:num>
  <w:num w:numId="45">
    <w:abstractNumId w:val="19"/>
  </w:num>
  <w:num w:numId="46">
    <w:abstractNumId w:val="17"/>
  </w:num>
  <w:num w:numId="47">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nl-BE"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en-IE" w:vendorID="64" w:dllVersion="131078" w:nlCheck="1" w:checkStyle="1"/>
  <w:activeWritingStyle w:appName="MSWord" w:lang="es-ES" w:vendorID="64" w:dllVersion="131078" w:nlCheck="1" w:checkStyle="0"/>
  <w:activeWritingStyle w:appName="MSWord" w:lang="pt-PT"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i-FI" w:vendorID="64" w:dllVersion="131078" w:nlCheck="1" w:checkStyle="0"/>
  <w:activeWritingStyle w:appName="MSWord" w:lang="da-DK" w:vendorID="64" w:dllVersion="131078" w:nlCheck="1" w:checkStyle="0"/>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EurolookLanguage" w:val="2057"/>
    <w:docVar w:name="LW_COVERPAGE_EXISTS" w:val="True"/>
    <w:docVar w:name="LW_COVERPAGE_GUID" w:val="53A771F1-7C62-49C7-9308-833FA215AC69"/>
    <w:docVar w:name="LW_COVERPAGE_TYPE" w:val="1"/>
    <w:docVar w:name="LW_CROSSREFERENCE" w:val="&lt;UNUSED&gt;"/>
    <w:docVar w:name="LW_DocType" w:val="NORMAL"/>
    <w:docVar w:name="LW_EMISSION" w:val="12.10.2021"/>
    <w:docVar w:name="LW_EMISSION_ISODATE" w:val="2021-10-12"/>
    <w:docVar w:name="LW_EMISSION_LOCATION" w:val="BRX"/>
    <w:docVar w:name="LW_EMISSION_PREFIX" w:val="Bruxelas, "/>
    <w:docVar w:name="LW_EMISSION_SUFFIX" w:val=" "/>
    <w:docVar w:name="LW_ID_DOCTYPE_NONLW" w:val="CP-040"/>
    <w:docVar w:name="LW_INTERETEEE.CP" w:val="&lt;UNUSED&gt;"/>
    <w:docVar w:name="LW_LANGUE" w:val="PT"/>
    <w:docVar w:name="LW_LANGUESFAISANTFOI.CP" w:val="&lt;UNUSED&gt;"/>
    <w:docVar w:name="LW_LEVEL_OF_SENSITIVITY" w:val="Standard treatment"/>
    <w:docVar w:name="LW_NOM.INST" w:val="COMISSÃO EUROPEIA"/>
    <w:docVar w:name="LW_NOM.INST_JOINTDOC" w:val="&lt;EMPTY&gt;"/>
    <w:docVar w:name="LW_PART_NBR" w:val="1"/>
    <w:docVar w:name="LW_PART_NBR_TOTAL" w:val="1"/>
    <w:docVar w:name="LW_REF.INST.NEW" w:val="C"/>
    <w:docVar w:name="LW_REF.INST.NEW_ADOPTED" w:val="final"/>
    <w:docVar w:name="LW_REF.INST.NEW_TEXT" w:val="(2021) 73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_x000b_"/>
    <w:docVar w:name="LW_TYPE.DOC.CP" w:val="Comunicação da Comissão_x000b__x000b_Documento de orientação sobre a proteção rigorosa de espécies animais de interesse comunitário ao abrigo da Diretiva Habitats_x000b__x000b_"/>
    <w:docVar w:name="LwApiVersions" w:val="LW4CoDe 1.23.0.0; LW 8.0, Build 20210114"/>
    <w:docVar w:name="Stamp" w:val="\\dossiers.dgt.cec.eu.int\dossiers\ENV\ENV-2006-00946\ENV-2006-00946-00-00-EN-REV-00.DOC"/>
  </w:docVar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uiPriority="35"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paragraph" w:styleId="Heading1">
    <w:name w:val="heading 1"/>
    <w:basedOn w:val="Normal"/>
    <w:next w:val="Normal"/>
    <w:link w:val="Heading1Char"/>
    <w:qFormat/>
    <w:pPr>
      <w:keepNext/>
      <w:numPr>
        <w:numId w:val="3"/>
      </w:numPr>
      <w:spacing w:before="240" w:after="240"/>
      <w:jc w:val="both"/>
      <w:outlineLvl w:val="0"/>
    </w:pPr>
    <w:rPr>
      <w:b/>
      <w:smallCaps/>
      <w:szCs w:val="20"/>
    </w:rPr>
  </w:style>
  <w:style w:type="paragraph" w:styleId="Heading2">
    <w:name w:val="heading 2"/>
    <w:basedOn w:val="Normal"/>
    <w:next w:val="Normal"/>
    <w:link w:val="Heading2Char"/>
    <w:qFormat/>
    <w:pPr>
      <w:keepNext/>
      <w:numPr>
        <w:ilvl w:val="1"/>
        <w:numId w:val="3"/>
      </w:numPr>
      <w:spacing w:after="240"/>
      <w:jc w:val="both"/>
      <w:outlineLvl w:val="1"/>
    </w:pPr>
    <w:rPr>
      <w:b/>
      <w:szCs w:val="20"/>
    </w:rPr>
  </w:style>
  <w:style w:type="paragraph" w:styleId="Heading3">
    <w:name w:val="heading 3"/>
    <w:basedOn w:val="Normal"/>
    <w:next w:val="Normal"/>
    <w:link w:val="Heading3Char"/>
    <w:qFormat/>
    <w:pPr>
      <w:keepNext/>
      <w:numPr>
        <w:ilvl w:val="2"/>
        <w:numId w:val="3"/>
      </w:numPr>
      <w:tabs>
        <w:tab w:val="clear" w:pos="1920"/>
      </w:tabs>
      <w:spacing w:after="240"/>
      <w:jc w:val="both"/>
      <w:outlineLvl w:val="2"/>
    </w:pPr>
    <w:rPr>
      <w:i/>
      <w:szCs w:val="20"/>
    </w:rPr>
  </w:style>
  <w:style w:type="paragraph" w:styleId="Heading4">
    <w:name w:val="heading 4"/>
    <w:basedOn w:val="Normal"/>
    <w:next w:val="Normal"/>
    <w:link w:val="Heading4Char"/>
    <w:qFormat/>
    <w:pPr>
      <w:keepNext/>
      <w:numPr>
        <w:ilvl w:val="3"/>
        <w:numId w:val="3"/>
      </w:numPr>
      <w:tabs>
        <w:tab w:val="clear" w:pos="2880"/>
      </w:tabs>
      <w:spacing w:after="240"/>
      <w:jc w:val="both"/>
      <w:outlineLvl w:val="3"/>
    </w:pPr>
    <w:rPr>
      <w:szCs w:val="20"/>
    </w:rPr>
  </w:style>
  <w:style w:type="paragraph" w:styleId="Heading5">
    <w:name w:val="heading 5"/>
    <w:basedOn w:val="Normal"/>
    <w:next w:val="Normal"/>
    <w:link w:val="Heading5Char"/>
    <w:qFormat/>
    <w:pPr>
      <w:tabs>
        <w:tab w:val="num" w:pos="1008"/>
      </w:tabs>
      <w:spacing w:before="240" w:after="60"/>
      <w:ind w:left="1008" w:hanging="1008"/>
      <w:outlineLvl w:val="4"/>
    </w:pPr>
    <w:rPr>
      <w:rFonts w:ascii="Arial" w:hAnsi="Arial"/>
      <w:sz w:val="22"/>
      <w:szCs w:val="20"/>
      <w:lang w:eastAsia="da-DK"/>
    </w:rPr>
  </w:style>
  <w:style w:type="paragraph" w:styleId="Heading6">
    <w:name w:val="heading 6"/>
    <w:basedOn w:val="Normal"/>
    <w:next w:val="Normal"/>
    <w:link w:val="Heading6Char"/>
    <w:qFormat/>
    <w:pPr>
      <w:keepNext/>
      <w:tabs>
        <w:tab w:val="num" w:pos="1152"/>
      </w:tabs>
      <w:ind w:left="1152" w:hanging="1152"/>
      <w:outlineLvl w:val="5"/>
    </w:pPr>
    <w:rPr>
      <w:b/>
      <w:szCs w:val="20"/>
      <w:lang w:eastAsia="da-DK"/>
    </w:rPr>
  </w:style>
  <w:style w:type="paragraph" w:styleId="Heading7">
    <w:name w:val="heading 7"/>
    <w:basedOn w:val="Normal"/>
    <w:next w:val="Normal"/>
    <w:link w:val="Heading7Char"/>
    <w:qFormat/>
    <w:pPr>
      <w:keepNext/>
      <w:tabs>
        <w:tab w:val="num" w:pos="1296"/>
      </w:tabs>
      <w:ind w:left="1296" w:hanging="1296"/>
      <w:outlineLvl w:val="6"/>
    </w:pPr>
    <w:rPr>
      <w:i/>
      <w:szCs w:val="20"/>
      <w:lang w:eastAsia="da-DK"/>
    </w:rPr>
  </w:style>
  <w:style w:type="paragraph" w:styleId="Heading8">
    <w:name w:val="heading 8"/>
    <w:basedOn w:val="Normal"/>
    <w:next w:val="Normal"/>
    <w:link w:val="Heading8Char"/>
    <w:qFormat/>
    <w:pPr>
      <w:keepNext/>
      <w:tabs>
        <w:tab w:val="num" w:pos="1440"/>
      </w:tabs>
      <w:ind w:left="1440" w:hanging="1440"/>
      <w:outlineLvl w:val="7"/>
    </w:pPr>
    <w:rPr>
      <w:b/>
      <w:sz w:val="20"/>
      <w:szCs w:val="20"/>
      <w:lang w:eastAsia="da-DK"/>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b/>
      <w:i/>
      <w:sz w:val="18"/>
      <w:szCs w:val="20"/>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mallCaps/>
      <w:sz w:val="24"/>
      <w:lang w:val="pt-PT" w:eastAsia="en-GB"/>
    </w:rPr>
  </w:style>
  <w:style w:type="character" w:customStyle="1" w:styleId="Heading2Char">
    <w:name w:val="Heading 2 Char"/>
    <w:basedOn w:val="DefaultParagraphFont"/>
    <w:link w:val="Heading2"/>
    <w:rPr>
      <w:b/>
      <w:sz w:val="24"/>
      <w:lang w:val="pt-PT" w:eastAsia="en-GB"/>
    </w:rPr>
  </w:style>
  <w:style w:type="character" w:customStyle="1" w:styleId="Heading3Char">
    <w:name w:val="Heading 3 Char"/>
    <w:basedOn w:val="DefaultParagraphFont"/>
    <w:link w:val="Heading3"/>
    <w:rPr>
      <w:i/>
      <w:sz w:val="24"/>
      <w:lang w:val="pt-PT" w:eastAsia="en-GB"/>
    </w:rPr>
  </w:style>
  <w:style w:type="character" w:customStyle="1" w:styleId="Heading4Char">
    <w:name w:val="Heading 4 Char"/>
    <w:basedOn w:val="DefaultParagraphFont"/>
    <w:link w:val="Heading4"/>
    <w:rPr>
      <w:sz w:val="24"/>
      <w:lang w:val="pt-PT" w:eastAsia="en-GB"/>
    </w:rPr>
  </w:style>
  <w:style w:type="character" w:customStyle="1" w:styleId="Heading5Char">
    <w:name w:val="Heading 5 Char"/>
    <w:basedOn w:val="DefaultParagraphFont"/>
    <w:link w:val="Heading5"/>
    <w:rPr>
      <w:rFonts w:ascii="Arial" w:hAnsi="Arial"/>
      <w:sz w:val="22"/>
      <w:lang w:val="pt-PT" w:eastAsia="da-DK"/>
    </w:rPr>
  </w:style>
  <w:style w:type="character" w:customStyle="1" w:styleId="Heading6Char">
    <w:name w:val="Heading 6 Char"/>
    <w:basedOn w:val="DefaultParagraphFont"/>
    <w:link w:val="Heading6"/>
    <w:rPr>
      <w:b/>
      <w:sz w:val="24"/>
      <w:lang w:val="pt-PT" w:eastAsia="da-DK"/>
    </w:rPr>
  </w:style>
  <w:style w:type="character" w:customStyle="1" w:styleId="Heading7Char">
    <w:name w:val="Heading 7 Char"/>
    <w:basedOn w:val="DefaultParagraphFont"/>
    <w:link w:val="Heading7"/>
    <w:rPr>
      <w:i/>
      <w:sz w:val="24"/>
      <w:lang w:val="pt-PT" w:eastAsia="da-DK"/>
    </w:rPr>
  </w:style>
  <w:style w:type="character" w:customStyle="1" w:styleId="Heading8Char">
    <w:name w:val="Heading 8 Char"/>
    <w:basedOn w:val="DefaultParagraphFont"/>
    <w:link w:val="Heading8"/>
    <w:rPr>
      <w:b/>
      <w:lang w:val="pt-PT" w:eastAsia="da-DK"/>
    </w:rPr>
  </w:style>
  <w:style w:type="character" w:customStyle="1" w:styleId="Heading9Char">
    <w:name w:val="Heading 9 Char"/>
    <w:basedOn w:val="DefaultParagraphFont"/>
    <w:link w:val="Heading9"/>
    <w:rPr>
      <w:rFonts w:ascii="Arial" w:hAnsi="Arial"/>
      <w:b/>
      <w:i/>
      <w:sz w:val="18"/>
      <w:lang w:val="pt-PT" w:eastAsia="da-DK"/>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lang w:val="pt-PT" w:eastAsia="en-GB"/>
    </w:rPr>
  </w:style>
  <w:style w:type="paragraph" w:styleId="BodyText2">
    <w:name w:val="Body Text 2"/>
    <w:basedOn w:val="Normal"/>
    <w:link w:val="BodyText2Char"/>
    <w:rPr>
      <w:rFonts w:ascii="Arial" w:hAnsi="Arial" w:cs="Arial"/>
      <w:b/>
      <w:bCs/>
      <w:szCs w:val="20"/>
      <w:lang w:eastAsia="en-US"/>
    </w:rPr>
  </w:style>
  <w:style w:type="character" w:customStyle="1" w:styleId="BodyText2Char">
    <w:name w:val="Body Text 2 Char"/>
    <w:basedOn w:val="DefaultParagraphFont"/>
    <w:link w:val="BodyText2"/>
    <w:rPr>
      <w:rFonts w:ascii="Arial" w:hAnsi="Arial" w:cs="Arial"/>
      <w:b/>
      <w:bCs/>
      <w:sz w:val="24"/>
      <w:lang w:val="pt-PT"/>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lang w:val="pt-PT" w:eastAsia="en-GB"/>
    </w:rPr>
  </w:style>
  <w:style w:type="character" w:styleId="PageNumber">
    <w:name w:val="page number"/>
    <w:basedOn w:val="DefaultParagraphFont"/>
  </w:style>
  <w:style w:type="paragraph" w:styleId="FootnoteText">
    <w:name w:val="footnote text"/>
    <w:aliases w:val="fn,Footnote text,Fußnotentextf,single space,Fußnotentext arial,Schriftart: 9 pt,Schriftart: 10 pt,Schriftart: 8 pt,WB-Fußnotentext,Fu?notentext arial,Sprotna opomba - besedilo Znak1,Sprotna opomba - besedilo Znak Znak2,f,Fußnote"/>
    <w:basedOn w:val="Normal"/>
    <w:link w:val="FootnoteTextChar"/>
    <w:qFormat/>
    <w:pPr>
      <w:ind w:left="284" w:hanging="284"/>
      <w:jc w:val="both"/>
    </w:pPr>
    <w:rPr>
      <w:sz w:val="20"/>
      <w:szCs w:val="20"/>
    </w:rPr>
  </w:style>
  <w:style w:type="character" w:customStyle="1" w:styleId="FootnoteTextChar">
    <w:name w:val="Footnote Text Char"/>
    <w:aliases w:val="fn Char,Footnote text Char,Fußnotentextf Char,single space Char,Fußnotentext arial Char,Schriftart: 9 pt Char,Schriftart: 10 pt Char,Schriftart: 8 pt Char,WB-Fußnotentext Char,Fu?notentext arial Char,f Char,Fußnote Char"/>
    <w:basedOn w:val="DefaultParagraphFont"/>
    <w:link w:val="FootnoteText"/>
    <w:locked/>
    <w:rPr>
      <w:lang w:val="pt-PT" w:eastAsia="en-GB"/>
    </w:rPr>
  </w:style>
  <w:style w:type="paragraph" w:customStyle="1" w:styleId="SUPERSChar">
    <w:name w:val="SUPERS Char"/>
    <w:aliases w:val="EN Footnote Reference Char"/>
    <w:basedOn w:val="Normal"/>
    <w:uiPriority w:val="99"/>
    <w:pPr>
      <w:widowControl w:val="0"/>
      <w:adjustRightInd w:val="0"/>
      <w:spacing w:after="160" w:line="240" w:lineRule="exact"/>
      <w:jc w:val="both"/>
    </w:pPr>
    <w:rPr>
      <w:sz w:val="20"/>
      <w:szCs w:val="20"/>
      <w:vertAlign w:val="superscript"/>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eastAsia="en-GB"/>
    </w:rPr>
  </w:style>
  <w:style w:type="paragraph" w:customStyle="1" w:styleId="Text3">
    <w:name w:val="Text 3"/>
    <w:basedOn w:val="Normal"/>
    <w:pPr>
      <w:tabs>
        <w:tab w:val="left" w:pos="2302"/>
      </w:tabs>
      <w:spacing w:after="240"/>
      <w:ind w:left="1202"/>
      <w:jc w:val="both"/>
    </w:pPr>
    <w:rPr>
      <w:lang w:eastAsia="en-US"/>
    </w:rPr>
  </w:style>
  <w:style w:type="character" w:styleId="FollowedHyperlink">
    <w:name w:val="FollowedHyperlink"/>
    <w:uiPriority w:val="99"/>
    <w:rPr>
      <w:color w:val="800080"/>
      <w:u w:val="single"/>
    </w:rPr>
  </w:style>
  <w:style w:type="character" w:styleId="CommentReference">
    <w:name w:val="annotation reference"/>
    <w:uiPriority w:val="99"/>
    <w:semiHidden/>
    <w:rPr>
      <w:sz w:val="16"/>
      <w:szCs w:val="16"/>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sz w:val="24"/>
      <w:szCs w:val="24"/>
      <w:lang w:val="pt-PT" w:eastAsia="en-GB"/>
    </w:rPr>
  </w:style>
  <w:style w:type="paragraph" w:styleId="BodyText3">
    <w:name w:val="Body Text 3"/>
    <w:basedOn w:val="Normal"/>
    <w:link w:val="BodyText3Char"/>
    <w:rPr>
      <w:b/>
      <w:szCs w:val="20"/>
      <w:lang w:eastAsia="da-DK"/>
    </w:rPr>
  </w:style>
  <w:style w:type="character" w:customStyle="1" w:styleId="BodyText3Char">
    <w:name w:val="Body Text 3 Char"/>
    <w:basedOn w:val="DefaultParagraphFont"/>
    <w:link w:val="BodyText3"/>
    <w:rPr>
      <w:b/>
      <w:sz w:val="24"/>
      <w:lang w:val="pt-PT" w:eastAsia="da-DK"/>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da-DK"/>
    </w:rPr>
  </w:style>
  <w:style w:type="character" w:customStyle="1" w:styleId="MacroTextChar">
    <w:name w:val="Macro Text Char"/>
    <w:basedOn w:val="DefaultParagraphFont"/>
    <w:link w:val="MacroText"/>
    <w:semiHidden/>
    <w:rPr>
      <w:rFonts w:ascii="Courier New" w:hAnsi="Courier New"/>
      <w:sz w:val="24"/>
      <w:lang w:val="pt-PT" w:eastAsia="da-DK"/>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pt-PT"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pt-PT" w:eastAsia="en-GB"/>
    </w:rPr>
  </w:style>
  <w:style w:type="paragraph" w:styleId="ListBullet">
    <w:name w:val="List Bullet"/>
    <w:basedOn w:val="Normal"/>
    <w:autoRedefine/>
    <w:pPr>
      <w:widowControl w:val="0"/>
      <w:numPr>
        <w:numId w:val="1"/>
      </w:numPr>
      <w:spacing w:line="360" w:lineRule="auto"/>
    </w:pPr>
    <w:rPr>
      <w:szCs w:val="20"/>
    </w:rPr>
  </w:style>
  <w:style w:type="paragraph" w:customStyle="1" w:styleId="Par-numbera">
    <w:name w:val="Par-number (a)"/>
    <w:basedOn w:val="Normal"/>
    <w:next w:val="Normal"/>
    <w:pPr>
      <w:widowControl w:val="0"/>
      <w:numPr>
        <w:numId w:val="2"/>
      </w:numPr>
      <w:spacing w:line="360" w:lineRule="auto"/>
    </w:pPr>
    <w:rPr>
      <w:szCs w:val="20"/>
    </w:rPr>
  </w:style>
  <w:style w:type="paragraph" w:customStyle="1" w:styleId="Par-dash">
    <w:name w:val="Par-dash"/>
    <w:basedOn w:val="Normal"/>
    <w:next w:val="Normal"/>
    <w:pPr>
      <w:widowControl w:val="0"/>
      <w:tabs>
        <w:tab w:val="num" w:pos="360"/>
      </w:tabs>
      <w:spacing w:line="360" w:lineRule="auto"/>
    </w:pPr>
    <w:rPr>
      <w:szCs w:val="20"/>
    </w:rPr>
  </w:style>
  <w:style w:type="paragraph" w:customStyle="1" w:styleId="EntLogo">
    <w:name w:val="EntLogo"/>
    <w:basedOn w:val="Normal"/>
    <w:next w:val="EntInstit"/>
    <w:pPr>
      <w:widowControl w:val="0"/>
      <w:spacing w:line="360" w:lineRule="auto"/>
    </w:pPr>
    <w:rPr>
      <w:b/>
      <w:szCs w:val="20"/>
    </w:rPr>
  </w:style>
  <w:style w:type="paragraph" w:customStyle="1" w:styleId="EntInstit">
    <w:name w:val="EntInstit"/>
    <w:basedOn w:val="Normal"/>
    <w:pPr>
      <w:widowControl w:val="0"/>
      <w:jc w:val="right"/>
    </w:pPr>
    <w:rPr>
      <w:b/>
      <w:szCs w:val="20"/>
    </w:rPr>
  </w:style>
  <w:style w:type="character" w:customStyle="1" w:styleId="DontTranslate">
    <w:name w:val="DontTranslate"/>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basedOn w:val="DefaultParagraphFont"/>
    <w:link w:val="PlainText"/>
    <w:rPr>
      <w:rFonts w:ascii="Courier New" w:hAnsi="Courier New"/>
      <w:lang w:val="pt-PT" w:eastAsia="en-GB"/>
    </w:rPr>
  </w:style>
  <w:style w:type="character" w:customStyle="1" w:styleId="outputecliaff">
    <w:name w:val="outputecliaff"/>
  </w:style>
  <w:style w:type="paragraph" w:customStyle="1" w:styleId="c01pointnumerotealtn">
    <w:name w:val="c01pointnumerotealtn"/>
    <w:basedOn w:val="Normal"/>
    <w:pPr>
      <w:spacing w:before="100" w:beforeAutospacing="1" w:after="100" w:afterAutospacing="1"/>
    </w:pPr>
    <w:rPr>
      <w:lang w:eastAsia="fr-FR"/>
    </w:rPr>
  </w:style>
  <w:style w:type="character" w:customStyle="1" w:styleId="shorttext">
    <w:name w:val="short_text"/>
  </w:style>
  <w:style w:type="character" w:customStyle="1" w:styleId="alt-edited">
    <w:name w:val="alt-edited"/>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
    <w:basedOn w:val="Normal"/>
    <w:link w:val="ListParagraphChar"/>
    <w:uiPriority w:val="34"/>
    <w:qFormat/>
    <w:pPr>
      <w:spacing w:before="60" w:after="60"/>
      <w:ind w:left="720"/>
      <w:contextualSpacing/>
      <w:jc w:val="both"/>
    </w:pPr>
    <w:rPr>
      <w:rFonts w:ascii="Arial" w:hAnsi="Arial"/>
      <w:sz w:val="20"/>
      <w:szCs w:val="20"/>
      <w:lang w:eastAsia="el-GR"/>
    </w:rPr>
  </w:style>
  <w:style w:type="paragraph" w:customStyle="1" w:styleId="c01pointaltn">
    <w:name w:val="c01pointaltn"/>
    <w:basedOn w:val="Normal"/>
    <w:pPr>
      <w:spacing w:before="100" w:beforeAutospacing="1" w:after="100" w:afterAutospacing="1"/>
    </w:pPr>
    <w:rPr>
      <w:lang w:eastAsia="it-IT"/>
    </w:rPr>
  </w:style>
  <w:style w:type="paragraph" w:styleId="Revision">
    <w:name w:val="Revision"/>
    <w:hidden/>
    <w:uiPriority w:val="99"/>
    <w:rPr>
      <w:sz w:val="24"/>
      <w:szCs w:val="24"/>
      <w:lang w:eastAsia="en-GB"/>
    </w:rPr>
  </w:style>
  <w:style w:type="paragraph" w:styleId="NormalWeb">
    <w:name w:val="Normal (Web)"/>
    <w:basedOn w:val="Normal"/>
    <w:uiPriority w:val="99"/>
    <w:unhideWhenUsed/>
    <w:pPr>
      <w:spacing w:before="100" w:beforeAutospacing="1" w:after="100" w:afterAutospacing="1"/>
    </w:pPr>
    <w:rPr>
      <w:sz w:val="20"/>
      <w:szCs w:val="20"/>
      <w:lang w:eastAsia="en-US"/>
    </w:rPr>
  </w:style>
  <w:style w:type="character" w:styleId="Strong">
    <w:name w:val="Strong"/>
    <w:uiPriority w:val="22"/>
    <w:qFormat/>
    <w:rPr>
      <w:b/>
      <w:bCs/>
    </w:rPr>
  </w:style>
  <w:style w:type="character" w:customStyle="1" w:styleId="apple-converted-space">
    <w:name w:val="apple-converted-space"/>
  </w:style>
  <w:style w:type="paragraph" w:customStyle="1" w:styleId="Standartstyle">
    <w:name w:val="Standart style"/>
    <w:basedOn w:val="Normal"/>
    <w:link w:val="StandartstyleChar"/>
    <w:qFormat/>
    <w:pPr>
      <w:spacing w:before="120" w:after="120" w:line="240" w:lineRule="atLeast"/>
      <w:jc w:val="both"/>
    </w:pPr>
    <w:rPr>
      <w:rFonts w:ascii="Arial" w:hAnsi="Arial" w:cs="Arial"/>
      <w:sz w:val="20"/>
      <w:szCs w:val="20"/>
      <w:lang w:eastAsia="fr-FR"/>
    </w:rPr>
  </w:style>
  <w:style w:type="character" w:customStyle="1" w:styleId="StandartstyleChar">
    <w:name w:val="Standart style Char"/>
    <w:basedOn w:val="DefaultParagraphFont"/>
    <w:link w:val="Standartstyle"/>
    <w:rPr>
      <w:rFonts w:ascii="Arial" w:hAnsi="Arial" w:cs="Arial"/>
      <w:lang w:val="pt-PT" w:eastAsia="fr-FR"/>
    </w:rPr>
  </w:style>
  <w:style w:type="paragraph" w:customStyle="1" w:styleId="Default">
    <w:name w:val="Default"/>
    <w:pPr>
      <w:widowControl w:val="0"/>
      <w:autoSpaceDE w:val="0"/>
      <w:autoSpaceDN w:val="0"/>
      <w:adjustRightInd w:val="0"/>
    </w:pPr>
    <w:rPr>
      <w:color w:val="000000"/>
      <w:sz w:val="24"/>
      <w:szCs w:val="24"/>
    </w:rPr>
  </w:style>
  <w:style w:type="character" w:customStyle="1" w:styleId="gmail-msofootnotereference">
    <w:name w:val="gmail-msofootnotereferenc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b/>
      <w:bCs/>
      <w:color w:val="4F81BD" w:themeColor="accent1"/>
      <w:sz w:val="18"/>
      <w:szCs w:val="18"/>
      <w:lang w:eastAsia="en-U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sz w:val="22"/>
      <w:szCs w:val="22"/>
      <w:lang w:eastAsia="it-IT" w:bidi="it-IT"/>
    </w:rPr>
  </w:style>
  <w:style w:type="paragraph" w:customStyle="1" w:styleId="Kopfzeileschwarz">
    <w:name w:val="Kopfzeile_schwarz"/>
    <w:basedOn w:val="Normal"/>
    <w:next w:val="Normal"/>
    <w:unhideWhenUsed/>
    <w:qFormat/>
    <w:pPr>
      <w:pBdr>
        <w:bottom w:val="single" w:sz="18" w:space="4" w:color="505050"/>
      </w:pBdr>
      <w:tabs>
        <w:tab w:val="right" w:pos="8222"/>
      </w:tabs>
      <w:spacing w:before="240" w:after="120" w:line="259" w:lineRule="auto"/>
      <w:jc w:val="both"/>
    </w:pPr>
    <w:rPr>
      <w:rFonts w:ascii="Arial" w:hAnsi="Arial"/>
      <w:color w:val="000000"/>
      <w:sz w:val="20"/>
      <w:szCs w:val="20"/>
      <w:lang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en-US"/>
    </w:rPr>
  </w:style>
  <w:style w:type="paragraph" w:styleId="TOC1">
    <w:name w:val="toc 1"/>
    <w:basedOn w:val="Normal"/>
    <w:next w:val="Normal"/>
    <w:autoRedefine/>
    <w:uiPriority w:val="39"/>
    <w:unhideWhenUsed/>
    <w:qFormat/>
    <w:pPr>
      <w:tabs>
        <w:tab w:val="left" w:pos="440"/>
        <w:tab w:val="right" w:leader="dot" w:pos="8505"/>
      </w:tabs>
      <w:spacing w:before="100" w:beforeAutospacing="1" w:after="120"/>
      <w:ind w:left="425" w:right="561" w:hanging="425"/>
      <w:jc w:val="both"/>
    </w:pPr>
    <w:rPr>
      <w:rFonts w:ascii="Arial" w:eastAsia="Calibri" w:hAnsi="Arial" w:cs="Arial"/>
      <w:b/>
      <w:sz w:val="20"/>
      <w:lang w:eastAsia="en-US"/>
    </w:rPr>
  </w:style>
  <w:style w:type="paragraph" w:styleId="TOC2">
    <w:name w:val="toc 2"/>
    <w:basedOn w:val="Normal"/>
    <w:next w:val="Normal"/>
    <w:autoRedefine/>
    <w:uiPriority w:val="39"/>
    <w:unhideWhenUsed/>
    <w:qFormat/>
    <w:pPr>
      <w:spacing w:after="100" w:line="259" w:lineRule="auto"/>
      <w:ind w:left="200"/>
      <w:jc w:val="both"/>
    </w:pPr>
    <w:rPr>
      <w:rFonts w:ascii="Arial" w:eastAsia="Calibri" w:hAnsi="Arial" w:cs="Arial"/>
      <w:sz w:val="20"/>
      <w:szCs w:val="20"/>
      <w:lang w:eastAsia="en-US"/>
    </w:rPr>
  </w:style>
  <w:style w:type="paragraph" w:styleId="TOC3">
    <w:name w:val="toc 3"/>
    <w:basedOn w:val="Normal"/>
    <w:next w:val="Normal"/>
    <w:autoRedefine/>
    <w:uiPriority w:val="39"/>
    <w:unhideWhenUsed/>
    <w:qFormat/>
    <w:pPr>
      <w:spacing w:after="100" w:line="276" w:lineRule="auto"/>
      <w:ind w:left="440"/>
    </w:pPr>
    <w:rPr>
      <w:rFonts w:asciiTheme="minorHAnsi" w:eastAsiaTheme="minorEastAsia" w:hAnsiTheme="minorHAnsi" w:cstheme="minorBidi"/>
      <w:sz w:val="22"/>
      <w:szCs w:val="22"/>
      <w:lang w:eastAsia="en-US"/>
    </w:rPr>
  </w:style>
  <w:style w:type="character" w:styleId="Emphasis">
    <w:name w:val="Emphasis"/>
    <w:basedOn w:val="DefaultParagraphFont"/>
    <w:uiPriority w:val="20"/>
    <w:qFormat/>
    <w:rPr>
      <w:i/>
      <w:iCs/>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sz w:val="22"/>
      <w:szCs w:val="22"/>
      <w:lang w:eastAsia="sk-SK"/>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 w:val="22"/>
      <w:szCs w:val="22"/>
      <w:lang w:eastAsia="sk-SK"/>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sz w:val="22"/>
      <w:szCs w:val="22"/>
      <w:lang w:eastAsia="sk-SK"/>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sz w:val="22"/>
      <w:szCs w:val="22"/>
      <w:lang w:eastAsia="sk-SK"/>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sz w:val="22"/>
      <w:szCs w:val="22"/>
      <w:lang w:eastAsia="sk-SK"/>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sz w:val="22"/>
      <w:szCs w:val="22"/>
      <w:lang w:eastAsia="sk-SK"/>
    </w:rPr>
  </w:style>
  <w:style w:type="character" w:customStyle="1" w:styleId="Nevyeenzmnka1">
    <w:name w:val="Nevyřešená zmínka1"/>
    <w:basedOn w:val="DefaultParagraphFont"/>
    <w:uiPriority w:val="99"/>
    <w:semiHidden/>
    <w:unhideWhenUsed/>
    <w:rPr>
      <w:color w:val="605E5C"/>
      <w:shd w:val="clear" w:color="auto" w:fill="E1DFDD"/>
    </w:rPr>
  </w:style>
  <w:style w:type="character" w:customStyle="1" w:styleId="Ratkaisematonmaininta1">
    <w:name w:val="Ratkaisematon maininta1"/>
    <w:basedOn w:val="DefaultParagraphFont"/>
    <w:uiPriority w:val="99"/>
    <w:semiHidden/>
    <w:unhideWhenUsed/>
    <w:rPr>
      <w:color w:val="605E5C"/>
      <w:shd w:val="clear" w:color="auto" w:fill="E1DFDD"/>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uiPriority w:val="34"/>
    <w:locked/>
    <w:rPr>
      <w:rFonts w:ascii="Arial" w:hAnsi="Arial"/>
      <w:lang w:val="pt-PT" w:eastAsia="el-GR"/>
    </w:rPr>
  </w:style>
  <w:style w:type="character" w:customStyle="1" w:styleId="italics">
    <w:name w:val="italics"/>
    <w:basedOn w:val="DefaultParagraphFont"/>
  </w:style>
  <w:style w:type="character" w:customStyle="1" w:styleId="stl07">
    <w:name w:val="stl_07"/>
    <w:basedOn w:val="DefaultParagraphFont"/>
  </w:style>
  <w:style w:type="character" w:customStyle="1" w:styleId="stl18">
    <w:name w:val="stl_18"/>
    <w:basedOn w:val="DefaultParagraphFont"/>
  </w:style>
  <w:style w:type="character" w:customStyle="1" w:styleId="Mencinsinresolver1">
    <w:name w:val="Mención sin resolver1"/>
    <w:basedOn w:val="DefaultParagraphFont"/>
    <w:uiPriority w:val="99"/>
    <w:semiHidden/>
    <w:unhideWhenUsed/>
    <w:rPr>
      <w:color w:val="605E5C"/>
      <w:shd w:val="clear" w:color="auto" w:fill="E1DFDD"/>
    </w:rPr>
  </w:style>
  <w:style w:type="paragraph" w:customStyle="1" w:styleId="CM1">
    <w:name w:val="CM1"/>
    <w:basedOn w:val="Default"/>
    <w:next w:val="Default"/>
    <w:uiPriority w:val="99"/>
    <w:pPr>
      <w:widowControl/>
    </w:pPr>
    <w:rPr>
      <w:color w:val="auto"/>
    </w:rPr>
  </w:style>
  <w:style w:type="paragraph" w:customStyle="1" w:styleId="CM3">
    <w:name w:val="CM3"/>
    <w:basedOn w:val="Default"/>
    <w:next w:val="Default"/>
    <w:uiPriority w:val="99"/>
    <w:pPr>
      <w:widowControl/>
    </w:pPr>
    <w:rPr>
      <w:color w:val="auto"/>
    </w:rPr>
  </w:style>
  <w:style w:type="paragraph" w:customStyle="1" w:styleId="msonormal0">
    <w:name w:val="msonormal"/>
    <w:basedOn w:val="Normal"/>
    <w:uiPriority w:val="99"/>
    <w:pPr>
      <w:spacing w:before="100" w:beforeAutospacing="1" w:after="100" w:afterAutospacing="1"/>
    </w:pPr>
    <w:rPr>
      <w:sz w:val="20"/>
      <w:szCs w:val="20"/>
      <w:lang w:eastAsia="en-US"/>
    </w:rPr>
  </w:style>
  <w:style w:type="character" w:customStyle="1" w:styleId="FootnoteTextChar1">
    <w:name w:val="Footnote Text Char1"/>
    <w:aliases w:val="fn Char1,Footnote text Char1,Fußnotentextf Char1,single space Char1,Fußnotentext arial Char1,Schriftart: 9 pt Char1,Schriftart: 10 pt Char1,Schriftart: 8 pt Char1,WB-Fußnotentext Char1,Fu?notentext arial Char1,f Char1,Fußnote Char1"/>
    <w:basedOn w:val="DefaultParagraphFont"/>
    <w:uiPriority w:val="99"/>
    <w:semiHidden/>
    <w:rPr>
      <w:lang w:val="pt-PT" w:eastAsia="en-GB"/>
    </w:rPr>
  </w:style>
  <w:style w:type="character" w:customStyle="1" w:styleId="CommentTextChar1">
    <w:name w:val="Comment Text Char1"/>
    <w:uiPriority w:val="99"/>
    <w:semiHidden/>
    <w:rPr>
      <w:lang w:eastAsia="ar-SA"/>
    </w:rPr>
  </w:style>
  <w:style w:type="paragraph" w:customStyle="1" w:styleId="01PointnumeroteAltN">
    <w:name w:val="01_Point_numerote_(Alt+N)"/>
    <w:basedOn w:val="Normal"/>
    <w:uiPriority w:val="99"/>
    <w:qFormat/>
    <w:pPr>
      <w:numPr>
        <w:numId w:val="39"/>
      </w:numPr>
      <w:spacing w:after="240"/>
      <w:jc w:val="both"/>
    </w:pPr>
    <w:rPr>
      <w:sz w:val="25"/>
      <w:lang w:eastAsia="fr-FR" w:bidi="fr-FR"/>
    </w:rPr>
  </w:style>
  <w:style w:type="paragraph" w:customStyle="1" w:styleId="GendocOriginal01PointnumeroteAltN">
    <w:name w:val="Gendoc_Original_01_Point_numerote_(Alt+N)"/>
    <w:basedOn w:val="Normal"/>
    <w:next w:val="01PointnumeroteAltN"/>
    <w:uiPriority w:val="99"/>
    <w:semiHidden/>
    <w:qFormat/>
    <w:pPr>
      <w:numPr>
        <w:numId w:val="40"/>
      </w:numPr>
      <w:spacing w:after="240"/>
      <w:jc w:val="both"/>
    </w:pPr>
    <w:rPr>
      <w:sz w:val="25"/>
      <w:lang w:eastAsia="fr-FR" w:bidi="fr-FR"/>
    </w:rPr>
  </w:style>
  <w:style w:type="numbering" w:customStyle="1" w:styleId="01PointnumeroteAltNList">
    <w:name w:val="01_Point_numerote_(Alt+N)_List"/>
    <w:basedOn w:val="NoList"/>
    <w:uiPriority w:val="99"/>
    <w:qFormat/>
    <w:pPr>
      <w:numPr>
        <w:numId w:val="39"/>
      </w:numPr>
    </w:pPr>
  </w:style>
  <w:style w:type="numbering" w:customStyle="1" w:styleId="GendocOriginal01PointnumeroteAltNList">
    <w:name w:val="Gendoc_Original_01_Point_numerote_(Alt+N)_List"/>
    <w:basedOn w:val="NoList"/>
    <w:uiPriority w:val="99"/>
    <w:semiHidden/>
    <w:qFormat/>
    <w:pPr>
      <w:numPr>
        <w:numId w:val="40"/>
      </w:numPr>
    </w:pPr>
  </w:style>
  <w:style w:type="numbering" w:customStyle="1" w:styleId="NoList1">
    <w:name w:val="No List1"/>
    <w:next w:val="NoList"/>
    <w:uiPriority w:val="99"/>
    <w:semiHidden/>
    <w:unhideWhenUsed/>
  </w:style>
  <w:style w:type="paragraph" w:customStyle="1" w:styleId="Caption1">
    <w:name w:val="Caption1"/>
    <w:basedOn w:val="Normal"/>
    <w:next w:val="Normal"/>
    <w:uiPriority w:val="35"/>
    <w:unhideWhenUsed/>
    <w:qFormat/>
    <w:pPr>
      <w:spacing w:after="200"/>
    </w:pPr>
    <w:rPr>
      <w:rFonts w:asciiTheme="minorHAnsi" w:eastAsiaTheme="minorHAnsi" w:hAnsiTheme="minorHAnsi" w:cstheme="minorBidi"/>
      <w:b/>
      <w:bCs/>
      <w:color w:val="4F81BD"/>
      <w:sz w:val="18"/>
      <w:szCs w:val="18"/>
      <w:lang w:eastAsia="en-US"/>
    </w:rPr>
  </w:style>
  <w:style w:type="paragraph" w:customStyle="1" w:styleId="TOCHeading1">
    <w:name w:val="TOC Heading1"/>
    <w:basedOn w:val="Heading1"/>
    <w:next w:val="Normal"/>
    <w:uiPriority w:val="39"/>
    <w:unhideWhenUsed/>
    <w:qFormat/>
    <w:pPr>
      <w:keepLines/>
      <w:numPr>
        <w:numId w:val="0"/>
      </w:numPr>
      <w:spacing w:before="480" w:after="0" w:line="276" w:lineRule="auto"/>
      <w:jc w:val="left"/>
      <w:outlineLvl w:val="9"/>
    </w:pPr>
    <w:rPr>
      <w:rFonts w:ascii="Calibri" w:eastAsia="MS Gothic" w:hAnsi="Calibri"/>
      <w:bCs/>
      <w:smallCaps w:val="0"/>
      <w:color w:val="365F91"/>
      <w:sz w:val="28"/>
      <w:szCs w:val="28"/>
      <w:lang w:eastAsia="en-US"/>
    </w:rPr>
  </w:style>
  <w:style w:type="paragraph" w:customStyle="1" w:styleId="TOC31">
    <w:name w:val="TOC 31"/>
    <w:basedOn w:val="Normal"/>
    <w:next w:val="Normal"/>
    <w:autoRedefine/>
    <w:uiPriority w:val="39"/>
    <w:unhideWhenUsed/>
    <w:qFormat/>
    <w:pPr>
      <w:spacing w:after="100" w:line="276" w:lineRule="auto"/>
      <w:ind w:left="440"/>
    </w:pPr>
    <w:rPr>
      <w:rFonts w:asciiTheme="minorHAnsi" w:eastAsia="MS Mincho" w:hAnsiTheme="minorHAnsi" w:cstheme="minorBidi"/>
      <w:sz w:val="22"/>
      <w:szCs w:val="22"/>
      <w:lang w:eastAsia="en-US"/>
    </w:rPr>
  </w:style>
  <w:style w:type="paragraph" w:customStyle="1" w:styleId="TOC41">
    <w:name w:val="TOC 41"/>
    <w:basedOn w:val="Normal"/>
    <w:next w:val="Normal"/>
    <w:autoRedefine/>
    <w:uiPriority w:val="39"/>
    <w:unhideWhenUsed/>
    <w:pPr>
      <w:spacing w:after="100" w:line="276" w:lineRule="auto"/>
      <w:ind w:left="660"/>
    </w:pPr>
    <w:rPr>
      <w:rFonts w:asciiTheme="minorHAnsi" w:eastAsia="MS Mincho" w:hAnsiTheme="minorHAnsi" w:cstheme="minorBidi"/>
      <w:sz w:val="22"/>
      <w:szCs w:val="22"/>
      <w:lang w:eastAsia="sk-SK"/>
    </w:rPr>
  </w:style>
  <w:style w:type="paragraph" w:customStyle="1" w:styleId="TOC51">
    <w:name w:val="TOC 51"/>
    <w:basedOn w:val="Normal"/>
    <w:next w:val="Normal"/>
    <w:autoRedefine/>
    <w:uiPriority w:val="39"/>
    <w:unhideWhenUsed/>
    <w:pPr>
      <w:spacing w:after="100" w:line="276" w:lineRule="auto"/>
      <w:ind w:left="880"/>
    </w:pPr>
    <w:rPr>
      <w:rFonts w:asciiTheme="minorHAnsi" w:eastAsia="MS Mincho" w:hAnsiTheme="minorHAnsi" w:cstheme="minorBidi"/>
      <w:sz w:val="22"/>
      <w:szCs w:val="22"/>
      <w:lang w:eastAsia="sk-SK"/>
    </w:rPr>
  </w:style>
  <w:style w:type="paragraph" w:customStyle="1" w:styleId="TOC61">
    <w:name w:val="TOC 61"/>
    <w:basedOn w:val="Normal"/>
    <w:next w:val="Normal"/>
    <w:autoRedefine/>
    <w:uiPriority w:val="39"/>
    <w:unhideWhenUsed/>
    <w:pPr>
      <w:spacing w:after="100" w:line="276" w:lineRule="auto"/>
      <w:ind w:left="1100"/>
    </w:pPr>
    <w:rPr>
      <w:rFonts w:asciiTheme="minorHAnsi" w:eastAsia="MS Mincho" w:hAnsiTheme="minorHAnsi" w:cstheme="minorBidi"/>
      <w:sz w:val="22"/>
      <w:szCs w:val="22"/>
      <w:lang w:eastAsia="sk-SK"/>
    </w:rPr>
  </w:style>
  <w:style w:type="paragraph" w:customStyle="1" w:styleId="TOC71">
    <w:name w:val="TOC 71"/>
    <w:basedOn w:val="Normal"/>
    <w:next w:val="Normal"/>
    <w:autoRedefine/>
    <w:uiPriority w:val="39"/>
    <w:unhideWhenUsed/>
    <w:pPr>
      <w:spacing w:after="100" w:line="276" w:lineRule="auto"/>
      <w:ind w:left="1320"/>
    </w:pPr>
    <w:rPr>
      <w:rFonts w:asciiTheme="minorHAnsi" w:eastAsia="MS Mincho" w:hAnsiTheme="minorHAnsi" w:cstheme="minorBidi"/>
      <w:sz w:val="22"/>
      <w:szCs w:val="22"/>
      <w:lang w:eastAsia="sk-SK"/>
    </w:rPr>
  </w:style>
  <w:style w:type="paragraph" w:customStyle="1" w:styleId="TOC81">
    <w:name w:val="TOC 81"/>
    <w:basedOn w:val="Normal"/>
    <w:next w:val="Normal"/>
    <w:autoRedefine/>
    <w:uiPriority w:val="39"/>
    <w:unhideWhenUsed/>
    <w:pPr>
      <w:spacing w:after="100" w:line="276" w:lineRule="auto"/>
      <w:ind w:left="1540"/>
    </w:pPr>
    <w:rPr>
      <w:rFonts w:asciiTheme="minorHAnsi" w:eastAsia="MS Mincho" w:hAnsiTheme="minorHAnsi" w:cstheme="minorBidi"/>
      <w:sz w:val="22"/>
      <w:szCs w:val="22"/>
      <w:lang w:eastAsia="sk-SK"/>
    </w:rPr>
  </w:style>
  <w:style w:type="paragraph" w:customStyle="1" w:styleId="TOC91">
    <w:name w:val="TOC 91"/>
    <w:basedOn w:val="Normal"/>
    <w:next w:val="Normal"/>
    <w:autoRedefine/>
    <w:uiPriority w:val="39"/>
    <w:unhideWhenUsed/>
    <w:pPr>
      <w:spacing w:after="100" w:line="276" w:lineRule="auto"/>
      <w:ind w:left="1760"/>
    </w:pPr>
    <w:rPr>
      <w:rFonts w:asciiTheme="minorHAnsi" w:eastAsia="MS Mincho" w:hAnsiTheme="minorHAnsi" w:cstheme="minorBidi"/>
      <w:sz w:val="22"/>
      <w:szCs w:val="22"/>
      <w:lang w:eastAsia="sk-SK"/>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paragraph" w:styleId="Closing">
    <w:name w:val="Closing"/>
    <w:basedOn w:val="Normal"/>
    <w:next w:val="Signature"/>
    <w:link w:val="ClosingChar"/>
    <w:pPr>
      <w:tabs>
        <w:tab w:val="left" w:pos="5103"/>
      </w:tabs>
      <w:spacing w:before="240" w:after="240"/>
      <w:ind w:left="5103"/>
    </w:pPr>
    <w:rPr>
      <w:szCs w:val="20"/>
      <w:lang w:eastAsia="en-US"/>
    </w:rPr>
  </w:style>
  <w:style w:type="character" w:customStyle="1" w:styleId="ClosingChar">
    <w:name w:val="Closing Char"/>
    <w:basedOn w:val="DefaultParagraphFont"/>
    <w:link w:val="Closing"/>
    <w:rPr>
      <w:sz w:val="24"/>
      <w:lang w:val="pt-PT"/>
    </w:rPr>
  </w:style>
  <w:style w:type="paragraph" w:styleId="Signature">
    <w:name w:val="Signature"/>
    <w:basedOn w:val="Normal"/>
    <w:link w:val="SignatureChar"/>
    <w:uiPriority w:val="99"/>
    <w:semiHidden/>
    <w:unhideWhenUsed/>
    <w:pPr>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uiPriority w:val="99"/>
    <w:semiHidden/>
    <w:rPr>
      <w:rFonts w:asciiTheme="minorHAnsi" w:eastAsiaTheme="minorHAnsi" w:hAnsiTheme="minorHAnsi" w:cstheme="minorBidi"/>
      <w:sz w:val="22"/>
      <w:szCs w:val="22"/>
      <w:lang w:val="pt-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lang w:eastAsia="en-GB"/>
    </w:rPr>
  </w:style>
  <w:style w:type="paragraph" w:customStyle="1" w:styleId="Typedudocument">
    <w:name w:val="Type du document"/>
    <w:basedOn w:val="Normal"/>
    <w:next w:val="Normal"/>
    <w:pPr>
      <w:spacing w:before="36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h2">
    <w:name w:val="_h2"/>
    <w:basedOn w:val="Normal"/>
    <w:link w:val="h2Char"/>
    <w:qFormat/>
    <w:pPr>
      <w:tabs>
        <w:tab w:val="left" w:pos="1800"/>
        <w:tab w:val="left" w:pos="8640"/>
      </w:tabs>
      <w:spacing w:after="600"/>
      <w:outlineLvl w:val="0"/>
    </w:pPr>
    <w:rPr>
      <w:rFonts w:ascii="Verdana" w:hAnsi="Verdana" w:cs="Verdana"/>
      <w:b/>
      <w:bCs/>
      <w:color w:val="365F91" w:themeColor="accent1" w:themeShade="BF"/>
      <w:sz w:val="28"/>
      <w:szCs w:val="28"/>
    </w:rPr>
  </w:style>
  <w:style w:type="paragraph" w:customStyle="1" w:styleId="h3">
    <w:name w:val="_h3"/>
    <w:basedOn w:val="Normal"/>
    <w:link w:val="h3Char"/>
    <w:qFormat/>
    <w:pPr>
      <w:autoSpaceDE w:val="0"/>
      <w:autoSpaceDN w:val="0"/>
      <w:adjustRightInd w:val="0"/>
      <w:spacing w:after="240"/>
      <w:ind w:left="709" w:hanging="709"/>
      <w:outlineLvl w:val="1"/>
    </w:pPr>
    <w:rPr>
      <w:rFonts w:ascii="Verdana" w:hAnsi="Verdana" w:cs="Verdana"/>
      <w:b/>
      <w:color w:val="365F91" w:themeColor="accent1" w:themeShade="BF"/>
      <w:szCs w:val="20"/>
    </w:rPr>
  </w:style>
  <w:style w:type="character" w:customStyle="1" w:styleId="h2Char">
    <w:name w:val="_h2 Char"/>
    <w:basedOn w:val="DefaultParagraphFont"/>
    <w:link w:val="h2"/>
    <w:rPr>
      <w:rFonts w:ascii="Verdana" w:hAnsi="Verdana" w:cs="Verdana"/>
      <w:b/>
      <w:bCs/>
      <w:color w:val="365F91" w:themeColor="accent1" w:themeShade="BF"/>
      <w:sz w:val="28"/>
      <w:szCs w:val="28"/>
      <w:lang w:val="pt-PT" w:eastAsia="en-GB"/>
    </w:rPr>
  </w:style>
  <w:style w:type="paragraph" w:customStyle="1" w:styleId="h4">
    <w:name w:val="_h4"/>
    <w:basedOn w:val="Normal"/>
    <w:link w:val="h4Char"/>
    <w:qFormat/>
    <w:pPr>
      <w:autoSpaceDE w:val="0"/>
      <w:autoSpaceDN w:val="0"/>
      <w:adjustRightInd w:val="0"/>
      <w:spacing w:after="240"/>
      <w:ind w:left="851" w:hanging="851"/>
      <w:jc w:val="both"/>
      <w:outlineLvl w:val="2"/>
    </w:pPr>
    <w:rPr>
      <w:rFonts w:ascii="Verdana" w:hAnsi="Verdana"/>
      <w:b/>
      <w:sz w:val="20"/>
      <w:szCs w:val="20"/>
    </w:rPr>
  </w:style>
  <w:style w:type="character" w:customStyle="1" w:styleId="h3Char">
    <w:name w:val="_h3 Char"/>
    <w:basedOn w:val="DefaultParagraphFont"/>
    <w:link w:val="h3"/>
    <w:rPr>
      <w:rFonts w:ascii="Verdana" w:hAnsi="Verdana" w:cs="Verdana"/>
      <w:b/>
      <w:color w:val="365F91" w:themeColor="accent1" w:themeShade="BF"/>
      <w:sz w:val="24"/>
      <w:lang w:val="pt-PT" w:eastAsia="en-GB"/>
    </w:rPr>
  </w:style>
  <w:style w:type="paragraph" w:customStyle="1" w:styleId="anxsub">
    <w:name w:val="_anx_sub"/>
    <w:basedOn w:val="Normal"/>
    <w:link w:val="anxsubChar"/>
    <w:qFormat/>
    <w:pPr>
      <w:tabs>
        <w:tab w:val="left" w:pos="1800"/>
      </w:tabs>
      <w:spacing w:line="276" w:lineRule="auto"/>
      <w:ind w:left="1077" w:hanging="1077"/>
      <w:jc w:val="center"/>
      <w:outlineLvl w:val="1"/>
    </w:pPr>
    <w:rPr>
      <w:rFonts w:ascii="Verdana" w:hAnsi="Verdana"/>
      <w:b/>
    </w:rPr>
  </w:style>
  <w:style w:type="character" w:customStyle="1" w:styleId="h4Char">
    <w:name w:val="_h4 Char"/>
    <w:basedOn w:val="DefaultParagraphFont"/>
    <w:link w:val="h4"/>
    <w:rPr>
      <w:rFonts w:ascii="Verdana" w:hAnsi="Verdana"/>
      <w:b/>
      <w:lang w:val="pt-PT" w:eastAsia="en-GB"/>
    </w:rPr>
  </w:style>
  <w:style w:type="character" w:customStyle="1" w:styleId="anxsubChar">
    <w:name w:val="_anx_sub Char"/>
    <w:basedOn w:val="DefaultParagraphFont"/>
    <w:link w:val="anxsub"/>
    <w:rPr>
      <w:rFonts w:ascii="Verdana" w:hAnsi="Verdana"/>
      <w:b/>
      <w:sz w:val="24"/>
      <w:szCs w:val="24"/>
      <w:lang w:val="pt-PT" w:eastAsia="en-GB"/>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aliases w:val="number,SUPERS,(Footnote Reference),Footnote,Footnote symbol,Char1 Char Char Char Char,Footnote Reference Superscript,Footnote number,-E Fußnotenzeichen,stylish,BVI fnr,EN Footnote Reference,-E Fuﬂnotenzeichen,cal,FR, BVI fnr,note TESI"/>
    <w:basedOn w:val="DefaultParagraphFont"/>
    <w:unhideWhenUsed/>
    <w:qFormat/>
    <w:rPr>
      <w:vertAlign w:val="superscript"/>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uiPriority="35"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paragraph" w:styleId="Heading1">
    <w:name w:val="heading 1"/>
    <w:basedOn w:val="Normal"/>
    <w:next w:val="Normal"/>
    <w:link w:val="Heading1Char"/>
    <w:qFormat/>
    <w:pPr>
      <w:keepNext/>
      <w:numPr>
        <w:numId w:val="3"/>
      </w:numPr>
      <w:spacing w:before="240" w:after="240"/>
      <w:jc w:val="both"/>
      <w:outlineLvl w:val="0"/>
    </w:pPr>
    <w:rPr>
      <w:b/>
      <w:smallCaps/>
      <w:szCs w:val="20"/>
    </w:rPr>
  </w:style>
  <w:style w:type="paragraph" w:styleId="Heading2">
    <w:name w:val="heading 2"/>
    <w:basedOn w:val="Normal"/>
    <w:next w:val="Normal"/>
    <w:link w:val="Heading2Char"/>
    <w:qFormat/>
    <w:pPr>
      <w:keepNext/>
      <w:numPr>
        <w:ilvl w:val="1"/>
        <w:numId w:val="3"/>
      </w:numPr>
      <w:spacing w:after="240"/>
      <w:jc w:val="both"/>
      <w:outlineLvl w:val="1"/>
    </w:pPr>
    <w:rPr>
      <w:b/>
      <w:szCs w:val="20"/>
    </w:rPr>
  </w:style>
  <w:style w:type="paragraph" w:styleId="Heading3">
    <w:name w:val="heading 3"/>
    <w:basedOn w:val="Normal"/>
    <w:next w:val="Normal"/>
    <w:link w:val="Heading3Char"/>
    <w:qFormat/>
    <w:pPr>
      <w:keepNext/>
      <w:numPr>
        <w:ilvl w:val="2"/>
        <w:numId w:val="3"/>
      </w:numPr>
      <w:tabs>
        <w:tab w:val="clear" w:pos="1920"/>
      </w:tabs>
      <w:spacing w:after="240"/>
      <w:jc w:val="both"/>
      <w:outlineLvl w:val="2"/>
    </w:pPr>
    <w:rPr>
      <w:i/>
      <w:szCs w:val="20"/>
    </w:rPr>
  </w:style>
  <w:style w:type="paragraph" w:styleId="Heading4">
    <w:name w:val="heading 4"/>
    <w:basedOn w:val="Normal"/>
    <w:next w:val="Normal"/>
    <w:link w:val="Heading4Char"/>
    <w:qFormat/>
    <w:pPr>
      <w:keepNext/>
      <w:numPr>
        <w:ilvl w:val="3"/>
        <w:numId w:val="3"/>
      </w:numPr>
      <w:tabs>
        <w:tab w:val="clear" w:pos="2880"/>
      </w:tabs>
      <w:spacing w:after="240"/>
      <w:jc w:val="both"/>
      <w:outlineLvl w:val="3"/>
    </w:pPr>
    <w:rPr>
      <w:szCs w:val="20"/>
    </w:rPr>
  </w:style>
  <w:style w:type="paragraph" w:styleId="Heading5">
    <w:name w:val="heading 5"/>
    <w:basedOn w:val="Normal"/>
    <w:next w:val="Normal"/>
    <w:link w:val="Heading5Char"/>
    <w:qFormat/>
    <w:pPr>
      <w:tabs>
        <w:tab w:val="num" w:pos="1008"/>
      </w:tabs>
      <w:spacing w:before="240" w:after="60"/>
      <w:ind w:left="1008" w:hanging="1008"/>
      <w:outlineLvl w:val="4"/>
    </w:pPr>
    <w:rPr>
      <w:rFonts w:ascii="Arial" w:hAnsi="Arial"/>
      <w:sz w:val="22"/>
      <w:szCs w:val="20"/>
      <w:lang w:eastAsia="da-DK"/>
    </w:rPr>
  </w:style>
  <w:style w:type="paragraph" w:styleId="Heading6">
    <w:name w:val="heading 6"/>
    <w:basedOn w:val="Normal"/>
    <w:next w:val="Normal"/>
    <w:link w:val="Heading6Char"/>
    <w:qFormat/>
    <w:pPr>
      <w:keepNext/>
      <w:tabs>
        <w:tab w:val="num" w:pos="1152"/>
      </w:tabs>
      <w:ind w:left="1152" w:hanging="1152"/>
      <w:outlineLvl w:val="5"/>
    </w:pPr>
    <w:rPr>
      <w:b/>
      <w:szCs w:val="20"/>
      <w:lang w:eastAsia="da-DK"/>
    </w:rPr>
  </w:style>
  <w:style w:type="paragraph" w:styleId="Heading7">
    <w:name w:val="heading 7"/>
    <w:basedOn w:val="Normal"/>
    <w:next w:val="Normal"/>
    <w:link w:val="Heading7Char"/>
    <w:qFormat/>
    <w:pPr>
      <w:keepNext/>
      <w:tabs>
        <w:tab w:val="num" w:pos="1296"/>
      </w:tabs>
      <w:ind w:left="1296" w:hanging="1296"/>
      <w:outlineLvl w:val="6"/>
    </w:pPr>
    <w:rPr>
      <w:i/>
      <w:szCs w:val="20"/>
      <w:lang w:eastAsia="da-DK"/>
    </w:rPr>
  </w:style>
  <w:style w:type="paragraph" w:styleId="Heading8">
    <w:name w:val="heading 8"/>
    <w:basedOn w:val="Normal"/>
    <w:next w:val="Normal"/>
    <w:link w:val="Heading8Char"/>
    <w:qFormat/>
    <w:pPr>
      <w:keepNext/>
      <w:tabs>
        <w:tab w:val="num" w:pos="1440"/>
      </w:tabs>
      <w:ind w:left="1440" w:hanging="1440"/>
      <w:outlineLvl w:val="7"/>
    </w:pPr>
    <w:rPr>
      <w:b/>
      <w:sz w:val="20"/>
      <w:szCs w:val="20"/>
      <w:lang w:eastAsia="da-DK"/>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b/>
      <w:i/>
      <w:sz w:val="18"/>
      <w:szCs w:val="20"/>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mallCaps/>
      <w:sz w:val="24"/>
      <w:lang w:val="pt-PT" w:eastAsia="en-GB"/>
    </w:rPr>
  </w:style>
  <w:style w:type="character" w:customStyle="1" w:styleId="Heading2Char">
    <w:name w:val="Heading 2 Char"/>
    <w:basedOn w:val="DefaultParagraphFont"/>
    <w:link w:val="Heading2"/>
    <w:rPr>
      <w:b/>
      <w:sz w:val="24"/>
      <w:lang w:val="pt-PT" w:eastAsia="en-GB"/>
    </w:rPr>
  </w:style>
  <w:style w:type="character" w:customStyle="1" w:styleId="Heading3Char">
    <w:name w:val="Heading 3 Char"/>
    <w:basedOn w:val="DefaultParagraphFont"/>
    <w:link w:val="Heading3"/>
    <w:rPr>
      <w:i/>
      <w:sz w:val="24"/>
      <w:lang w:val="pt-PT" w:eastAsia="en-GB"/>
    </w:rPr>
  </w:style>
  <w:style w:type="character" w:customStyle="1" w:styleId="Heading4Char">
    <w:name w:val="Heading 4 Char"/>
    <w:basedOn w:val="DefaultParagraphFont"/>
    <w:link w:val="Heading4"/>
    <w:rPr>
      <w:sz w:val="24"/>
      <w:lang w:val="pt-PT" w:eastAsia="en-GB"/>
    </w:rPr>
  </w:style>
  <w:style w:type="character" w:customStyle="1" w:styleId="Heading5Char">
    <w:name w:val="Heading 5 Char"/>
    <w:basedOn w:val="DefaultParagraphFont"/>
    <w:link w:val="Heading5"/>
    <w:rPr>
      <w:rFonts w:ascii="Arial" w:hAnsi="Arial"/>
      <w:sz w:val="22"/>
      <w:lang w:val="pt-PT" w:eastAsia="da-DK"/>
    </w:rPr>
  </w:style>
  <w:style w:type="character" w:customStyle="1" w:styleId="Heading6Char">
    <w:name w:val="Heading 6 Char"/>
    <w:basedOn w:val="DefaultParagraphFont"/>
    <w:link w:val="Heading6"/>
    <w:rPr>
      <w:b/>
      <w:sz w:val="24"/>
      <w:lang w:val="pt-PT" w:eastAsia="da-DK"/>
    </w:rPr>
  </w:style>
  <w:style w:type="character" w:customStyle="1" w:styleId="Heading7Char">
    <w:name w:val="Heading 7 Char"/>
    <w:basedOn w:val="DefaultParagraphFont"/>
    <w:link w:val="Heading7"/>
    <w:rPr>
      <w:i/>
      <w:sz w:val="24"/>
      <w:lang w:val="pt-PT" w:eastAsia="da-DK"/>
    </w:rPr>
  </w:style>
  <w:style w:type="character" w:customStyle="1" w:styleId="Heading8Char">
    <w:name w:val="Heading 8 Char"/>
    <w:basedOn w:val="DefaultParagraphFont"/>
    <w:link w:val="Heading8"/>
    <w:rPr>
      <w:b/>
      <w:lang w:val="pt-PT" w:eastAsia="da-DK"/>
    </w:rPr>
  </w:style>
  <w:style w:type="character" w:customStyle="1" w:styleId="Heading9Char">
    <w:name w:val="Heading 9 Char"/>
    <w:basedOn w:val="DefaultParagraphFont"/>
    <w:link w:val="Heading9"/>
    <w:rPr>
      <w:rFonts w:ascii="Arial" w:hAnsi="Arial"/>
      <w:b/>
      <w:i/>
      <w:sz w:val="18"/>
      <w:lang w:val="pt-PT" w:eastAsia="da-DK"/>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lang w:val="pt-PT" w:eastAsia="en-GB"/>
    </w:rPr>
  </w:style>
  <w:style w:type="paragraph" w:styleId="BodyText2">
    <w:name w:val="Body Text 2"/>
    <w:basedOn w:val="Normal"/>
    <w:link w:val="BodyText2Char"/>
    <w:rPr>
      <w:rFonts w:ascii="Arial" w:hAnsi="Arial" w:cs="Arial"/>
      <w:b/>
      <w:bCs/>
      <w:szCs w:val="20"/>
      <w:lang w:eastAsia="en-US"/>
    </w:rPr>
  </w:style>
  <w:style w:type="character" w:customStyle="1" w:styleId="BodyText2Char">
    <w:name w:val="Body Text 2 Char"/>
    <w:basedOn w:val="DefaultParagraphFont"/>
    <w:link w:val="BodyText2"/>
    <w:rPr>
      <w:rFonts w:ascii="Arial" w:hAnsi="Arial" w:cs="Arial"/>
      <w:b/>
      <w:bCs/>
      <w:sz w:val="24"/>
      <w:lang w:val="pt-PT"/>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lang w:val="pt-PT" w:eastAsia="en-GB"/>
    </w:rPr>
  </w:style>
  <w:style w:type="character" w:styleId="PageNumber">
    <w:name w:val="page number"/>
    <w:basedOn w:val="DefaultParagraphFont"/>
  </w:style>
  <w:style w:type="paragraph" w:styleId="FootnoteText">
    <w:name w:val="footnote text"/>
    <w:aliases w:val="fn,Footnote text,Fußnotentextf,single space,Fußnotentext arial,Schriftart: 9 pt,Schriftart: 10 pt,Schriftart: 8 pt,WB-Fußnotentext,Fu?notentext arial,Sprotna opomba - besedilo Znak1,Sprotna opomba - besedilo Znak Znak2,f,Fußnote"/>
    <w:basedOn w:val="Normal"/>
    <w:link w:val="FootnoteTextChar"/>
    <w:qFormat/>
    <w:pPr>
      <w:ind w:left="284" w:hanging="284"/>
      <w:jc w:val="both"/>
    </w:pPr>
    <w:rPr>
      <w:sz w:val="20"/>
      <w:szCs w:val="20"/>
    </w:rPr>
  </w:style>
  <w:style w:type="character" w:customStyle="1" w:styleId="FootnoteTextChar">
    <w:name w:val="Footnote Text Char"/>
    <w:aliases w:val="fn Char,Footnote text Char,Fußnotentextf Char,single space Char,Fußnotentext arial Char,Schriftart: 9 pt Char,Schriftart: 10 pt Char,Schriftart: 8 pt Char,WB-Fußnotentext Char,Fu?notentext arial Char,f Char,Fußnote Char"/>
    <w:basedOn w:val="DefaultParagraphFont"/>
    <w:link w:val="FootnoteText"/>
    <w:locked/>
    <w:rPr>
      <w:lang w:val="pt-PT" w:eastAsia="en-GB"/>
    </w:rPr>
  </w:style>
  <w:style w:type="paragraph" w:customStyle="1" w:styleId="SUPERSChar">
    <w:name w:val="SUPERS Char"/>
    <w:aliases w:val="EN Footnote Reference Char"/>
    <w:basedOn w:val="Normal"/>
    <w:uiPriority w:val="99"/>
    <w:pPr>
      <w:widowControl w:val="0"/>
      <w:adjustRightInd w:val="0"/>
      <w:spacing w:after="160" w:line="240" w:lineRule="exact"/>
      <w:jc w:val="both"/>
    </w:pPr>
    <w:rPr>
      <w:sz w:val="20"/>
      <w:szCs w:val="20"/>
      <w:vertAlign w:val="superscript"/>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eastAsia="en-GB"/>
    </w:rPr>
  </w:style>
  <w:style w:type="paragraph" w:customStyle="1" w:styleId="Text3">
    <w:name w:val="Text 3"/>
    <w:basedOn w:val="Normal"/>
    <w:pPr>
      <w:tabs>
        <w:tab w:val="left" w:pos="2302"/>
      </w:tabs>
      <w:spacing w:after="240"/>
      <w:ind w:left="1202"/>
      <w:jc w:val="both"/>
    </w:pPr>
    <w:rPr>
      <w:lang w:eastAsia="en-US"/>
    </w:rPr>
  </w:style>
  <w:style w:type="character" w:styleId="FollowedHyperlink">
    <w:name w:val="FollowedHyperlink"/>
    <w:uiPriority w:val="99"/>
    <w:rPr>
      <w:color w:val="800080"/>
      <w:u w:val="single"/>
    </w:rPr>
  </w:style>
  <w:style w:type="character" w:styleId="CommentReference">
    <w:name w:val="annotation reference"/>
    <w:uiPriority w:val="99"/>
    <w:semiHidden/>
    <w:rPr>
      <w:sz w:val="16"/>
      <w:szCs w:val="16"/>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sz w:val="24"/>
      <w:szCs w:val="24"/>
      <w:lang w:val="pt-PT" w:eastAsia="en-GB"/>
    </w:rPr>
  </w:style>
  <w:style w:type="paragraph" w:styleId="BodyText3">
    <w:name w:val="Body Text 3"/>
    <w:basedOn w:val="Normal"/>
    <w:link w:val="BodyText3Char"/>
    <w:rPr>
      <w:b/>
      <w:szCs w:val="20"/>
      <w:lang w:eastAsia="da-DK"/>
    </w:rPr>
  </w:style>
  <w:style w:type="character" w:customStyle="1" w:styleId="BodyText3Char">
    <w:name w:val="Body Text 3 Char"/>
    <w:basedOn w:val="DefaultParagraphFont"/>
    <w:link w:val="BodyText3"/>
    <w:rPr>
      <w:b/>
      <w:sz w:val="24"/>
      <w:lang w:val="pt-PT" w:eastAsia="da-DK"/>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da-DK"/>
    </w:rPr>
  </w:style>
  <w:style w:type="character" w:customStyle="1" w:styleId="MacroTextChar">
    <w:name w:val="Macro Text Char"/>
    <w:basedOn w:val="DefaultParagraphFont"/>
    <w:link w:val="MacroText"/>
    <w:semiHidden/>
    <w:rPr>
      <w:rFonts w:ascii="Courier New" w:hAnsi="Courier New"/>
      <w:sz w:val="24"/>
      <w:lang w:val="pt-PT" w:eastAsia="da-DK"/>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pt-PT"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pt-PT" w:eastAsia="en-GB"/>
    </w:rPr>
  </w:style>
  <w:style w:type="paragraph" w:styleId="ListBullet">
    <w:name w:val="List Bullet"/>
    <w:basedOn w:val="Normal"/>
    <w:autoRedefine/>
    <w:pPr>
      <w:widowControl w:val="0"/>
      <w:numPr>
        <w:numId w:val="1"/>
      </w:numPr>
      <w:spacing w:line="360" w:lineRule="auto"/>
    </w:pPr>
    <w:rPr>
      <w:szCs w:val="20"/>
    </w:rPr>
  </w:style>
  <w:style w:type="paragraph" w:customStyle="1" w:styleId="Par-numbera">
    <w:name w:val="Par-number (a)"/>
    <w:basedOn w:val="Normal"/>
    <w:next w:val="Normal"/>
    <w:pPr>
      <w:widowControl w:val="0"/>
      <w:numPr>
        <w:numId w:val="2"/>
      </w:numPr>
      <w:spacing w:line="360" w:lineRule="auto"/>
    </w:pPr>
    <w:rPr>
      <w:szCs w:val="20"/>
    </w:rPr>
  </w:style>
  <w:style w:type="paragraph" w:customStyle="1" w:styleId="Par-dash">
    <w:name w:val="Par-dash"/>
    <w:basedOn w:val="Normal"/>
    <w:next w:val="Normal"/>
    <w:pPr>
      <w:widowControl w:val="0"/>
      <w:tabs>
        <w:tab w:val="num" w:pos="360"/>
      </w:tabs>
      <w:spacing w:line="360" w:lineRule="auto"/>
    </w:pPr>
    <w:rPr>
      <w:szCs w:val="20"/>
    </w:rPr>
  </w:style>
  <w:style w:type="paragraph" w:customStyle="1" w:styleId="EntLogo">
    <w:name w:val="EntLogo"/>
    <w:basedOn w:val="Normal"/>
    <w:next w:val="EntInstit"/>
    <w:pPr>
      <w:widowControl w:val="0"/>
      <w:spacing w:line="360" w:lineRule="auto"/>
    </w:pPr>
    <w:rPr>
      <w:b/>
      <w:szCs w:val="20"/>
    </w:rPr>
  </w:style>
  <w:style w:type="paragraph" w:customStyle="1" w:styleId="EntInstit">
    <w:name w:val="EntInstit"/>
    <w:basedOn w:val="Normal"/>
    <w:pPr>
      <w:widowControl w:val="0"/>
      <w:jc w:val="right"/>
    </w:pPr>
    <w:rPr>
      <w:b/>
      <w:szCs w:val="20"/>
    </w:rPr>
  </w:style>
  <w:style w:type="character" w:customStyle="1" w:styleId="DontTranslate">
    <w:name w:val="DontTranslate"/>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basedOn w:val="DefaultParagraphFont"/>
    <w:link w:val="PlainText"/>
    <w:rPr>
      <w:rFonts w:ascii="Courier New" w:hAnsi="Courier New"/>
      <w:lang w:val="pt-PT" w:eastAsia="en-GB"/>
    </w:rPr>
  </w:style>
  <w:style w:type="character" w:customStyle="1" w:styleId="outputecliaff">
    <w:name w:val="outputecliaff"/>
  </w:style>
  <w:style w:type="paragraph" w:customStyle="1" w:styleId="c01pointnumerotealtn">
    <w:name w:val="c01pointnumerotealtn"/>
    <w:basedOn w:val="Normal"/>
    <w:pPr>
      <w:spacing w:before="100" w:beforeAutospacing="1" w:after="100" w:afterAutospacing="1"/>
    </w:pPr>
    <w:rPr>
      <w:lang w:eastAsia="fr-FR"/>
    </w:rPr>
  </w:style>
  <w:style w:type="character" w:customStyle="1" w:styleId="shorttext">
    <w:name w:val="short_text"/>
  </w:style>
  <w:style w:type="character" w:customStyle="1" w:styleId="alt-edited">
    <w:name w:val="alt-edited"/>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
    <w:basedOn w:val="Normal"/>
    <w:link w:val="ListParagraphChar"/>
    <w:uiPriority w:val="34"/>
    <w:qFormat/>
    <w:pPr>
      <w:spacing w:before="60" w:after="60"/>
      <w:ind w:left="720"/>
      <w:contextualSpacing/>
      <w:jc w:val="both"/>
    </w:pPr>
    <w:rPr>
      <w:rFonts w:ascii="Arial" w:hAnsi="Arial"/>
      <w:sz w:val="20"/>
      <w:szCs w:val="20"/>
      <w:lang w:eastAsia="el-GR"/>
    </w:rPr>
  </w:style>
  <w:style w:type="paragraph" w:customStyle="1" w:styleId="c01pointaltn">
    <w:name w:val="c01pointaltn"/>
    <w:basedOn w:val="Normal"/>
    <w:pPr>
      <w:spacing w:before="100" w:beforeAutospacing="1" w:after="100" w:afterAutospacing="1"/>
    </w:pPr>
    <w:rPr>
      <w:lang w:eastAsia="it-IT"/>
    </w:rPr>
  </w:style>
  <w:style w:type="paragraph" w:styleId="Revision">
    <w:name w:val="Revision"/>
    <w:hidden/>
    <w:uiPriority w:val="99"/>
    <w:rPr>
      <w:sz w:val="24"/>
      <w:szCs w:val="24"/>
      <w:lang w:eastAsia="en-GB"/>
    </w:rPr>
  </w:style>
  <w:style w:type="paragraph" w:styleId="NormalWeb">
    <w:name w:val="Normal (Web)"/>
    <w:basedOn w:val="Normal"/>
    <w:uiPriority w:val="99"/>
    <w:unhideWhenUsed/>
    <w:pPr>
      <w:spacing w:before="100" w:beforeAutospacing="1" w:after="100" w:afterAutospacing="1"/>
    </w:pPr>
    <w:rPr>
      <w:sz w:val="20"/>
      <w:szCs w:val="20"/>
      <w:lang w:eastAsia="en-US"/>
    </w:rPr>
  </w:style>
  <w:style w:type="character" w:styleId="Strong">
    <w:name w:val="Strong"/>
    <w:uiPriority w:val="22"/>
    <w:qFormat/>
    <w:rPr>
      <w:b/>
      <w:bCs/>
    </w:rPr>
  </w:style>
  <w:style w:type="character" w:customStyle="1" w:styleId="apple-converted-space">
    <w:name w:val="apple-converted-space"/>
  </w:style>
  <w:style w:type="paragraph" w:customStyle="1" w:styleId="Standartstyle">
    <w:name w:val="Standart style"/>
    <w:basedOn w:val="Normal"/>
    <w:link w:val="StandartstyleChar"/>
    <w:qFormat/>
    <w:pPr>
      <w:spacing w:before="120" w:after="120" w:line="240" w:lineRule="atLeast"/>
      <w:jc w:val="both"/>
    </w:pPr>
    <w:rPr>
      <w:rFonts w:ascii="Arial" w:hAnsi="Arial" w:cs="Arial"/>
      <w:sz w:val="20"/>
      <w:szCs w:val="20"/>
      <w:lang w:eastAsia="fr-FR"/>
    </w:rPr>
  </w:style>
  <w:style w:type="character" w:customStyle="1" w:styleId="StandartstyleChar">
    <w:name w:val="Standart style Char"/>
    <w:basedOn w:val="DefaultParagraphFont"/>
    <w:link w:val="Standartstyle"/>
    <w:rPr>
      <w:rFonts w:ascii="Arial" w:hAnsi="Arial" w:cs="Arial"/>
      <w:lang w:val="pt-PT" w:eastAsia="fr-FR"/>
    </w:rPr>
  </w:style>
  <w:style w:type="paragraph" w:customStyle="1" w:styleId="Default">
    <w:name w:val="Default"/>
    <w:pPr>
      <w:widowControl w:val="0"/>
      <w:autoSpaceDE w:val="0"/>
      <w:autoSpaceDN w:val="0"/>
      <w:adjustRightInd w:val="0"/>
    </w:pPr>
    <w:rPr>
      <w:color w:val="000000"/>
      <w:sz w:val="24"/>
      <w:szCs w:val="24"/>
    </w:rPr>
  </w:style>
  <w:style w:type="character" w:customStyle="1" w:styleId="gmail-msofootnotereference">
    <w:name w:val="gmail-msofootnotereferenc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b/>
      <w:bCs/>
      <w:color w:val="4F81BD" w:themeColor="accent1"/>
      <w:sz w:val="18"/>
      <w:szCs w:val="18"/>
      <w:lang w:eastAsia="en-U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sz w:val="22"/>
      <w:szCs w:val="22"/>
      <w:lang w:eastAsia="it-IT" w:bidi="it-IT"/>
    </w:rPr>
  </w:style>
  <w:style w:type="paragraph" w:customStyle="1" w:styleId="Kopfzeileschwarz">
    <w:name w:val="Kopfzeile_schwarz"/>
    <w:basedOn w:val="Normal"/>
    <w:next w:val="Normal"/>
    <w:unhideWhenUsed/>
    <w:qFormat/>
    <w:pPr>
      <w:pBdr>
        <w:bottom w:val="single" w:sz="18" w:space="4" w:color="505050"/>
      </w:pBdr>
      <w:tabs>
        <w:tab w:val="right" w:pos="8222"/>
      </w:tabs>
      <w:spacing w:before="240" w:after="120" w:line="259" w:lineRule="auto"/>
      <w:jc w:val="both"/>
    </w:pPr>
    <w:rPr>
      <w:rFonts w:ascii="Arial" w:hAnsi="Arial"/>
      <w:color w:val="000000"/>
      <w:sz w:val="20"/>
      <w:szCs w:val="20"/>
      <w:lang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en-US"/>
    </w:rPr>
  </w:style>
  <w:style w:type="paragraph" w:styleId="TOC1">
    <w:name w:val="toc 1"/>
    <w:basedOn w:val="Normal"/>
    <w:next w:val="Normal"/>
    <w:autoRedefine/>
    <w:uiPriority w:val="39"/>
    <w:unhideWhenUsed/>
    <w:qFormat/>
    <w:pPr>
      <w:tabs>
        <w:tab w:val="left" w:pos="440"/>
        <w:tab w:val="right" w:leader="dot" w:pos="8505"/>
      </w:tabs>
      <w:spacing w:before="100" w:beforeAutospacing="1" w:after="120"/>
      <w:ind w:left="425" w:right="561" w:hanging="425"/>
      <w:jc w:val="both"/>
    </w:pPr>
    <w:rPr>
      <w:rFonts w:ascii="Arial" w:eastAsia="Calibri" w:hAnsi="Arial" w:cs="Arial"/>
      <w:b/>
      <w:sz w:val="20"/>
      <w:lang w:eastAsia="en-US"/>
    </w:rPr>
  </w:style>
  <w:style w:type="paragraph" w:styleId="TOC2">
    <w:name w:val="toc 2"/>
    <w:basedOn w:val="Normal"/>
    <w:next w:val="Normal"/>
    <w:autoRedefine/>
    <w:uiPriority w:val="39"/>
    <w:unhideWhenUsed/>
    <w:qFormat/>
    <w:pPr>
      <w:spacing w:after="100" w:line="259" w:lineRule="auto"/>
      <w:ind w:left="200"/>
      <w:jc w:val="both"/>
    </w:pPr>
    <w:rPr>
      <w:rFonts w:ascii="Arial" w:eastAsia="Calibri" w:hAnsi="Arial" w:cs="Arial"/>
      <w:sz w:val="20"/>
      <w:szCs w:val="20"/>
      <w:lang w:eastAsia="en-US"/>
    </w:rPr>
  </w:style>
  <w:style w:type="paragraph" w:styleId="TOC3">
    <w:name w:val="toc 3"/>
    <w:basedOn w:val="Normal"/>
    <w:next w:val="Normal"/>
    <w:autoRedefine/>
    <w:uiPriority w:val="39"/>
    <w:unhideWhenUsed/>
    <w:qFormat/>
    <w:pPr>
      <w:spacing w:after="100" w:line="276" w:lineRule="auto"/>
      <w:ind w:left="440"/>
    </w:pPr>
    <w:rPr>
      <w:rFonts w:asciiTheme="minorHAnsi" w:eastAsiaTheme="minorEastAsia" w:hAnsiTheme="minorHAnsi" w:cstheme="minorBidi"/>
      <w:sz w:val="22"/>
      <w:szCs w:val="22"/>
      <w:lang w:eastAsia="en-US"/>
    </w:rPr>
  </w:style>
  <w:style w:type="character" w:styleId="Emphasis">
    <w:name w:val="Emphasis"/>
    <w:basedOn w:val="DefaultParagraphFont"/>
    <w:uiPriority w:val="20"/>
    <w:qFormat/>
    <w:rPr>
      <w:i/>
      <w:iCs/>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sz w:val="22"/>
      <w:szCs w:val="22"/>
      <w:lang w:eastAsia="sk-SK"/>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 w:val="22"/>
      <w:szCs w:val="22"/>
      <w:lang w:eastAsia="sk-SK"/>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sz w:val="22"/>
      <w:szCs w:val="22"/>
      <w:lang w:eastAsia="sk-SK"/>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sz w:val="22"/>
      <w:szCs w:val="22"/>
      <w:lang w:eastAsia="sk-SK"/>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sz w:val="22"/>
      <w:szCs w:val="22"/>
      <w:lang w:eastAsia="sk-SK"/>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sz w:val="22"/>
      <w:szCs w:val="22"/>
      <w:lang w:eastAsia="sk-SK"/>
    </w:rPr>
  </w:style>
  <w:style w:type="character" w:customStyle="1" w:styleId="Nevyeenzmnka1">
    <w:name w:val="Nevyřešená zmínka1"/>
    <w:basedOn w:val="DefaultParagraphFont"/>
    <w:uiPriority w:val="99"/>
    <w:semiHidden/>
    <w:unhideWhenUsed/>
    <w:rPr>
      <w:color w:val="605E5C"/>
      <w:shd w:val="clear" w:color="auto" w:fill="E1DFDD"/>
    </w:rPr>
  </w:style>
  <w:style w:type="character" w:customStyle="1" w:styleId="Ratkaisematonmaininta1">
    <w:name w:val="Ratkaisematon maininta1"/>
    <w:basedOn w:val="DefaultParagraphFont"/>
    <w:uiPriority w:val="99"/>
    <w:semiHidden/>
    <w:unhideWhenUsed/>
    <w:rPr>
      <w:color w:val="605E5C"/>
      <w:shd w:val="clear" w:color="auto" w:fill="E1DFDD"/>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uiPriority w:val="34"/>
    <w:locked/>
    <w:rPr>
      <w:rFonts w:ascii="Arial" w:hAnsi="Arial"/>
      <w:lang w:val="pt-PT" w:eastAsia="el-GR"/>
    </w:rPr>
  </w:style>
  <w:style w:type="character" w:customStyle="1" w:styleId="italics">
    <w:name w:val="italics"/>
    <w:basedOn w:val="DefaultParagraphFont"/>
  </w:style>
  <w:style w:type="character" w:customStyle="1" w:styleId="stl07">
    <w:name w:val="stl_07"/>
    <w:basedOn w:val="DefaultParagraphFont"/>
  </w:style>
  <w:style w:type="character" w:customStyle="1" w:styleId="stl18">
    <w:name w:val="stl_18"/>
    <w:basedOn w:val="DefaultParagraphFont"/>
  </w:style>
  <w:style w:type="character" w:customStyle="1" w:styleId="Mencinsinresolver1">
    <w:name w:val="Mención sin resolver1"/>
    <w:basedOn w:val="DefaultParagraphFont"/>
    <w:uiPriority w:val="99"/>
    <w:semiHidden/>
    <w:unhideWhenUsed/>
    <w:rPr>
      <w:color w:val="605E5C"/>
      <w:shd w:val="clear" w:color="auto" w:fill="E1DFDD"/>
    </w:rPr>
  </w:style>
  <w:style w:type="paragraph" w:customStyle="1" w:styleId="CM1">
    <w:name w:val="CM1"/>
    <w:basedOn w:val="Default"/>
    <w:next w:val="Default"/>
    <w:uiPriority w:val="99"/>
    <w:pPr>
      <w:widowControl/>
    </w:pPr>
    <w:rPr>
      <w:color w:val="auto"/>
    </w:rPr>
  </w:style>
  <w:style w:type="paragraph" w:customStyle="1" w:styleId="CM3">
    <w:name w:val="CM3"/>
    <w:basedOn w:val="Default"/>
    <w:next w:val="Default"/>
    <w:uiPriority w:val="99"/>
    <w:pPr>
      <w:widowControl/>
    </w:pPr>
    <w:rPr>
      <w:color w:val="auto"/>
    </w:rPr>
  </w:style>
  <w:style w:type="paragraph" w:customStyle="1" w:styleId="msonormal0">
    <w:name w:val="msonormal"/>
    <w:basedOn w:val="Normal"/>
    <w:uiPriority w:val="99"/>
    <w:pPr>
      <w:spacing w:before="100" w:beforeAutospacing="1" w:after="100" w:afterAutospacing="1"/>
    </w:pPr>
    <w:rPr>
      <w:sz w:val="20"/>
      <w:szCs w:val="20"/>
      <w:lang w:eastAsia="en-US"/>
    </w:rPr>
  </w:style>
  <w:style w:type="character" w:customStyle="1" w:styleId="FootnoteTextChar1">
    <w:name w:val="Footnote Text Char1"/>
    <w:aliases w:val="fn Char1,Footnote text Char1,Fußnotentextf Char1,single space Char1,Fußnotentext arial Char1,Schriftart: 9 pt Char1,Schriftart: 10 pt Char1,Schriftart: 8 pt Char1,WB-Fußnotentext Char1,Fu?notentext arial Char1,f Char1,Fußnote Char1"/>
    <w:basedOn w:val="DefaultParagraphFont"/>
    <w:uiPriority w:val="99"/>
    <w:semiHidden/>
    <w:rPr>
      <w:lang w:val="pt-PT" w:eastAsia="en-GB"/>
    </w:rPr>
  </w:style>
  <w:style w:type="character" w:customStyle="1" w:styleId="CommentTextChar1">
    <w:name w:val="Comment Text Char1"/>
    <w:uiPriority w:val="99"/>
    <w:semiHidden/>
    <w:rPr>
      <w:lang w:eastAsia="ar-SA"/>
    </w:rPr>
  </w:style>
  <w:style w:type="paragraph" w:customStyle="1" w:styleId="01PointnumeroteAltN">
    <w:name w:val="01_Point_numerote_(Alt+N)"/>
    <w:basedOn w:val="Normal"/>
    <w:uiPriority w:val="99"/>
    <w:qFormat/>
    <w:pPr>
      <w:numPr>
        <w:numId w:val="39"/>
      </w:numPr>
      <w:spacing w:after="240"/>
      <w:jc w:val="both"/>
    </w:pPr>
    <w:rPr>
      <w:sz w:val="25"/>
      <w:lang w:eastAsia="fr-FR" w:bidi="fr-FR"/>
    </w:rPr>
  </w:style>
  <w:style w:type="paragraph" w:customStyle="1" w:styleId="GendocOriginal01PointnumeroteAltN">
    <w:name w:val="Gendoc_Original_01_Point_numerote_(Alt+N)"/>
    <w:basedOn w:val="Normal"/>
    <w:next w:val="01PointnumeroteAltN"/>
    <w:uiPriority w:val="99"/>
    <w:semiHidden/>
    <w:qFormat/>
    <w:pPr>
      <w:numPr>
        <w:numId w:val="40"/>
      </w:numPr>
      <w:spacing w:after="240"/>
      <w:jc w:val="both"/>
    </w:pPr>
    <w:rPr>
      <w:sz w:val="25"/>
      <w:lang w:eastAsia="fr-FR" w:bidi="fr-FR"/>
    </w:rPr>
  </w:style>
  <w:style w:type="numbering" w:customStyle="1" w:styleId="01PointnumeroteAltNList">
    <w:name w:val="01_Point_numerote_(Alt+N)_List"/>
    <w:basedOn w:val="NoList"/>
    <w:uiPriority w:val="99"/>
    <w:qFormat/>
    <w:pPr>
      <w:numPr>
        <w:numId w:val="39"/>
      </w:numPr>
    </w:pPr>
  </w:style>
  <w:style w:type="numbering" w:customStyle="1" w:styleId="GendocOriginal01PointnumeroteAltNList">
    <w:name w:val="Gendoc_Original_01_Point_numerote_(Alt+N)_List"/>
    <w:basedOn w:val="NoList"/>
    <w:uiPriority w:val="99"/>
    <w:semiHidden/>
    <w:qFormat/>
    <w:pPr>
      <w:numPr>
        <w:numId w:val="40"/>
      </w:numPr>
    </w:pPr>
  </w:style>
  <w:style w:type="numbering" w:customStyle="1" w:styleId="NoList1">
    <w:name w:val="No List1"/>
    <w:next w:val="NoList"/>
    <w:uiPriority w:val="99"/>
    <w:semiHidden/>
    <w:unhideWhenUsed/>
  </w:style>
  <w:style w:type="paragraph" w:customStyle="1" w:styleId="Caption1">
    <w:name w:val="Caption1"/>
    <w:basedOn w:val="Normal"/>
    <w:next w:val="Normal"/>
    <w:uiPriority w:val="35"/>
    <w:unhideWhenUsed/>
    <w:qFormat/>
    <w:pPr>
      <w:spacing w:after="200"/>
    </w:pPr>
    <w:rPr>
      <w:rFonts w:asciiTheme="minorHAnsi" w:eastAsiaTheme="minorHAnsi" w:hAnsiTheme="minorHAnsi" w:cstheme="minorBidi"/>
      <w:b/>
      <w:bCs/>
      <w:color w:val="4F81BD"/>
      <w:sz w:val="18"/>
      <w:szCs w:val="18"/>
      <w:lang w:eastAsia="en-US"/>
    </w:rPr>
  </w:style>
  <w:style w:type="paragraph" w:customStyle="1" w:styleId="TOCHeading1">
    <w:name w:val="TOC Heading1"/>
    <w:basedOn w:val="Heading1"/>
    <w:next w:val="Normal"/>
    <w:uiPriority w:val="39"/>
    <w:unhideWhenUsed/>
    <w:qFormat/>
    <w:pPr>
      <w:keepLines/>
      <w:numPr>
        <w:numId w:val="0"/>
      </w:numPr>
      <w:spacing w:before="480" w:after="0" w:line="276" w:lineRule="auto"/>
      <w:jc w:val="left"/>
      <w:outlineLvl w:val="9"/>
    </w:pPr>
    <w:rPr>
      <w:rFonts w:ascii="Calibri" w:eastAsia="MS Gothic" w:hAnsi="Calibri"/>
      <w:bCs/>
      <w:smallCaps w:val="0"/>
      <w:color w:val="365F91"/>
      <w:sz w:val="28"/>
      <w:szCs w:val="28"/>
      <w:lang w:eastAsia="en-US"/>
    </w:rPr>
  </w:style>
  <w:style w:type="paragraph" w:customStyle="1" w:styleId="TOC31">
    <w:name w:val="TOC 31"/>
    <w:basedOn w:val="Normal"/>
    <w:next w:val="Normal"/>
    <w:autoRedefine/>
    <w:uiPriority w:val="39"/>
    <w:unhideWhenUsed/>
    <w:qFormat/>
    <w:pPr>
      <w:spacing w:after="100" w:line="276" w:lineRule="auto"/>
      <w:ind w:left="440"/>
    </w:pPr>
    <w:rPr>
      <w:rFonts w:asciiTheme="minorHAnsi" w:eastAsia="MS Mincho" w:hAnsiTheme="minorHAnsi" w:cstheme="minorBidi"/>
      <w:sz w:val="22"/>
      <w:szCs w:val="22"/>
      <w:lang w:eastAsia="en-US"/>
    </w:rPr>
  </w:style>
  <w:style w:type="paragraph" w:customStyle="1" w:styleId="TOC41">
    <w:name w:val="TOC 41"/>
    <w:basedOn w:val="Normal"/>
    <w:next w:val="Normal"/>
    <w:autoRedefine/>
    <w:uiPriority w:val="39"/>
    <w:unhideWhenUsed/>
    <w:pPr>
      <w:spacing w:after="100" w:line="276" w:lineRule="auto"/>
      <w:ind w:left="660"/>
    </w:pPr>
    <w:rPr>
      <w:rFonts w:asciiTheme="minorHAnsi" w:eastAsia="MS Mincho" w:hAnsiTheme="minorHAnsi" w:cstheme="minorBidi"/>
      <w:sz w:val="22"/>
      <w:szCs w:val="22"/>
      <w:lang w:eastAsia="sk-SK"/>
    </w:rPr>
  </w:style>
  <w:style w:type="paragraph" w:customStyle="1" w:styleId="TOC51">
    <w:name w:val="TOC 51"/>
    <w:basedOn w:val="Normal"/>
    <w:next w:val="Normal"/>
    <w:autoRedefine/>
    <w:uiPriority w:val="39"/>
    <w:unhideWhenUsed/>
    <w:pPr>
      <w:spacing w:after="100" w:line="276" w:lineRule="auto"/>
      <w:ind w:left="880"/>
    </w:pPr>
    <w:rPr>
      <w:rFonts w:asciiTheme="minorHAnsi" w:eastAsia="MS Mincho" w:hAnsiTheme="minorHAnsi" w:cstheme="minorBidi"/>
      <w:sz w:val="22"/>
      <w:szCs w:val="22"/>
      <w:lang w:eastAsia="sk-SK"/>
    </w:rPr>
  </w:style>
  <w:style w:type="paragraph" w:customStyle="1" w:styleId="TOC61">
    <w:name w:val="TOC 61"/>
    <w:basedOn w:val="Normal"/>
    <w:next w:val="Normal"/>
    <w:autoRedefine/>
    <w:uiPriority w:val="39"/>
    <w:unhideWhenUsed/>
    <w:pPr>
      <w:spacing w:after="100" w:line="276" w:lineRule="auto"/>
      <w:ind w:left="1100"/>
    </w:pPr>
    <w:rPr>
      <w:rFonts w:asciiTheme="minorHAnsi" w:eastAsia="MS Mincho" w:hAnsiTheme="minorHAnsi" w:cstheme="minorBidi"/>
      <w:sz w:val="22"/>
      <w:szCs w:val="22"/>
      <w:lang w:eastAsia="sk-SK"/>
    </w:rPr>
  </w:style>
  <w:style w:type="paragraph" w:customStyle="1" w:styleId="TOC71">
    <w:name w:val="TOC 71"/>
    <w:basedOn w:val="Normal"/>
    <w:next w:val="Normal"/>
    <w:autoRedefine/>
    <w:uiPriority w:val="39"/>
    <w:unhideWhenUsed/>
    <w:pPr>
      <w:spacing w:after="100" w:line="276" w:lineRule="auto"/>
      <w:ind w:left="1320"/>
    </w:pPr>
    <w:rPr>
      <w:rFonts w:asciiTheme="minorHAnsi" w:eastAsia="MS Mincho" w:hAnsiTheme="minorHAnsi" w:cstheme="minorBidi"/>
      <w:sz w:val="22"/>
      <w:szCs w:val="22"/>
      <w:lang w:eastAsia="sk-SK"/>
    </w:rPr>
  </w:style>
  <w:style w:type="paragraph" w:customStyle="1" w:styleId="TOC81">
    <w:name w:val="TOC 81"/>
    <w:basedOn w:val="Normal"/>
    <w:next w:val="Normal"/>
    <w:autoRedefine/>
    <w:uiPriority w:val="39"/>
    <w:unhideWhenUsed/>
    <w:pPr>
      <w:spacing w:after="100" w:line="276" w:lineRule="auto"/>
      <w:ind w:left="1540"/>
    </w:pPr>
    <w:rPr>
      <w:rFonts w:asciiTheme="minorHAnsi" w:eastAsia="MS Mincho" w:hAnsiTheme="minorHAnsi" w:cstheme="minorBidi"/>
      <w:sz w:val="22"/>
      <w:szCs w:val="22"/>
      <w:lang w:eastAsia="sk-SK"/>
    </w:rPr>
  </w:style>
  <w:style w:type="paragraph" w:customStyle="1" w:styleId="TOC91">
    <w:name w:val="TOC 91"/>
    <w:basedOn w:val="Normal"/>
    <w:next w:val="Normal"/>
    <w:autoRedefine/>
    <w:uiPriority w:val="39"/>
    <w:unhideWhenUsed/>
    <w:pPr>
      <w:spacing w:after="100" w:line="276" w:lineRule="auto"/>
      <w:ind w:left="1760"/>
    </w:pPr>
    <w:rPr>
      <w:rFonts w:asciiTheme="minorHAnsi" w:eastAsia="MS Mincho" w:hAnsiTheme="minorHAnsi" w:cstheme="minorBidi"/>
      <w:sz w:val="22"/>
      <w:szCs w:val="22"/>
      <w:lang w:eastAsia="sk-SK"/>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paragraph" w:styleId="Closing">
    <w:name w:val="Closing"/>
    <w:basedOn w:val="Normal"/>
    <w:next w:val="Signature"/>
    <w:link w:val="ClosingChar"/>
    <w:pPr>
      <w:tabs>
        <w:tab w:val="left" w:pos="5103"/>
      </w:tabs>
      <w:spacing w:before="240" w:after="240"/>
      <w:ind w:left="5103"/>
    </w:pPr>
    <w:rPr>
      <w:szCs w:val="20"/>
      <w:lang w:eastAsia="en-US"/>
    </w:rPr>
  </w:style>
  <w:style w:type="character" w:customStyle="1" w:styleId="ClosingChar">
    <w:name w:val="Closing Char"/>
    <w:basedOn w:val="DefaultParagraphFont"/>
    <w:link w:val="Closing"/>
    <w:rPr>
      <w:sz w:val="24"/>
      <w:lang w:val="pt-PT"/>
    </w:rPr>
  </w:style>
  <w:style w:type="paragraph" w:styleId="Signature">
    <w:name w:val="Signature"/>
    <w:basedOn w:val="Normal"/>
    <w:link w:val="SignatureChar"/>
    <w:uiPriority w:val="99"/>
    <w:semiHidden/>
    <w:unhideWhenUsed/>
    <w:pPr>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uiPriority w:val="99"/>
    <w:semiHidden/>
    <w:rPr>
      <w:rFonts w:asciiTheme="minorHAnsi" w:eastAsiaTheme="minorHAnsi" w:hAnsiTheme="minorHAnsi" w:cstheme="minorBidi"/>
      <w:sz w:val="22"/>
      <w:szCs w:val="22"/>
      <w:lang w:val="pt-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lang w:eastAsia="en-GB"/>
    </w:rPr>
  </w:style>
  <w:style w:type="paragraph" w:customStyle="1" w:styleId="Typedudocument">
    <w:name w:val="Type du document"/>
    <w:basedOn w:val="Normal"/>
    <w:next w:val="Normal"/>
    <w:pPr>
      <w:spacing w:before="36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h2">
    <w:name w:val="_h2"/>
    <w:basedOn w:val="Normal"/>
    <w:link w:val="h2Char"/>
    <w:qFormat/>
    <w:pPr>
      <w:tabs>
        <w:tab w:val="left" w:pos="1800"/>
        <w:tab w:val="left" w:pos="8640"/>
      </w:tabs>
      <w:spacing w:after="600"/>
      <w:outlineLvl w:val="0"/>
    </w:pPr>
    <w:rPr>
      <w:rFonts w:ascii="Verdana" w:hAnsi="Verdana" w:cs="Verdana"/>
      <w:b/>
      <w:bCs/>
      <w:color w:val="365F91" w:themeColor="accent1" w:themeShade="BF"/>
      <w:sz w:val="28"/>
      <w:szCs w:val="28"/>
    </w:rPr>
  </w:style>
  <w:style w:type="paragraph" w:customStyle="1" w:styleId="h3">
    <w:name w:val="_h3"/>
    <w:basedOn w:val="Normal"/>
    <w:link w:val="h3Char"/>
    <w:qFormat/>
    <w:pPr>
      <w:autoSpaceDE w:val="0"/>
      <w:autoSpaceDN w:val="0"/>
      <w:adjustRightInd w:val="0"/>
      <w:spacing w:after="240"/>
      <w:ind w:left="709" w:hanging="709"/>
      <w:outlineLvl w:val="1"/>
    </w:pPr>
    <w:rPr>
      <w:rFonts w:ascii="Verdana" w:hAnsi="Verdana" w:cs="Verdana"/>
      <w:b/>
      <w:color w:val="365F91" w:themeColor="accent1" w:themeShade="BF"/>
      <w:szCs w:val="20"/>
    </w:rPr>
  </w:style>
  <w:style w:type="character" w:customStyle="1" w:styleId="h2Char">
    <w:name w:val="_h2 Char"/>
    <w:basedOn w:val="DefaultParagraphFont"/>
    <w:link w:val="h2"/>
    <w:rPr>
      <w:rFonts w:ascii="Verdana" w:hAnsi="Verdana" w:cs="Verdana"/>
      <w:b/>
      <w:bCs/>
      <w:color w:val="365F91" w:themeColor="accent1" w:themeShade="BF"/>
      <w:sz w:val="28"/>
      <w:szCs w:val="28"/>
      <w:lang w:val="pt-PT" w:eastAsia="en-GB"/>
    </w:rPr>
  </w:style>
  <w:style w:type="paragraph" w:customStyle="1" w:styleId="h4">
    <w:name w:val="_h4"/>
    <w:basedOn w:val="Normal"/>
    <w:link w:val="h4Char"/>
    <w:qFormat/>
    <w:pPr>
      <w:autoSpaceDE w:val="0"/>
      <w:autoSpaceDN w:val="0"/>
      <w:adjustRightInd w:val="0"/>
      <w:spacing w:after="240"/>
      <w:ind w:left="851" w:hanging="851"/>
      <w:jc w:val="both"/>
      <w:outlineLvl w:val="2"/>
    </w:pPr>
    <w:rPr>
      <w:rFonts w:ascii="Verdana" w:hAnsi="Verdana"/>
      <w:b/>
      <w:sz w:val="20"/>
      <w:szCs w:val="20"/>
    </w:rPr>
  </w:style>
  <w:style w:type="character" w:customStyle="1" w:styleId="h3Char">
    <w:name w:val="_h3 Char"/>
    <w:basedOn w:val="DefaultParagraphFont"/>
    <w:link w:val="h3"/>
    <w:rPr>
      <w:rFonts w:ascii="Verdana" w:hAnsi="Verdana" w:cs="Verdana"/>
      <w:b/>
      <w:color w:val="365F91" w:themeColor="accent1" w:themeShade="BF"/>
      <w:sz w:val="24"/>
      <w:lang w:val="pt-PT" w:eastAsia="en-GB"/>
    </w:rPr>
  </w:style>
  <w:style w:type="paragraph" w:customStyle="1" w:styleId="anxsub">
    <w:name w:val="_anx_sub"/>
    <w:basedOn w:val="Normal"/>
    <w:link w:val="anxsubChar"/>
    <w:qFormat/>
    <w:pPr>
      <w:tabs>
        <w:tab w:val="left" w:pos="1800"/>
      </w:tabs>
      <w:spacing w:line="276" w:lineRule="auto"/>
      <w:ind w:left="1077" w:hanging="1077"/>
      <w:jc w:val="center"/>
      <w:outlineLvl w:val="1"/>
    </w:pPr>
    <w:rPr>
      <w:rFonts w:ascii="Verdana" w:hAnsi="Verdana"/>
      <w:b/>
    </w:rPr>
  </w:style>
  <w:style w:type="character" w:customStyle="1" w:styleId="h4Char">
    <w:name w:val="_h4 Char"/>
    <w:basedOn w:val="DefaultParagraphFont"/>
    <w:link w:val="h4"/>
    <w:rPr>
      <w:rFonts w:ascii="Verdana" w:hAnsi="Verdana"/>
      <w:b/>
      <w:lang w:val="pt-PT" w:eastAsia="en-GB"/>
    </w:rPr>
  </w:style>
  <w:style w:type="character" w:customStyle="1" w:styleId="anxsubChar">
    <w:name w:val="_anx_sub Char"/>
    <w:basedOn w:val="DefaultParagraphFont"/>
    <w:link w:val="anxsub"/>
    <w:rPr>
      <w:rFonts w:ascii="Verdana" w:hAnsi="Verdana"/>
      <w:b/>
      <w:sz w:val="24"/>
      <w:szCs w:val="24"/>
      <w:lang w:val="pt-PT" w:eastAsia="en-GB"/>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aliases w:val="number,SUPERS,(Footnote Reference),Footnote,Footnote symbol,Char1 Char Char Char Char,Footnote Reference Superscript,Footnote number,-E Fußnotenzeichen,stylish,BVI fnr,EN Footnote Reference,-E Fuﬂnotenzeichen,cal,FR, BVI fnr,note TESI"/>
    <w:basedOn w:val="DefaultParagraphFont"/>
    <w:unhideWhenUsed/>
    <w:qFormat/>
    <w:rPr>
      <w:vertAlign w:val="superscript"/>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2634">
      <w:bodyDiv w:val="1"/>
      <w:marLeft w:val="0"/>
      <w:marRight w:val="0"/>
      <w:marTop w:val="0"/>
      <w:marBottom w:val="0"/>
      <w:divBdr>
        <w:top w:val="none" w:sz="0" w:space="0" w:color="auto"/>
        <w:left w:val="none" w:sz="0" w:space="0" w:color="auto"/>
        <w:bottom w:val="none" w:sz="0" w:space="0" w:color="auto"/>
        <w:right w:val="none" w:sz="0" w:space="0" w:color="auto"/>
      </w:divBdr>
      <w:divsChild>
        <w:div w:id="271516350">
          <w:marLeft w:val="0"/>
          <w:marRight w:val="0"/>
          <w:marTop w:val="0"/>
          <w:marBottom w:val="0"/>
          <w:divBdr>
            <w:top w:val="none" w:sz="0" w:space="0" w:color="auto"/>
            <w:left w:val="none" w:sz="0" w:space="0" w:color="auto"/>
            <w:bottom w:val="none" w:sz="0" w:space="0" w:color="auto"/>
            <w:right w:val="none" w:sz="0" w:space="0" w:color="auto"/>
          </w:divBdr>
        </w:div>
        <w:div w:id="320891846">
          <w:marLeft w:val="0"/>
          <w:marRight w:val="0"/>
          <w:marTop w:val="0"/>
          <w:marBottom w:val="0"/>
          <w:divBdr>
            <w:top w:val="none" w:sz="0" w:space="0" w:color="auto"/>
            <w:left w:val="none" w:sz="0" w:space="0" w:color="auto"/>
            <w:bottom w:val="none" w:sz="0" w:space="0" w:color="auto"/>
            <w:right w:val="none" w:sz="0" w:space="0" w:color="auto"/>
          </w:divBdr>
        </w:div>
        <w:div w:id="575748459">
          <w:marLeft w:val="0"/>
          <w:marRight w:val="0"/>
          <w:marTop w:val="0"/>
          <w:marBottom w:val="0"/>
          <w:divBdr>
            <w:top w:val="none" w:sz="0" w:space="0" w:color="auto"/>
            <w:left w:val="none" w:sz="0" w:space="0" w:color="auto"/>
            <w:bottom w:val="none" w:sz="0" w:space="0" w:color="auto"/>
            <w:right w:val="none" w:sz="0" w:space="0" w:color="auto"/>
          </w:divBdr>
        </w:div>
        <w:div w:id="806777780">
          <w:marLeft w:val="0"/>
          <w:marRight w:val="0"/>
          <w:marTop w:val="0"/>
          <w:marBottom w:val="0"/>
          <w:divBdr>
            <w:top w:val="none" w:sz="0" w:space="0" w:color="auto"/>
            <w:left w:val="none" w:sz="0" w:space="0" w:color="auto"/>
            <w:bottom w:val="none" w:sz="0" w:space="0" w:color="auto"/>
            <w:right w:val="none" w:sz="0" w:space="0" w:color="auto"/>
          </w:divBdr>
        </w:div>
        <w:div w:id="1188562337">
          <w:marLeft w:val="0"/>
          <w:marRight w:val="0"/>
          <w:marTop w:val="0"/>
          <w:marBottom w:val="0"/>
          <w:divBdr>
            <w:top w:val="none" w:sz="0" w:space="0" w:color="auto"/>
            <w:left w:val="none" w:sz="0" w:space="0" w:color="auto"/>
            <w:bottom w:val="none" w:sz="0" w:space="0" w:color="auto"/>
            <w:right w:val="none" w:sz="0" w:space="0" w:color="auto"/>
          </w:divBdr>
        </w:div>
        <w:div w:id="1228565889">
          <w:marLeft w:val="0"/>
          <w:marRight w:val="0"/>
          <w:marTop w:val="0"/>
          <w:marBottom w:val="0"/>
          <w:divBdr>
            <w:top w:val="none" w:sz="0" w:space="0" w:color="auto"/>
            <w:left w:val="none" w:sz="0" w:space="0" w:color="auto"/>
            <w:bottom w:val="none" w:sz="0" w:space="0" w:color="auto"/>
            <w:right w:val="none" w:sz="0" w:space="0" w:color="auto"/>
          </w:divBdr>
        </w:div>
        <w:div w:id="1565607096">
          <w:marLeft w:val="0"/>
          <w:marRight w:val="0"/>
          <w:marTop w:val="0"/>
          <w:marBottom w:val="0"/>
          <w:divBdr>
            <w:top w:val="none" w:sz="0" w:space="0" w:color="auto"/>
            <w:left w:val="none" w:sz="0" w:space="0" w:color="auto"/>
            <w:bottom w:val="none" w:sz="0" w:space="0" w:color="auto"/>
            <w:right w:val="none" w:sz="0" w:space="0" w:color="auto"/>
          </w:divBdr>
        </w:div>
        <w:div w:id="1639917818">
          <w:marLeft w:val="0"/>
          <w:marRight w:val="0"/>
          <w:marTop w:val="0"/>
          <w:marBottom w:val="0"/>
          <w:divBdr>
            <w:top w:val="none" w:sz="0" w:space="0" w:color="auto"/>
            <w:left w:val="none" w:sz="0" w:space="0" w:color="auto"/>
            <w:bottom w:val="none" w:sz="0" w:space="0" w:color="auto"/>
            <w:right w:val="none" w:sz="0" w:space="0" w:color="auto"/>
          </w:divBdr>
        </w:div>
        <w:div w:id="1795366639">
          <w:marLeft w:val="0"/>
          <w:marRight w:val="0"/>
          <w:marTop w:val="0"/>
          <w:marBottom w:val="0"/>
          <w:divBdr>
            <w:top w:val="none" w:sz="0" w:space="0" w:color="auto"/>
            <w:left w:val="none" w:sz="0" w:space="0" w:color="auto"/>
            <w:bottom w:val="none" w:sz="0" w:space="0" w:color="auto"/>
            <w:right w:val="none" w:sz="0" w:space="0" w:color="auto"/>
          </w:divBdr>
        </w:div>
        <w:div w:id="2119520008">
          <w:marLeft w:val="0"/>
          <w:marRight w:val="0"/>
          <w:marTop w:val="0"/>
          <w:marBottom w:val="0"/>
          <w:divBdr>
            <w:top w:val="none" w:sz="0" w:space="0" w:color="auto"/>
            <w:left w:val="none" w:sz="0" w:space="0" w:color="auto"/>
            <w:bottom w:val="none" w:sz="0" w:space="0" w:color="auto"/>
            <w:right w:val="none" w:sz="0" w:space="0" w:color="auto"/>
          </w:divBdr>
        </w:div>
      </w:divsChild>
    </w:div>
    <w:div w:id="79062777">
      <w:bodyDiv w:val="1"/>
      <w:marLeft w:val="0"/>
      <w:marRight w:val="0"/>
      <w:marTop w:val="0"/>
      <w:marBottom w:val="0"/>
      <w:divBdr>
        <w:top w:val="none" w:sz="0" w:space="0" w:color="auto"/>
        <w:left w:val="none" w:sz="0" w:space="0" w:color="auto"/>
        <w:bottom w:val="none" w:sz="0" w:space="0" w:color="auto"/>
        <w:right w:val="none" w:sz="0" w:space="0" w:color="auto"/>
      </w:divBdr>
    </w:div>
    <w:div w:id="190799238">
      <w:bodyDiv w:val="1"/>
      <w:marLeft w:val="0"/>
      <w:marRight w:val="0"/>
      <w:marTop w:val="0"/>
      <w:marBottom w:val="0"/>
      <w:divBdr>
        <w:top w:val="none" w:sz="0" w:space="0" w:color="auto"/>
        <w:left w:val="none" w:sz="0" w:space="0" w:color="auto"/>
        <w:bottom w:val="none" w:sz="0" w:space="0" w:color="auto"/>
        <w:right w:val="none" w:sz="0" w:space="0" w:color="auto"/>
      </w:divBdr>
      <w:divsChild>
        <w:div w:id="522086978">
          <w:marLeft w:val="0"/>
          <w:marRight w:val="0"/>
          <w:marTop w:val="0"/>
          <w:marBottom w:val="0"/>
          <w:divBdr>
            <w:top w:val="none" w:sz="0" w:space="0" w:color="auto"/>
            <w:left w:val="none" w:sz="0" w:space="0" w:color="auto"/>
            <w:bottom w:val="none" w:sz="0" w:space="0" w:color="auto"/>
            <w:right w:val="none" w:sz="0" w:space="0" w:color="auto"/>
          </w:divBdr>
          <w:divsChild>
            <w:div w:id="18049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483">
      <w:bodyDiv w:val="1"/>
      <w:marLeft w:val="0"/>
      <w:marRight w:val="0"/>
      <w:marTop w:val="0"/>
      <w:marBottom w:val="0"/>
      <w:divBdr>
        <w:top w:val="none" w:sz="0" w:space="0" w:color="auto"/>
        <w:left w:val="none" w:sz="0" w:space="0" w:color="auto"/>
        <w:bottom w:val="none" w:sz="0" w:space="0" w:color="auto"/>
        <w:right w:val="none" w:sz="0" w:space="0" w:color="auto"/>
      </w:divBdr>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55161412">
      <w:bodyDiv w:val="1"/>
      <w:marLeft w:val="0"/>
      <w:marRight w:val="0"/>
      <w:marTop w:val="0"/>
      <w:marBottom w:val="0"/>
      <w:divBdr>
        <w:top w:val="none" w:sz="0" w:space="0" w:color="auto"/>
        <w:left w:val="none" w:sz="0" w:space="0" w:color="auto"/>
        <w:bottom w:val="none" w:sz="0" w:space="0" w:color="auto"/>
        <w:right w:val="none" w:sz="0" w:space="0" w:color="auto"/>
      </w:divBdr>
    </w:div>
    <w:div w:id="356125793">
      <w:bodyDiv w:val="1"/>
      <w:marLeft w:val="0"/>
      <w:marRight w:val="0"/>
      <w:marTop w:val="0"/>
      <w:marBottom w:val="0"/>
      <w:divBdr>
        <w:top w:val="none" w:sz="0" w:space="0" w:color="auto"/>
        <w:left w:val="none" w:sz="0" w:space="0" w:color="auto"/>
        <w:bottom w:val="none" w:sz="0" w:space="0" w:color="auto"/>
        <w:right w:val="none" w:sz="0" w:space="0" w:color="auto"/>
      </w:divBdr>
    </w:div>
    <w:div w:id="365299655">
      <w:bodyDiv w:val="1"/>
      <w:marLeft w:val="0"/>
      <w:marRight w:val="0"/>
      <w:marTop w:val="0"/>
      <w:marBottom w:val="0"/>
      <w:divBdr>
        <w:top w:val="none" w:sz="0" w:space="0" w:color="auto"/>
        <w:left w:val="none" w:sz="0" w:space="0" w:color="auto"/>
        <w:bottom w:val="none" w:sz="0" w:space="0" w:color="auto"/>
        <w:right w:val="none" w:sz="0" w:space="0" w:color="auto"/>
      </w:divBdr>
    </w:div>
    <w:div w:id="405302274">
      <w:bodyDiv w:val="1"/>
      <w:marLeft w:val="0"/>
      <w:marRight w:val="0"/>
      <w:marTop w:val="0"/>
      <w:marBottom w:val="0"/>
      <w:divBdr>
        <w:top w:val="none" w:sz="0" w:space="0" w:color="auto"/>
        <w:left w:val="none" w:sz="0" w:space="0" w:color="auto"/>
        <w:bottom w:val="none" w:sz="0" w:space="0" w:color="auto"/>
        <w:right w:val="none" w:sz="0" w:space="0" w:color="auto"/>
      </w:divBdr>
      <w:divsChild>
        <w:div w:id="1983584592">
          <w:marLeft w:val="0"/>
          <w:marRight w:val="0"/>
          <w:marTop w:val="0"/>
          <w:marBottom w:val="0"/>
          <w:divBdr>
            <w:top w:val="none" w:sz="0" w:space="0" w:color="auto"/>
            <w:left w:val="none" w:sz="0" w:space="0" w:color="auto"/>
            <w:bottom w:val="none" w:sz="0" w:space="0" w:color="auto"/>
            <w:right w:val="none" w:sz="0" w:space="0" w:color="auto"/>
          </w:divBdr>
          <w:divsChild>
            <w:div w:id="1684013719">
              <w:marLeft w:val="0"/>
              <w:marRight w:val="0"/>
              <w:marTop w:val="0"/>
              <w:marBottom w:val="0"/>
              <w:divBdr>
                <w:top w:val="none" w:sz="0" w:space="0" w:color="auto"/>
                <w:left w:val="none" w:sz="0" w:space="0" w:color="auto"/>
                <w:bottom w:val="none" w:sz="0" w:space="0" w:color="auto"/>
                <w:right w:val="none" w:sz="0" w:space="0" w:color="auto"/>
              </w:divBdr>
              <w:divsChild>
                <w:div w:id="8845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2978">
      <w:bodyDiv w:val="1"/>
      <w:marLeft w:val="0"/>
      <w:marRight w:val="0"/>
      <w:marTop w:val="0"/>
      <w:marBottom w:val="0"/>
      <w:divBdr>
        <w:top w:val="none" w:sz="0" w:space="0" w:color="auto"/>
        <w:left w:val="none" w:sz="0" w:space="0" w:color="auto"/>
        <w:bottom w:val="none" w:sz="0" w:space="0" w:color="auto"/>
        <w:right w:val="none" w:sz="0" w:space="0" w:color="auto"/>
      </w:divBdr>
    </w:div>
    <w:div w:id="531112514">
      <w:bodyDiv w:val="1"/>
      <w:marLeft w:val="0"/>
      <w:marRight w:val="0"/>
      <w:marTop w:val="0"/>
      <w:marBottom w:val="0"/>
      <w:divBdr>
        <w:top w:val="none" w:sz="0" w:space="0" w:color="auto"/>
        <w:left w:val="none" w:sz="0" w:space="0" w:color="auto"/>
        <w:bottom w:val="none" w:sz="0" w:space="0" w:color="auto"/>
        <w:right w:val="none" w:sz="0" w:space="0" w:color="auto"/>
      </w:divBdr>
    </w:div>
    <w:div w:id="537663205">
      <w:bodyDiv w:val="1"/>
      <w:marLeft w:val="0"/>
      <w:marRight w:val="0"/>
      <w:marTop w:val="0"/>
      <w:marBottom w:val="0"/>
      <w:divBdr>
        <w:top w:val="none" w:sz="0" w:space="0" w:color="auto"/>
        <w:left w:val="none" w:sz="0" w:space="0" w:color="auto"/>
        <w:bottom w:val="none" w:sz="0" w:space="0" w:color="auto"/>
        <w:right w:val="none" w:sz="0" w:space="0" w:color="auto"/>
      </w:divBdr>
    </w:div>
    <w:div w:id="550386373">
      <w:bodyDiv w:val="1"/>
      <w:marLeft w:val="0"/>
      <w:marRight w:val="0"/>
      <w:marTop w:val="0"/>
      <w:marBottom w:val="0"/>
      <w:divBdr>
        <w:top w:val="none" w:sz="0" w:space="0" w:color="auto"/>
        <w:left w:val="none" w:sz="0" w:space="0" w:color="auto"/>
        <w:bottom w:val="none" w:sz="0" w:space="0" w:color="auto"/>
        <w:right w:val="none" w:sz="0" w:space="0" w:color="auto"/>
      </w:divBdr>
    </w:div>
    <w:div w:id="569271615">
      <w:bodyDiv w:val="1"/>
      <w:marLeft w:val="0"/>
      <w:marRight w:val="0"/>
      <w:marTop w:val="0"/>
      <w:marBottom w:val="0"/>
      <w:divBdr>
        <w:top w:val="none" w:sz="0" w:space="0" w:color="auto"/>
        <w:left w:val="none" w:sz="0" w:space="0" w:color="auto"/>
        <w:bottom w:val="none" w:sz="0" w:space="0" w:color="auto"/>
        <w:right w:val="none" w:sz="0" w:space="0" w:color="auto"/>
      </w:divBdr>
    </w:div>
    <w:div w:id="599799546">
      <w:bodyDiv w:val="1"/>
      <w:marLeft w:val="0"/>
      <w:marRight w:val="0"/>
      <w:marTop w:val="0"/>
      <w:marBottom w:val="0"/>
      <w:divBdr>
        <w:top w:val="none" w:sz="0" w:space="0" w:color="auto"/>
        <w:left w:val="none" w:sz="0" w:space="0" w:color="auto"/>
        <w:bottom w:val="none" w:sz="0" w:space="0" w:color="auto"/>
        <w:right w:val="none" w:sz="0" w:space="0" w:color="auto"/>
      </w:divBdr>
    </w:div>
    <w:div w:id="647133387">
      <w:bodyDiv w:val="1"/>
      <w:marLeft w:val="0"/>
      <w:marRight w:val="0"/>
      <w:marTop w:val="0"/>
      <w:marBottom w:val="0"/>
      <w:divBdr>
        <w:top w:val="none" w:sz="0" w:space="0" w:color="auto"/>
        <w:left w:val="none" w:sz="0" w:space="0" w:color="auto"/>
        <w:bottom w:val="none" w:sz="0" w:space="0" w:color="auto"/>
        <w:right w:val="none" w:sz="0" w:space="0" w:color="auto"/>
      </w:divBdr>
    </w:div>
    <w:div w:id="679505895">
      <w:bodyDiv w:val="1"/>
      <w:marLeft w:val="0"/>
      <w:marRight w:val="0"/>
      <w:marTop w:val="0"/>
      <w:marBottom w:val="0"/>
      <w:divBdr>
        <w:top w:val="none" w:sz="0" w:space="0" w:color="auto"/>
        <w:left w:val="none" w:sz="0" w:space="0" w:color="auto"/>
        <w:bottom w:val="none" w:sz="0" w:space="0" w:color="auto"/>
        <w:right w:val="none" w:sz="0" w:space="0" w:color="auto"/>
      </w:divBdr>
    </w:div>
    <w:div w:id="689723139">
      <w:bodyDiv w:val="1"/>
      <w:marLeft w:val="0"/>
      <w:marRight w:val="0"/>
      <w:marTop w:val="0"/>
      <w:marBottom w:val="0"/>
      <w:divBdr>
        <w:top w:val="none" w:sz="0" w:space="0" w:color="auto"/>
        <w:left w:val="none" w:sz="0" w:space="0" w:color="auto"/>
        <w:bottom w:val="none" w:sz="0" w:space="0" w:color="auto"/>
        <w:right w:val="none" w:sz="0" w:space="0" w:color="auto"/>
      </w:divBdr>
    </w:div>
    <w:div w:id="749277724">
      <w:bodyDiv w:val="1"/>
      <w:marLeft w:val="0"/>
      <w:marRight w:val="0"/>
      <w:marTop w:val="0"/>
      <w:marBottom w:val="0"/>
      <w:divBdr>
        <w:top w:val="none" w:sz="0" w:space="0" w:color="auto"/>
        <w:left w:val="none" w:sz="0" w:space="0" w:color="auto"/>
        <w:bottom w:val="none" w:sz="0" w:space="0" w:color="auto"/>
        <w:right w:val="none" w:sz="0" w:space="0" w:color="auto"/>
      </w:divBdr>
    </w:div>
    <w:div w:id="777799282">
      <w:bodyDiv w:val="1"/>
      <w:marLeft w:val="0"/>
      <w:marRight w:val="0"/>
      <w:marTop w:val="0"/>
      <w:marBottom w:val="0"/>
      <w:divBdr>
        <w:top w:val="none" w:sz="0" w:space="0" w:color="auto"/>
        <w:left w:val="none" w:sz="0" w:space="0" w:color="auto"/>
        <w:bottom w:val="none" w:sz="0" w:space="0" w:color="auto"/>
        <w:right w:val="none" w:sz="0" w:space="0" w:color="auto"/>
      </w:divBdr>
    </w:div>
    <w:div w:id="788475501">
      <w:bodyDiv w:val="1"/>
      <w:marLeft w:val="0"/>
      <w:marRight w:val="0"/>
      <w:marTop w:val="0"/>
      <w:marBottom w:val="0"/>
      <w:divBdr>
        <w:top w:val="none" w:sz="0" w:space="0" w:color="auto"/>
        <w:left w:val="none" w:sz="0" w:space="0" w:color="auto"/>
        <w:bottom w:val="none" w:sz="0" w:space="0" w:color="auto"/>
        <w:right w:val="none" w:sz="0" w:space="0" w:color="auto"/>
      </w:divBdr>
    </w:div>
    <w:div w:id="848832402">
      <w:bodyDiv w:val="1"/>
      <w:marLeft w:val="0"/>
      <w:marRight w:val="0"/>
      <w:marTop w:val="0"/>
      <w:marBottom w:val="0"/>
      <w:divBdr>
        <w:top w:val="none" w:sz="0" w:space="0" w:color="auto"/>
        <w:left w:val="none" w:sz="0" w:space="0" w:color="auto"/>
        <w:bottom w:val="none" w:sz="0" w:space="0" w:color="auto"/>
        <w:right w:val="none" w:sz="0" w:space="0" w:color="auto"/>
      </w:divBdr>
    </w:div>
    <w:div w:id="899563024">
      <w:bodyDiv w:val="1"/>
      <w:marLeft w:val="0"/>
      <w:marRight w:val="0"/>
      <w:marTop w:val="0"/>
      <w:marBottom w:val="0"/>
      <w:divBdr>
        <w:top w:val="none" w:sz="0" w:space="0" w:color="auto"/>
        <w:left w:val="none" w:sz="0" w:space="0" w:color="auto"/>
        <w:bottom w:val="none" w:sz="0" w:space="0" w:color="auto"/>
        <w:right w:val="none" w:sz="0" w:space="0" w:color="auto"/>
      </w:divBdr>
    </w:div>
    <w:div w:id="907223695">
      <w:bodyDiv w:val="1"/>
      <w:marLeft w:val="0"/>
      <w:marRight w:val="0"/>
      <w:marTop w:val="0"/>
      <w:marBottom w:val="0"/>
      <w:divBdr>
        <w:top w:val="none" w:sz="0" w:space="0" w:color="auto"/>
        <w:left w:val="none" w:sz="0" w:space="0" w:color="auto"/>
        <w:bottom w:val="none" w:sz="0" w:space="0" w:color="auto"/>
        <w:right w:val="none" w:sz="0" w:space="0" w:color="auto"/>
      </w:divBdr>
    </w:div>
    <w:div w:id="933780015">
      <w:bodyDiv w:val="1"/>
      <w:marLeft w:val="0"/>
      <w:marRight w:val="0"/>
      <w:marTop w:val="0"/>
      <w:marBottom w:val="0"/>
      <w:divBdr>
        <w:top w:val="none" w:sz="0" w:space="0" w:color="auto"/>
        <w:left w:val="none" w:sz="0" w:space="0" w:color="auto"/>
        <w:bottom w:val="none" w:sz="0" w:space="0" w:color="auto"/>
        <w:right w:val="none" w:sz="0" w:space="0" w:color="auto"/>
      </w:divBdr>
    </w:div>
    <w:div w:id="1021976642">
      <w:bodyDiv w:val="1"/>
      <w:marLeft w:val="0"/>
      <w:marRight w:val="0"/>
      <w:marTop w:val="0"/>
      <w:marBottom w:val="0"/>
      <w:divBdr>
        <w:top w:val="none" w:sz="0" w:space="0" w:color="auto"/>
        <w:left w:val="none" w:sz="0" w:space="0" w:color="auto"/>
        <w:bottom w:val="none" w:sz="0" w:space="0" w:color="auto"/>
        <w:right w:val="none" w:sz="0" w:space="0" w:color="auto"/>
      </w:divBdr>
    </w:div>
    <w:div w:id="1065957594">
      <w:bodyDiv w:val="1"/>
      <w:marLeft w:val="0"/>
      <w:marRight w:val="0"/>
      <w:marTop w:val="0"/>
      <w:marBottom w:val="0"/>
      <w:divBdr>
        <w:top w:val="none" w:sz="0" w:space="0" w:color="auto"/>
        <w:left w:val="none" w:sz="0" w:space="0" w:color="auto"/>
        <w:bottom w:val="none" w:sz="0" w:space="0" w:color="auto"/>
        <w:right w:val="none" w:sz="0" w:space="0" w:color="auto"/>
      </w:divBdr>
    </w:div>
    <w:div w:id="1080636324">
      <w:bodyDiv w:val="1"/>
      <w:marLeft w:val="0"/>
      <w:marRight w:val="0"/>
      <w:marTop w:val="0"/>
      <w:marBottom w:val="0"/>
      <w:divBdr>
        <w:top w:val="none" w:sz="0" w:space="0" w:color="auto"/>
        <w:left w:val="none" w:sz="0" w:space="0" w:color="auto"/>
        <w:bottom w:val="none" w:sz="0" w:space="0" w:color="auto"/>
        <w:right w:val="none" w:sz="0" w:space="0" w:color="auto"/>
      </w:divBdr>
    </w:div>
    <w:div w:id="1163857111">
      <w:bodyDiv w:val="1"/>
      <w:marLeft w:val="0"/>
      <w:marRight w:val="0"/>
      <w:marTop w:val="0"/>
      <w:marBottom w:val="0"/>
      <w:divBdr>
        <w:top w:val="none" w:sz="0" w:space="0" w:color="auto"/>
        <w:left w:val="none" w:sz="0" w:space="0" w:color="auto"/>
        <w:bottom w:val="none" w:sz="0" w:space="0" w:color="auto"/>
        <w:right w:val="none" w:sz="0" w:space="0" w:color="auto"/>
      </w:divBdr>
    </w:div>
    <w:div w:id="1166288282">
      <w:bodyDiv w:val="1"/>
      <w:marLeft w:val="0"/>
      <w:marRight w:val="0"/>
      <w:marTop w:val="0"/>
      <w:marBottom w:val="0"/>
      <w:divBdr>
        <w:top w:val="none" w:sz="0" w:space="0" w:color="auto"/>
        <w:left w:val="none" w:sz="0" w:space="0" w:color="auto"/>
        <w:bottom w:val="none" w:sz="0" w:space="0" w:color="auto"/>
        <w:right w:val="none" w:sz="0" w:space="0" w:color="auto"/>
      </w:divBdr>
    </w:div>
    <w:div w:id="1192111380">
      <w:bodyDiv w:val="1"/>
      <w:marLeft w:val="0"/>
      <w:marRight w:val="0"/>
      <w:marTop w:val="0"/>
      <w:marBottom w:val="0"/>
      <w:divBdr>
        <w:top w:val="none" w:sz="0" w:space="0" w:color="auto"/>
        <w:left w:val="none" w:sz="0" w:space="0" w:color="auto"/>
        <w:bottom w:val="none" w:sz="0" w:space="0" w:color="auto"/>
        <w:right w:val="none" w:sz="0" w:space="0" w:color="auto"/>
      </w:divBdr>
    </w:div>
    <w:div w:id="1308441115">
      <w:bodyDiv w:val="1"/>
      <w:marLeft w:val="0"/>
      <w:marRight w:val="0"/>
      <w:marTop w:val="0"/>
      <w:marBottom w:val="0"/>
      <w:divBdr>
        <w:top w:val="none" w:sz="0" w:space="0" w:color="auto"/>
        <w:left w:val="none" w:sz="0" w:space="0" w:color="auto"/>
        <w:bottom w:val="none" w:sz="0" w:space="0" w:color="auto"/>
        <w:right w:val="none" w:sz="0" w:space="0" w:color="auto"/>
      </w:divBdr>
      <w:divsChild>
        <w:div w:id="1293748373">
          <w:marLeft w:val="0"/>
          <w:marRight w:val="0"/>
          <w:marTop w:val="0"/>
          <w:marBottom w:val="0"/>
          <w:divBdr>
            <w:top w:val="none" w:sz="0" w:space="0" w:color="auto"/>
            <w:left w:val="none" w:sz="0" w:space="0" w:color="auto"/>
            <w:bottom w:val="none" w:sz="0" w:space="0" w:color="auto"/>
            <w:right w:val="none" w:sz="0" w:space="0" w:color="auto"/>
          </w:divBdr>
          <w:divsChild>
            <w:div w:id="1734037445">
              <w:marLeft w:val="0"/>
              <w:marRight w:val="0"/>
              <w:marTop w:val="0"/>
              <w:marBottom w:val="0"/>
              <w:divBdr>
                <w:top w:val="none" w:sz="0" w:space="0" w:color="auto"/>
                <w:left w:val="none" w:sz="0" w:space="0" w:color="auto"/>
                <w:bottom w:val="none" w:sz="0" w:space="0" w:color="auto"/>
                <w:right w:val="none" w:sz="0" w:space="0" w:color="auto"/>
              </w:divBdr>
              <w:divsChild>
                <w:div w:id="3038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6012">
      <w:bodyDiv w:val="1"/>
      <w:marLeft w:val="0"/>
      <w:marRight w:val="0"/>
      <w:marTop w:val="0"/>
      <w:marBottom w:val="0"/>
      <w:divBdr>
        <w:top w:val="none" w:sz="0" w:space="0" w:color="auto"/>
        <w:left w:val="none" w:sz="0" w:space="0" w:color="auto"/>
        <w:bottom w:val="none" w:sz="0" w:space="0" w:color="auto"/>
        <w:right w:val="none" w:sz="0" w:space="0" w:color="auto"/>
      </w:divBdr>
    </w:div>
    <w:div w:id="1355964512">
      <w:bodyDiv w:val="1"/>
      <w:marLeft w:val="0"/>
      <w:marRight w:val="0"/>
      <w:marTop w:val="0"/>
      <w:marBottom w:val="0"/>
      <w:divBdr>
        <w:top w:val="none" w:sz="0" w:space="0" w:color="auto"/>
        <w:left w:val="none" w:sz="0" w:space="0" w:color="auto"/>
        <w:bottom w:val="none" w:sz="0" w:space="0" w:color="auto"/>
        <w:right w:val="none" w:sz="0" w:space="0" w:color="auto"/>
      </w:divBdr>
    </w:div>
    <w:div w:id="1377660144">
      <w:bodyDiv w:val="1"/>
      <w:marLeft w:val="0"/>
      <w:marRight w:val="0"/>
      <w:marTop w:val="0"/>
      <w:marBottom w:val="0"/>
      <w:divBdr>
        <w:top w:val="none" w:sz="0" w:space="0" w:color="auto"/>
        <w:left w:val="none" w:sz="0" w:space="0" w:color="auto"/>
        <w:bottom w:val="none" w:sz="0" w:space="0" w:color="auto"/>
        <w:right w:val="none" w:sz="0" w:space="0" w:color="auto"/>
      </w:divBdr>
    </w:div>
    <w:div w:id="1679498409">
      <w:bodyDiv w:val="1"/>
      <w:marLeft w:val="0"/>
      <w:marRight w:val="0"/>
      <w:marTop w:val="0"/>
      <w:marBottom w:val="0"/>
      <w:divBdr>
        <w:top w:val="none" w:sz="0" w:space="0" w:color="auto"/>
        <w:left w:val="none" w:sz="0" w:space="0" w:color="auto"/>
        <w:bottom w:val="none" w:sz="0" w:space="0" w:color="auto"/>
        <w:right w:val="none" w:sz="0" w:space="0" w:color="auto"/>
      </w:divBdr>
    </w:div>
    <w:div w:id="1716420002">
      <w:bodyDiv w:val="1"/>
      <w:marLeft w:val="0"/>
      <w:marRight w:val="0"/>
      <w:marTop w:val="0"/>
      <w:marBottom w:val="0"/>
      <w:divBdr>
        <w:top w:val="none" w:sz="0" w:space="0" w:color="auto"/>
        <w:left w:val="none" w:sz="0" w:space="0" w:color="auto"/>
        <w:bottom w:val="none" w:sz="0" w:space="0" w:color="auto"/>
        <w:right w:val="none" w:sz="0" w:space="0" w:color="auto"/>
      </w:divBdr>
      <w:divsChild>
        <w:div w:id="78984656">
          <w:marLeft w:val="0"/>
          <w:marRight w:val="0"/>
          <w:marTop w:val="0"/>
          <w:marBottom w:val="0"/>
          <w:divBdr>
            <w:top w:val="none" w:sz="0" w:space="0" w:color="auto"/>
            <w:left w:val="none" w:sz="0" w:space="0" w:color="auto"/>
            <w:bottom w:val="none" w:sz="0" w:space="0" w:color="auto"/>
            <w:right w:val="none" w:sz="0" w:space="0" w:color="auto"/>
          </w:divBdr>
        </w:div>
        <w:div w:id="94178754">
          <w:marLeft w:val="0"/>
          <w:marRight w:val="0"/>
          <w:marTop w:val="0"/>
          <w:marBottom w:val="0"/>
          <w:divBdr>
            <w:top w:val="none" w:sz="0" w:space="0" w:color="auto"/>
            <w:left w:val="none" w:sz="0" w:space="0" w:color="auto"/>
            <w:bottom w:val="none" w:sz="0" w:space="0" w:color="auto"/>
            <w:right w:val="none" w:sz="0" w:space="0" w:color="auto"/>
          </w:divBdr>
        </w:div>
        <w:div w:id="113906718">
          <w:marLeft w:val="0"/>
          <w:marRight w:val="0"/>
          <w:marTop w:val="0"/>
          <w:marBottom w:val="0"/>
          <w:divBdr>
            <w:top w:val="none" w:sz="0" w:space="0" w:color="auto"/>
            <w:left w:val="none" w:sz="0" w:space="0" w:color="auto"/>
            <w:bottom w:val="none" w:sz="0" w:space="0" w:color="auto"/>
            <w:right w:val="none" w:sz="0" w:space="0" w:color="auto"/>
          </w:divBdr>
        </w:div>
        <w:div w:id="126358156">
          <w:marLeft w:val="0"/>
          <w:marRight w:val="0"/>
          <w:marTop w:val="0"/>
          <w:marBottom w:val="0"/>
          <w:divBdr>
            <w:top w:val="none" w:sz="0" w:space="0" w:color="auto"/>
            <w:left w:val="none" w:sz="0" w:space="0" w:color="auto"/>
            <w:bottom w:val="none" w:sz="0" w:space="0" w:color="auto"/>
            <w:right w:val="none" w:sz="0" w:space="0" w:color="auto"/>
          </w:divBdr>
        </w:div>
        <w:div w:id="132530523">
          <w:marLeft w:val="0"/>
          <w:marRight w:val="0"/>
          <w:marTop w:val="0"/>
          <w:marBottom w:val="0"/>
          <w:divBdr>
            <w:top w:val="none" w:sz="0" w:space="0" w:color="auto"/>
            <w:left w:val="none" w:sz="0" w:space="0" w:color="auto"/>
            <w:bottom w:val="none" w:sz="0" w:space="0" w:color="auto"/>
            <w:right w:val="none" w:sz="0" w:space="0" w:color="auto"/>
          </w:divBdr>
        </w:div>
        <w:div w:id="160315031">
          <w:marLeft w:val="0"/>
          <w:marRight w:val="0"/>
          <w:marTop w:val="0"/>
          <w:marBottom w:val="0"/>
          <w:divBdr>
            <w:top w:val="none" w:sz="0" w:space="0" w:color="auto"/>
            <w:left w:val="none" w:sz="0" w:space="0" w:color="auto"/>
            <w:bottom w:val="none" w:sz="0" w:space="0" w:color="auto"/>
            <w:right w:val="none" w:sz="0" w:space="0" w:color="auto"/>
          </w:divBdr>
        </w:div>
        <w:div w:id="270019554">
          <w:marLeft w:val="0"/>
          <w:marRight w:val="0"/>
          <w:marTop w:val="0"/>
          <w:marBottom w:val="0"/>
          <w:divBdr>
            <w:top w:val="none" w:sz="0" w:space="0" w:color="auto"/>
            <w:left w:val="none" w:sz="0" w:space="0" w:color="auto"/>
            <w:bottom w:val="none" w:sz="0" w:space="0" w:color="auto"/>
            <w:right w:val="none" w:sz="0" w:space="0" w:color="auto"/>
          </w:divBdr>
        </w:div>
        <w:div w:id="388840403">
          <w:marLeft w:val="0"/>
          <w:marRight w:val="0"/>
          <w:marTop w:val="0"/>
          <w:marBottom w:val="0"/>
          <w:divBdr>
            <w:top w:val="none" w:sz="0" w:space="0" w:color="auto"/>
            <w:left w:val="none" w:sz="0" w:space="0" w:color="auto"/>
            <w:bottom w:val="none" w:sz="0" w:space="0" w:color="auto"/>
            <w:right w:val="none" w:sz="0" w:space="0" w:color="auto"/>
          </w:divBdr>
        </w:div>
        <w:div w:id="485820223">
          <w:marLeft w:val="0"/>
          <w:marRight w:val="0"/>
          <w:marTop w:val="0"/>
          <w:marBottom w:val="0"/>
          <w:divBdr>
            <w:top w:val="none" w:sz="0" w:space="0" w:color="auto"/>
            <w:left w:val="none" w:sz="0" w:space="0" w:color="auto"/>
            <w:bottom w:val="none" w:sz="0" w:space="0" w:color="auto"/>
            <w:right w:val="none" w:sz="0" w:space="0" w:color="auto"/>
          </w:divBdr>
        </w:div>
        <w:div w:id="509679443">
          <w:marLeft w:val="0"/>
          <w:marRight w:val="0"/>
          <w:marTop w:val="0"/>
          <w:marBottom w:val="0"/>
          <w:divBdr>
            <w:top w:val="none" w:sz="0" w:space="0" w:color="auto"/>
            <w:left w:val="none" w:sz="0" w:space="0" w:color="auto"/>
            <w:bottom w:val="none" w:sz="0" w:space="0" w:color="auto"/>
            <w:right w:val="none" w:sz="0" w:space="0" w:color="auto"/>
          </w:divBdr>
        </w:div>
        <w:div w:id="627317678">
          <w:marLeft w:val="0"/>
          <w:marRight w:val="0"/>
          <w:marTop w:val="0"/>
          <w:marBottom w:val="0"/>
          <w:divBdr>
            <w:top w:val="none" w:sz="0" w:space="0" w:color="auto"/>
            <w:left w:val="none" w:sz="0" w:space="0" w:color="auto"/>
            <w:bottom w:val="none" w:sz="0" w:space="0" w:color="auto"/>
            <w:right w:val="none" w:sz="0" w:space="0" w:color="auto"/>
          </w:divBdr>
        </w:div>
        <w:div w:id="745617670">
          <w:marLeft w:val="0"/>
          <w:marRight w:val="0"/>
          <w:marTop w:val="0"/>
          <w:marBottom w:val="0"/>
          <w:divBdr>
            <w:top w:val="none" w:sz="0" w:space="0" w:color="auto"/>
            <w:left w:val="none" w:sz="0" w:space="0" w:color="auto"/>
            <w:bottom w:val="none" w:sz="0" w:space="0" w:color="auto"/>
            <w:right w:val="none" w:sz="0" w:space="0" w:color="auto"/>
          </w:divBdr>
        </w:div>
        <w:div w:id="965045818">
          <w:marLeft w:val="0"/>
          <w:marRight w:val="0"/>
          <w:marTop w:val="0"/>
          <w:marBottom w:val="0"/>
          <w:divBdr>
            <w:top w:val="none" w:sz="0" w:space="0" w:color="auto"/>
            <w:left w:val="none" w:sz="0" w:space="0" w:color="auto"/>
            <w:bottom w:val="none" w:sz="0" w:space="0" w:color="auto"/>
            <w:right w:val="none" w:sz="0" w:space="0" w:color="auto"/>
          </w:divBdr>
        </w:div>
        <w:div w:id="1018775157">
          <w:marLeft w:val="0"/>
          <w:marRight w:val="0"/>
          <w:marTop w:val="0"/>
          <w:marBottom w:val="0"/>
          <w:divBdr>
            <w:top w:val="none" w:sz="0" w:space="0" w:color="auto"/>
            <w:left w:val="none" w:sz="0" w:space="0" w:color="auto"/>
            <w:bottom w:val="none" w:sz="0" w:space="0" w:color="auto"/>
            <w:right w:val="none" w:sz="0" w:space="0" w:color="auto"/>
          </w:divBdr>
        </w:div>
        <w:div w:id="1026953951">
          <w:marLeft w:val="0"/>
          <w:marRight w:val="0"/>
          <w:marTop w:val="0"/>
          <w:marBottom w:val="0"/>
          <w:divBdr>
            <w:top w:val="none" w:sz="0" w:space="0" w:color="auto"/>
            <w:left w:val="none" w:sz="0" w:space="0" w:color="auto"/>
            <w:bottom w:val="none" w:sz="0" w:space="0" w:color="auto"/>
            <w:right w:val="none" w:sz="0" w:space="0" w:color="auto"/>
          </w:divBdr>
        </w:div>
        <w:div w:id="1358657447">
          <w:marLeft w:val="0"/>
          <w:marRight w:val="0"/>
          <w:marTop w:val="0"/>
          <w:marBottom w:val="0"/>
          <w:divBdr>
            <w:top w:val="none" w:sz="0" w:space="0" w:color="auto"/>
            <w:left w:val="none" w:sz="0" w:space="0" w:color="auto"/>
            <w:bottom w:val="none" w:sz="0" w:space="0" w:color="auto"/>
            <w:right w:val="none" w:sz="0" w:space="0" w:color="auto"/>
          </w:divBdr>
        </w:div>
        <w:div w:id="1409382532">
          <w:marLeft w:val="0"/>
          <w:marRight w:val="0"/>
          <w:marTop w:val="0"/>
          <w:marBottom w:val="0"/>
          <w:divBdr>
            <w:top w:val="none" w:sz="0" w:space="0" w:color="auto"/>
            <w:left w:val="none" w:sz="0" w:space="0" w:color="auto"/>
            <w:bottom w:val="none" w:sz="0" w:space="0" w:color="auto"/>
            <w:right w:val="none" w:sz="0" w:space="0" w:color="auto"/>
          </w:divBdr>
        </w:div>
        <w:div w:id="1452087500">
          <w:marLeft w:val="0"/>
          <w:marRight w:val="0"/>
          <w:marTop w:val="0"/>
          <w:marBottom w:val="0"/>
          <w:divBdr>
            <w:top w:val="none" w:sz="0" w:space="0" w:color="auto"/>
            <w:left w:val="none" w:sz="0" w:space="0" w:color="auto"/>
            <w:bottom w:val="none" w:sz="0" w:space="0" w:color="auto"/>
            <w:right w:val="none" w:sz="0" w:space="0" w:color="auto"/>
          </w:divBdr>
        </w:div>
        <w:div w:id="1596356010">
          <w:marLeft w:val="0"/>
          <w:marRight w:val="0"/>
          <w:marTop w:val="0"/>
          <w:marBottom w:val="0"/>
          <w:divBdr>
            <w:top w:val="none" w:sz="0" w:space="0" w:color="auto"/>
            <w:left w:val="none" w:sz="0" w:space="0" w:color="auto"/>
            <w:bottom w:val="none" w:sz="0" w:space="0" w:color="auto"/>
            <w:right w:val="none" w:sz="0" w:space="0" w:color="auto"/>
          </w:divBdr>
        </w:div>
        <w:div w:id="1596358212">
          <w:marLeft w:val="0"/>
          <w:marRight w:val="0"/>
          <w:marTop w:val="0"/>
          <w:marBottom w:val="0"/>
          <w:divBdr>
            <w:top w:val="none" w:sz="0" w:space="0" w:color="auto"/>
            <w:left w:val="none" w:sz="0" w:space="0" w:color="auto"/>
            <w:bottom w:val="none" w:sz="0" w:space="0" w:color="auto"/>
            <w:right w:val="none" w:sz="0" w:space="0" w:color="auto"/>
          </w:divBdr>
        </w:div>
        <w:div w:id="1717663540">
          <w:marLeft w:val="0"/>
          <w:marRight w:val="0"/>
          <w:marTop w:val="0"/>
          <w:marBottom w:val="0"/>
          <w:divBdr>
            <w:top w:val="none" w:sz="0" w:space="0" w:color="auto"/>
            <w:left w:val="none" w:sz="0" w:space="0" w:color="auto"/>
            <w:bottom w:val="none" w:sz="0" w:space="0" w:color="auto"/>
            <w:right w:val="none" w:sz="0" w:space="0" w:color="auto"/>
          </w:divBdr>
        </w:div>
        <w:div w:id="1841656503">
          <w:marLeft w:val="0"/>
          <w:marRight w:val="0"/>
          <w:marTop w:val="0"/>
          <w:marBottom w:val="0"/>
          <w:divBdr>
            <w:top w:val="none" w:sz="0" w:space="0" w:color="auto"/>
            <w:left w:val="none" w:sz="0" w:space="0" w:color="auto"/>
            <w:bottom w:val="none" w:sz="0" w:space="0" w:color="auto"/>
            <w:right w:val="none" w:sz="0" w:space="0" w:color="auto"/>
          </w:divBdr>
        </w:div>
        <w:div w:id="2020505939">
          <w:marLeft w:val="0"/>
          <w:marRight w:val="0"/>
          <w:marTop w:val="0"/>
          <w:marBottom w:val="0"/>
          <w:divBdr>
            <w:top w:val="none" w:sz="0" w:space="0" w:color="auto"/>
            <w:left w:val="none" w:sz="0" w:space="0" w:color="auto"/>
            <w:bottom w:val="none" w:sz="0" w:space="0" w:color="auto"/>
            <w:right w:val="none" w:sz="0" w:space="0" w:color="auto"/>
          </w:divBdr>
        </w:div>
        <w:div w:id="2032995718">
          <w:marLeft w:val="0"/>
          <w:marRight w:val="0"/>
          <w:marTop w:val="0"/>
          <w:marBottom w:val="0"/>
          <w:divBdr>
            <w:top w:val="none" w:sz="0" w:space="0" w:color="auto"/>
            <w:left w:val="none" w:sz="0" w:space="0" w:color="auto"/>
            <w:bottom w:val="none" w:sz="0" w:space="0" w:color="auto"/>
            <w:right w:val="none" w:sz="0" w:space="0" w:color="auto"/>
          </w:divBdr>
        </w:div>
      </w:divsChild>
    </w:div>
    <w:div w:id="1767188799">
      <w:bodyDiv w:val="1"/>
      <w:marLeft w:val="0"/>
      <w:marRight w:val="0"/>
      <w:marTop w:val="0"/>
      <w:marBottom w:val="0"/>
      <w:divBdr>
        <w:top w:val="none" w:sz="0" w:space="0" w:color="auto"/>
        <w:left w:val="none" w:sz="0" w:space="0" w:color="auto"/>
        <w:bottom w:val="none" w:sz="0" w:space="0" w:color="auto"/>
        <w:right w:val="none" w:sz="0" w:space="0" w:color="auto"/>
      </w:divBdr>
    </w:div>
    <w:div w:id="1771005849">
      <w:bodyDiv w:val="1"/>
      <w:marLeft w:val="0"/>
      <w:marRight w:val="0"/>
      <w:marTop w:val="0"/>
      <w:marBottom w:val="0"/>
      <w:divBdr>
        <w:top w:val="none" w:sz="0" w:space="0" w:color="auto"/>
        <w:left w:val="none" w:sz="0" w:space="0" w:color="auto"/>
        <w:bottom w:val="none" w:sz="0" w:space="0" w:color="auto"/>
        <w:right w:val="none" w:sz="0" w:space="0" w:color="auto"/>
      </w:divBdr>
    </w:div>
    <w:div w:id="1867449151">
      <w:bodyDiv w:val="1"/>
      <w:marLeft w:val="0"/>
      <w:marRight w:val="0"/>
      <w:marTop w:val="0"/>
      <w:marBottom w:val="0"/>
      <w:divBdr>
        <w:top w:val="none" w:sz="0" w:space="0" w:color="auto"/>
        <w:left w:val="none" w:sz="0" w:space="0" w:color="auto"/>
        <w:bottom w:val="none" w:sz="0" w:space="0" w:color="auto"/>
        <w:right w:val="none" w:sz="0" w:space="0" w:color="auto"/>
      </w:divBdr>
    </w:div>
    <w:div w:id="1868063743">
      <w:bodyDiv w:val="1"/>
      <w:marLeft w:val="0"/>
      <w:marRight w:val="0"/>
      <w:marTop w:val="0"/>
      <w:marBottom w:val="0"/>
      <w:divBdr>
        <w:top w:val="none" w:sz="0" w:space="0" w:color="auto"/>
        <w:left w:val="none" w:sz="0" w:space="0" w:color="auto"/>
        <w:bottom w:val="none" w:sz="0" w:space="0" w:color="auto"/>
        <w:right w:val="none" w:sz="0" w:space="0" w:color="auto"/>
      </w:divBdr>
    </w:div>
    <w:div w:id="1873953125">
      <w:bodyDiv w:val="1"/>
      <w:marLeft w:val="0"/>
      <w:marRight w:val="0"/>
      <w:marTop w:val="0"/>
      <w:marBottom w:val="0"/>
      <w:divBdr>
        <w:top w:val="none" w:sz="0" w:space="0" w:color="auto"/>
        <w:left w:val="none" w:sz="0" w:space="0" w:color="auto"/>
        <w:bottom w:val="none" w:sz="0" w:space="0" w:color="auto"/>
        <w:right w:val="none" w:sz="0" w:space="0" w:color="auto"/>
      </w:divBdr>
    </w:div>
    <w:div w:id="1886791125">
      <w:bodyDiv w:val="1"/>
      <w:marLeft w:val="0"/>
      <w:marRight w:val="0"/>
      <w:marTop w:val="0"/>
      <w:marBottom w:val="0"/>
      <w:divBdr>
        <w:top w:val="none" w:sz="0" w:space="0" w:color="auto"/>
        <w:left w:val="none" w:sz="0" w:space="0" w:color="auto"/>
        <w:bottom w:val="none" w:sz="0" w:space="0" w:color="auto"/>
        <w:right w:val="none" w:sz="0" w:space="0" w:color="auto"/>
      </w:divBdr>
    </w:div>
    <w:div w:id="1954283554">
      <w:bodyDiv w:val="1"/>
      <w:marLeft w:val="0"/>
      <w:marRight w:val="0"/>
      <w:marTop w:val="0"/>
      <w:marBottom w:val="0"/>
      <w:divBdr>
        <w:top w:val="none" w:sz="0" w:space="0" w:color="auto"/>
        <w:left w:val="none" w:sz="0" w:space="0" w:color="auto"/>
        <w:bottom w:val="none" w:sz="0" w:space="0" w:color="auto"/>
        <w:right w:val="none" w:sz="0" w:space="0" w:color="auto"/>
      </w:divBdr>
    </w:div>
    <w:div w:id="1980459119">
      <w:bodyDiv w:val="1"/>
      <w:marLeft w:val="0"/>
      <w:marRight w:val="0"/>
      <w:marTop w:val="0"/>
      <w:marBottom w:val="0"/>
      <w:divBdr>
        <w:top w:val="none" w:sz="0" w:space="0" w:color="auto"/>
        <w:left w:val="none" w:sz="0" w:space="0" w:color="auto"/>
        <w:bottom w:val="none" w:sz="0" w:space="0" w:color="auto"/>
        <w:right w:val="none" w:sz="0" w:space="0" w:color="auto"/>
      </w:divBdr>
    </w:div>
    <w:div w:id="2018536964">
      <w:bodyDiv w:val="1"/>
      <w:marLeft w:val="0"/>
      <w:marRight w:val="0"/>
      <w:marTop w:val="0"/>
      <w:marBottom w:val="0"/>
      <w:divBdr>
        <w:top w:val="none" w:sz="0" w:space="0" w:color="auto"/>
        <w:left w:val="none" w:sz="0" w:space="0" w:color="auto"/>
        <w:bottom w:val="none" w:sz="0" w:space="0" w:color="auto"/>
        <w:right w:val="none" w:sz="0" w:space="0" w:color="auto"/>
      </w:divBdr>
    </w:div>
    <w:div w:id="2025010965">
      <w:bodyDiv w:val="1"/>
      <w:marLeft w:val="0"/>
      <w:marRight w:val="0"/>
      <w:marTop w:val="0"/>
      <w:marBottom w:val="0"/>
      <w:divBdr>
        <w:top w:val="none" w:sz="0" w:space="0" w:color="auto"/>
        <w:left w:val="none" w:sz="0" w:space="0" w:color="auto"/>
        <w:bottom w:val="none" w:sz="0" w:space="0" w:color="auto"/>
        <w:right w:val="none" w:sz="0" w:space="0" w:color="auto"/>
      </w:divBdr>
    </w:div>
    <w:div w:id="2067679875">
      <w:bodyDiv w:val="1"/>
      <w:marLeft w:val="0"/>
      <w:marRight w:val="0"/>
      <w:marTop w:val="0"/>
      <w:marBottom w:val="0"/>
      <w:divBdr>
        <w:top w:val="none" w:sz="0" w:space="0" w:color="auto"/>
        <w:left w:val="none" w:sz="0" w:space="0" w:color="auto"/>
        <w:bottom w:val="none" w:sz="0" w:space="0" w:color="auto"/>
        <w:right w:val="none" w:sz="0" w:space="0" w:color="auto"/>
      </w:divBdr>
      <w:divsChild>
        <w:div w:id="1635327922">
          <w:marLeft w:val="0"/>
          <w:marRight w:val="0"/>
          <w:marTop w:val="0"/>
          <w:marBottom w:val="0"/>
          <w:divBdr>
            <w:top w:val="none" w:sz="0" w:space="0" w:color="auto"/>
            <w:left w:val="none" w:sz="0" w:space="0" w:color="auto"/>
            <w:bottom w:val="none" w:sz="0" w:space="0" w:color="auto"/>
            <w:right w:val="none" w:sz="0" w:space="0" w:color="auto"/>
          </w:divBdr>
          <w:divsChild>
            <w:div w:id="15840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90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lifestrade.it/index.php/en/" TargetMode="External"/><Relationship Id="rId26" Type="http://schemas.openxmlformats.org/officeDocument/2006/relationships/hyperlink" Target="https://esj-journals.onlinelibrary.wiley.com/doi/full/10.1111/1440-1703.12130" TargetMode="External"/><Relationship Id="rId39" Type="http://schemas.openxmlformats.org/officeDocument/2006/relationships/hyperlink" Target="https://www.kora.ch/fileadmin/file_sharing/5_Bibliothek/52_KORA_Publikationen/520_KORA_Berichte/KORA_Bericht_76_Wolves_living_in_proximity_to_humans.pdf" TargetMode="External"/><Relationship Id="rId21" Type="http://schemas.openxmlformats.org/officeDocument/2006/relationships/footer" Target="footer4.xml"/><Relationship Id="rId34" Type="http://schemas.openxmlformats.org/officeDocument/2006/relationships/hyperlink" Target="http://ec.europa.eu/environment/nature/conservation/species/carnivores/case_studies.htm" TargetMode="External"/><Relationship Id="rId42" Type="http://schemas.openxmlformats.org/officeDocument/2006/relationships/hyperlink" Target="https://lciepub.nina.no/pdf/636870453845842163_PPS_bold%20wolves.pdf" TargetMode="External"/><Relationship Id="rId47" Type="http://schemas.openxmlformats.org/officeDocument/2006/relationships/hyperlink" Target="https://mobil.wwf.de/fileadmin/fm-wwf/Publikationen-PDF/2002.Review.wolf.attacks.pdf" TargetMode="External"/><Relationship Id="rId50" Type="http://schemas.openxmlformats.org/officeDocument/2006/relationships/hyperlink" Target="http://www.lcie.org/Blog/ArtMID/6987/ArticleID/65/The-symbolic-wolf-Competing-visions-of-the-European-landscapes" TargetMode="External"/><Relationship Id="rId55" Type="http://schemas.openxmlformats.org/officeDocument/2006/relationships/hyperlink" Target="https://link.springer.com/article/10.1007/s10344-017-1134-1" TargetMode="External"/><Relationship Id="rId63" Type="http://schemas.openxmlformats.org/officeDocument/2006/relationships/hyperlink" Target="https://doi.org/10.1371/journal.pone.0189729" TargetMode="External"/><Relationship Id="rId68" Type="http://schemas.openxmlformats.org/officeDocument/2006/relationships/header" Target="header8.xml"/><Relationship Id="rId7" Type="http://schemas.openxmlformats.org/officeDocument/2006/relationships/footnotes" Target="footnotes.xml"/><Relationship Id="rId71"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ec.europa.eu/environment/nature/natura2000/management/docs/wildlife%20manual%20final.pdf" TargetMode="External"/><Relationship Id="rId29" Type="http://schemas.openxmlformats.org/officeDocument/2006/relationships/hyperlink" Target="http://www.medwolf.eu/index.php/cdpnews.html" TargetMode="Externa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www.dbb-wolf.de/" TargetMode="External"/><Relationship Id="rId37" Type="http://schemas.openxmlformats.org/officeDocument/2006/relationships/hyperlink" Target="http://www.entretantos.org/wp-content/uploads/2018/08/DeclaracionGCG_v3_eng.pdf" TargetMode="External"/><Relationship Id="rId40" Type="http://schemas.openxmlformats.org/officeDocument/2006/relationships/hyperlink" Target="https://www.wolf-sachsen.de/en/wolfsregion/the-contact-office" TargetMode="External"/><Relationship Id="rId45" Type="http://schemas.openxmlformats.org/officeDocument/2006/relationships/hyperlink" Target="https://www.eurolargecarnivores.eu/en/" TargetMode="External"/><Relationship Id="rId53" Type="http://schemas.openxmlformats.org/officeDocument/2006/relationships/hyperlink" Target="https://www.sciencedirect.com/science/article/pii/S0006320717316166" TargetMode="External"/><Relationship Id="rId58" Type="http://schemas.openxmlformats.org/officeDocument/2006/relationships/hyperlink" Target="http://www.protezionebestiame.it/" TargetMode="External"/><Relationship Id="rId66" Type="http://schemas.openxmlformats.org/officeDocument/2006/relationships/hyperlink" Target="http://ec.europa.eu/environment/nature/conservation/species/carnivores/regional_platforms.htm"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onlinelibrary.wiley.com/doi/epdf/10.1111/mam.12221" TargetMode="External"/><Relationship Id="rId36" Type="http://schemas.openxmlformats.org/officeDocument/2006/relationships/hyperlink" Target="http://www.europarl.europa.eu/thinktank/en/document.html?reference=IPOL_STU(2018)596844" TargetMode="External"/><Relationship Id="rId49" Type="http://schemas.openxmlformats.org/officeDocument/2006/relationships/hyperlink" Target="http://ec.europa.eu/environment/nature/conservation/species/carnivores/pdf/task_4_conflict_coexistence.pdf" TargetMode="External"/><Relationship Id="rId57" Type="http://schemas.openxmlformats.org/officeDocument/2006/relationships/hyperlink" Target="https://doi.org/10.1016/j.jrurstud.2016.01.003" TargetMode="External"/><Relationship Id="rId61" Type="http://schemas.openxmlformats.org/officeDocument/2006/relationships/hyperlink" Target="http://ec.europa.eu/environment/nature/conservation/species/carnivores/pdf/pa_slovakia_finalreport.pdf"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rm.coe.int/0900001680746351" TargetMode="External"/><Relationship Id="rId44" Type="http://schemas.openxmlformats.org/officeDocument/2006/relationships/hyperlink" Target="http://dinalpbear.eu/wp-content/uploads/Odgovorno-opazovanje-medvedov-v-severnih-Dinaridih_EN_web.pdf" TargetMode="External"/><Relationship Id="rId52" Type="http://schemas.openxmlformats.org/officeDocument/2006/relationships/hyperlink" Target="https://brage.nina.no/nina-xmlui/bitstream/handle/11250/2729772/ninarapport1944.pdf?sequence=1&amp;isAllowed=y" TargetMode="External"/><Relationship Id="rId60" Type="http://schemas.openxmlformats.org/officeDocument/2006/relationships/hyperlink" Target="http://cdr.eionet.europa.eu/help/habitats_art17" TargetMode="External"/><Relationship Id="rId65" Type="http://schemas.openxmlformats.org/officeDocument/2006/relationships/hyperlink" Target="http://ec.europa.eu/environment/nature/conservation/species/carnivores/coexistence_platform.htm"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ec.europa.eu/environment/nature/conservation/species/carnivores/pdf/key_actions_large_carnivores_2015.pdf" TargetMode="External"/><Relationship Id="rId30" Type="http://schemas.openxmlformats.org/officeDocument/2006/relationships/hyperlink" Target="http://www.protectiondestroupeaux.ch/en/cdpnews/" TargetMode="External"/><Relationship Id="rId35" Type="http://schemas.openxmlformats.org/officeDocument/2006/relationships/hyperlink" Target="https://doi.org/10.1371/journal.pone.0151541" TargetMode="External"/><Relationship Id="rId43" Type="http://schemas.openxmlformats.org/officeDocument/2006/relationships/hyperlink" Target="https://doi.org/10.1098/rspb.2011.1275" TargetMode="External"/><Relationship Id="rId48" Type="http://schemas.openxmlformats.org/officeDocument/2006/relationships/hyperlink" Target="http://ec.europa.eu/environment/nature/conservation/species/carnivores/pdf/guidelines_for_population_level_management.pdf" TargetMode="External"/><Relationship Id="rId56" Type="http://schemas.openxmlformats.org/officeDocument/2006/relationships/hyperlink" Target="https://doi.org/10.1111/conl.12171" TargetMode="External"/><Relationship Id="rId64" Type="http://schemas.openxmlformats.org/officeDocument/2006/relationships/hyperlink" Target="https://doi.org/10.1371/journal.pone.0113505" TargetMode="External"/><Relationship Id="rId69"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http://www.europarl.europa.eu/thinktank/en/document.html?reference=IPOL_STU(2018)617488" TargetMode="External"/><Relationship Id="rId72" Type="http://schemas.openxmlformats.org/officeDocument/2006/relationships/footer" Target="footer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life.safe-crossing.eu/TECHNIQUES" TargetMode="External"/><Relationship Id="rId25" Type="http://schemas.openxmlformats.org/officeDocument/2006/relationships/hyperlink" Target="http://www.theguardian.com/environment/2017/may/04/denmark-gets-its-first-wild-wolf-pack-in-200-years" TargetMode="External"/><Relationship Id="rId33" Type="http://schemas.openxmlformats.org/officeDocument/2006/relationships/hyperlink" Target="http://ec.europa.eu/environment/nature/rbaps/fiche/golden-eagle-conservation-scheme-finland_en.htm" TargetMode="External"/><Relationship Id="rId38" Type="http://schemas.openxmlformats.org/officeDocument/2006/relationships/hyperlink" Target="http://jukuri.luke.fi/handle/10024/530616" TargetMode="External"/><Relationship Id="rId46" Type="http://schemas.openxmlformats.org/officeDocument/2006/relationships/hyperlink" Target="https://www.researchgate.net/publication/301267098_Predators_That_Kill_Humans_Myth_Reality_Context_and_the_Politics_of_Wolf_Attacks_on_People" TargetMode="External"/><Relationship Id="rId59" Type="http://schemas.openxmlformats.org/officeDocument/2006/relationships/hyperlink" Target="http://ec.europa.eu/environment/nature/conservation/species/carnivores/regional_platforms.htm" TargetMode="External"/><Relationship Id="rId67" Type="http://schemas.openxmlformats.org/officeDocument/2006/relationships/header" Target="header7.xml"/><Relationship Id="rId20" Type="http://schemas.openxmlformats.org/officeDocument/2006/relationships/header" Target="header5.xml"/><Relationship Id="rId41" Type="http://schemas.openxmlformats.org/officeDocument/2006/relationships/hyperlink" Target="http://www.lcie.org/Large-carnivores/Wolf-" TargetMode="External"/><Relationship Id="rId54" Type="http://schemas.openxmlformats.org/officeDocument/2006/relationships/hyperlink" Target="http://ec.europa.eu/environment/nature/conservation/species/carnivores/pdf/160906_LC%20Platform-case%20studies%20and%20RD.pdf" TargetMode="External"/><Relationship Id="rId62" Type="http://schemas.openxmlformats.org/officeDocument/2006/relationships/hyperlink" Target="https://link.springer.com/article/10.1007/s10344-012-0623-5" TargetMode="External"/><Relationship Id="rId7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webgate.ec.europa.eu/life/publicWebsite/project/details/2592" TargetMode="External"/><Relationship Id="rId18" Type="http://schemas.openxmlformats.org/officeDocument/2006/relationships/hyperlink" Target="https://ec.europa.eu/transparency/documents-register/detail?ref=C(2018)7621&amp;lang=pt" TargetMode="External"/><Relationship Id="rId26" Type="http://schemas.openxmlformats.org/officeDocument/2006/relationships/hyperlink" Target="https://ec.europa.eu/environment/nature/natura2000/management/docs/art6/PT_art_6_guide_jun_2019.pdf" TargetMode="External"/><Relationship Id="rId39" Type="http://schemas.openxmlformats.org/officeDocument/2006/relationships/hyperlink" Target="https://link.springer.com/article/10.1007/s10344-012-0623-5" TargetMode="External"/><Relationship Id="rId21" Type="http://schemas.openxmlformats.org/officeDocument/2006/relationships/hyperlink" Target="https://accobams.org/" TargetMode="External"/><Relationship Id="rId34" Type="http://schemas.openxmlformats.org/officeDocument/2006/relationships/hyperlink" Target="https://cdr.eionet.europa.eu/help/habitats_art17" TargetMode="External"/><Relationship Id="rId42" Type="http://schemas.openxmlformats.org/officeDocument/2006/relationships/hyperlink" Target="https://ec.europa.eu/environment/nature/conservation/species/carnivores/promoting_management.htm" TargetMode="External"/><Relationship Id="rId47" Type="http://schemas.openxmlformats.org/officeDocument/2006/relationships/hyperlink" Target="https://www.sciencedirect.com/science/article/pii/S000632071931674X" TargetMode="External"/><Relationship Id="rId50" Type="http://schemas.openxmlformats.org/officeDocument/2006/relationships/hyperlink" Target="https://www.dbb-wolf.de/Wolfsvorkommen/territorien/karte-der-territorien" TargetMode="External"/><Relationship Id="rId55" Type="http://schemas.openxmlformats.org/officeDocument/2006/relationships/hyperlink" Target="https://www.lcie.org/Blog/ArtMID/6987/ArticleID/65/The-symbolic-wolf-Competing-visions-of-the-European-landscapes" TargetMode="External"/><Relationship Id="rId63" Type="http://schemas.openxmlformats.org/officeDocument/2006/relationships/hyperlink" Target="https://www.loupfrance.fr/suivi-du-loup/situation-du-loup-en-france/" TargetMode="External"/><Relationship Id="rId68" Type="http://schemas.openxmlformats.org/officeDocument/2006/relationships/hyperlink" Target="https://ec.europa.eu/environment/nature/natura2000/financing/docs/Interreg%20Natura2000.pdf" TargetMode="External"/><Relationship Id="rId7" Type="http://schemas.openxmlformats.org/officeDocument/2006/relationships/hyperlink" Target="https://cetaceos.com/" TargetMode="External"/><Relationship Id="rId2" Type="http://schemas.openxmlformats.org/officeDocument/2006/relationships/hyperlink" Target="https://cdr.eionet.europa.eu/help/habitats_art17" TargetMode="External"/><Relationship Id="rId16" Type="http://schemas.openxmlformats.org/officeDocument/2006/relationships/hyperlink" Target="https://www.monachus-guardian.org/library/notarb09b.pdf" TargetMode="External"/><Relationship Id="rId29" Type="http://schemas.openxmlformats.org/officeDocument/2006/relationships/hyperlink" Target="https://ec.europa.eu/environment/nature/conservation/species/carnivores/pdf/PT_Agreement.pdf" TargetMode="External"/><Relationship Id="rId1" Type="http://schemas.openxmlformats.org/officeDocument/2006/relationships/hyperlink" Target="http://ec.europa.eu/environment/nature/legislation/fitness_check/action_plan/index_en.htm" TargetMode="External"/><Relationship Id="rId6" Type="http://schemas.openxmlformats.org/officeDocument/2006/relationships/hyperlink" Target="https://fundacion-biodiversidad.es/es/biodiversidad-marina-y-litoral/proyectos-propios/life-ip-paf-intemares" TargetMode="External"/><Relationship Id="rId11" Type="http://schemas.openxmlformats.org/officeDocument/2006/relationships/hyperlink" Target="https://www.eca.europa.eu/pt/Pages/NewsItem.aspx?nid=9338" TargetMode="External"/><Relationship Id="rId24" Type="http://schemas.openxmlformats.org/officeDocument/2006/relationships/hyperlink" Target="http://www.iberlince.eu/index.php/port/" TargetMode="External"/><Relationship Id="rId32" Type="http://schemas.openxmlformats.org/officeDocument/2006/relationships/hyperlink" Target="https://eur-lex.europa.eu/legal-content/PT/TXT/?qid=1548663172672&amp;uri=CELEX:52019XC0125(07)" TargetMode="External"/><Relationship Id="rId37" Type="http://schemas.openxmlformats.org/officeDocument/2006/relationships/hyperlink" Target="https://webforms.eionet.europa.eu/" TargetMode="External"/><Relationship Id="rId40" Type="http://schemas.openxmlformats.org/officeDocument/2006/relationships/hyperlink" Target="https://www.eea.europa.eu/publications/state-of-nature-in-the-eu-2020" TargetMode="External"/><Relationship Id="rId45" Type="http://schemas.openxmlformats.org/officeDocument/2006/relationships/hyperlink" Target="https://www.iucnredlist.org/ja/species/3746/144226239" TargetMode="External"/><Relationship Id="rId53" Type="http://schemas.openxmlformats.org/officeDocument/2006/relationships/hyperlink" Target="http://www.oncfs.gouv.fr/Tableaux-de-chasse-ru599/-Grands-ongules-Tableaux-de-chasse-nationaux-news467" TargetMode="External"/><Relationship Id="rId58" Type="http://schemas.openxmlformats.org/officeDocument/2006/relationships/hyperlink" Target="https://ec.europa.eu/environment/nature/conservation/species/carnivores/case_studies.htm" TargetMode="External"/><Relationship Id="rId66" Type="http://schemas.openxmlformats.org/officeDocument/2006/relationships/hyperlink" Target="https://ec.europa.eu/info/sites/info/files/food-farming-fisheries/key_policies/documents/factsheet-agri-practices-under-ecoscheme_en.pdf" TargetMode="External"/><Relationship Id="rId5" Type="http://schemas.openxmlformats.org/officeDocument/2006/relationships/hyperlink" Target="http://www.miteco.gob.es/es/costas/temas/proteccion-medio-marino/estrategias-marinas/" TargetMode="External"/><Relationship Id="rId15" Type="http://schemas.openxmlformats.org/officeDocument/2006/relationships/hyperlink" Target="https://www.monachus-guardian.org/library/mom09a.pdf" TargetMode="External"/><Relationship Id="rId23" Type="http://schemas.openxmlformats.org/officeDocument/2006/relationships/hyperlink" Target="http://www.eurobats.org/sites/default/files/documents/pdf/National_Reports/Inf.MoP7_.20-National%20Implementation%20Report%20of%20Germany.pdf" TargetMode="External"/><Relationship Id="rId28" Type="http://schemas.openxmlformats.org/officeDocument/2006/relationships/hyperlink" Target="https://www.stmuv.bayern.de/service/recht/naturschutz/doc/bibermanagement_2016/richtlinien_bibermanagement_2016.pdf" TargetMode="External"/><Relationship Id="rId36" Type="http://schemas.openxmlformats.org/officeDocument/2006/relationships/hyperlink" Target="https://www.lifeinquarries.eu" TargetMode="External"/><Relationship Id="rId49" Type="http://schemas.openxmlformats.org/officeDocument/2006/relationships/hyperlink" Target="http://www.auvergne-rhone-alpes.developpement-durable.gouv.fr/IMG/pdf/20200327bilandommages2019_especes.pdf" TargetMode="External"/><Relationship Id="rId57" Type="http://schemas.openxmlformats.org/officeDocument/2006/relationships/hyperlink" Target="https://ec.europa.eu/environment/nature/conservation/species/carnivores/coexistence_platform.htm" TargetMode="External"/><Relationship Id="rId61" Type="http://schemas.openxmlformats.org/officeDocument/2006/relationships/hyperlink" Target="http://www.protectiondestroupeaux.ch/en/cdpnews/" TargetMode="External"/><Relationship Id="rId10" Type="http://schemas.openxmlformats.org/officeDocument/2006/relationships/hyperlink" Target="https://ec.europa.eu/agriculture/evaluation/market-and-income-reports/greening-of-direct-payments_en" TargetMode="External"/><Relationship Id="rId19" Type="http://schemas.openxmlformats.org/officeDocument/2006/relationships/hyperlink" Target="https://rm.coe.int/threats-to-marine-turtles-in-thines-kiparissias-greece-complainant-rep/168073e91b" TargetMode="External"/><Relationship Id="rId31" Type="http://schemas.openxmlformats.org/officeDocument/2006/relationships/hyperlink" Target="https://ec.europa.eu/environment/nature/conservation/species/carnivores/coexistence_platform.htm" TargetMode="External"/><Relationship Id="rId44" Type="http://schemas.openxmlformats.org/officeDocument/2006/relationships/hyperlink" Target="https://www.europarl.europa.eu/RegData/etudes/STUD/2018/617488/IPOL_STU(2018)617488_EN.pdf" TargetMode="External"/><Relationship Id="rId52" Type="http://schemas.openxmlformats.org/officeDocument/2006/relationships/hyperlink" Target="https://www.researchgate.net/publication/301267098%20Predators_That_Kill_Humans_Myth_Reality_Context_and_the_Politics_of_Wolf_Attacks_on_People" TargetMode="External"/><Relationship Id="rId60" Type="http://schemas.openxmlformats.org/officeDocument/2006/relationships/hyperlink" Target="https://ec.europa.eu/environment/nature/conservation/species/carnivores/pdf/Briefing%20note%20state%20aid_EU%20Platform.pdf" TargetMode="External"/><Relationship Id="rId65" Type="http://schemas.openxmlformats.org/officeDocument/2006/relationships/hyperlink" Target="https://ec.europa.eu/environment/nature/conservation/species/carnivores/case_studies_sub_rural_development_programmes.htm" TargetMode="External"/><Relationship Id="rId4" Type="http://schemas.openxmlformats.org/officeDocument/2006/relationships/hyperlink" Target="https://www.miteco.gob.es/es/biodiversidad/temas/conservacion-de-especies/especies-proteccion-especial/ce-proteccion-estr-oso-pirineos.aspx" TargetMode="External"/><Relationship Id="rId9" Type="http://schemas.openxmlformats.org/officeDocument/2006/relationships/hyperlink" Target="https://ec.europa.eu/info/food-farming-fisheries/key-policies/common-agricultural-policy_pt" TargetMode="External"/><Relationship Id="rId14" Type="http://schemas.openxmlformats.org/officeDocument/2006/relationships/hyperlink" Target="http://ec.europa.eu/environment/life/project/Projects/index.cfm?fuseaction=home.showFile&amp;rep=file&amp;fil=LIFE03_NAT_GR_000083_LAYMAN.pdf" TargetMode="External"/><Relationship Id="rId22" Type="http://schemas.openxmlformats.org/officeDocument/2006/relationships/hyperlink" Target="https://www.ascobans.org/" TargetMode="External"/><Relationship Id="rId27" Type="http://schemas.openxmlformats.org/officeDocument/2006/relationships/hyperlink" Target="http://ec.europa.eu/environment/nature/conservation/species/carnivores/coexistence_platform.htm" TargetMode="External"/><Relationship Id="rId30" Type="http://schemas.openxmlformats.org/officeDocument/2006/relationships/hyperlink" Target="https://ec.europa.eu/environment/nature/conservation/species/carnivores/pdf/2014_LC%20Platform%20Communication%20Plan%20v2.pdf" TargetMode="External"/><Relationship Id="rId35" Type="http://schemas.openxmlformats.org/officeDocument/2006/relationships/hyperlink" Target="https://zoek.officielebekendmakingen.nl/stcrt-2015-29016.html" TargetMode="External"/><Relationship Id="rId43" Type="http://schemas.openxmlformats.org/officeDocument/2006/relationships/hyperlink" Target="https://nature-art17.eionet.europa.eu/article17/species/summary/?period=5&amp;group=Mammals&amp;subject=Canis+lupus&amp;region" TargetMode="External"/><Relationship Id="rId48" Type="http://schemas.openxmlformats.org/officeDocument/2006/relationships/hyperlink" Target="https://rm.coe.int/0900001680746351" TargetMode="External"/><Relationship Id="rId56" Type="http://schemas.openxmlformats.org/officeDocument/2006/relationships/hyperlink" Target="https://ec.europa.eu/environment/nature/conservation/species/carnivores/promoting_best_practices.htm" TargetMode="External"/><Relationship Id="rId64" Type="http://schemas.openxmlformats.org/officeDocument/2006/relationships/hyperlink" Target="https://www.eurogroupforanimals.org/news/new-poll-shows-eu-citizens-stand-wolves" TargetMode="External"/><Relationship Id="rId69" Type="http://schemas.openxmlformats.org/officeDocument/2006/relationships/hyperlink" Target="https://ec.europa.eu/environment/nature/conservation/species/carnivores/pdf/Briefing%20note%20state%20aid_EU%20Platform.pdf" TargetMode="External"/><Relationship Id="rId8" Type="http://schemas.openxmlformats.org/officeDocument/2006/relationships/hyperlink" Target="http://www.batlife.ro/" TargetMode="External"/><Relationship Id="rId51" Type="http://schemas.openxmlformats.org/officeDocument/2006/relationships/hyperlink" Target="https://www.slu.se/globalassets/ew/org/centrb/vsc/vsc-dokument/vsc-publikationer/rapporter/viltskadestatistikrapporter/viltskadestatistik-2018-1-webb.pdf" TargetMode="External"/><Relationship Id="rId3" Type="http://schemas.openxmlformats.org/officeDocument/2006/relationships/hyperlink" Target="https://www.miteco.gob.es/es/biodiversidad/publicaciones/pbl-fauna-flora-estrategias-oso-cantabrico.aspx" TargetMode="External"/><Relationship Id="rId12" Type="http://schemas.openxmlformats.org/officeDocument/2006/relationships/hyperlink" Target="http://ec.europa.eu/environment/life/project/Projects/index.cfm?fuseaction=search.dspPage&amp;n_proj_id=424" TargetMode="External"/><Relationship Id="rId17" Type="http://schemas.openxmlformats.org/officeDocument/2006/relationships/hyperlink" Target="http://www.mom.gr" TargetMode="External"/><Relationship Id="rId25" Type="http://schemas.openxmlformats.org/officeDocument/2006/relationships/hyperlink" Target="https://op.europa.eu/pt/publication-detail/-/publication/dd3dc59f-557f-11e7-a5ca-01aa75ed71a1" TargetMode="External"/><Relationship Id="rId33" Type="http://schemas.openxmlformats.org/officeDocument/2006/relationships/hyperlink" Target="https://portals.iucn.org/library/efiles/documents/2013-009.pdf" TargetMode="External"/><Relationship Id="rId38" Type="http://schemas.openxmlformats.org/officeDocument/2006/relationships/hyperlink" Target="https://eur-lex.europa.eu/legal-content/PT/TXT/?uri=CELEX:01992L0043-20130701" TargetMode="External"/><Relationship Id="rId46" Type="http://schemas.openxmlformats.org/officeDocument/2006/relationships/hyperlink" Target="https://ec.europa.eu/environment/nature/conservation/species/carnivores/pdf/key_actions_large_carnivores_2015.pdf" TargetMode="External"/><Relationship Id="rId59" Type="http://schemas.openxmlformats.org/officeDocument/2006/relationships/hyperlink" Target="https://www.europarl.europa.eu/RegData/etudes/STUD/2018/596844/IPOL_STU(2018)596844_EN.pdf" TargetMode="External"/><Relationship Id="rId67" Type="http://schemas.openxmlformats.org/officeDocument/2006/relationships/hyperlink" Target="https://www.carnivoradinarica.eu/en/" TargetMode="External"/><Relationship Id="rId20" Type="http://schemas.openxmlformats.org/officeDocument/2006/relationships/hyperlink" Target="https://curia.europa.eu/juris/liste.jsf?language=pt&amp;num=C-504/14" TargetMode="External"/><Relationship Id="rId41" Type="http://schemas.openxmlformats.org/officeDocument/2006/relationships/hyperlink" Target="https://science.sciencemag.org/content/346/6216/1517" TargetMode="External"/><Relationship Id="rId54" Type="http://schemas.openxmlformats.org/officeDocument/2006/relationships/hyperlink" Target="https://ec.europa.eu/environment/nature/conservation/species/carnivores/pdf/task_4_conflict_coexistence.pdf" TargetMode="External"/><Relationship Id="rId62" Type="http://schemas.openxmlformats.org/officeDocument/2006/relationships/hyperlink" Target="http://ex.lifewolfalps.eu/wp-content/uploads/2014/05/LWA_brochure-E3_168x240_5mm-abbondanzaBassa.pdf" TargetMode="External"/><Relationship Id="rId70" Type="http://schemas.openxmlformats.org/officeDocument/2006/relationships/hyperlink" Target="https://ec.europa.eu/environment/nature/natura2000/financing/docs/PAF%20format%20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E948F-55AF-43B8-92D9-2CC4A531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11</Pages>
  <Words>59578</Words>
  <Characters>333045</Characters>
  <Application>Microsoft Office Word</Application>
  <DocSecurity>0</DocSecurity>
  <Lines>8326</Lines>
  <Paragraphs>2784</Paragraphs>
  <ScaleCrop>false</ScaleCrop>
  <HeadingPairs>
    <vt:vector size="6" baseType="variant">
      <vt:variant>
        <vt:lpstr>Title</vt:lpstr>
      </vt:variant>
      <vt:variant>
        <vt:i4>1</vt:i4>
      </vt:variant>
      <vt:variant>
        <vt:lpstr>Titel</vt:lpstr>
      </vt:variant>
      <vt:variant>
        <vt:i4>1</vt:i4>
      </vt:variant>
      <vt:variant>
        <vt:lpstr>Názov</vt:lpstr>
      </vt:variant>
      <vt:variant>
        <vt:i4>1</vt:i4>
      </vt:variant>
    </vt:vector>
  </HeadingPairs>
  <TitlesOfParts>
    <vt:vector size="3" baseType="lpstr">
      <vt:lpstr>ENV-2006-00946-00-00-EN-REV</vt:lpstr>
      <vt:lpstr>ENV-2006-00946-00-00-EN-REV</vt:lpstr>
      <vt:lpstr>ENV-2006-00946-00-00-EN-REV</vt:lpstr>
    </vt:vector>
  </TitlesOfParts>
  <Manager/>
  <Company/>
  <LinksUpToDate>false</LinksUpToDate>
  <CharactersWithSpaces>389839</CharactersWithSpaces>
  <SharedDoc>false</SharedDoc>
  <HLinks>
    <vt:vector size="36" baseType="variant">
      <vt:variant>
        <vt:i4>6422567</vt:i4>
      </vt:variant>
      <vt:variant>
        <vt:i4>0</vt:i4>
      </vt:variant>
      <vt:variant>
        <vt:i4>0</vt:i4>
      </vt:variant>
      <vt:variant>
        <vt:i4>5</vt:i4>
      </vt:variant>
      <vt:variant>
        <vt:lpwstr>http://www.snh.org.uk/</vt:lpwstr>
      </vt:variant>
      <vt:variant>
        <vt:lpwstr/>
      </vt:variant>
      <vt:variant>
        <vt:i4>4653087</vt:i4>
      </vt:variant>
      <vt:variant>
        <vt:i4>6</vt:i4>
      </vt:variant>
      <vt:variant>
        <vt:i4>0</vt:i4>
      </vt:variant>
      <vt:variant>
        <vt:i4>5</vt:i4>
      </vt:variant>
      <vt:variant>
        <vt:lpwstr>http://eur-lex.europa.eu/legal-content/EN/TXT/?uri=CELEX:52013DC0249</vt:lpwstr>
      </vt:variant>
      <vt:variant>
        <vt:lpwstr/>
      </vt:variant>
      <vt:variant>
        <vt:i4>4915304</vt:i4>
      </vt:variant>
      <vt:variant>
        <vt:i4>3</vt:i4>
      </vt:variant>
      <vt:variant>
        <vt:i4>0</vt:i4>
      </vt:variant>
      <vt:variant>
        <vt:i4>5</vt:i4>
      </vt:variant>
      <vt:variant>
        <vt:lpwstr>http://forum.europa.eu.int/Public/irc/env/monnat/home</vt:lpwstr>
      </vt:variant>
      <vt:variant>
        <vt:lpwstr/>
      </vt:variant>
      <vt:variant>
        <vt:i4>458826</vt:i4>
      </vt:variant>
      <vt:variant>
        <vt:i4>0</vt:i4>
      </vt:variant>
      <vt:variant>
        <vt:i4>0</vt:i4>
      </vt:variant>
      <vt:variant>
        <vt:i4>5</vt:i4>
      </vt:variant>
      <vt:variant>
        <vt:lpwstr>http://ue.eu.int/newsroom/newmain.asp?lang=1</vt:lpwstr>
      </vt:variant>
      <vt:variant>
        <vt:lpwstr/>
      </vt:variant>
      <vt:variant>
        <vt:i4>5374033</vt:i4>
      </vt:variant>
      <vt:variant>
        <vt:i4>3</vt:i4>
      </vt:variant>
      <vt:variant>
        <vt:i4>0</vt:i4>
      </vt:variant>
      <vt:variant>
        <vt:i4>5</vt:i4>
      </vt:variant>
      <vt:variant>
        <vt:lpwstr>https://smy.fi/en/artikkeli/protection-of-flying-squirrel-to-be-relaxed/</vt:lpwstr>
      </vt:variant>
      <vt:variant>
        <vt:lpwstr/>
      </vt:variant>
      <vt:variant>
        <vt:i4>5111923</vt:i4>
      </vt:variant>
      <vt:variant>
        <vt:i4>0</vt:i4>
      </vt:variant>
      <vt:variant>
        <vt:i4>0</vt:i4>
      </vt:variant>
      <vt:variant>
        <vt:i4>5</vt:i4>
      </vt:variant>
      <vt:variant>
        <vt:lpwstr>https://zslpublications.onlinelibrary.wiley.com/doi/abs/10.1111/acv.12157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ENV-2006-00946-00-00-EN-REV</dc:title>
  <dc:subject>Guidance document on the strict protection of animal species of Community interest under the Habitats Directive 92/43/EEC</dc:subject>
  <dc:creator/>
  <cp:lastModifiedBy/>
  <cp:revision>67</cp:revision>
  <cp:lastPrinted>2021-02-14T12:03:00Z</cp:lastPrinted>
  <dcterms:created xsi:type="dcterms:W3CDTF">2021-06-29T09:03:00Z</dcterms:created>
  <dcterms:modified xsi:type="dcterms:W3CDTF">2021-10-07T12:46:00Z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CP-040</vt:lpwstr>
  </property>
  <property fmtid="{D5CDD505-2E9C-101B-9397-08002B2CF9AE}" pid="8" name="Last edited using">
    <vt:lpwstr>LW 7.0.1, Build 20200226</vt:lpwstr>
  </property>
  <property fmtid="{D5CDD505-2E9C-101B-9397-08002B2CF9AE}" pid="9" name="Created using">
    <vt:lpwstr>LW 7.0.1, Build 20190916</vt:lpwstr>
  </property>
  <property fmtid="{D5CDD505-2E9C-101B-9397-08002B2CF9AE}" pid="10" name="_LW_INVALIDATED__LW_INVALIDATED__LW_INVALIDATED__LW_INVALIDATED__LW_INVALIDATED__LW_INVALIDATED__LW_INVALIDATED__LW_INVALIDATED__LW_INVALIDATED_ContentTypeId">
    <vt:lpwstr>0x0101000CE7638FBC4A6F4DA508E4AAC0FB4636</vt:lpwstr>
  </property>
  <property name="OP_sanitized" fmtid="{D5CDD505-2E9C-101B-9397-08002B2CF9AE}" pid="11">
    <vt:lpwstr>True</vt:lpwstr>
  </property>
</Properties>
</file>