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ody>
    <w:p w:rsidR="00E72EF2" w:rsidRPr="000E4B43">
      <w:pPr>
        <w:rPr>
          <w:rFonts w:ascii="Arial" w:hAnsi="Arial" w:cs="Arial"/>
          <w:b/>
          <w:sz w:val="20"/>
          <w:szCs w:val="20"/>
        </w:rPr>
      </w:pPr>
      <w:bookmarkStart w:id="0" w:name="_Hlk133225241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7"/>
        <w:gridCol w:w="7381"/>
      </w:tblGrid>
      <w:tr w:rsidTr="008607B9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7D6F93" w:rsidRPr="00D56411" w:rsidP="0082452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</w:rPr>
              <w:t>CONVITE À APRECIAÇÃO</w:t>
            </w:r>
          </w:p>
          <w:p w:rsidR="009E6661" w:rsidRPr="00D56411" w:rsidP="00B312B7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sz w:val="28"/>
              </w:rPr>
              <w:t>DE UMA INICIATIVA (sem avaliação de impacto)</w:t>
            </w: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D56411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Título da iniciativa</w:t>
            </w:r>
          </w:p>
        </w:tc>
        <w:tc>
          <w:tcPr>
            <w:tcW w:w="7381" w:type="dxa"/>
            <w:shd w:val="clear" w:color="auto" w:fill="auto"/>
          </w:tcPr>
          <w:p w:rsidR="0075560F" w:rsidRPr="00A64F28" w:rsidP="00347966">
            <w:pPr>
              <w:spacing w:before="60" w:after="12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Relatório sobre a aplicação dos quadros estratégicos nacionais sobre os ciganos à luz do quadro estratégico da UE para a igualdade, a inclusão e a participação dos ciganos de 2020-2030 e da recomendação do Conselho de 2021 sobre a igualdade, a inclusão e a participação dos ciganos</w:t>
            </w:r>
          </w:p>
        </w:tc>
      </w:tr>
      <w:tr w:rsidTr="00035A3D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7210" w:rsidRPr="00D56411" w:rsidP="008B4A52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DG responsável – Unidade responsável 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210" w:rsidRPr="000E4B43" w:rsidP="000E4B43">
            <w:pPr>
              <w:spacing w:before="120" w:after="6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>Direção-Geral da Justiça e dos Consumidores, Direção D, Unidade «Não Discriminação: Antirracismo e Coordenação das Questões relativas aos Ciganos»</w:t>
            </w: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23AEF" w:rsidRPr="00D56411" w:rsidP="00824525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Tipo provável de iniciativa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AEF" w:rsidRPr="00D56411" w:rsidP="00810C61">
            <w:pPr>
              <w:spacing w:before="60" w:after="6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color w:val="000080"/>
                <w:sz w:val="20"/>
              </w:rPr>
              <w:t xml:space="preserve">Comunicação da Comissão </w:t>
            </w:r>
          </w:p>
        </w:tc>
      </w:tr>
      <w:tr w:rsidTr="00AB5C82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2DFF" w:rsidRPr="00D56411" w:rsidP="0066565B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Calendário indicativo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DFF" w:rsidRPr="00D56411" w:rsidP="00B312B7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color w:val="000080"/>
                <w:sz w:val="20"/>
              </w:rPr>
              <w:t>T2 2024</w:t>
            </w:r>
          </w:p>
        </w:tc>
      </w:tr>
      <w:tr w:rsidTr="00224B13">
        <w:tblPrEx>
          <w:tblW w:w="10188" w:type="dxa"/>
          <w:tblLayout w:type="fixed"/>
          <w:tblLook w:val="01E0"/>
        </w:tblPrEx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D5042" w:rsidRPr="00D56411" w:rsidP="00224B13">
            <w:pPr>
              <w:spacing w:before="60" w:after="6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>Informações adicionais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42" w:rsidRPr="001C657D" w:rsidP="003479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"https://commission.europa.eu/publications/assessment-report-member-states-national-roma-strategic-frameworks-full-package_en?prefLang=pt" </w:instrText>
            </w:r>
            <w:r>
              <w:fldChar w:fldCharType="separate"/>
            </w:r>
            <w:r w:rsidRPr="001C657D" w:rsidR="00994C77">
              <w:rPr>
                <w:rStyle w:val="Hyperlink"/>
                <w:rFonts w:ascii="Arial" w:hAnsi="Arial"/>
                <w:sz w:val="20"/>
                <w:szCs w:val="20"/>
              </w:rPr>
              <w:t>https://commission.europa.eu/publications/assessment-report-member-states-national-roma-strategic-frameworks-full-package_en?prefLang=pt</w:t>
            </w:r>
            <w:r>
              <w:fldChar w:fldCharType="end"/>
            </w:r>
          </w:p>
          <w:p w:rsidR="00A41CBB" w:rsidRPr="001C657D" w:rsidP="00347966">
            <w:pPr>
              <w:spacing w:before="120" w:after="120"/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Tr="008607B9">
        <w:tblPrEx>
          <w:tblW w:w="10188" w:type="dxa"/>
          <w:tblLayout w:type="fixed"/>
          <w:tblLook w:val="01E0"/>
        </w:tblPrEx>
        <w:tc>
          <w:tcPr>
            <w:tcW w:w="101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6C0F" w:rsidRPr="00D56411" w:rsidP="00F85159">
            <w:pPr>
              <w:spacing w:before="60" w:after="6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i/>
                <w:color w:val="FF0000"/>
                <w:sz w:val="18"/>
              </w:rPr>
              <w:t>O presente documento é meramente informativo, não condicionando a decisão final da Comissão quanto à prossecução desta iniciativa nem o teor definitivo da mesma. Todos os elementos da iniciativa descritos no presente documento, incluindo o seu calendário, estão sujeitos a alterações.</w:t>
            </w:r>
          </w:p>
        </w:tc>
      </w:tr>
    </w:tbl>
    <w:p w:rsidR="00BA33B7" w:rsidRPr="00D56411">
      <w:pPr>
        <w:rPr>
          <w:sz w:val="20"/>
          <w:szCs w:val="20"/>
        </w:rPr>
        <w:sectPr w:rsidSect="00E72E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A33B7" w:rsidRPr="00D56411">
      <w:pPr>
        <w:rPr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Tr="002D1A81">
        <w:tblPrEx>
          <w:tblW w:w="101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9E6661" w:rsidRPr="00D56411" w:rsidP="00AB4B4B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A. Contexto político, definição do problema e verificação da subsidiariedade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D56411" w:rsidP="0020231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Contexto político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881CF4" w:rsidP="00F978F6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Construir uma União da Igualdade é uma prioridade para a Comissão Europeia.</w:t>
            </w:r>
          </w:p>
          <w:p w:rsidR="000B298F" w:rsidRPr="00F978F6" w:rsidP="00F978F6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Para alcançar este objetivo, a Comissão adotou mecanismos, políticas e medidas práticas para lutar contra o racismo estrutural, a discriminação, os estereótipos e os preconceitos que existem frequentemente nas nossas sociedades, e reforçou a integração da igualdade em todas as políticas. Estes esforços garantem condições para que todos possam viver com dignidade, desenvolver-se e prosperar beneficiando da igualdade de oportunidades, independentemente da origem racial ou étnica, e para combater a discriminação entre grupos e comunidades racializados.</w:t>
            </w:r>
          </w:p>
          <w:p w:rsidR="00AD3721" w:rsidP="00AD3721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"https://commission.europa.eu/publications/new-eu-roma-strategic-framework-equality-inclusion-and-participation-full-package_en" </w:instrText>
            </w:r>
            <w:r>
              <w:fldChar w:fldCharType="separate"/>
            </w:r>
            <w:r w:rsidR="00994C77">
              <w:rPr>
                <w:rStyle w:val="Hyperlink"/>
                <w:rFonts w:ascii="Arial" w:hAnsi="Arial"/>
                <w:sz w:val="20"/>
              </w:rPr>
              <w:t xml:space="preserve">O Quadro Estratégico da UE para a Igualdade, a Inclusão e a Participação dos Ciganos 2020-2030 </w:t>
            </w:r>
            <w:r w:rsidR="00994C77">
              <w:rPr>
                <w:rStyle w:val="Hyperlink"/>
                <w:rFonts w:ascii="Arial" w:hAnsi="Arial"/>
                <w:color w:val="1036A0"/>
                <w:sz w:val="20"/>
              </w:rPr>
              <w:t>representa um primeiro contributo para a aplicação do</w:t>
            </w:r>
            <w:r w:rsidR="00994C77">
              <w:rPr>
                <w:rStyle w:val="Hyperlink"/>
                <w:color w:val="1036A0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"https://ec.europa.eu/commission/presscorner/detail/pt/ip_20_1654" </w:instrText>
            </w:r>
            <w:r>
              <w:fldChar w:fldCharType="separate"/>
            </w:r>
            <w:r w:rsidR="00994C77">
              <w:rPr>
                <w:rStyle w:val="Hyperlink"/>
                <w:rFonts w:ascii="Arial" w:hAnsi="Arial"/>
                <w:sz w:val="20"/>
              </w:rPr>
              <w:t>Plano de Ação da UE contra o Racismo 2020-2025</w:t>
            </w:r>
            <w:r>
              <w:fldChar w:fldCharType="end"/>
            </w:r>
            <w:r w:rsidR="00994C77">
              <w:rPr>
                <w:rStyle w:val="Hyperlink"/>
                <w:rFonts w:ascii="Arial" w:hAnsi="Arial"/>
                <w:sz w:val="20"/>
              </w:rPr>
              <w:t>.</w:t>
            </w:r>
            <w:r>
              <w:fldChar w:fldCharType="end"/>
            </w:r>
            <w:r w:rsidR="001C657D">
              <w:rPr>
                <w:rStyle w:val="Hyperlink"/>
                <w:rFonts w:ascii="Arial" w:hAnsi="Arial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HYPERLINK "https://commission.europa.eu/publications/new-eu-roma-strategic-framework-equality-inclusion-and-participation-full-package_en" </w:instrText>
            </w:r>
            <w:r>
              <w:fldChar w:fldCharType="separate"/>
            </w:r>
            <w:r w:rsidRPr="001C657D" w:rsidR="00994C77">
              <w:rPr>
                <w:rStyle w:val="Hyperlink"/>
                <w:rFonts w:ascii="Arial" w:hAnsi="Arial" w:cs="Arial"/>
                <w:sz w:val="20"/>
                <w:szCs w:val="20"/>
              </w:rPr>
              <w:t xml:space="preserve">Visa </w:t>
            </w:r>
            <w:r>
              <w:fldChar w:fldCharType="end"/>
            </w:r>
            <w:r w:rsidR="00994C77">
              <w:rPr>
                <w:rFonts w:ascii="Arial" w:hAnsi="Arial"/>
                <w:color w:val="1036A0"/>
                <w:sz w:val="20"/>
              </w:rPr>
              <w:t>garantir a igualdade de oportunidades a todos os ciganos, para que possam realizar plenamente o seu potencial. Para o efeito, o quadro define uma abordagem em três pilares: igualdade com todos os outros membros da sociedade, inclusão social e económica e participação na vida política, social, económica e cultural. Estabelece igualmente objetivos mínimos para a UE cumprir até 2030.</w:t>
            </w:r>
          </w:p>
          <w:p w:rsidR="005D1713" w:rsidRPr="003A5B9A" w:rsidP="005D1713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Os relatórios e o acompanhamento são efetuados tanto a nível da UE como a nível nacional. </w:t>
            </w:r>
          </w:p>
          <w:p w:rsidR="002A7F3D" w:rsidP="0058609F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Os Estados-Membros foram convidados a apresentar um relatório de dois em dois anos, a partir de 2023, sobre a aplicação dos quadros estratégicos nacionais relativos aos ciganos. </w:t>
            </w:r>
            <w:r>
              <w:fldChar w:fldCharType="begin"/>
            </w:r>
            <w:r>
              <w:instrText xml:space="preserve"> HYPERLINK "https://eur-lex.europa.eu/legal-content/PT/TXT/?uri=OJ%3AJOC_2021_093_R_0001" </w:instrText>
            </w:r>
            <w:r>
              <w:fldChar w:fldCharType="separate"/>
            </w:r>
            <w:r>
              <w:rPr>
                <w:rFonts w:ascii="Arial" w:hAnsi="Arial"/>
                <w:color w:val="1036A0"/>
                <w:sz w:val="20"/>
              </w:rPr>
              <w:t>A Recomendação do Conselho sobre a igualdade, a inclusão e a participação dos ciganos</w:t>
            </w:r>
            <w:r>
              <w:fldChar w:fldCharType="end"/>
            </w:r>
            <w:r>
              <w:rPr>
                <w:rFonts w:ascii="Arial" w:hAnsi="Arial"/>
                <w:color w:val="1036A0"/>
                <w:sz w:val="20"/>
              </w:rPr>
              <w:t xml:space="preserve"> (adotada por unanimidade em março de 2021) estabelece igualmente que os Estados-Membros devem notificar a Comissão de quaisquer medidas tomadas em conformidade com a recomendação até junho de 2023 e, subsequentemente, apresentar-lhe um relatório bienal.</w:t>
            </w:r>
          </w:p>
          <w:p w:rsidR="002A7F3D" w:rsidRPr="00460494" w:rsidP="002A7F3D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Os relatórios dos Estados-Membros servirão de base, juntamente com os contributos da sociedade civil e dos dados da FRA, para os relatórios intercalares de acompanhamento da Comissão apresentados de dois em dois anos ao Parlamento Europeu e ao Conselho sobre a aplicação do quadro estratégico da UE relativo aos ciganos. A Comissão também realizará uma avaliação intercalar e uma avaliação </w:t>
            </w:r>
            <w:r>
              <w:rPr>
                <w:rFonts w:ascii="Arial" w:hAnsi="Arial"/>
                <w:i/>
                <w:iCs/>
                <w:color w:val="1036A0"/>
                <w:sz w:val="20"/>
              </w:rPr>
              <w:t>ex post</w:t>
            </w:r>
            <w:r>
              <w:rPr>
                <w:rFonts w:ascii="Arial" w:hAnsi="Arial"/>
                <w:color w:val="1036A0"/>
                <w:sz w:val="20"/>
              </w:rPr>
              <w:t xml:space="preserve"> do referido quadro. </w:t>
            </w:r>
          </w:p>
          <w:p w:rsidR="008B18C7" w:rsidRPr="00EC3F15" w:rsidP="002A7F3D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Em janeiro de 2023, a Comissão publicou um balanço dos quadros estratégicos nacionais relativos aos </w:t>
            </w:r>
            <w:r>
              <w:rPr>
                <w:rFonts w:ascii="Arial" w:hAnsi="Arial"/>
                <w:color w:val="1036A0"/>
                <w:sz w:val="20"/>
              </w:rPr>
              <w:t xml:space="preserve">ciganos, avaliou os compromissos assumidos pelos Estados-Membros e formulou orientações para quaisquer melhorias necessárias </w:t>
            </w: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>(COM/2023/7 final)</w:t>
            </w:r>
            <w:r>
              <w:rPr>
                <w:rFonts w:ascii="Arial" w:hAnsi="Arial"/>
                <w:color w:val="1036A0"/>
                <w:sz w:val="20"/>
              </w:rPr>
              <w:t xml:space="preserve">. </w:t>
            </w: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>A Comissão convidou os Estados-Membros a utilizarem da melhor forma a avaliação da Comissão e a apresentarem um relatório sobre os progressos alcançados até junho de 2023, em conformidade com a recomendação do Conselho. Anunciou que na próxima comunicação avaliaria os progressos registados na aplicação dos quadros estratégicos nacionais relativos aos ciganos e no cumprimento dos objetivos da UE estabelecidos no quadro da UE sobre os ciganos.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71651E" w:rsidRPr="00D56411" w:rsidP="00347966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Problema que a iniciativa pretende resolver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447553" w:rsidRPr="00733460" w:rsidP="002A7F3D">
            <w:pPr>
              <w:keepNext/>
              <w:keepLines/>
              <w:widowControl w:val="0"/>
              <w:spacing w:before="60" w:after="6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A discriminação por motivos raciais ou étnicos é proibida na UE. No entanto, este tipo de discriminação persiste na nossa sociedade. Tal verifica-se, em especial, no caso dos ciganos, que muitas vezes continuam a ser marginalizados. Muitos dos 10-12 milhões de ciganos que se estima existirem na Europa continuam a ser vítimas de discriminação, de anticiganismo e de exclusão socioeconómica nas sua vidas quotidianas. Os dados do inquérito da UE de 2021 sobre os ciganos</w:t>
            </w:r>
            <w:r>
              <w:rPr>
                <w:rStyle w:val="FootnoteReference"/>
                <w:rFonts w:ascii="Arial" w:hAnsi="Arial" w:cs="Arial"/>
                <w:color w:val="1036A0"/>
                <w:sz w:val="20"/>
                <w:szCs w:val="20"/>
              </w:rPr>
              <w:footnoteReference w:id="2"/>
            </w:r>
            <w:r>
              <w:rPr>
                <w:rFonts w:ascii="Arial" w:hAnsi="Arial"/>
                <w:color w:val="1036A0"/>
                <w:sz w:val="20"/>
              </w:rPr>
              <w:t xml:space="preserve"> da Agência dos Direitos Fundamentais da UE mostram que 25 % dos ciganos já foram vítimas de discriminação e que 80 % vivem em risco de pobreza, sem evolução aparente entre 2016 e 2021. Quase metade da população cigana (48 %) enfrentou graves privações materiais, sendo a percentagem mais elevada entre os jovens e os idosos. O acolhimento de crianças ciganas em estruturas pré-escolares correspondeu a cerca de metade da média da UE (42-44 %), para todas as crianças em 2021. 71 % dos jovens ciganos (18-24 anos) deixaram o ensino antes do ensino secundário, o que afeta a sua dignidade humana, as suas oportunidades na vida e o seu bem-estar.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9E6661" w:rsidRPr="00D56411" w:rsidP="00F85159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Base para a ação da UE (base jurídica e verificação da subsidiariedade)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D56411" w:rsidP="001533F9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Base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color w:val="000000" w:themeColor="text1"/>
              </w:rPr>
              <w:t>jurídica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315EC8" w:rsidRPr="00D56411" w:rsidP="0058609F">
            <w:pPr>
              <w:spacing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O estabelecimento de um quadro jurídico da UE constitui a base para uma ação de luta contra a discriminação e o racismo a nível europeu. Este quadro baseia-se em várias disposições dos Tratados da UE (artigos 2.º e 10.º do Tratado da União Europeia e artigo 19.º do Tratado sobre o Funcionamento da União Europeia), bem como nos princípios gerais da não discriminação e da igualdade reafirmados na Carta dos Direitos Fundamentais da UE (em especial nos artigos 20.º e 21.º).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shd w:val="clear" w:color="auto" w:fill="D9D9D9" w:themeFill="background1" w:themeFillShade="D9"/>
          </w:tcPr>
          <w:p w:rsidR="002B1AA3" w:rsidRPr="00D56411" w:rsidP="001E25A5">
            <w:pPr>
              <w:spacing w:before="120" w:after="120"/>
              <w:jc w:val="both"/>
              <w:rPr>
                <w:rFonts w:ascii="Arial" w:hAnsi="Arial" w:cs="Arial"/>
                <w:b/>
                <w:color w:val="1036A0"/>
              </w:rPr>
            </w:pPr>
            <w:r>
              <w:rPr>
                <w:rFonts w:ascii="Arial" w:hAnsi="Arial"/>
                <w:b/>
                <w:color w:val="000000" w:themeColor="text1"/>
              </w:rPr>
              <w:t>Necessidade prática de uma ação da UE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shd w:val="clear" w:color="auto" w:fill="auto"/>
          </w:tcPr>
          <w:p w:rsidR="005E5F4D" w:rsidRPr="00D56411" w:rsidP="001533F9">
            <w:pPr>
              <w:spacing w:before="120" w:after="120"/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Embora os Estados-Membros sejam os principais responsáveis pelo desenvolvimento e aplicação das políticas de igualdade e coesão social, a Comissão Europeia tem um papel importante a desempenhar na avaliação dos progressos realizados na consecução dos objetivos e metas a nível da UE para 2030 estabelecidos no quadro estratégico da UE para os ciganos para 2020-2030, tal como também reconhecido na Recomendação do Conselho de 2021. Além das orientações e dos relatórios sobre os progressos alcançados, nomeadamente no âmbito do Semestre Europeu, a Comissão apoia os Estados-Membros através de diferentes instrumentos políticos, financeiros e jurídicos, como a Diretiva «Igualdade Racial» (2000/43/CE), os fundos da política de coesão e o «NextGenerationEU», e da promoção de boas práticas.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423AEF" w:rsidRPr="00D56411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B. Objetivos e execução da iniciativa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132148" w:rsidRPr="00132148" w:rsidP="00AD5ECC">
            <w:pPr>
              <w:jc w:val="both"/>
              <w:rPr>
                <w:rFonts w:ascii="Arial" w:hAnsi="Arial" w:cs="Arial"/>
                <w:bCs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A </w:t>
            </w:r>
            <w:r w:rsidRPr="000B0CD1">
              <w:rPr>
                <w:rFonts w:ascii="Arial" w:hAnsi="Arial" w:cs="Arial"/>
                <w:color w:val="1036A0"/>
                <w:sz w:val="20"/>
                <w:szCs w:val="20"/>
              </w:rPr>
              <w:t xml:space="preserve">comunicação prevista dá seguimento à </w:t>
            </w:r>
            <w:r>
              <w:fldChar w:fldCharType="begin"/>
            </w:r>
            <w:r>
              <w:instrText xml:space="preserve"> HYPERLINK "https://commission.europa.eu/publications/assessment-report-member-states-national-roma-strategic-frameworks-full-package_en?prefLang=pt" </w:instrText>
            </w:r>
            <w:r>
              <w:fldChar w:fldCharType="separate"/>
            </w:r>
            <w:r w:rsidRPr="000B0CD1">
              <w:rPr>
                <w:rStyle w:val="Hyperlink"/>
                <w:rFonts w:ascii="Arial" w:hAnsi="Arial" w:cs="Arial"/>
                <w:sz w:val="20"/>
                <w:szCs w:val="20"/>
              </w:rPr>
              <w:t>Comunicação sobre a avaliação dos quadros estratégicos nacionais para os ciganos (COM/2023/7 final)</w:t>
            </w:r>
            <w:r>
              <w:fldChar w:fldCharType="end"/>
            </w:r>
            <w:r w:rsidRPr="000B0CD1">
              <w:rPr>
                <w:rStyle w:val="Hyperlink"/>
                <w:rFonts w:ascii="Arial" w:hAnsi="Arial" w:cs="Arial"/>
                <w:sz w:val="20"/>
                <w:szCs w:val="20"/>
              </w:rPr>
              <w:t>, adotada em janeiro de 2023.</w:t>
            </w:r>
            <w:r>
              <w:rPr>
                <w:rFonts w:ascii="Arial" w:hAnsi="Arial"/>
                <w:color w:val="1036A0"/>
                <w:sz w:val="20"/>
              </w:rPr>
              <w:t xml:space="preserve"> Apresenta as medidas tomadas pelos Estados-Membros para assegurar a correta aplicação dos quadros estratégicos nacionais relativos aos ciganos, à luz das principais metas definidas a nível da UE. A comunicação inclui, em especial, um relatório sobre a forma como os Estados-Membros abordaram ou tencionam abordar os domínios a melhorar que foram identificados pela Comissão na sua avaliação dos quadros estratégicos nacionais, com especial destaque, entre outros aspetos, para a utilização dos fundos. Contribuirá para a realização dos objetivos do Quadro da UE relativo aos Ciganos, que procura garantir às pessoas e comunidades ciganas, em toda a sua diversidade, oportunidades iguais em todas as esferas da vida, bem como a sua inclusão socioeconómica e participação igual na sociedade.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0974" w:rsidRPr="00D56411" w:rsidP="006C75C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Impacto provável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46489F" w:rsidRPr="00D56411" w:rsidP="00352AA3">
            <w:pPr>
              <w:jc w:val="both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A presente comunicação ajudará a definir políticas nacionais e da UE mais eficazes neste domínio e fornecerá informações e orientações aos Estados-Membros para alcançarem coletivamente as metas mínimas da UE, como estabelecido no quadro estratégico da UE relativo aos ciganos. Espera-se que a adoção de estratégias eficazes a nível nacional e da UE tenha um impacto positivo na igualdade, na inclusão e na participação dos ciganos. Os progressos em matéria de inclusão socioeconómica, igualdade e participação dos ciganos reforçam </w:t>
            </w:r>
            <w:r>
              <w:rPr>
                <w:rFonts w:ascii="Arial" w:hAnsi="Arial"/>
                <w:color w:val="1036A0"/>
                <w:sz w:val="20"/>
              </w:rPr>
              <w:t xml:space="preserve">a justiça e a coesão sociais e podem ajudar a reduzir a escassez de mão de obra e de competências, nomeadamente no contexto das alterações demográficas, baixando os custos sociais e ajudando a economia.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C75CC" w:rsidRPr="00D56411" w:rsidP="00A22CFB">
            <w:pPr>
              <w:spacing w:before="60" w:after="6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Acompanhamento futuro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733460" w:rsidP="00F048E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Relatórios bienais dos Estados-Membros à Comissão Europeia</w:t>
            </w:r>
            <w:r w:rsidR="000B0CD1">
              <w:rPr>
                <w:rFonts w:ascii="Arial" w:hAnsi="Arial"/>
                <w:color w:val="1036A0"/>
                <w:sz w:val="20"/>
              </w:rPr>
              <w:t>,</w:t>
            </w:r>
          </w:p>
          <w:p w:rsidR="00733460" w:rsidP="00F048E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Relatório bienal da Comissão Europeia ao Parlamento Europeu e ao Conselho, e </w:t>
            </w:r>
            <w:r>
              <w:rPr>
                <w:rFonts w:ascii="Arial" w:hAnsi="Arial"/>
                <w:i/>
                <w:iCs/>
                <w:color w:val="1036A0"/>
                <w:sz w:val="20"/>
              </w:rPr>
              <w:t>feedback</w:t>
            </w:r>
            <w:r>
              <w:rPr>
                <w:rFonts w:ascii="Arial" w:hAnsi="Arial"/>
                <w:color w:val="1036A0"/>
                <w:sz w:val="20"/>
              </w:rPr>
              <w:t xml:space="preserve"> específico das partes interessadas sobre a execução</w:t>
            </w:r>
            <w:r w:rsidR="000B0CD1">
              <w:rPr>
                <w:rFonts w:ascii="Arial" w:hAnsi="Arial"/>
                <w:color w:val="1036A0"/>
                <w:sz w:val="20"/>
              </w:rPr>
              <w:t>,</w:t>
            </w:r>
          </w:p>
          <w:p w:rsidR="00733460" w:rsidRPr="00C85358" w:rsidP="00C8535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Os futuros inquéritos sobre os ciganos da Agência dos Direitos Fundamentais da UE permitirão continuar a acompanhar os progressos alcançados com a aplicação dos quadros estratégicos nacionais relativos aos ciganos.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0000FF"/>
          </w:tcPr>
          <w:p w:rsidR="0009231D" w:rsidRPr="00D56411" w:rsidP="00353BFB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highlight w:val="blue"/>
              </w:rPr>
              <w:t>C. Legislar melhor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D56411" w:rsidP="00BC53A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Avaliação de impacto</w:t>
            </w:r>
          </w:p>
        </w:tc>
      </w:tr>
      <w:tr w:rsidTr="00CD76DF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A7DB5" w:rsidRPr="00D56411" w:rsidP="00C122E5">
            <w:pPr>
              <w:spacing w:before="60" w:after="60"/>
              <w:jc w:val="both"/>
              <w:rPr>
                <w:rFonts w:ascii="Arial" w:hAnsi="Arial" w:cs="Arial"/>
                <w:b/>
                <w:color w:val="1036A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Não está prevista qualquer avaliação de impacto da iniciativa, uma vez que se trata de um relatório intercalar sobre a aplicação dos quadros estratégicos nacionais relativos aos ciganos.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 w:rsidR="00B312B7" w:rsidRPr="00D56411" w:rsidP="00BC53AD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Estratégia de consulta 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312B7" w:rsidRPr="00460494" w:rsidP="00EE11CA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 xml:space="preserve">Os contributos recebidos no âmbito do presente convite à apreciação serão tidos em conta no relatório. O presente convite à apreciação está aberto à apresentação de </w:t>
            </w:r>
            <w:r w:rsidRPr="000B0CD1"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  <w:t>contributos durante 4 semanas. Os contributos podem ser enviados nas 24 línguas oficiais da UE</w:t>
            </w:r>
            <w:r>
              <w:fldChar w:fldCharType="begin"/>
            </w:r>
            <w:r>
              <w:instrText xml:space="preserve"> HYPERLINK "https://ec.europa.eu/info/law/better-regulation/have-your-say_en" </w:instrText>
            </w:r>
            <w:r>
              <w:fldChar w:fldCharType="separate"/>
            </w:r>
            <w:r w:rsidRPr="000B0CD1"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  <w:t xml:space="preserve"> através do sítio Web «Dê a sua opinião»</w:t>
            </w:r>
            <w:r>
              <w:fldChar w:fldCharType="end"/>
            </w:r>
            <w:r w:rsidRPr="000B0CD1"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 xml:space="preserve"> </w:t>
            </w:r>
          </w:p>
          <w:p w:rsidR="00A00898" w:rsidRPr="005018F2" w:rsidP="00A00898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>A 16.ª Plataforma Europeia para a Inclusão dos Ciganos, que teve lugar em Madrid em 30 de novembro, reuniu os governos nacionais, a UE, as organizações internacionais e a sociedade civil cigana. Proporcionou um fórum para debater os progressos realizados neste domínio, com especial destaque para a dessegregação na habitação e a utilização ótima dos fundos. As organizações da sociedade civil foram consultadas e envolvidas em termos de conteúdo e participação da plataforma.</w:t>
            </w:r>
          </w:p>
          <w:p w:rsidR="00A00898" w:rsidRPr="00460494" w:rsidP="00A00898">
            <w:pPr>
              <w:numPr>
                <w:ilvl w:val="0"/>
                <w:numId w:val="4"/>
              </w:numPr>
              <w:spacing w:before="60" w:after="120"/>
              <w:jc w:val="both"/>
              <w:rPr>
                <w:rFonts w:ascii="Arial" w:hAnsi="Arial" w:cs="Arial"/>
                <w:color w:val="1036A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 xml:space="preserve">Os representantes das organizações da sociedade civil estão a ser consultados sobre a aplicação dos quadros estratégicos nacionais relativos aos ciganos e o seguimento da Comunicação de janeiro de 2023 </w:t>
            </w:r>
            <w:r>
              <w:fldChar w:fldCharType="begin"/>
            </w:r>
            <w:r>
              <w:instrText xml:space="preserve"> HYPERLINK "https://commission.europa.eu/publications/assessment-report-member-states-national-roma-strategic-frameworks-full-package_en?prefLang=pt" </w:instrText>
            </w:r>
            <w:r>
              <w:fldChar w:fldCharType="separate"/>
            </w: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>sobre a avaliação dos quadros estratégicos nacionais para os ciganos (COM/2023/7 final)</w:t>
            </w:r>
            <w:r>
              <w:fldChar w:fldCharType="end"/>
            </w:r>
            <w:r>
              <w:rPr>
                <w:rFonts w:ascii="Arial" w:hAnsi="Arial"/>
                <w:color w:val="1036A0"/>
                <w:sz w:val="20"/>
                <w:shd w:val="clear" w:color="auto" w:fill="FFFFFF"/>
              </w:rPr>
              <w:t>, no contexto da reunião do Grupo de Consulta da Sociedade Civil com a Comissão em 12 de dezembro de 2023.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2B7" w:rsidRPr="00D56411" w:rsidP="00B312B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Motivo da consulta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B312B7" w:rsidRPr="00D56411" w:rsidP="00C519A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Esta consulta representa uma oportunidade para recolher as opiniões de um grande número de partes interessadas, para que a Comissão se possa basear numa perspetiva alargada das partes interessadas de uma forma transparente e participativa.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2B7" w:rsidRPr="00D56411" w:rsidP="00B312B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Público-alvo</w:t>
            </w:r>
          </w:p>
        </w:tc>
      </w:tr>
      <w:tr w:rsidTr="002D1A81">
        <w:tblPrEx>
          <w:tblW w:w="10188" w:type="dxa"/>
          <w:tblLook w:val="01E0"/>
        </w:tblPrEx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4F0700" w:rsidRPr="00D56411" w:rsidP="004F0700">
            <w:pPr>
              <w:spacing w:before="60" w:after="6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A consulta destina-se a um vasto leque de partes interessadas, incluindo:</w:t>
            </w:r>
          </w:p>
          <w:p w:rsidR="004F0700" w:rsidRPr="00D56411" w:rsidP="008F45D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autoridades nacionais responsáveis pela aplicação dos quadros estratégicos nacionais relativos aos ciganos,</w:t>
            </w:r>
          </w:p>
          <w:p w:rsidR="004F0700" w:rsidRPr="00D56411" w:rsidP="008F45D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a Rede Europeia dos Organismos Nacionais para a Igualdade (EQUINET),</w:t>
            </w:r>
          </w:p>
          <w:p w:rsidR="00EA6D83" w:rsidRPr="00D56411" w:rsidP="008F45D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organizações da sociedade civil,</w:t>
            </w:r>
          </w:p>
          <w:p w:rsidR="000940FB" w:rsidRPr="00D56411" w:rsidP="000940F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 xml:space="preserve">a Agência dos Direitos Fundamentais da UE (FRA), </w:t>
            </w:r>
          </w:p>
          <w:p w:rsidR="00B312B7" w:rsidRPr="00190437" w:rsidP="0019043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1036A0"/>
                <w:sz w:val="20"/>
                <w:szCs w:val="20"/>
              </w:rPr>
            </w:pPr>
            <w:r>
              <w:rPr>
                <w:rFonts w:ascii="Arial" w:hAnsi="Arial"/>
                <w:color w:val="1036A0"/>
                <w:sz w:val="20"/>
              </w:rPr>
              <w:t>universidades e institutos de investigação.</w:t>
            </w:r>
          </w:p>
        </w:tc>
      </w:tr>
    </w:tbl>
    <w:p w:rsidR="009E6661" w:rsidRPr="00D56411" w:rsidP="004B7E6F">
      <w:pPr>
        <w:rPr>
          <w:rFonts w:ascii="Arial" w:hAnsi="Arial" w:cs="Arial"/>
          <w:sz w:val="20"/>
          <w:szCs w:val="20"/>
        </w:rPr>
      </w:pPr>
      <w:bookmarkEnd w:id="0"/>
    </w:p>
    <w:sectPr w:rsidSect="00C9010B">
      <w:footerReference w:type="even" r:id="rId16"/>
      <w:footerReference w:type="default" r:id="rId17"/>
      <w:headerReference w:type="first" r:id="rId18"/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D56411" w:rsidP="00D92C25">
    <w:pPr>
      <w:pStyle w:val="Footer"/>
      <w:framePr w:wrap="around" w:vAnchor="text" w:hAnchor="margin" w:xAlign="center" w:y="1"/>
      <w:rPr>
        <w:rStyle w:val="PageNumber"/>
      </w:rPr>
    </w:pPr>
    <w:r w:rsidRPr="00D56411">
      <w:rPr>
        <w:rStyle w:val="PageNumber"/>
      </w:rPr>
      <w:fldChar w:fldCharType="begin"/>
    </w:r>
    <w:r w:rsidRPr="00D56411">
      <w:rPr>
        <w:rStyle w:val="PageNumber"/>
      </w:rPr>
      <w:instrText xml:space="preserve">PAGE  </w:instrText>
    </w:r>
    <w:r w:rsidRPr="00D56411">
      <w:rPr>
        <w:rStyle w:val="PageNumber"/>
      </w:rPr>
      <w:fldChar w:fldCharType="separate"/>
    </w:r>
    <w:r w:rsidRPr="00D56411">
      <w:rPr>
        <w:rStyle w:val="PageNumber"/>
      </w:rPr>
      <w:t>4</w:t>
    </w:r>
    <w:r w:rsidRPr="00D56411">
      <w:rPr>
        <w:rStyle w:val="PageNumber"/>
      </w:rPr>
      <w:fldChar w:fldCharType="end"/>
    </w:r>
  </w:p>
  <w:p w:rsidR="00035A3D" w:rsidRPr="00D564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D56411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D56411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D56411">
      <w:rPr>
        <w:rStyle w:val="PageNumber"/>
        <w:rFonts w:ascii="Arial" w:hAnsi="Arial"/>
        <w:sz w:val="16"/>
      </w:rPr>
      <w:fldChar w:fldCharType="begin"/>
    </w:r>
    <w:r w:rsidRPr="00D56411">
      <w:rPr>
        <w:rStyle w:val="PageNumber"/>
        <w:rFonts w:ascii="Arial" w:hAnsi="Arial"/>
        <w:sz w:val="16"/>
      </w:rPr>
      <w:instrText xml:space="preserve">PAGE  </w:instrText>
    </w:r>
    <w:r w:rsidRPr="00D56411">
      <w:rPr>
        <w:rStyle w:val="PageNumber"/>
        <w:rFonts w:ascii="Arial" w:hAnsi="Arial"/>
        <w:sz w:val="16"/>
      </w:rPr>
      <w:fldChar w:fldCharType="separate"/>
    </w:r>
    <w:r w:rsidRPr="00D56411">
      <w:rPr>
        <w:rStyle w:val="PageNumber"/>
        <w:rFonts w:ascii="Arial" w:hAnsi="Arial"/>
        <w:sz w:val="16"/>
      </w:rPr>
      <w:t>3</w:t>
    </w:r>
    <w:r w:rsidRPr="00D56411">
      <w:rPr>
        <w:rStyle w:val="PageNumber"/>
        <w:rFonts w:ascii="Arial" w:hAnsi="Arial"/>
        <w:sz w:val="16"/>
      </w:rPr>
      <w:fldChar w:fldCharType="end"/>
    </w:r>
  </w:p>
  <w:p w:rsidR="00035A3D" w:rsidRPr="00D56411">
    <w:pPr>
      <w:pStyle w:val="Foo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D5641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D56411" w:rsidP="00D92C25">
    <w:pPr>
      <w:pStyle w:val="Footer"/>
      <w:framePr w:wrap="around" w:vAnchor="text" w:hAnchor="margin" w:xAlign="center" w:y="1"/>
      <w:rPr>
        <w:rStyle w:val="PageNumber"/>
      </w:rPr>
    </w:pPr>
    <w:r w:rsidRPr="00D56411">
      <w:rPr>
        <w:rStyle w:val="PageNumber"/>
      </w:rPr>
      <w:fldChar w:fldCharType="begin"/>
    </w:r>
    <w:r w:rsidRPr="00D56411">
      <w:rPr>
        <w:rStyle w:val="PageNumber"/>
      </w:rPr>
      <w:instrText xml:space="preserve">PAGE  </w:instrText>
    </w:r>
    <w:r w:rsidRPr="00D56411">
      <w:rPr>
        <w:rStyle w:val="PageNumber"/>
      </w:rPr>
      <w:fldChar w:fldCharType="separate"/>
    </w:r>
    <w:r w:rsidRPr="00D56411">
      <w:rPr>
        <w:rStyle w:val="PageNumber"/>
      </w:rPr>
      <w:t>4</w:t>
    </w:r>
    <w:r w:rsidRPr="00D56411">
      <w:rPr>
        <w:rStyle w:val="PageNumber"/>
      </w:rPr>
      <w:fldChar w:fldCharType="end"/>
    </w:r>
  </w:p>
  <w:p w:rsidR="00035A3D" w:rsidRPr="00D5641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D56411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</w:p>
  <w:p w:rsidR="00035A3D" w:rsidRPr="00D56411" w:rsidP="002B4E61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tab/>
      <w:t xml:space="preserve">         </w:t>
    </w:r>
    <w:r w:rsidRPr="00D56411">
      <w:rPr>
        <w:rStyle w:val="PageNumber"/>
        <w:rFonts w:ascii="Arial" w:hAnsi="Arial"/>
        <w:sz w:val="16"/>
      </w:rPr>
      <w:fldChar w:fldCharType="begin"/>
    </w:r>
    <w:r w:rsidRPr="00D56411">
      <w:rPr>
        <w:rStyle w:val="PageNumber"/>
        <w:rFonts w:ascii="Arial" w:hAnsi="Arial"/>
        <w:sz w:val="16"/>
      </w:rPr>
      <w:instrText xml:space="preserve">PAGE  </w:instrText>
    </w:r>
    <w:r w:rsidRPr="00D56411">
      <w:rPr>
        <w:rStyle w:val="PageNumber"/>
        <w:rFonts w:ascii="Arial" w:hAnsi="Arial"/>
        <w:sz w:val="16"/>
      </w:rPr>
      <w:fldChar w:fldCharType="separate"/>
    </w:r>
    <w:r w:rsidR="00470D54">
      <w:rPr>
        <w:rStyle w:val="PageNumber"/>
        <w:rFonts w:ascii="Arial" w:hAnsi="Arial"/>
        <w:sz w:val="16"/>
      </w:rPr>
      <w:t>2</w:t>
    </w:r>
    <w:r w:rsidRPr="00D56411">
      <w:rPr>
        <w:rStyle w:val="PageNumber"/>
        <w:rFonts w:ascii="Arial" w:hAnsi="Arial"/>
        <w:sz w:val="16"/>
      </w:rPr>
      <w:fldChar w:fldCharType="end"/>
    </w:r>
  </w:p>
  <w:p w:rsidR="00035A3D" w:rsidRPr="00D56411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47A97" w:rsidRPr="00D56411">
      <w:r w:rsidRPr="00D56411">
        <w:separator/>
      </w:r>
    </w:p>
  </w:footnote>
  <w:footnote w:type="continuationSeparator" w:id="1">
    <w:p w:rsidR="00847A97" w:rsidRPr="00D56411">
      <w:r w:rsidRPr="00D56411">
        <w:continuationSeparator/>
      </w:r>
    </w:p>
  </w:footnote>
  <w:footnote w:id="2">
    <w:p w:rsidR="00DD4544" w:rsidRPr="00DA0CC5" w:rsidP="00DD4544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/>
        </w:rPr>
        <w:t xml:space="preserve">Fonte: FRA </w:t>
      </w:r>
      <w:r>
        <w:fldChar w:fldCharType="begin"/>
      </w:r>
      <w:r>
        <w:instrText xml:space="preserve"> HYPERLINK "http://fra.europa.eu/sites/default/files/fra_uploads/fra-2022-roma-survey-2021-main-results2_en.pdf" </w:instrText>
      </w:r>
      <w:r>
        <w:fldChar w:fldCharType="separate"/>
      </w:r>
      <w:r>
        <w:rPr>
          <w:rStyle w:val="Hyperlink"/>
          <w:rFonts w:ascii="Arial" w:hAnsi="Arial"/>
        </w:rPr>
        <w:t>http://fra.europa.eu/sites/default/files/fra_uploads/fra-2022-roma-survey-2021-main-results2_en.pdf</w:t>
      </w:r>
      <w:r>
        <w:fldChar w:fldCharType="end"/>
      </w:r>
      <w:r>
        <w:rPr>
          <w:rFonts w:ascii="Arial" w:hAnsi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D564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A31" w:rsidRPr="00D564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657D" w:rsidRPr="001C657D" w:rsidP="001C657D">
    <w:pPr>
      <w:jc w:val="center"/>
      <w:rPr>
        <w:rFonts w:ascii="Arial" w:hAnsi="Arial" w:cs="Arial"/>
        <w:sz w:val="12"/>
        <w:szCs w:val="12"/>
      </w:rPr>
    </w:pPr>
    <w:r w:rsidRPr="001C657D">
      <w:rPr>
        <w:rFonts w:ascii="Arial" w:hAnsi="Arial" w:cs="Arial"/>
        <w:noProof/>
        <w:sz w:val="12"/>
        <w:szCs w:val="12"/>
      </w:rPr>
      <w:drawing>
        <wp:inline distT="0" distB="0" distL="0" distR="0">
          <wp:extent cx="2314575" cy="694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998" cy="703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A3D" w:rsidRPr="00D56411" w:rsidP="00E72EF2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A3D" w:rsidRPr="00D56411" w:rsidP="00E72EF2">
    <w:pPr>
      <w:pStyle w:val="Header"/>
      <w:jc w:val="center"/>
    </w:pPr>
    <w:r>
      <w:rPr>
        <w:rFonts w:ascii="Arial" w:hAnsi="Arial"/>
        <w:noProof/>
      </w:rPr>
      <w:drawing>
        <wp:inline distT="0" distB="0" distL="0" distR="0">
          <wp:extent cx="1908175" cy="508635"/>
          <wp:effectExtent l="0" t="0" r="0" b="5715"/>
          <wp:docPr id="2" name="Picture 2" descr="logo-ce-horizontal-en-quadri-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e-horizontal-en-quadri-l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4B082A"/>
    <w:multiLevelType w:val="hybridMultilevel"/>
    <w:tmpl w:val="B300A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896FAE"/>
    <w:multiLevelType w:val="hybridMultilevel"/>
    <w:tmpl w:val="666468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440DF4"/>
    <w:multiLevelType w:val="hybridMultilevel"/>
    <w:tmpl w:val="0B0C22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2E067B"/>
    <w:multiLevelType w:val="hybridMultilevel"/>
    <w:tmpl w:val="8AD24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716E5"/>
    <w:multiLevelType w:val="hybridMultilevel"/>
    <w:tmpl w:val="D30AC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3C3D2A"/>
    <w:multiLevelType w:val="hybridMultilevel"/>
    <w:tmpl w:val="54EA0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7553A2"/>
    <w:multiLevelType w:val="hybridMultilevel"/>
    <w:tmpl w:val="E5B6F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6901C1"/>
    <w:multiLevelType w:val="singleLevel"/>
    <w:tmpl w:val="208841AE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0">
    <w:nsid w:val="6C41534E"/>
    <w:multiLevelType w:val="hybridMultilevel"/>
    <w:tmpl w:val="F8265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B5511"/>
    <w:multiLevelType w:val="singleLevel"/>
    <w:tmpl w:val="74A09970"/>
    <w:name w:val="List Bullet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2">
    <w:nsid w:val="6D7B58CE"/>
    <w:multiLevelType w:val="hybridMultilevel"/>
    <w:tmpl w:val="55143764"/>
    <w:lvl w:ilvl="0">
      <w:start w:val="1"/>
      <w:numFmt w:val="bullet"/>
      <w:pStyle w:val="ListDash4"/>
      <w:lvlText w:val="–"/>
      <w:lvlJc w:val="left"/>
      <w:pPr>
        <w:tabs>
          <w:tab w:val="num" w:pos="1287"/>
        </w:tabs>
        <w:ind w:left="1287" w:hanging="28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-"/>
      <w:lvlJc w:val="left"/>
      <w:pPr>
        <w:ind w:left="1593" w:hanging="360"/>
      </w:pPr>
      <w:rPr>
        <w:rFonts w:ascii="Times" w:eastAsia="Times New Roman" w:hAnsi="Time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3">
    <w:nsid w:val="7A2419E5"/>
    <w:multiLevelType w:val="hybridMultilevel"/>
    <w:tmpl w:val="58449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doNotShadeFormData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JUST\JUST-2023-02233\JUST-2023-02233-00-00-EN-EDT-00.202304240853254869985.DOCX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7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6661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E6661"/>
    <w:pPr>
      <w:spacing w:after="240"/>
      <w:ind w:left="357" w:hanging="357"/>
      <w:jc w:val="both"/>
    </w:pPr>
    <w:rPr>
      <w:sz w:val="20"/>
      <w:szCs w:val="20"/>
    </w:rPr>
  </w:style>
  <w:style w:type="character" w:styleId="FootnoteReference">
    <w:name w:val="footnote reference"/>
    <w:aliases w:val=" BVI fnr,BVI fnr,Footnote Reference Superscript,Footnote symbol"/>
    <w:semiHidden/>
    <w:rsid w:val="009E6661"/>
    <w:rPr>
      <w:vertAlign w:val="superscript"/>
    </w:rPr>
  </w:style>
  <w:style w:type="character" w:customStyle="1" w:styleId="FootnoteTextChar">
    <w:name w:val="Footnote Text Char"/>
    <w:rsid w:val="009E6661"/>
    <w:rPr>
      <w:lang w:val="pt-PT" w:eastAsia="en-GB" w:bidi="ar-SA"/>
    </w:rPr>
  </w:style>
  <w:style w:type="paragraph" w:styleId="ListBullet">
    <w:name w:val="List Bullet"/>
    <w:basedOn w:val="Normal"/>
    <w:rsid w:val="009E6661"/>
    <w:pPr>
      <w:numPr>
        <w:numId w:val="1"/>
      </w:numPr>
      <w:spacing w:before="120" w:after="120"/>
      <w:jc w:val="both"/>
    </w:pPr>
    <w:rPr>
      <w:lang w:eastAsia="de-DE"/>
    </w:rPr>
  </w:style>
  <w:style w:type="paragraph" w:customStyle="1" w:styleId="Text1">
    <w:name w:val="Text 1"/>
    <w:basedOn w:val="Normal"/>
    <w:rsid w:val="009E6661"/>
    <w:pPr>
      <w:spacing w:before="120" w:after="120"/>
      <w:ind w:left="850"/>
      <w:jc w:val="both"/>
    </w:pPr>
    <w:rPr>
      <w:lang w:eastAsia="en-US"/>
    </w:rPr>
  </w:style>
  <w:style w:type="character" w:styleId="Emphasis">
    <w:name w:val="Emphasis"/>
    <w:uiPriority w:val="20"/>
    <w:qFormat/>
    <w:rsid w:val="009E6661"/>
    <w:rPr>
      <w:b/>
      <w:bCs/>
      <w:i w:val="0"/>
      <w:iCs w:val="0"/>
    </w:rPr>
  </w:style>
  <w:style w:type="paragraph" w:customStyle="1" w:styleId="ListBullet1">
    <w:name w:val="List Bullet 1"/>
    <w:basedOn w:val="Normal"/>
    <w:rsid w:val="009E6661"/>
    <w:pPr>
      <w:numPr>
        <w:numId w:val="2"/>
      </w:numPr>
      <w:spacing w:before="120" w:after="120"/>
      <w:jc w:val="both"/>
    </w:pPr>
    <w:rPr>
      <w:lang w:eastAsia="de-DE"/>
    </w:rPr>
  </w:style>
  <w:style w:type="character" w:customStyle="1" w:styleId="at31">
    <w:name w:val="a__t31"/>
    <w:rsid w:val="009E6661"/>
    <w:rPr>
      <w:b/>
      <w:bCs/>
    </w:rPr>
  </w:style>
  <w:style w:type="paragraph" w:styleId="NormalWeb">
    <w:name w:val="Normal (Web)"/>
    <w:basedOn w:val="Normal"/>
    <w:link w:val="NormalWebChar"/>
    <w:rsid w:val="00D03063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D03063"/>
    <w:rPr>
      <w:sz w:val="24"/>
      <w:szCs w:val="24"/>
      <w:lang w:val="pt-PT" w:eastAsia="en-GB" w:bidi="ar-SA"/>
    </w:rPr>
  </w:style>
  <w:style w:type="paragraph" w:customStyle="1" w:styleId="ListDash4">
    <w:name w:val="List Dash 4"/>
    <w:basedOn w:val="Normal"/>
    <w:rsid w:val="00D03063"/>
    <w:pPr>
      <w:numPr>
        <w:numId w:val="3"/>
      </w:numPr>
    </w:pPr>
  </w:style>
  <w:style w:type="paragraph" w:styleId="Footer">
    <w:name w:val="footer"/>
    <w:basedOn w:val="Normal"/>
    <w:rsid w:val="00B0795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7956"/>
  </w:style>
  <w:style w:type="paragraph" w:styleId="BalloonText">
    <w:name w:val="Balloon Text"/>
    <w:basedOn w:val="Normal"/>
    <w:semiHidden/>
    <w:rsid w:val="009911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F3"/>
    <w:rPr>
      <w:color w:val="0000FF"/>
      <w:u w:val="single"/>
    </w:rPr>
  </w:style>
  <w:style w:type="character" w:styleId="CommentReference">
    <w:name w:val="annotation reference"/>
    <w:rsid w:val="000E132C"/>
    <w:rPr>
      <w:sz w:val="16"/>
      <w:szCs w:val="16"/>
    </w:rPr>
  </w:style>
  <w:style w:type="paragraph" w:styleId="CommentText">
    <w:name w:val="annotation text"/>
    <w:aliases w:val="Char2"/>
    <w:basedOn w:val="Normal"/>
    <w:link w:val="CommentTextChar"/>
    <w:uiPriority w:val="99"/>
    <w:rsid w:val="00B13AAB"/>
    <w:rPr>
      <w:sz w:val="20"/>
      <w:szCs w:val="20"/>
    </w:rPr>
  </w:style>
  <w:style w:type="character" w:customStyle="1" w:styleId="CommentTextChar">
    <w:name w:val="Comment Text Char"/>
    <w:aliases w:val="Char2 Char"/>
    <w:basedOn w:val="DefaultParagraphFont"/>
    <w:link w:val="CommentText"/>
    <w:uiPriority w:val="99"/>
    <w:rsid w:val="00B13AAB"/>
  </w:style>
  <w:style w:type="paragraph" w:styleId="CommentSubject">
    <w:name w:val="annotation subject"/>
    <w:basedOn w:val="CommentText"/>
    <w:next w:val="CommentText"/>
    <w:link w:val="CommentSubjectChar"/>
    <w:rsid w:val="000E132C"/>
    <w:rPr>
      <w:b/>
      <w:bCs/>
    </w:rPr>
  </w:style>
  <w:style w:type="character" w:customStyle="1" w:styleId="CommentSubjectChar">
    <w:name w:val="Comment Subject Char"/>
    <w:link w:val="CommentSubject"/>
    <w:rsid w:val="000E132C"/>
    <w:rPr>
      <w:b/>
      <w:bCs/>
    </w:rPr>
  </w:style>
  <w:style w:type="paragraph" w:customStyle="1" w:styleId="ListDash1">
    <w:name w:val="List Dash 1"/>
    <w:basedOn w:val="Normal"/>
    <w:qFormat/>
    <w:rsid w:val="00FA069C"/>
    <w:pPr>
      <w:tabs>
        <w:tab w:val="num" w:pos="567"/>
      </w:tabs>
      <w:ind w:left="568" w:hanging="284"/>
    </w:pPr>
  </w:style>
  <w:style w:type="paragraph" w:styleId="ListParagraph">
    <w:name w:val="List Paragraph"/>
    <w:basedOn w:val="Normal"/>
    <w:uiPriority w:val="34"/>
    <w:qFormat/>
    <w:rsid w:val="001C7D0F"/>
    <w:pPr>
      <w:ind w:left="720"/>
      <w:contextualSpacing/>
    </w:pPr>
  </w:style>
  <w:style w:type="character" w:styleId="FollowedHyperlink">
    <w:name w:val="FollowedHyperlink"/>
    <w:basedOn w:val="DefaultParagraphFont"/>
    <w:rsid w:val="00454F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10C61"/>
    <w:rPr>
      <w:sz w:val="24"/>
      <w:szCs w:val="24"/>
    </w:rPr>
  </w:style>
  <w:style w:type="character" w:customStyle="1" w:styleId="normaltextrun">
    <w:name w:val="normaltextrun"/>
    <w:basedOn w:val="DefaultParagraphFont"/>
    <w:rsid w:val="00C122E5"/>
  </w:style>
  <w:style w:type="character" w:customStyle="1" w:styleId="eop">
    <w:name w:val="eop"/>
    <w:basedOn w:val="DefaultParagraphFont"/>
    <w:rsid w:val="00C122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20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4.xm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sspa\Desktop\ROADMAP%20template%20new%2010%20January%20201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b4669b-3562-445a-a428-e501203eb641">
      <UserInfo>
        <DisplayName>GRP-Monitoring strategies - Equality Members</DisplayName>
        <AccountId>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4022E66C1540A3B1E037465E0CE3" ma:contentTypeVersion="6" ma:contentTypeDescription="Create a new document." ma:contentTypeScope="" ma:versionID="4c540e7a3e766073b605cd4e5ef3c9e2">
  <xsd:schema xmlns:xsd="http://www.w3.org/2001/XMLSchema" xmlns:xs="http://www.w3.org/2001/XMLSchema" xmlns:p="http://schemas.microsoft.com/office/2006/metadata/properties" xmlns:ns2="d07530ff-ae8d-4383-9420-67306a016191" xmlns:ns3="d0b4669b-3562-445a-a428-e501203eb641" targetNamespace="http://schemas.microsoft.com/office/2006/metadata/properties" ma:root="true" ma:fieldsID="4038e016159514578f181b505b313828" ns2:_="" ns3:_="">
    <xsd:import namespace="d07530ff-ae8d-4383-9420-67306a016191"/>
    <xsd:import namespace="d0b4669b-3562-445a-a428-e501203eb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30ff-ae8d-4383-9420-67306a01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669b-3562-445a-a428-e501203eb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AD5CF-E8B4-447F-AE82-B85FCBFC32F4}">
  <ds:schemaRefs>
    <ds:schemaRef ds:uri="http://schemas.microsoft.com/office/2006/metadata/properties"/>
    <ds:schemaRef ds:uri="http://schemas.microsoft.com/office/infopath/2007/PartnerControls"/>
    <ds:schemaRef ds:uri="d0b4669b-3562-445a-a428-e501203eb641"/>
  </ds:schemaRefs>
</ds:datastoreItem>
</file>

<file path=customXml/itemProps2.xml><?xml version="1.0" encoding="utf-8"?>
<ds:datastoreItem xmlns:ds="http://schemas.openxmlformats.org/officeDocument/2006/customXml" ds:itemID="{FF826702-D565-48C3-A1C8-44BB81A6E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DF71C-59A8-4C6F-A3C1-8CF867750A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C02BB9-049C-46DE-BE57-C70FE0B29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530ff-ae8d-4383-9420-67306a016191"/>
    <ds:schemaRef ds:uri="d0b4669b-3562-445a-a428-e501203eb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DDC3C4-2292-4C4E-BF8F-969950C98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