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0C46E" w14:textId="0D10AB2E" w:rsidR="00A13C5C" w:rsidRDefault="004D2871" w:rsidP="004D2871">
      <w:pPr>
        <w:pStyle w:val="Pagedecouverture"/>
        <w:rPr>
          <w:noProof/>
        </w:rPr>
      </w:pPr>
      <w:bookmarkStart w:id="0" w:name="LW_BM_COVERPAGE"/>
      <w:r>
        <w:rPr>
          <w:noProof/>
        </w:rPr>
        <w:pict w14:anchorId="6E0E4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31CD76A8-CB7A-432B-9130-4C16CFEF407C" style="width:455.25pt;height:342pt">
            <v:imagedata r:id="rId8" o:title=""/>
          </v:shape>
        </w:pict>
      </w:r>
    </w:p>
    <w:bookmarkEnd w:id="0"/>
    <w:p w14:paraId="4D90687F" w14:textId="77777777" w:rsidR="00A13C5C" w:rsidRDefault="00A13C5C" w:rsidP="00A13C5C">
      <w:pPr>
        <w:rPr>
          <w:noProof/>
        </w:rPr>
        <w:sectPr w:rsidR="00A13C5C" w:rsidSect="004D2871">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bookmarkStart w:id="1" w:name="_GoBack" w:displacedByCustomXml="next"/>
    <w:bookmarkEnd w:id="1" w:displacedByCustomXml="next"/>
    <w:bookmarkStart w:id="2" w:name="_Toc86061890" w:displacedByCustomXml="next"/>
    <w:bookmarkStart w:id="3" w:name="_Toc86154512" w:displacedByCustomXml="next"/>
    <w:bookmarkStart w:id="4" w:name="_Toc185413377" w:displacedByCustomXml="next"/>
    <w:sdt>
      <w:sdtPr>
        <w:rPr>
          <w:noProof/>
        </w:rPr>
        <w:id w:val="68371494"/>
        <w:docPartObj>
          <w:docPartGallery w:val="Table of Contents"/>
          <w:docPartUnique/>
        </w:docPartObj>
      </w:sdtPr>
      <w:sdtEndPr/>
      <w:sdtContent>
        <w:p w14:paraId="082050CF" w14:textId="767E9C8B" w:rsidR="00D331A7" w:rsidRPr="00995F44" w:rsidRDefault="00D331A7" w:rsidP="00D331A7">
          <w:pPr>
            <w:tabs>
              <w:tab w:val="left" w:pos="851"/>
              <w:tab w:val="right" w:leader="dot" w:pos="9016"/>
            </w:tabs>
            <w:spacing w:after="100"/>
            <w:ind w:left="426" w:hanging="426"/>
            <w:jc w:val="center"/>
            <w:rPr>
              <w:rFonts w:ascii="Times New Roman" w:hAnsi="Times New Roman" w:cs="Times New Roman"/>
              <w:noProof/>
            </w:rPr>
          </w:pPr>
          <w:r>
            <w:rPr>
              <w:rFonts w:ascii="Times New Roman" w:hAnsi="Times New Roman"/>
              <w:noProof/>
            </w:rPr>
            <w:t>Índice</w:t>
          </w:r>
        </w:p>
        <w:p w14:paraId="4B26828B" w14:textId="2CFF1FA0" w:rsidR="005C1ECB" w:rsidRPr="00F97184" w:rsidRDefault="00D331A7">
          <w:pPr>
            <w:pStyle w:val="TOC1"/>
            <w:rPr>
              <w:rFonts w:asciiTheme="minorHAnsi" w:eastAsiaTheme="minorEastAsia" w:hAnsiTheme="minorHAnsi" w:cstheme="minorBidi"/>
              <w:kern w:val="2"/>
              <w:lang w:val="en-IE" w:eastAsia="en-IE"/>
              <w14:ligatures w14:val="standardContextual"/>
            </w:rPr>
          </w:pPr>
          <w:r w:rsidRPr="00F97184">
            <w:fldChar w:fldCharType="begin"/>
          </w:r>
          <w:r w:rsidRPr="00F97184">
            <w:instrText>TOC \o "1-3" \h \z \u</w:instrText>
          </w:r>
          <w:r w:rsidRPr="00F97184">
            <w:fldChar w:fldCharType="separate"/>
          </w:r>
          <w:hyperlink w:anchor="_Toc226580789" w:history="1">
            <w:r w:rsidR="005C1ECB" w:rsidRPr="00F97184">
              <w:rPr>
                <w:rStyle w:val="Hyperlink"/>
              </w:rPr>
              <w:t>1.</w:t>
            </w:r>
            <w:r w:rsidR="005C1ECB" w:rsidRPr="00F97184">
              <w:rPr>
                <w:rFonts w:asciiTheme="minorHAnsi" w:eastAsiaTheme="minorEastAsia" w:hAnsiTheme="minorHAnsi" w:cstheme="minorBidi"/>
                <w:kern w:val="2"/>
                <w:lang w:val="en-IE" w:eastAsia="en-IE"/>
                <w14:ligatures w14:val="standardContextual"/>
              </w:rPr>
              <w:tab/>
            </w:r>
            <w:r w:rsidR="005C1ECB" w:rsidRPr="00F97184">
              <w:rPr>
                <w:rStyle w:val="Hyperlink"/>
              </w:rPr>
              <w:t>Introdução</w:t>
            </w:r>
            <w:r w:rsidR="005C1ECB" w:rsidRPr="00F97184">
              <w:rPr>
                <w:webHidden/>
              </w:rPr>
              <w:tab/>
            </w:r>
            <w:r w:rsidR="005C1ECB" w:rsidRPr="00F97184">
              <w:rPr>
                <w:webHidden/>
              </w:rPr>
              <w:fldChar w:fldCharType="begin"/>
            </w:r>
            <w:r w:rsidR="005C1ECB" w:rsidRPr="00F97184">
              <w:rPr>
                <w:webHidden/>
              </w:rPr>
              <w:instrText xml:space="preserve"> PAGEREF _Toc226580789 \h </w:instrText>
            </w:r>
            <w:r w:rsidR="005C1ECB" w:rsidRPr="00F97184">
              <w:rPr>
                <w:webHidden/>
              </w:rPr>
            </w:r>
            <w:r w:rsidR="005C1ECB" w:rsidRPr="00F97184">
              <w:rPr>
                <w:webHidden/>
              </w:rPr>
              <w:fldChar w:fldCharType="separate"/>
            </w:r>
            <w:r w:rsidR="00F97184">
              <w:rPr>
                <w:webHidden/>
              </w:rPr>
              <w:t>2</w:t>
            </w:r>
            <w:r w:rsidR="005C1ECB" w:rsidRPr="00F97184">
              <w:rPr>
                <w:webHidden/>
              </w:rPr>
              <w:fldChar w:fldCharType="end"/>
            </w:r>
          </w:hyperlink>
        </w:p>
        <w:p w14:paraId="1F6AFE71" w14:textId="16E9ADAC" w:rsidR="005C1ECB" w:rsidRPr="00F97184" w:rsidRDefault="004D2871">
          <w:pPr>
            <w:pStyle w:val="TOC1"/>
            <w:rPr>
              <w:rFonts w:asciiTheme="minorHAnsi" w:eastAsiaTheme="minorEastAsia" w:hAnsiTheme="minorHAnsi" w:cstheme="minorBidi"/>
              <w:kern w:val="2"/>
              <w:lang w:val="en-IE" w:eastAsia="en-IE"/>
              <w14:ligatures w14:val="standardContextual"/>
            </w:rPr>
          </w:pPr>
          <w:hyperlink w:anchor="_Toc226580790" w:history="1">
            <w:r w:rsidR="005C1ECB" w:rsidRPr="00F97184">
              <w:rPr>
                <w:rStyle w:val="Hyperlink"/>
              </w:rPr>
              <w:t>2.</w:t>
            </w:r>
            <w:r w:rsidR="005C1ECB" w:rsidRPr="00F97184">
              <w:rPr>
                <w:rFonts w:asciiTheme="minorHAnsi" w:eastAsiaTheme="minorEastAsia" w:hAnsiTheme="minorHAnsi" w:cstheme="minorBidi"/>
                <w:kern w:val="2"/>
                <w:lang w:val="en-IE" w:eastAsia="en-IE"/>
                <w14:ligatures w14:val="standardContextual"/>
              </w:rPr>
              <w:tab/>
            </w:r>
            <w:r w:rsidR="005C1ECB" w:rsidRPr="00F97184">
              <w:rPr>
                <w:rStyle w:val="Hyperlink"/>
              </w:rPr>
              <w:t>Quadro institucional</w:t>
            </w:r>
            <w:r w:rsidR="005C1ECB" w:rsidRPr="00F97184">
              <w:rPr>
                <w:webHidden/>
              </w:rPr>
              <w:tab/>
            </w:r>
            <w:r w:rsidR="005C1ECB" w:rsidRPr="00F97184">
              <w:rPr>
                <w:webHidden/>
              </w:rPr>
              <w:fldChar w:fldCharType="begin"/>
            </w:r>
            <w:r w:rsidR="005C1ECB" w:rsidRPr="00F97184">
              <w:rPr>
                <w:webHidden/>
              </w:rPr>
              <w:instrText xml:space="preserve"> PAGEREF _Toc226580790 \h </w:instrText>
            </w:r>
            <w:r w:rsidR="005C1ECB" w:rsidRPr="00F97184">
              <w:rPr>
                <w:webHidden/>
              </w:rPr>
            </w:r>
            <w:r w:rsidR="005C1ECB" w:rsidRPr="00F97184">
              <w:rPr>
                <w:webHidden/>
              </w:rPr>
              <w:fldChar w:fldCharType="separate"/>
            </w:r>
            <w:r w:rsidR="00F97184">
              <w:rPr>
                <w:webHidden/>
              </w:rPr>
              <w:t>3</w:t>
            </w:r>
            <w:r w:rsidR="005C1ECB" w:rsidRPr="00F97184">
              <w:rPr>
                <w:webHidden/>
              </w:rPr>
              <w:fldChar w:fldCharType="end"/>
            </w:r>
          </w:hyperlink>
        </w:p>
        <w:p w14:paraId="66AFF6C3" w14:textId="6576D353" w:rsidR="005C1ECB" w:rsidRPr="00F97184" w:rsidRDefault="004D2871">
          <w:pPr>
            <w:pStyle w:val="TOC1"/>
            <w:rPr>
              <w:rFonts w:asciiTheme="minorHAnsi" w:eastAsiaTheme="minorEastAsia" w:hAnsiTheme="minorHAnsi" w:cstheme="minorBidi"/>
              <w:kern w:val="2"/>
              <w:lang w:val="en-IE" w:eastAsia="en-IE"/>
              <w14:ligatures w14:val="standardContextual"/>
            </w:rPr>
          </w:pPr>
          <w:hyperlink w:anchor="_Toc226580791" w:history="1">
            <w:r w:rsidR="005C1ECB" w:rsidRPr="00F97184">
              <w:rPr>
                <w:rStyle w:val="Hyperlink"/>
              </w:rPr>
              <w:t>3.</w:t>
            </w:r>
            <w:r w:rsidR="005C1ECB" w:rsidRPr="00F97184">
              <w:rPr>
                <w:rFonts w:asciiTheme="minorHAnsi" w:eastAsiaTheme="minorEastAsia" w:hAnsiTheme="minorHAnsi" w:cstheme="minorBidi"/>
                <w:kern w:val="2"/>
                <w:lang w:val="en-IE" w:eastAsia="en-IE"/>
                <w14:ligatures w14:val="standardContextual"/>
              </w:rPr>
              <w:tab/>
            </w:r>
            <w:r w:rsidR="005C1ECB" w:rsidRPr="00F97184">
              <w:rPr>
                <w:rStyle w:val="Hyperlink"/>
              </w:rPr>
              <w:t>Queixas e resolução de litígios</w:t>
            </w:r>
            <w:r w:rsidR="005C1ECB" w:rsidRPr="00F97184">
              <w:rPr>
                <w:webHidden/>
              </w:rPr>
              <w:tab/>
            </w:r>
            <w:r w:rsidR="005C1ECB" w:rsidRPr="00F97184">
              <w:rPr>
                <w:webHidden/>
              </w:rPr>
              <w:fldChar w:fldCharType="begin"/>
            </w:r>
            <w:r w:rsidR="005C1ECB" w:rsidRPr="00F97184">
              <w:rPr>
                <w:webHidden/>
              </w:rPr>
              <w:instrText xml:space="preserve"> PAGEREF _Toc226580791 \h </w:instrText>
            </w:r>
            <w:r w:rsidR="005C1ECB" w:rsidRPr="00F97184">
              <w:rPr>
                <w:webHidden/>
              </w:rPr>
            </w:r>
            <w:r w:rsidR="005C1ECB" w:rsidRPr="00F97184">
              <w:rPr>
                <w:webHidden/>
              </w:rPr>
              <w:fldChar w:fldCharType="separate"/>
            </w:r>
            <w:r w:rsidR="00F97184">
              <w:rPr>
                <w:webHidden/>
              </w:rPr>
              <w:t>4</w:t>
            </w:r>
            <w:r w:rsidR="005C1ECB" w:rsidRPr="00F97184">
              <w:rPr>
                <w:webHidden/>
              </w:rPr>
              <w:fldChar w:fldCharType="end"/>
            </w:r>
          </w:hyperlink>
        </w:p>
        <w:p w14:paraId="079A7C26" w14:textId="735A9E33" w:rsidR="005C1ECB" w:rsidRPr="00F97184" w:rsidRDefault="004D2871">
          <w:pPr>
            <w:pStyle w:val="TOC2"/>
            <w:rPr>
              <w:rFonts w:eastAsiaTheme="minorEastAsia"/>
              <w:noProof/>
              <w:kern w:val="2"/>
              <w:sz w:val="24"/>
              <w:szCs w:val="24"/>
              <w:lang w:val="en-IE" w:eastAsia="en-IE"/>
              <w14:ligatures w14:val="standardContextual"/>
            </w:rPr>
          </w:pPr>
          <w:hyperlink w:anchor="_Toc226580792" w:history="1">
            <w:r w:rsidR="005C1ECB" w:rsidRPr="00F97184">
              <w:rPr>
                <w:rStyle w:val="Hyperlink"/>
                <w:rFonts w:ascii="Times New Roman" w:hAnsi="Times New Roman" w:cs="Times New Roman"/>
                <w:noProof/>
              </w:rPr>
              <w:t>3.1.</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Queixas</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_Toc226580792 \h </w:instrText>
            </w:r>
            <w:r w:rsidR="005C1ECB" w:rsidRPr="00F97184">
              <w:rPr>
                <w:noProof/>
                <w:webHidden/>
              </w:rPr>
            </w:r>
            <w:r w:rsidR="005C1ECB" w:rsidRPr="00F97184">
              <w:rPr>
                <w:noProof/>
                <w:webHidden/>
              </w:rPr>
              <w:fldChar w:fldCharType="separate"/>
            </w:r>
            <w:r w:rsidR="00F97184">
              <w:rPr>
                <w:noProof/>
                <w:webHidden/>
              </w:rPr>
              <w:t>4</w:t>
            </w:r>
            <w:r w:rsidR="005C1ECB" w:rsidRPr="00F97184">
              <w:rPr>
                <w:noProof/>
                <w:webHidden/>
              </w:rPr>
              <w:fldChar w:fldCharType="end"/>
            </w:r>
          </w:hyperlink>
        </w:p>
        <w:p w14:paraId="4C996118" w14:textId="0B81F6A1" w:rsidR="005C1ECB" w:rsidRPr="00F97184" w:rsidRDefault="004D2871">
          <w:pPr>
            <w:pStyle w:val="TOC2"/>
            <w:rPr>
              <w:rFonts w:eastAsiaTheme="minorEastAsia"/>
              <w:noProof/>
              <w:kern w:val="2"/>
              <w:sz w:val="24"/>
              <w:szCs w:val="24"/>
              <w:lang w:val="en-IE" w:eastAsia="en-IE"/>
              <w14:ligatures w14:val="standardContextual"/>
            </w:rPr>
          </w:pPr>
          <w:hyperlink w:anchor="_Toc226580793" w:history="1">
            <w:r w:rsidR="005C1ECB" w:rsidRPr="00F97184">
              <w:rPr>
                <w:rStyle w:val="Hyperlink"/>
                <w:rFonts w:ascii="Times New Roman" w:eastAsia="Times New Roman" w:hAnsi="Times New Roman" w:cs="Times New Roman"/>
                <w:noProof/>
              </w:rPr>
              <w:t>3.2.</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Resolução de litígios</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_Toc226580793 \h </w:instrText>
            </w:r>
            <w:r w:rsidR="005C1ECB" w:rsidRPr="00F97184">
              <w:rPr>
                <w:noProof/>
                <w:webHidden/>
              </w:rPr>
            </w:r>
            <w:r w:rsidR="005C1ECB" w:rsidRPr="00F97184">
              <w:rPr>
                <w:noProof/>
                <w:webHidden/>
              </w:rPr>
              <w:fldChar w:fldCharType="separate"/>
            </w:r>
            <w:r w:rsidR="00F97184">
              <w:rPr>
                <w:noProof/>
                <w:webHidden/>
              </w:rPr>
              <w:t>5</w:t>
            </w:r>
            <w:r w:rsidR="005C1ECB" w:rsidRPr="00F97184">
              <w:rPr>
                <w:noProof/>
                <w:webHidden/>
              </w:rPr>
              <w:fldChar w:fldCharType="end"/>
            </w:r>
          </w:hyperlink>
        </w:p>
        <w:p w14:paraId="332EC4C3" w14:textId="682D35A5" w:rsidR="005C1ECB" w:rsidRPr="00F97184" w:rsidRDefault="004D2871">
          <w:pPr>
            <w:pStyle w:val="TOC1"/>
            <w:rPr>
              <w:rFonts w:asciiTheme="minorHAnsi" w:eastAsiaTheme="minorEastAsia" w:hAnsiTheme="minorHAnsi" w:cstheme="minorBidi"/>
              <w:kern w:val="2"/>
              <w:lang w:val="en-IE" w:eastAsia="en-IE"/>
              <w14:ligatures w14:val="standardContextual"/>
            </w:rPr>
          </w:pPr>
          <w:hyperlink w:anchor="_Toc226580794" w:history="1">
            <w:r w:rsidR="005C1ECB" w:rsidRPr="00F97184">
              <w:rPr>
                <w:rStyle w:val="Hyperlink"/>
              </w:rPr>
              <w:t>4.</w:t>
            </w:r>
            <w:r w:rsidR="005C1ECB" w:rsidRPr="00F97184">
              <w:rPr>
                <w:rFonts w:asciiTheme="minorHAnsi" w:eastAsiaTheme="minorEastAsia" w:hAnsiTheme="minorHAnsi" w:cstheme="minorBidi"/>
                <w:kern w:val="2"/>
                <w:lang w:val="en-IE" w:eastAsia="en-IE"/>
                <w14:ligatures w14:val="standardContextual"/>
              </w:rPr>
              <w:tab/>
            </w:r>
            <w:r w:rsidR="005C1ECB" w:rsidRPr="00F97184">
              <w:rPr>
                <w:rStyle w:val="Hyperlink"/>
              </w:rPr>
              <w:t>Execução setorial</w:t>
            </w:r>
            <w:r w:rsidR="005C1ECB" w:rsidRPr="00F97184">
              <w:rPr>
                <w:webHidden/>
              </w:rPr>
              <w:tab/>
            </w:r>
            <w:r w:rsidR="005C1ECB" w:rsidRPr="00F97184">
              <w:rPr>
                <w:webHidden/>
              </w:rPr>
              <w:fldChar w:fldCharType="begin"/>
            </w:r>
            <w:r w:rsidR="005C1ECB" w:rsidRPr="00F97184">
              <w:rPr>
                <w:webHidden/>
              </w:rPr>
              <w:instrText xml:space="preserve"> PAGEREF _Toc226580794 \h </w:instrText>
            </w:r>
            <w:r w:rsidR="005C1ECB" w:rsidRPr="00F97184">
              <w:rPr>
                <w:webHidden/>
              </w:rPr>
            </w:r>
            <w:r w:rsidR="005C1ECB" w:rsidRPr="00F97184">
              <w:rPr>
                <w:webHidden/>
              </w:rPr>
              <w:fldChar w:fldCharType="separate"/>
            </w:r>
            <w:r w:rsidR="00F97184">
              <w:rPr>
                <w:webHidden/>
              </w:rPr>
              <w:t>5</w:t>
            </w:r>
            <w:r w:rsidR="005C1ECB" w:rsidRPr="00F97184">
              <w:rPr>
                <w:webHidden/>
              </w:rPr>
              <w:fldChar w:fldCharType="end"/>
            </w:r>
          </w:hyperlink>
        </w:p>
        <w:p w14:paraId="243F4E06" w14:textId="7AEB15CF" w:rsidR="005C1ECB" w:rsidRPr="00F97184" w:rsidRDefault="004D2871">
          <w:pPr>
            <w:pStyle w:val="TOC2"/>
            <w:rPr>
              <w:rFonts w:eastAsiaTheme="minorEastAsia"/>
              <w:noProof/>
              <w:kern w:val="2"/>
              <w:sz w:val="24"/>
              <w:szCs w:val="24"/>
              <w:lang w:val="en-IE" w:eastAsia="en-IE"/>
              <w14:ligatures w14:val="standardContextual"/>
            </w:rPr>
          </w:pPr>
          <w:hyperlink w:anchor="_Toc226580795" w:history="1">
            <w:r w:rsidR="005C1ECB" w:rsidRPr="00F97184">
              <w:rPr>
                <w:rStyle w:val="Hyperlink"/>
                <w:rFonts w:ascii="Times New Roman" w:hAnsi="Times New Roman" w:cs="Times New Roman"/>
                <w:noProof/>
              </w:rPr>
              <w:t>4.1.</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Comércio de mercadorias</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_Toc226580795 \h </w:instrText>
            </w:r>
            <w:r w:rsidR="005C1ECB" w:rsidRPr="00F97184">
              <w:rPr>
                <w:noProof/>
                <w:webHidden/>
              </w:rPr>
            </w:r>
            <w:r w:rsidR="005C1ECB" w:rsidRPr="00F97184">
              <w:rPr>
                <w:noProof/>
                <w:webHidden/>
              </w:rPr>
              <w:fldChar w:fldCharType="separate"/>
            </w:r>
            <w:r w:rsidR="00F97184">
              <w:rPr>
                <w:noProof/>
                <w:webHidden/>
              </w:rPr>
              <w:t>5</w:t>
            </w:r>
            <w:r w:rsidR="005C1ECB" w:rsidRPr="00F97184">
              <w:rPr>
                <w:noProof/>
                <w:webHidden/>
              </w:rPr>
              <w:fldChar w:fldCharType="end"/>
            </w:r>
          </w:hyperlink>
        </w:p>
        <w:p w14:paraId="2BA10636" w14:textId="015EF5C4" w:rsidR="005C1ECB" w:rsidRPr="00F97184" w:rsidRDefault="004D2871">
          <w:pPr>
            <w:pStyle w:val="TOC2"/>
            <w:rPr>
              <w:rFonts w:eastAsiaTheme="minorEastAsia"/>
              <w:noProof/>
              <w:kern w:val="2"/>
              <w:sz w:val="24"/>
              <w:szCs w:val="24"/>
              <w:lang w:val="en-IE" w:eastAsia="en-IE"/>
              <w14:ligatures w14:val="standardContextual"/>
            </w:rPr>
          </w:pPr>
          <w:hyperlink w:anchor="_Toc226580796" w:history="1">
            <w:r w:rsidR="005C1ECB" w:rsidRPr="00F97184">
              <w:rPr>
                <w:rStyle w:val="Hyperlink"/>
                <w:rFonts w:ascii="Times New Roman" w:hAnsi="Times New Roman" w:cs="Times New Roman"/>
                <w:noProof/>
              </w:rPr>
              <w:t>4.2.</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Serviços e investimento, comércio digital, contratação pública e PME</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_Toc226580796 \h </w:instrText>
            </w:r>
            <w:r w:rsidR="005C1ECB" w:rsidRPr="00F97184">
              <w:rPr>
                <w:noProof/>
                <w:webHidden/>
              </w:rPr>
            </w:r>
            <w:r w:rsidR="005C1ECB" w:rsidRPr="00F97184">
              <w:rPr>
                <w:noProof/>
                <w:webHidden/>
              </w:rPr>
              <w:fldChar w:fldCharType="separate"/>
            </w:r>
            <w:r w:rsidR="00F97184">
              <w:rPr>
                <w:noProof/>
                <w:webHidden/>
              </w:rPr>
              <w:t>7</w:t>
            </w:r>
            <w:r w:rsidR="005C1ECB" w:rsidRPr="00F97184">
              <w:rPr>
                <w:noProof/>
                <w:webHidden/>
              </w:rPr>
              <w:fldChar w:fldCharType="end"/>
            </w:r>
          </w:hyperlink>
        </w:p>
        <w:p w14:paraId="5B780AC6" w14:textId="5615343B" w:rsidR="005C1ECB" w:rsidRPr="00F97184" w:rsidRDefault="004D2871">
          <w:pPr>
            <w:pStyle w:val="TOC2"/>
            <w:rPr>
              <w:rFonts w:eastAsiaTheme="minorEastAsia"/>
              <w:noProof/>
              <w:kern w:val="2"/>
              <w:sz w:val="24"/>
              <w:szCs w:val="24"/>
              <w:lang w:val="en-IE" w:eastAsia="en-IE"/>
              <w14:ligatures w14:val="standardContextual"/>
            </w:rPr>
          </w:pPr>
          <w:hyperlink w:anchor="_Toc226580797" w:history="1">
            <w:r w:rsidR="005C1ECB" w:rsidRPr="00F97184">
              <w:rPr>
                <w:rStyle w:val="Hyperlink"/>
                <w:rFonts w:ascii="Times New Roman" w:hAnsi="Times New Roman" w:cs="Times New Roman"/>
                <w:noProof/>
              </w:rPr>
              <w:t>4.3.</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Direitos de propriedade intelectual</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_Toc226580797 \h </w:instrText>
            </w:r>
            <w:r w:rsidR="005C1ECB" w:rsidRPr="00F97184">
              <w:rPr>
                <w:noProof/>
                <w:webHidden/>
              </w:rPr>
            </w:r>
            <w:r w:rsidR="005C1ECB" w:rsidRPr="00F97184">
              <w:rPr>
                <w:noProof/>
                <w:webHidden/>
              </w:rPr>
              <w:fldChar w:fldCharType="separate"/>
            </w:r>
            <w:r w:rsidR="00F97184">
              <w:rPr>
                <w:noProof/>
                <w:webHidden/>
              </w:rPr>
              <w:t>10</w:t>
            </w:r>
            <w:r w:rsidR="005C1ECB" w:rsidRPr="00F97184">
              <w:rPr>
                <w:noProof/>
                <w:webHidden/>
              </w:rPr>
              <w:fldChar w:fldCharType="end"/>
            </w:r>
          </w:hyperlink>
        </w:p>
        <w:p w14:paraId="274240DF" w14:textId="4B521540" w:rsidR="005C1ECB" w:rsidRPr="00F97184" w:rsidRDefault="004D2871">
          <w:pPr>
            <w:pStyle w:val="TOC2"/>
            <w:rPr>
              <w:rFonts w:eastAsiaTheme="minorEastAsia"/>
              <w:noProof/>
              <w:kern w:val="2"/>
              <w:sz w:val="24"/>
              <w:szCs w:val="24"/>
              <w:lang w:val="en-IE" w:eastAsia="en-IE"/>
              <w14:ligatures w14:val="standardContextual"/>
            </w:rPr>
          </w:pPr>
          <w:hyperlink w:anchor="_Toc226580798" w:history="1">
            <w:r w:rsidR="005C1ECB" w:rsidRPr="00F97184">
              <w:rPr>
                <w:rStyle w:val="Hyperlink"/>
                <w:rFonts w:ascii="Times New Roman" w:hAnsi="Times New Roman" w:cs="Times New Roman"/>
                <w:noProof/>
              </w:rPr>
              <w:t>4.4.</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Condições de concorrência equitativas</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_Toc226580798 \h </w:instrText>
            </w:r>
            <w:r w:rsidR="005C1ECB" w:rsidRPr="00F97184">
              <w:rPr>
                <w:noProof/>
                <w:webHidden/>
              </w:rPr>
            </w:r>
            <w:r w:rsidR="005C1ECB" w:rsidRPr="00F97184">
              <w:rPr>
                <w:noProof/>
                <w:webHidden/>
              </w:rPr>
              <w:fldChar w:fldCharType="separate"/>
            </w:r>
            <w:r w:rsidR="00F97184">
              <w:rPr>
                <w:noProof/>
                <w:webHidden/>
              </w:rPr>
              <w:t>10</w:t>
            </w:r>
            <w:r w:rsidR="005C1ECB" w:rsidRPr="00F97184">
              <w:rPr>
                <w:noProof/>
                <w:webHidden/>
              </w:rPr>
              <w:fldChar w:fldCharType="end"/>
            </w:r>
          </w:hyperlink>
        </w:p>
        <w:p w14:paraId="33BF76EA" w14:textId="249F4A12" w:rsidR="005C1ECB" w:rsidRPr="00F97184" w:rsidRDefault="004D2871">
          <w:pPr>
            <w:pStyle w:val="TOC2"/>
            <w:rPr>
              <w:rFonts w:eastAsiaTheme="minorEastAsia"/>
              <w:noProof/>
              <w:kern w:val="2"/>
              <w:sz w:val="24"/>
              <w:szCs w:val="24"/>
              <w:lang w:val="en-IE" w:eastAsia="en-IE"/>
              <w14:ligatures w14:val="standardContextual"/>
            </w:rPr>
          </w:pPr>
          <w:hyperlink w:anchor="_Toc226580799" w:history="1">
            <w:r w:rsidR="005C1ECB" w:rsidRPr="00F97184">
              <w:rPr>
                <w:rStyle w:val="Hyperlink"/>
                <w:rFonts w:ascii="Times New Roman" w:hAnsi="Times New Roman" w:cs="Times New Roman"/>
                <w:noProof/>
              </w:rPr>
              <w:t>4.5.</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Energia</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_Toc226580799 \h </w:instrText>
            </w:r>
            <w:r w:rsidR="005C1ECB" w:rsidRPr="00F97184">
              <w:rPr>
                <w:noProof/>
                <w:webHidden/>
              </w:rPr>
            </w:r>
            <w:r w:rsidR="005C1ECB" w:rsidRPr="00F97184">
              <w:rPr>
                <w:noProof/>
                <w:webHidden/>
              </w:rPr>
              <w:fldChar w:fldCharType="separate"/>
            </w:r>
            <w:r w:rsidR="00F97184">
              <w:rPr>
                <w:noProof/>
                <w:webHidden/>
              </w:rPr>
              <w:t>10</w:t>
            </w:r>
            <w:r w:rsidR="005C1ECB" w:rsidRPr="00F97184">
              <w:rPr>
                <w:noProof/>
                <w:webHidden/>
              </w:rPr>
              <w:fldChar w:fldCharType="end"/>
            </w:r>
          </w:hyperlink>
        </w:p>
        <w:p w14:paraId="5341C8EC" w14:textId="71A4B387" w:rsidR="005C1ECB" w:rsidRPr="00F97184" w:rsidRDefault="004D2871">
          <w:pPr>
            <w:pStyle w:val="TOC2"/>
            <w:rPr>
              <w:rFonts w:eastAsiaTheme="minorEastAsia"/>
              <w:noProof/>
              <w:kern w:val="2"/>
              <w:sz w:val="24"/>
              <w:szCs w:val="24"/>
              <w:lang w:val="en-IE" w:eastAsia="en-IE"/>
              <w14:ligatures w14:val="standardContextual"/>
            </w:rPr>
          </w:pPr>
          <w:hyperlink w:anchor="_Toc226580800" w:history="1">
            <w:r w:rsidR="005C1ECB" w:rsidRPr="00F97184">
              <w:rPr>
                <w:rStyle w:val="Hyperlink"/>
                <w:rFonts w:ascii="Times New Roman" w:hAnsi="Times New Roman" w:cs="Times New Roman"/>
                <w:noProof/>
              </w:rPr>
              <w:t>4.6.</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Transportes</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_Toc226580800 \h </w:instrText>
            </w:r>
            <w:r w:rsidR="005C1ECB" w:rsidRPr="00F97184">
              <w:rPr>
                <w:noProof/>
                <w:webHidden/>
              </w:rPr>
            </w:r>
            <w:r w:rsidR="005C1ECB" w:rsidRPr="00F97184">
              <w:rPr>
                <w:noProof/>
                <w:webHidden/>
              </w:rPr>
              <w:fldChar w:fldCharType="separate"/>
            </w:r>
            <w:r w:rsidR="00F97184">
              <w:rPr>
                <w:noProof/>
                <w:webHidden/>
              </w:rPr>
              <w:t>11</w:t>
            </w:r>
            <w:r w:rsidR="005C1ECB" w:rsidRPr="00F97184">
              <w:rPr>
                <w:noProof/>
                <w:webHidden/>
              </w:rPr>
              <w:fldChar w:fldCharType="end"/>
            </w:r>
          </w:hyperlink>
        </w:p>
        <w:p w14:paraId="1DC5DE61" w14:textId="4206257A" w:rsidR="005C1ECB" w:rsidRPr="00F97184" w:rsidRDefault="004D2871">
          <w:pPr>
            <w:pStyle w:val="TOC2"/>
            <w:rPr>
              <w:rFonts w:eastAsiaTheme="minorEastAsia"/>
              <w:noProof/>
              <w:kern w:val="2"/>
              <w:sz w:val="24"/>
              <w:szCs w:val="24"/>
              <w:lang w:val="en-IE" w:eastAsia="en-IE"/>
              <w14:ligatures w14:val="standardContextual"/>
            </w:rPr>
          </w:pPr>
          <w:hyperlink w:anchor="_Toc226580801" w:history="1">
            <w:r w:rsidR="005C1ECB" w:rsidRPr="00F97184">
              <w:rPr>
                <w:rStyle w:val="Hyperlink"/>
                <w:rFonts w:ascii="Times New Roman" w:hAnsi="Times New Roman" w:cs="Times New Roman"/>
                <w:noProof/>
              </w:rPr>
              <w:t>4.7.</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Pescas</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_Toc226580801 \h </w:instrText>
            </w:r>
            <w:r w:rsidR="005C1ECB" w:rsidRPr="00F97184">
              <w:rPr>
                <w:noProof/>
                <w:webHidden/>
              </w:rPr>
            </w:r>
            <w:r w:rsidR="005C1ECB" w:rsidRPr="00F97184">
              <w:rPr>
                <w:noProof/>
                <w:webHidden/>
              </w:rPr>
              <w:fldChar w:fldCharType="separate"/>
            </w:r>
            <w:r w:rsidR="00F97184">
              <w:rPr>
                <w:noProof/>
                <w:webHidden/>
              </w:rPr>
              <w:t>12</w:t>
            </w:r>
            <w:r w:rsidR="005C1ECB" w:rsidRPr="00F97184">
              <w:rPr>
                <w:noProof/>
                <w:webHidden/>
              </w:rPr>
              <w:fldChar w:fldCharType="end"/>
            </w:r>
          </w:hyperlink>
        </w:p>
        <w:p w14:paraId="4AF0DE25" w14:textId="00290A77" w:rsidR="005C1ECB" w:rsidRPr="00F97184" w:rsidRDefault="004D2871">
          <w:pPr>
            <w:pStyle w:val="TOC2"/>
            <w:rPr>
              <w:rFonts w:eastAsiaTheme="minorEastAsia"/>
              <w:noProof/>
              <w:kern w:val="2"/>
              <w:sz w:val="24"/>
              <w:szCs w:val="24"/>
              <w:lang w:val="en-IE" w:eastAsia="en-IE"/>
              <w14:ligatures w14:val="standardContextual"/>
            </w:rPr>
          </w:pPr>
          <w:hyperlink w:anchor="_Toc226580802" w:history="1">
            <w:r w:rsidR="005C1ECB" w:rsidRPr="00F97184">
              <w:rPr>
                <w:rStyle w:val="Hyperlink"/>
                <w:rFonts w:ascii="Times New Roman" w:hAnsi="Times New Roman" w:cs="Times New Roman"/>
                <w:noProof/>
              </w:rPr>
              <w:t>4.8.</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Coordenação da segurança social</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_Toc226580802 \h </w:instrText>
            </w:r>
            <w:r w:rsidR="005C1ECB" w:rsidRPr="00F97184">
              <w:rPr>
                <w:noProof/>
                <w:webHidden/>
              </w:rPr>
            </w:r>
            <w:r w:rsidR="005C1ECB" w:rsidRPr="00F97184">
              <w:rPr>
                <w:noProof/>
                <w:webHidden/>
              </w:rPr>
              <w:fldChar w:fldCharType="separate"/>
            </w:r>
            <w:r w:rsidR="00F97184">
              <w:rPr>
                <w:noProof/>
                <w:webHidden/>
              </w:rPr>
              <w:t>13</w:t>
            </w:r>
            <w:r w:rsidR="005C1ECB" w:rsidRPr="00F97184">
              <w:rPr>
                <w:noProof/>
                <w:webHidden/>
              </w:rPr>
              <w:fldChar w:fldCharType="end"/>
            </w:r>
          </w:hyperlink>
        </w:p>
        <w:p w14:paraId="1587000B" w14:textId="18B301C3" w:rsidR="005C1ECB" w:rsidRPr="00F97184" w:rsidRDefault="004D2871">
          <w:pPr>
            <w:pStyle w:val="TOC2"/>
            <w:rPr>
              <w:rFonts w:eastAsiaTheme="minorEastAsia"/>
              <w:noProof/>
              <w:kern w:val="2"/>
              <w:sz w:val="24"/>
              <w:szCs w:val="24"/>
              <w:lang w:val="en-IE" w:eastAsia="en-IE"/>
              <w14:ligatures w14:val="standardContextual"/>
            </w:rPr>
          </w:pPr>
          <w:hyperlink w:anchor="_Toc226580803" w:history="1">
            <w:r w:rsidR="005C1ECB" w:rsidRPr="00F97184">
              <w:rPr>
                <w:rStyle w:val="Hyperlink"/>
                <w:rFonts w:ascii="Times New Roman" w:hAnsi="Times New Roman" w:cs="Times New Roman"/>
                <w:noProof/>
              </w:rPr>
              <w:t>4.9.</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Cooperação policial e judiciária em matéria penal</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_Toc226580803 \h </w:instrText>
            </w:r>
            <w:r w:rsidR="005C1ECB" w:rsidRPr="00F97184">
              <w:rPr>
                <w:noProof/>
                <w:webHidden/>
              </w:rPr>
            </w:r>
            <w:r w:rsidR="005C1ECB" w:rsidRPr="00F97184">
              <w:rPr>
                <w:noProof/>
                <w:webHidden/>
              </w:rPr>
              <w:fldChar w:fldCharType="separate"/>
            </w:r>
            <w:r w:rsidR="00F97184">
              <w:rPr>
                <w:noProof/>
                <w:webHidden/>
              </w:rPr>
              <w:t>13</w:t>
            </w:r>
            <w:r w:rsidR="005C1ECB" w:rsidRPr="00F97184">
              <w:rPr>
                <w:noProof/>
                <w:webHidden/>
              </w:rPr>
              <w:fldChar w:fldCharType="end"/>
            </w:r>
          </w:hyperlink>
        </w:p>
        <w:p w14:paraId="77196E39" w14:textId="428BC4EA" w:rsidR="005C1ECB" w:rsidRPr="00F97184" w:rsidRDefault="004D2871">
          <w:pPr>
            <w:pStyle w:val="TOC2"/>
            <w:rPr>
              <w:rFonts w:eastAsiaTheme="minorEastAsia"/>
              <w:noProof/>
              <w:kern w:val="2"/>
              <w:sz w:val="24"/>
              <w:szCs w:val="24"/>
              <w:lang w:val="en-IE" w:eastAsia="en-IE"/>
              <w14:ligatures w14:val="standardContextual"/>
            </w:rPr>
          </w:pPr>
          <w:hyperlink w:anchor="_Toc226580804" w:history="1">
            <w:r w:rsidR="005C1ECB" w:rsidRPr="00F97184">
              <w:rPr>
                <w:rStyle w:val="Hyperlink"/>
                <w:rFonts w:ascii="Times New Roman" w:hAnsi="Times New Roman" w:cs="Times New Roman"/>
                <w:noProof/>
              </w:rPr>
              <w:t>4.10.</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Associação do Reino Unido a determinados programas da UE</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_Toc226580804 \h </w:instrText>
            </w:r>
            <w:r w:rsidR="005C1ECB" w:rsidRPr="00F97184">
              <w:rPr>
                <w:noProof/>
                <w:webHidden/>
              </w:rPr>
            </w:r>
            <w:r w:rsidR="005C1ECB" w:rsidRPr="00F97184">
              <w:rPr>
                <w:noProof/>
                <w:webHidden/>
              </w:rPr>
              <w:fldChar w:fldCharType="separate"/>
            </w:r>
            <w:r w:rsidR="00F97184">
              <w:rPr>
                <w:noProof/>
                <w:webHidden/>
              </w:rPr>
              <w:t>14</w:t>
            </w:r>
            <w:r w:rsidR="005C1ECB" w:rsidRPr="00F97184">
              <w:rPr>
                <w:noProof/>
                <w:webHidden/>
              </w:rPr>
              <w:fldChar w:fldCharType="end"/>
            </w:r>
          </w:hyperlink>
        </w:p>
        <w:p w14:paraId="25A684CF" w14:textId="25B8F6EE" w:rsidR="005C1ECB" w:rsidRPr="00F97184" w:rsidRDefault="004D2871">
          <w:pPr>
            <w:pStyle w:val="TOC2"/>
            <w:rPr>
              <w:rFonts w:eastAsiaTheme="minorEastAsia"/>
              <w:noProof/>
              <w:kern w:val="2"/>
              <w:sz w:val="24"/>
              <w:szCs w:val="24"/>
              <w:lang w:val="en-IE" w:eastAsia="en-IE"/>
              <w14:ligatures w14:val="standardContextual"/>
            </w:rPr>
          </w:pPr>
          <w:hyperlink w:anchor="_Toc226580805" w:history="1">
            <w:r w:rsidR="005C1ECB" w:rsidRPr="00F97184">
              <w:rPr>
                <w:rStyle w:val="Hyperlink"/>
                <w:rFonts w:ascii="Times New Roman" w:eastAsia="Times New Roman" w:hAnsi="Times New Roman" w:cs="Times New Roman"/>
                <w:noProof/>
              </w:rPr>
              <w:t>4.11.</w:t>
            </w:r>
            <w:r w:rsidR="005C1ECB" w:rsidRPr="00F97184">
              <w:rPr>
                <w:rFonts w:eastAsiaTheme="minorEastAsia"/>
                <w:noProof/>
                <w:kern w:val="2"/>
                <w:sz w:val="24"/>
                <w:szCs w:val="24"/>
                <w:lang w:val="en-IE" w:eastAsia="en-IE"/>
                <w14:ligatures w14:val="standardContextual"/>
              </w:rPr>
              <w:tab/>
            </w:r>
            <w:r w:rsidR="005C1ECB" w:rsidRPr="00F97184">
              <w:rPr>
                <w:rStyle w:val="Hyperlink"/>
                <w:rFonts w:ascii="Times New Roman" w:hAnsi="Times New Roman"/>
                <w:noProof/>
              </w:rPr>
              <w:t>Outros domínios</w:t>
            </w:r>
            <w:r w:rsidR="005C1ECB" w:rsidRPr="00F97184">
              <w:rPr>
                <w:noProof/>
                <w:webHidden/>
              </w:rPr>
              <w:tab/>
            </w:r>
            <w:r w:rsidR="005C1ECB" w:rsidRPr="00F97184">
              <w:rPr>
                <w:noProof/>
                <w:webHidden/>
              </w:rPr>
              <w:fldChar w:fldCharType="begin"/>
            </w:r>
            <w:r w:rsidR="005C1ECB" w:rsidRPr="00F97184">
              <w:rPr>
                <w:noProof/>
                <w:webHidden/>
              </w:rPr>
              <w:instrText xml:space="preserve"> PAGEREF _Toc226580805 \h </w:instrText>
            </w:r>
            <w:r w:rsidR="005C1ECB" w:rsidRPr="00F97184">
              <w:rPr>
                <w:noProof/>
                <w:webHidden/>
              </w:rPr>
            </w:r>
            <w:r w:rsidR="005C1ECB" w:rsidRPr="00F97184">
              <w:rPr>
                <w:noProof/>
                <w:webHidden/>
              </w:rPr>
              <w:fldChar w:fldCharType="separate"/>
            </w:r>
            <w:r w:rsidR="00F97184">
              <w:rPr>
                <w:noProof/>
                <w:webHidden/>
              </w:rPr>
              <w:t>14</w:t>
            </w:r>
            <w:r w:rsidR="005C1ECB" w:rsidRPr="00F97184">
              <w:rPr>
                <w:noProof/>
                <w:webHidden/>
              </w:rPr>
              <w:fldChar w:fldCharType="end"/>
            </w:r>
          </w:hyperlink>
        </w:p>
        <w:p w14:paraId="0041B5AC" w14:textId="553257E5" w:rsidR="005C1ECB" w:rsidRPr="00F97184" w:rsidRDefault="004D2871">
          <w:pPr>
            <w:pStyle w:val="TOC1"/>
            <w:rPr>
              <w:rFonts w:asciiTheme="minorHAnsi" w:eastAsiaTheme="minorEastAsia" w:hAnsiTheme="minorHAnsi" w:cstheme="minorBidi"/>
              <w:kern w:val="2"/>
              <w:lang w:val="en-IE" w:eastAsia="en-IE"/>
              <w14:ligatures w14:val="standardContextual"/>
            </w:rPr>
          </w:pPr>
          <w:hyperlink w:anchor="_Toc226580806" w:history="1">
            <w:r w:rsidR="005C1ECB" w:rsidRPr="00F97184">
              <w:rPr>
                <w:rStyle w:val="Hyperlink"/>
              </w:rPr>
              <w:t>5.</w:t>
            </w:r>
            <w:r w:rsidR="005C1ECB" w:rsidRPr="00F97184">
              <w:rPr>
                <w:rFonts w:asciiTheme="minorHAnsi" w:eastAsiaTheme="minorEastAsia" w:hAnsiTheme="minorHAnsi" w:cstheme="minorBidi"/>
                <w:kern w:val="2"/>
                <w:lang w:val="en-IE" w:eastAsia="en-IE"/>
                <w14:ligatures w14:val="standardContextual"/>
              </w:rPr>
              <w:tab/>
            </w:r>
            <w:r w:rsidR="005C1ECB" w:rsidRPr="00F97184">
              <w:rPr>
                <w:rStyle w:val="Hyperlink"/>
              </w:rPr>
              <w:t>Evolução do direito do Reino Unido</w:t>
            </w:r>
            <w:r w:rsidR="005C1ECB" w:rsidRPr="00F97184">
              <w:rPr>
                <w:webHidden/>
              </w:rPr>
              <w:tab/>
            </w:r>
            <w:r w:rsidR="005C1ECB" w:rsidRPr="00F97184">
              <w:rPr>
                <w:webHidden/>
              </w:rPr>
              <w:fldChar w:fldCharType="begin"/>
            </w:r>
            <w:r w:rsidR="005C1ECB" w:rsidRPr="00F97184">
              <w:rPr>
                <w:webHidden/>
              </w:rPr>
              <w:instrText xml:space="preserve"> PAGEREF _Toc226580806 \h </w:instrText>
            </w:r>
            <w:r w:rsidR="005C1ECB" w:rsidRPr="00F97184">
              <w:rPr>
                <w:webHidden/>
              </w:rPr>
            </w:r>
            <w:r w:rsidR="005C1ECB" w:rsidRPr="00F97184">
              <w:rPr>
                <w:webHidden/>
              </w:rPr>
              <w:fldChar w:fldCharType="separate"/>
            </w:r>
            <w:r w:rsidR="00F97184">
              <w:rPr>
                <w:webHidden/>
              </w:rPr>
              <w:t>15</w:t>
            </w:r>
            <w:r w:rsidR="005C1ECB" w:rsidRPr="00F97184">
              <w:rPr>
                <w:webHidden/>
              </w:rPr>
              <w:fldChar w:fldCharType="end"/>
            </w:r>
          </w:hyperlink>
        </w:p>
        <w:p w14:paraId="73E32AFF" w14:textId="1D42FF25" w:rsidR="005C1ECB" w:rsidRPr="00F97184" w:rsidRDefault="004D2871">
          <w:pPr>
            <w:pStyle w:val="TOC1"/>
            <w:rPr>
              <w:rFonts w:asciiTheme="minorHAnsi" w:eastAsiaTheme="minorEastAsia" w:hAnsiTheme="minorHAnsi" w:cstheme="minorBidi"/>
              <w:kern w:val="2"/>
              <w:lang w:val="en-IE" w:eastAsia="en-IE"/>
              <w14:ligatures w14:val="standardContextual"/>
            </w:rPr>
          </w:pPr>
          <w:hyperlink w:anchor="_Toc226580807" w:history="1">
            <w:r w:rsidR="005C1ECB" w:rsidRPr="00F97184">
              <w:rPr>
                <w:rStyle w:val="Hyperlink"/>
              </w:rPr>
              <w:t>6.</w:t>
            </w:r>
            <w:r w:rsidR="005C1ECB" w:rsidRPr="00F97184">
              <w:rPr>
                <w:rFonts w:asciiTheme="minorHAnsi" w:eastAsiaTheme="minorEastAsia" w:hAnsiTheme="minorHAnsi" w:cstheme="minorBidi"/>
                <w:kern w:val="2"/>
                <w:lang w:val="en-IE" w:eastAsia="en-IE"/>
                <w14:ligatures w14:val="standardContextual"/>
              </w:rPr>
              <w:tab/>
            </w:r>
            <w:r w:rsidR="005C1ECB" w:rsidRPr="00F97184">
              <w:rPr>
                <w:rStyle w:val="Hyperlink"/>
              </w:rPr>
              <w:t>Conclusões</w:t>
            </w:r>
            <w:r w:rsidR="005C1ECB" w:rsidRPr="00F97184">
              <w:rPr>
                <w:webHidden/>
              </w:rPr>
              <w:tab/>
            </w:r>
            <w:r w:rsidR="005C1ECB" w:rsidRPr="00F97184">
              <w:rPr>
                <w:webHidden/>
              </w:rPr>
              <w:fldChar w:fldCharType="begin"/>
            </w:r>
            <w:r w:rsidR="005C1ECB" w:rsidRPr="00F97184">
              <w:rPr>
                <w:webHidden/>
              </w:rPr>
              <w:instrText xml:space="preserve"> PAGEREF _Toc226580807 \h </w:instrText>
            </w:r>
            <w:r w:rsidR="005C1ECB" w:rsidRPr="00F97184">
              <w:rPr>
                <w:webHidden/>
              </w:rPr>
            </w:r>
            <w:r w:rsidR="005C1ECB" w:rsidRPr="00F97184">
              <w:rPr>
                <w:webHidden/>
              </w:rPr>
              <w:fldChar w:fldCharType="separate"/>
            </w:r>
            <w:r w:rsidR="00F97184">
              <w:rPr>
                <w:webHidden/>
              </w:rPr>
              <w:t>17</w:t>
            </w:r>
            <w:r w:rsidR="005C1ECB" w:rsidRPr="00F97184">
              <w:rPr>
                <w:webHidden/>
              </w:rPr>
              <w:fldChar w:fldCharType="end"/>
            </w:r>
          </w:hyperlink>
        </w:p>
        <w:p w14:paraId="6CF57C96" w14:textId="360C0548" w:rsidR="005C1ECB" w:rsidRPr="00F97184" w:rsidRDefault="004D2871">
          <w:pPr>
            <w:pStyle w:val="TOC1"/>
            <w:rPr>
              <w:rFonts w:asciiTheme="minorHAnsi" w:eastAsiaTheme="minorEastAsia" w:hAnsiTheme="minorHAnsi" w:cstheme="minorBidi"/>
              <w:kern w:val="2"/>
              <w:lang w:val="en-IE" w:eastAsia="en-IE"/>
              <w14:ligatures w14:val="standardContextual"/>
            </w:rPr>
          </w:pPr>
          <w:hyperlink w:anchor="_Toc226580808" w:history="1">
            <w:r w:rsidR="005C1ECB" w:rsidRPr="00F97184">
              <w:rPr>
                <w:rStyle w:val="Hyperlink"/>
              </w:rPr>
              <w:t>Anexo 1: Reuniões dos organismos conjuntos e outras estruturas criadas pelo ACC</w:t>
            </w:r>
            <w:r w:rsidR="005C1ECB" w:rsidRPr="00F97184">
              <w:rPr>
                <w:webHidden/>
              </w:rPr>
              <w:tab/>
            </w:r>
            <w:r w:rsidR="005C1ECB" w:rsidRPr="00F97184">
              <w:rPr>
                <w:webHidden/>
              </w:rPr>
              <w:fldChar w:fldCharType="begin"/>
            </w:r>
            <w:r w:rsidR="005C1ECB" w:rsidRPr="00F97184">
              <w:rPr>
                <w:webHidden/>
              </w:rPr>
              <w:instrText xml:space="preserve"> PAGEREF _Toc226580808 \h </w:instrText>
            </w:r>
            <w:r w:rsidR="005C1ECB" w:rsidRPr="00F97184">
              <w:rPr>
                <w:webHidden/>
              </w:rPr>
            </w:r>
            <w:r w:rsidR="005C1ECB" w:rsidRPr="00F97184">
              <w:rPr>
                <w:webHidden/>
              </w:rPr>
              <w:fldChar w:fldCharType="separate"/>
            </w:r>
            <w:r w:rsidR="00F97184">
              <w:rPr>
                <w:webHidden/>
              </w:rPr>
              <w:t>18</w:t>
            </w:r>
            <w:r w:rsidR="005C1ECB" w:rsidRPr="00F97184">
              <w:rPr>
                <w:webHidden/>
              </w:rPr>
              <w:fldChar w:fldCharType="end"/>
            </w:r>
          </w:hyperlink>
        </w:p>
        <w:p w14:paraId="20B969C6" w14:textId="7240E2AE" w:rsidR="005C1ECB" w:rsidRPr="00F97184" w:rsidRDefault="004D2871">
          <w:pPr>
            <w:pStyle w:val="TOC1"/>
            <w:rPr>
              <w:rFonts w:asciiTheme="minorHAnsi" w:eastAsiaTheme="minorEastAsia" w:hAnsiTheme="minorHAnsi" w:cstheme="minorBidi"/>
              <w:kern w:val="2"/>
              <w:lang w:val="en-IE" w:eastAsia="en-IE"/>
              <w14:ligatures w14:val="standardContextual"/>
            </w:rPr>
          </w:pPr>
          <w:hyperlink w:anchor="_Toc226580809" w:history="1">
            <w:r w:rsidR="005C1ECB" w:rsidRPr="00F97184">
              <w:rPr>
                <w:rStyle w:val="Hyperlink"/>
              </w:rPr>
              <w:t>Anexo 2: Decisões, recomendações e declarações adotadas pelo Conselho de Parceria e pelos comités criados pelo ACC</w:t>
            </w:r>
            <w:r w:rsidR="005C1ECB" w:rsidRPr="00F97184">
              <w:rPr>
                <w:webHidden/>
              </w:rPr>
              <w:tab/>
            </w:r>
            <w:r w:rsidR="005C1ECB" w:rsidRPr="00F97184">
              <w:rPr>
                <w:webHidden/>
              </w:rPr>
              <w:fldChar w:fldCharType="begin"/>
            </w:r>
            <w:r w:rsidR="005C1ECB" w:rsidRPr="00F97184">
              <w:rPr>
                <w:webHidden/>
              </w:rPr>
              <w:instrText xml:space="preserve"> PAGEREF _Toc226580809 \h </w:instrText>
            </w:r>
            <w:r w:rsidR="005C1ECB" w:rsidRPr="00F97184">
              <w:rPr>
                <w:webHidden/>
              </w:rPr>
            </w:r>
            <w:r w:rsidR="005C1ECB" w:rsidRPr="00F97184">
              <w:rPr>
                <w:webHidden/>
              </w:rPr>
              <w:fldChar w:fldCharType="separate"/>
            </w:r>
            <w:r w:rsidR="00F97184">
              <w:rPr>
                <w:webHidden/>
              </w:rPr>
              <w:t>20</w:t>
            </w:r>
            <w:r w:rsidR="005C1ECB" w:rsidRPr="00F97184">
              <w:rPr>
                <w:webHidden/>
              </w:rPr>
              <w:fldChar w:fldCharType="end"/>
            </w:r>
          </w:hyperlink>
        </w:p>
        <w:p w14:paraId="041B9E56" w14:textId="743EF8F7" w:rsidR="005C1ECB" w:rsidRPr="00F97184" w:rsidRDefault="004D2871">
          <w:pPr>
            <w:pStyle w:val="TOC1"/>
            <w:rPr>
              <w:rFonts w:asciiTheme="minorHAnsi" w:eastAsiaTheme="minorEastAsia" w:hAnsiTheme="minorHAnsi" w:cstheme="minorBidi"/>
              <w:kern w:val="2"/>
              <w:lang w:val="en-IE" w:eastAsia="en-IE"/>
              <w14:ligatures w14:val="standardContextual"/>
            </w:rPr>
          </w:pPr>
          <w:hyperlink w:anchor="_Toc226580810" w:history="1">
            <w:r w:rsidR="005C1ECB" w:rsidRPr="00F97184">
              <w:rPr>
                <w:rStyle w:val="Hyperlink"/>
              </w:rPr>
              <w:t>Anexo 3: Panorâmica da execução das ações relacionadas com o ACC acordadas no Entendimento Comum</w:t>
            </w:r>
            <w:r w:rsidR="005C1ECB" w:rsidRPr="00F97184">
              <w:rPr>
                <w:webHidden/>
              </w:rPr>
              <w:tab/>
            </w:r>
            <w:r w:rsidR="005C1ECB" w:rsidRPr="00F97184">
              <w:rPr>
                <w:webHidden/>
              </w:rPr>
              <w:fldChar w:fldCharType="begin"/>
            </w:r>
            <w:r w:rsidR="005C1ECB" w:rsidRPr="00F97184">
              <w:rPr>
                <w:webHidden/>
              </w:rPr>
              <w:instrText xml:space="preserve"> PAGEREF _Toc226580810 \h </w:instrText>
            </w:r>
            <w:r w:rsidR="005C1ECB" w:rsidRPr="00F97184">
              <w:rPr>
                <w:webHidden/>
              </w:rPr>
            </w:r>
            <w:r w:rsidR="005C1ECB" w:rsidRPr="00F97184">
              <w:rPr>
                <w:webHidden/>
              </w:rPr>
              <w:fldChar w:fldCharType="separate"/>
            </w:r>
            <w:r w:rsidR="00F97184">
              <w:rPr>
                <w:webHidden/>
              </w:rPr>
              <w:t>21</w:t>
            </w:r>
            <w:r w:rsidR="005C1ECB" w:rsidRPr="00F97184">
              <w:rPr>
                <w:webHidden/>
              </w:rPr>
              <w:fldChar w:fldCharType="end"/>
            </w:r>
          </w:hyperlink>
        </w:p>
        <w:p w14:paraId="06944297" w14:textId="3295EEB5" w:rsidR="00D331A7" w:rsidRDefault="00D331A7" w:rsidP="00D331A7">
          <w:pPr>
            <w:tabs>
              <w:tab w:val="left" w:pos="435"/>
              <w:tab w:val="left" w:pos="851"/>
              <w:tab w:val="right" w:leader="dot" w:pos="9015"/>
            </w:tabs>
            <w:ind w:left="426" w:hanging="426"/>
            <w:rPr>
              <w:noProof/>
            </w:rPr>
          </w:pPr>
          <w:r w:rsidRPr="00F97184">
            <w:rPr>
              <w:rFonts w:ascii="Times New Roman" w:hAnsi="Times New Roman" w:cs="Times New Roman"/>
              <w:noProof/>
            </w:rPr>
            <w:fldChar w:fldCharType="end"/>
          </w:r>
        </w:p>
      </w:sdtContent>
    </w:sdt>
    <w:p w14:paraId="52CFE944" w14:textId="144B4421" w:rsidR="00D331A7" w:rsidRDefault="00D331A7" w:rsidP="00D8292C">
      <w:pPr>
        <w:tabs>
          <w:tab w:val="left" w:pos="7538"/>
        </w:tabs>
        <w:rPr>
          <w:noProof/>
        </w:rPr>
      </w:pPr>
    </w:p>
    <w:p w14:paraId="2EE9AFE7" w14:textId="77777777" w:rsidR="009019E6" w:rsidRDefault="009019E6">
      <w:pPr>
        <w:rPr>
          <w:rFonts w:ascii="Times New Roman" w:eastAsiaTheme="majorEastAsia" w:hAnsi="Times New Roman" w:cstheme="majorBidi"/>
          <w:b/>
          <w:noProof/>
          <w:sz w:val="32"/>
          <w:szCs w:val="32"/>
        </w:rPr>
      </w:pPr>
      <w:bookmarkStart w:id="5" w:name="_Toc204769314"/>
      <w:bookmarkStart w:id="6" w:name="_Toc226580789"/>
      <w:r>
        <w:rPr>
          <w:rFonts w:ascii="Times New Roman" w:hAnsi="Times New Roman"/>
          <w:b/>
          <w:noProof/>
        </w:rPr>
        <w:br w:type="page"/>
      </w:r>
    </w:p>
    <w:p w14:paraId="55DF7F5C" w14:textId="1B9143FB" w:rsidR="006D1404" w:rsidRPr="0086076B" w:rsidRDefault="33A451BC" w:rsidP="00470A6D">
      <w:pPr>
        <w:pStyle w:val="Heading1"/>
        <w:keepLines w:val="0"/>
        <w:numPr>
          <w:ilvl w:val="0"/>
          <w:numId w:val="55"/>
        </w:numPr>
        <w:spacing w:before="100" w:beforeAutospacing="1" w:after="100" w:afterAutospacing="1" w:line="240" w:lineRule="auto"/>
        <w:ind w:left="714" w:hanging="357"/>
        <w:rPr>
          <w:rFonts w:ascii="Times New Roman" w:hAnsi="Times New Roman" w:cs="Times New Roman"/>
          <w:b/>
          <w:bCs/>
          <w:noProof/>
          <w:color w:val="auto"/>
        </w:rPr>
      </w:pPr>
      <w:r>
        <w:rPr>
          <w:rFonts w:ascii="Times New Roman" w:hAnsi="Times New Roman"/>
          <w:b/>
          <w:noProof/>
          <w:color w:val="auto"/>
        </w:rPr>
        <w:t>Introdução</w:t>
      </w:r>
      <w:bookmarkEnd w:id="5"/>
      <w:bookmarkEnd w:id="6"/>
      <w:bookmarkEnd w:id="4"/>
      <w:bookmarkEnd w:id="3"/>
      <w:bookmarkEnd w:id="2"/>
    </w:p>
    <w:p w14:paraId="61AE3D67" w14:textId="45C44D4E" w:rsidR="002A4EFB" w:rsidRDefault="0095620A" w:rsidP="6A5D11F7">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Em 2025, a União Europeia (UE) e o Reino Unido da Grã-Bretanha e da Irlanda do Norte (Reino Unido) deram um importante passo em frente nas suas relações ao realizarem a primeira cimeira bilateral desde a saída do Reino Unido da UE. A cimeira, realizada em 19 de maio de 2025 em Londres, assinalou um compromisso renovado em matéria de cooperação. Os dirigentes congratularam-se com o acordo sobre a Parceria de Segurança e Defesa UE</w:t>
      </w:r>
      <w:r w:rsidR="009019E6">
        <w:rPr>
          <w:rFonts w:ascii="Times New Roman" w:hAnsi="Times New Roman"/>
          <w:noProof/>
          <w:sz w:val="24"/>
        </w:rPr>
        <w:noBreakHyphen/>
      </w:r>
      <w:r>
        <w:rPr>
          <w:rFonts w:ascii="Times New Roman" w:hAnsi="Times New Roman"/>
          <w:noProof/>
          <w:sz w:val="24"/>
        </w:rPr>
        <w:t>Reino Unido e acordaram estabelecer uma nova parceria estratégica</w:t>
      </w:r>
      <w:r>
        <w:rPr>
          <w:rStyle w:val="FootnoteReference"/>
          <w:rFonts w:ascii="Times New Roman" w:hAnsi="Times New Roman" w:cs="Times New Roman"/>
          <w:noProof/>
          <w:sz w:val="24"/>
          <w:szCs w:val="24"/>
        </w:rPr>
        <w:footnoteReference w:id="2"/>
      </w:r>
      <w:r>
        <w:rPr>
          <w:rFonts w:ascii="Times New Roman" w:hAnsi="Times New Roman"/>
          <w:noProof/>
          <w:sz w:val="24"/>
        </w:rPr>
        <w:t xml:space="preserve"> assente no Acordo de Saída</w:t>
      </w:r>
      <w:r>
        <w:rPr>
          <w:rStyle w:val="FootnoteReference"/>
          <w:rFonts w:ascii="Times New Roman" w:hAnsi="Times New Roman" w:cs="Times New Roman"/>
          <w:noProof/>
          <w:sz w:val="24"/>
          <w:szCs w:val="24"/>
        </w:rPr>
        <w:footnoteReference w:id="3"/>
      </w:r>
      <w:r>
        <w:rPr>
          <w:rFonts w:ascii="Times New Roman" w:hAnsi="Times New Roman"/>
          <w:noProof/>
          <w:sz w:val="24"/>
        </w:rPr>
        <w:t>, incluindo o Quadro de Windsor</w:t>
      </w:r>
      <w:r>
        <w:rPr>
          <w:rStyle w:val="FootnoteReference"/>
          <w:rFonts w:ascii="Times New Roman" w:hAnsi="Times New Roman" w:cs="Times New Roman"/>
          <w:noProof/>
          <w:sz w:val="24"/>
          <w:szCs w:val="24"/>
        </w:rPr>
        <w:footnoteReference w:id="4"/>
      </w:r>
      <w:r>
        <w:rPr>
          <w:rFonts w:ascii="Times New Roman" w:hAnsi="Times New Roman"/>
          <w:noProof/>
          <w:sz w:val="24"/>
        </w:rPr>
        <w:t>, e no Acordo de Comércio e Cooperação (a seguir designado «ACC» ou «Acordo»)</w:t>
      </w:r>
      <w:r>
        <w:rPr>
          <w:rStyle w:val="FootnoteReference"/>
          <w:rFonts w:ascii="Times New Roman" w:hAnsi="Times New Roman" w:cs="Times New Roman"/>
          <w:noProof/>
          <w:sz w:val="24"/>
          <w:szCs w:val="24"/>
        </w:rPr>
        <w:footnoteReference w:id="5"/>
      </w:r>
      <w:r>
        <w:rPr>
          <w:rFonts w:ascii="Times New Roman" w:hAnsi="Times New Roman"/>
          <w:noProof/>
          <w:sz w:val="24"/>
        </w:rPr>
        <w:t>.</w:t>
      </w:r>
    </w:p>
    <w:p w14:paraId="1E2C7B3E" w14:textId="2733584D" w:rsidR="00FB2183" w:rsidRDefault="004C2491" w:rsidP="00FB2183">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O Entendimento Comum sobre a agenda renovada para uma cooperação bilateral reforçada</w:t>
      </w:r>
      <w:r>
        <w:rPr>
          <w:rStyle w:val="FootnoteReference"/>
          <w:rFonts w:ascii="Times New Roman" w:hAnsi="Times New Roman" w:cs="Times New Roman"/>
          <w:noProof/>
          <w:sz w:val="24"/>
          <w:szCs w:val="24"/>
        </w:rPr>
        <w:footnoteReference w:id="6"/>
      </w:r>
      <w:r>
        <w:rPr>
          <w:rFonts w:ascii="Times New Roman" w:hAnsi="Times New Roman"/>
          <w:noProof/>
          <w:sz w:val="24"/>
        </w:rPr>
        <w:t xml:space="preserve"> reflete um compromisso comum para com a execução plena, atempada e fiel destes acordos. No que se refere ao ACC, o Entendimento Comum define ações para aumentar a cooperação, nomeadamente a garantia do pleno acesso recíproco às águas de pesca até 30 de junho de 2038, o alargamento da cooperação energética, o reforço da colaboração em matéria de segurança sanitária, a realização de progressos na ligação dos sistemas de comércio de licenças de emissão, a aplicação de disposições específicas do ACC relativas aos serviços, o reforço da cooperação judiciária, policial e em matéria de política de concorrência e a associação do Reino Unido ao programa Erasmus+. </w:t>
      </w:r>
    </w:p>
    <w:p w14:paraId="042A3A7C" w14:textId="1F86F810" w:rsidR="00FA7FF2" w:rsidRDefault="00FA7FF2" w:rsidP="00FA7FF2">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No final de 2025, tinham sido realizados progressos significativos na aplicação do Entendimento Comum. Foi alcançado um acordo de princípio sobre a participação do Reino Unido no Erasmus+</w:t>
      </w:r>
      <w:r>
        <w:rPr>
          <w:rStyle w:val="FootnoteReference"/>
          <w:rFonts w:ascii="Times New Roman" w:hAnsi="Times New Roman" w:cs="Times New Roman"/>
          <w:noProof/>
          <w:sz w:val="24"/>
          <w:szCs w:val="24"/>
        </w:rPr>
        <w:footnoteReference w:id="7"/>
      </w:r>
      <w:r>
        <w:rPr>
          <w:rFonts w:ascii="Times New Roman" w:hAnsi="Times New Roman"/>
          <w:noProof/>
          <w:sz w:val="24"/>
        </w:rPr>
        <w:t xml:space="preserve"> e foram concluídos debates exploratórios sobre a eventual participação do Reino Unido no mercado interno da eletricidade da UE, abrindo caminho a novos progressos em 2026. </w:t>
      </w:r>
    </w:p>
    <w:p w14:paraId="4929F703" w14:textId="69C54E72" w:rsidR="00087994" w:rsidRDefault="00FA7FF2"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Prosseguiu igualmente a cooperação em várias iniciativas não abrangidas pelo âmbito de aplicação do ACC, nomeadamente a negociação de acordos sobre um espaço sanitário e fitossanitário comum e o programa de experiência profissional para os jovens, bem como a cooperação em matéria de migração irregular, incluindo a sua dimensão externa. Ambas as partes se comprometeram igualmente a trocar informações sobre a gestão eficiente das fronteiras e a prosseguir diálogos técnicos em matéria de regulamentação sobre tecnologias energéticas e riscos e ameaças associados às drogas.</w:t>
      </w:r>
    </w:p>
    <w:p w14:paraId="1A9BC1F0" w14:textId="770E15CB" w:rsidR="00DC13CC" w:rsidRPr="00F006D0" w:rsidRDefault="00E31ED7"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O presente quinto relatório sobre a aplicação e a execução do ACC, conforme exigido pelo artigo 2.º, n.º 4, da </w:t>
      </w:r>
      <w:bookmarkStart w:id="7" w:name="_Hlk209776665"/>
      <w:r>
        <w:rPr>
          <w:rFonts w:ascii="Times New Roman" w:hAnsi="Times New Roman"/>
          <w:noProof/>
          <w:sz w:val="24"/>
        </w:rPr>
        <w:t>Decisão (UE) 2021/689 do Conselho, de 29 de abril de 2021</w:t>
      </w:r>
      <w:r>
        <w:rPr>
          <w:rFonts w:ascii="Times New Roman" w:hAnsi="Times New Roman" w:cs="Times New Roman"/>
          <w:noProof/>
          <w:sz w:val="24"/>
          <w:szCs w:val="24"/>
          <w:vertAlign w:val="superscript"/>
        </w:rPr>
        <w:footnoteReference w:id="8"/>
      </w:r>
      <w:bookmarkEnd w:id="7"/>
      <w:r>
        <w:rPr>
          <w:rFonts w:ascii="Times New Roman" w:hAnsi="Times New Roman"/>
          <w:noProof/>
          <w:sz w:val="24"/>
        </w:rPr>
        <w:t>, apresenta os principais desenvolvimentos ocorridos em 2025. Abrange o funcionamento do quadro institucional (secção 2), as queixas e a resolução de litígios (secção 3) e os progressos realizados nos vários domínios do ACC, incluindo atualizações sobre a execução das ações acordadas no Entendimento Comum (secção 4). O relatório destaca igualmente os elementos da evolução legislativa no Reino Unido que afetam a aplicação do ACC (secção 5).</w:t>
      </w:r>
    </w:p>
    <w:p w14:paraId="14B51BD5" w14:textId="60B652B0" w:rsidR="006D1404" w:rsidRPr="0086076B" w:rsidRDefault="33A451BC" w:rsidP="00470A6D">
      <w:pPr>
        <w:pStyle w:val="Heading1"/>
        <w:keepLines w:val="0"/>
        <w:numPr>
          <w:ilvl w:val="0"/>
          <w:numId w:val="55"/>
        </w:numPr>
        <w:spacing w:before="100" w:beforeAutospacing="1" w:after="100" w:afterAutospacing="1" w:line="240" w:lineRule="auto"/>
        <w:ind w:left="714" w:hanging="357"/>
        <w:rPr>
          <w:rFonts w:ascii="Times New Roman" w:hAnsi="Times New Roman" w:cs="Times New Roman"/>
          <w:b/>
          <w:bCs/>
          <w:noProof/>
          <w:color w:val="auto"/>
        </w:rPr>
      </w:pPr>
      <w:bookmarkStart w:id="8" w:name="_Toc86061892"/>
      <w:bookmarkStart w:id="9" w:name="_Toc86154514"/>
      <w:bookmarkStart w:id="10" w:name="_Toc185413378"/>
      <w:bookmarkStart w:id="11" w:name="_Toc204769315"/>
      <w:bookmarkStart w:id="12" w:name="_Toc226580790"/>
      <w:r>
        <w:rPr>
          <w:rFonts w:ascii="Times New Roman" w:hAnsi="Times New Roman"/>
          <w:b/>
          <w:noProof/>
          <w:color w:val="auto"/>
        </w:rPr>
        <w:t>Quadro institucional</w:t>
      </w:r>
      <w:bookmarkEnd w:id="8"/>
      <w:bookmarkEnd w:id="9"/>
      <w:bookmarkEnd w:id="10"/>
      <w:bookmarkEnd w:id="11"/>
      <w:bookmarkEnd w:id="12"/>
    </w:p>
    <w:p w14:paraId="0FC06E13" w14:textId="79B91B83" w:rsidR="00024D39" w:rsidRPr="00F006D0" w:rsidRDefault="00176FCA"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A presente secção descreve as principais atividades e desenvolvimentos dos organismos conjuntos e outras estruturas criados ao abrigo do ACC para acompanhar e facilitar a sua aplicação. O anexo 1 contém uma lista exaustiva das reuniões.</w:t>
      </w:r>
    </w:p>
    <w:p w14:paraId="6E3660B6" w14:textId="00B50AA4" w:rsidR="001B6AD6" w:rsidRDefault="7473CE49" w:rsidP="001B6AD6">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Os </w:t>
      </w:r>
      <w:r>
        <w:rPr>
          <w:rFonts w:ascii="Times New Roman" w:hAnsi="Times New Roman"/>
          <w:b/>
          <w:noProof/>
          <w:sz w:val="24"/>
        </w:rPr>
        <w:t>comités</w:t>
      </w:r>
      <w:r>
        <w:rPr>
          <w:rFonts w:ascii="Times New Roman" w:hAnsi="Times New Roman"/>
          <w:noProof/>
          <w:sz w:val="24"/>
        </w:rPr>
        <w:t xml:space="preserve"> criados nos termos do artigo 8.º do ACC reuniram-se ao longo do ano. Estas reuniões permitiram realizar análises estruturadas dos progressos realizados no que diz respeito aos compromissos assumidos no ACC e proporcionaram uma plataforma para intercâmbios técnicos sobre várias questões de execução, nomeadamente a futura evolução regulamentar. Foram adotadas várias decisões e recomendações, que são apresentadas no anexo 2. Sempre que justificado, as reuniões dos comités especializados foram precedidas de reuniões dos </w:t>
      </w:r>
      <w:r>
        <w:rPr>
          <w:rFonts w:ascii="Times New Roman" w:hAnsi="Times New Roman"/>
          <w:b/>
          <w:noProof/>
          <w:sz w:val="24"/>
        </w:rPr>
        <w:t>grupos de trabalho</w:t>
      </w:r>
      <w:r>
        <w:rPr>
          <w:rFonts w:ascii="Times New Roman" w:hAnsi="Times New Roman"/>
          <w:noProof/>
          <w:sz w:val="24"/>
        </w:rPr>
        <w:t xml:space="preserve"> criados nos termos do artigo 9.º do ACC</w:t>
      </w:r>
      <w:r>
        <w:rPr>
          <w:rStyle w:val="FootnoteReference"/>
          <w:rFonts w:ascii="Times New Roman" w:hAnsi="Times New Roman" w:cs="Times New Roman"/>
          <w:noProof/>
          <w:sz w:val="24"/>
          <w:szCs w:val="24"/>
        </w:rPr>
        <w:footnoteReference w:id="9"/>
      </w:r>
      <w:r>
        <w:rPr>
          <w:rFonts w:ascii="Times New Roman" w:hAnsi="Times New Roman"/>
          <w:noProof/>
          <w:sz w:val="24"/>
        </w:rPr>
        <w:t>.</w:t>
      </w:r>
    </w:p>
    <w:p w14:paraId="1ACC876B" w14:textId="3FAC78EC" w:rsidR="00A60811" w:rsidRDefault="0B76E0F5"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A </w:t>
      </w:r>
      <w:r>
        <w:rPr>
          <w:rFonts w:ascii="Times New Roman" w:hAnsi="Times New Roman"/>
          <w:b/>
          <w:noProof/>
          <w:sz w:val="24"/>
        </w:rPr>
        <w:t>Assembleia Parlamentar da Parceria</w:t>
      </w:r>
      <w:r>
        <w:rPr>
          <w:rFonts w:ascii="Times New Roman" w:hAnsi="Times New Roman"/>
          <w:noProof/>
          <w:sz w:val="24"/>
        </w:rPr>
        <w:t>, criada nos termos do artigo 11.º do ACC, reuniu</w:t>
      </w:r>
      <w:r w:rsidR="009019E6">
        <w:rPr>
          <w:rFonts w:ascii="Times New Roman" w:hAnsi="Times New Roman"/>
          <w:noProof/>
          <w:sz w:val="24"/>
        </w:rPr>
        <w:noBreakHyphen/>
      </w:r>
      <w:r>
        <w:rPr>
          <w:rFonts w:ascii="Times New Roman" w:hAnsi="Times New Roman"/>
          <w:noProof/>
          <w:sz w:val="24"/>
        </w:rPr>
        <w:t>se duas vezes: em 17 e 18 de março, em Bruxelas</w:t>
      </w:r>
      <w:r>
        <w:rPr>
          <w:rStyle w:val="FootnoteReference"/>
          <w:rFonts w:ascii="Times New Roman" w:hAnsi="Times New Roman" w:cs="Times New Roman"/>
          <w:noProof/>
          <w:sz w:val="24"/>
          <w:szCs w:val="24"/>
        </w:rPr>
        <w:footnoteReference w:id="10"/>
      </w:r>
      <w:r>
        <w:rPr>
          <w:rFonts w:ascii="Times New Roman" w:hAnsi="Times New Roman"/>
          <w:noProof/>
          <w:sz w:val="24"/>
        </w:rPr>
        <w:t>, e em 17 e 18 de novembro, em Londres</w:t>
      </w:r>
      <w:r>
        <w:rPr>
          <w:rStyle w:val="FootnoteReference"/>
          <w:rFonts w:ascii="Times New Roman" w:hAnsi="Times New Roman" w:cs="Times New Roman"/>
          <w:noProof/>
          <w:sz w:val="24"/>
          <w:szCs w:val="24"/>
        </w:rPr>
        <w:footnoteReference w:id="11"/>
      </w:r>
      <w:r>
        <w:rPr>
          <w:rFonts w:ascii="Times New Roman" w:hAnsi="Times New Roman"/>
          <w:noProof/>
          <w:sz w:val="24"/>
        </w:rPr>
        <w:t>. Estas reuniões centraram-se na política externa e de segurança, no clima e energia, nos direitos dos trabalhadores, nos intercâmbios culturais, na inteligência artificial, na cooperação digital e em matéria de dados, nas oportunidades para os jovens, no comércio, nas alfândegas, nas medidas sanitárias e fitossanitárias e na cooperação regulamentar no domínio dos serviços financeiros. Na sequência da reunião de março, a Assembleia emitiu uma recomendação ao Conselho de Parceria sobre o reforço da cooperação entre a UE e o Reino Unido antes da cimeira de 19 de maio</w:t>
      </w:r>
      <w:r>
        <w:rPr>
          <w:rStyle w:val="FootnoteReference"/>
          <w:rFonts w:ascii="Times New Roman" w:hAnsi="Times New Roman" w:cs="Times New Roman"/>
          <w:noProof/>
          <w:sz w:val="24"/>
          <w:szCs w:val="24"/>
        </w:rPr>
        <w:footnoteReference w:id="12"/>
      </w:r>
      <w:r>
        <w:rPr>
          <w:rFonts w:ascii="Times New Roman" w:hAnsi="Times New Roman"/>
          <w:noProof/>
          <w:sz w:val="24"/>
        </w:rPr>
        <w:t xml:space="preserve"> e, na sequência da reunião de novembro, sobre segurança, comércio e desafios mundiais</w:t>
      </w:r>
      <w:r>
        <w:rPr>
          <w:rStyle w:val="FootnoteReference"/>
          <w:rFonts w:ascii="Times New Roman" w:hAnsi="Times New Roman" w:cs="Times New Roman"/>
          <w:noProof/>
          <w:sz w:val="24"/>
          <w:szCs w:val="24"/>
        </w:rPr>
        <w:footnoteReference w:id="13"/>
      </w:r>
      <w:r>
        <w:rPr>
          <w:rFonts w:ascii="Times New Roman" w:hAnsi="Times New Roman"/>
          <w:noProof/>
          <w:sz w:val="24"/>
        </w:rPr>
        <w:t>.</w:t>
      </w:r>
    </w:p>
    <w:p w14:paraId="52E896DF" w14:textId="5D9CA95E" w:rsidR="00D72AC6" w:rsidRPr="00C5508E" w:rsidRDefault="069323B9" w:rsidP="00BE203F">
      <w:pPr>
        <w:tabs>
          <w:tab w:val="left" w:pos="5670"/>
        </w:tabs>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O </w:t>
      </w:r>
      <w:r>
        <w:rPr>
          <w:rFonts w:ascii="Times New Roman" w:hAnsi="Times New Roman"/>
          <w:b/>
          <w:noProof/>
          <w:sz w:val="24"/>
        </w:rPr>
        <w:t>Grupo Consultivo Interno</w:t>
      </w:r>
      <w:r>
        <w:rPr>
          <w:rFonts w:ascii="Times New Roman" w:hAnsi="Times New Roman"/>
          <w:noProof/>
          <w:sz w:val="24"/>
        </w:rPr>
        <w:t xml:space="preserve"> da UE, criado nos termos do artigo 13.º do ACC e composto por representantes de organizações da sociedade civil</w:t>
      </w:r>
      <w:r>
        <w:rPr>
          <w:rStyle w:val="FootnoteReference"/>
          <w:rFonts w:ascii="Times New Roman" w:hAnsi="Times New Roman" w:cs="Times New Roman"/>
          <w:noProof/>
          <w:sz w:val="24"/>
          <w:szCs w:val="24"/>
        </w:rPr>
        <w:footnoteReference w:id="14"/>
      </w:r>
      <w:r>
        <w:rPr>
          <w:rFonts w:ascii="Times New Roman" w:hAnsi="Times New Roman"/>
          <w:noProof/>
          <w:sz w:val="24"/>
        </w:rPr>
        <w:t>, reuniu-se várias vezes em 2025. Na sua reunião de 13 de junho, o grupo debateu os resultados da cimeira. Este debate resultou numa declaração conjunta</w:t>
      </w:r>
      <w:r>
        <w:rPr>
          <w:rStyle w:val="FootnoteReference"/>
          <w:rFonts w:ascii="Times New Roman" w:hAnsi="Times New Roman" w:cs="Times New Roman"/>
          <w:noProof/>
          <w:sz w:val="24"/>
          <w:szCs w:val="24"/>
        </w:rPr>
        <w:footnoteReference w:id="15"/>
      </w:r>
      <w:r>
        <w:rPr>
          <w:rFonts w:ascii="Times New Roman" w:hAnsi="Times New Roman"/>
          <w:noProof/>
          <w:sz w:val="24"/>
        </w:rPr>
        <w:t>, adotada juntamente com o Grupo Consultivo Interno do Reino Unido na sua reunião de 23 de junho, em Londres, que apela à execução célere das ações previstas no Entendimento Comum. Na sua reunião de 16 de setembro, a Comissão apresentou ao Grupo Consultivo Interno informações atualizadas sobre a aplicação do Entendimento Comum.</w:t>
      </w:r>
    </w:p>
    <w:p w14:paraId="687BAD7E" w14:textId="10875B20" w:rsidR="00B24474" w:rsidRDefault="0AADE778"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O quarto </w:t>
      </w:r>
      <w:r>
        <w:rPr>
          <w:rFonts w:ascii="Times New Roman" w:hAnsi="Times New Roman"/>
          <w:b/>
          <w:noProof/>
          <w:sz w:val="24"/>
        </w:rPr>
        <w:t>Fórum da Sociedade Civil</w:t>
      </w:r>
      <w:r>
        <w:rPr>
          <w:rFonts w:ascii="Times New Roman" w:hAnsi="Times New Roman"/>
          <w:noProof/>
          <w:sz w:val="24"/>
        </w:rPr>
        <w:t>, criado nos termos do artigo 14.º do ACC para facilitar o diálogo sobre a aplicação da parte dois do ACC, que abrange o comércio, os transportes, as pescas e outros acordos, realizou-se em 24 de junho em Londres</w:t>
      </w:r>
      <w:r>
        <w:rPr>
          <w:rStyle w:val="FootnoteReference"/>
          <w:rFonts w:ascii="Times New Roman" w:hAnsi="Times New Roman" w:cs="Times New Roman"/>
          <w:noProof/>
          <w:sz w:val="24"/>
          <w:szCs w:val="24"/>
        </w:rPr>
        <w:footnoteReference w:id="16"/>
      </w:r>
      <w:r>
        <w:rPr>
          <w:rFonts w:ascii="Times New Roman" w:hAnsi="Times New Roman"/>
          <w:noProof/>
          <w:sz w:val="24"/>
        </w:rPr>
        <w:t>. Tal como em anos anteriores, o fórum centrou-se em questões de aplicação relacionadas com o comércio de bens e serviços, a energia e o clima, condições de concorrência equitativas, a sustentabilidade e a cooperação regulamentar. A maioria dos participantes congratulou-se com a dinâmica das relações após a cimeira de 19 de maio e manifestou a esperança de que esta dinâmica se mantenha.</w:t>
      </w:r>
    </w:p>
    <w:p w14:paraId="45497713" w14:textId="43FC5A16" w:rsidR="002417C8" w:rsidRDefault="00727987"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O </w:t>
      </w:r>
      <w:r>
        <w:rPr>
          <w:rFonts w:ascii="Times New Roman" w:hAnsi="Times New Roman"/>
          <w:b/>
          <w:noProof/>
          <w:sz w:val="24"/>
        </w:rPr>
        <w:t>Conselho de Parceria</w:t>
      </w:r>
      <w:r>
        <w:rPr>
          <w:rFonts w:ascii="Times New Roman" w:hAnsi="Times New Roman"/>
          <w:noProof/>
          <w:sz w:val="24"/>
        </w:rPr>
        <w:t xml:space="preserve"> reuniu-se em 2 de fevereiro de 2026</w:t>
      </w:r>
      <w:r>
        <w:rPr>
          <w:rStyle w:val="FootnoteReference"/>
          <w:rFonts w:ascii="Times New Roman" w:hAnsi="Times New Roman" w:cs="Times New Roman"/>
          <w:noProof/>
          <w:sz w:val="24"/>
          <w:szCs w:val="24"/>
        </w:rPr>
        <w:footnoteReference w:id="17"/>
      </w:r>
      <w:r>
        <w:rPr>
          <w:rFonts w:ascii="Times New Roman" w:hAnsi="Times New Roman"/>
          <w:noProof/>
          <w:sz w:val="24"/>
        </w:rPr>
        <w:t>.</w:t>
      </w:r>
    </w:p>
    <w:p w14:paraId="41A2A212" w14:textId="4E72E036" w:rsidR="003579A8" w:rsidRPr="0086076B" w:rsidRDefault="00862667" w:rsidP="00470A6D">
      <w:pPr>
        <w:pStyle w:val="Heading1"/>
        <w:keepLines w:val="0"/>
        <w:numPr>
          <w:ilvl w:val="0"/>
          <w:numId w:val="55"/>
        </w:numPr>
        <w:spacing w:before="100" w:beforeAutospacing="1" w:after="100" w:afterAutospacing="1" w:line="240" w:lineRule="auto"/>
        <w:ind w:left="714" w:hanging="357"/>
        <w:rPr>
          <w:rFonts w:ascii="Times New Roman" w:hAnsi="Times New Roman" w:cs="Times New Roman"/>
          <w:b/>
          <w:bCs/>
          <w:noProof/>
          <w:color w:val="auto"/>
        </w:rPr>
      </w:pPr>
      <w:bookmarkStart w:id="13" w:name="_Toc185413379"/>
      <w:bookmarkStart w:id="14" w:name="_Toc204769316"/>
      <w:bookmarkStart w:id="15" w:name="_Toc226580791"/>
      <w:r>
        <w:rPr>
          <w:rFonts w:ascii="Times New Roman" w:hAnsi="Times New Roman"/>
          <w:b/>
          <w:noProof/>
          <w:color w:val="auto"/>
        </w:rPr>
        <w:t>Queixas e resolução de litígios</w:t>
      </w:r>
      <w:bookmarkEnd w:id="13"/>
      <w:bookmarkEnd w:id="14"/>
      <w:bookmarkEnd w:id="15"/>
    </w:p>
    <w:p w14:paraId="5DD5C24A" w14:textId="4F4F1819" w:rsidR="004247D1" w:rsidRPr="00F006D0" w:rsidRDefault="007A1520"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A presente secção resume o trabalho dos mecanismos criados para dar resposta às queixas das partes interessadas da UE, resolver litígios e fazer cumprir os compromissos assumidos no âmbito do ACC.</w:t>
      </w:r>
    </w:p>
    <w:p w14:paraId="402CD965" w14:textId="6E63DE5E" w:rsidR="00862667" w:rsidRPr="0086076B" w:rsidRDefault="00862667" w:rsidP="00470A6D">
      <w:pPr>
        <w:pStyle w:val="Heading2"/>
        <w:keepNext w:val="0"/>
        <w:keepLines w:val="0"/>
        <w:numPr>
          <w:ilvl w:val="1"/>
          <w:numId w:val="55"/>
        </w:numPr>
        <w:spacing w:before="100" w:beforeAutospacing="1" w:after="100" w:afterAutospacing="1" w:line="240" w:lineRule="auto"/>
        <w:ind w:left="1077"/>
        <w:rPr>
          <w:rFonts w:ascii="Times New Roman" w:hAnsi="Times New Roman" w:cs="Times New Roman"/>
          <w:b/>
          <w:bCs/>
          <w:noProof/>
          <w:color w:val="auto"/>
        </w:rPr>
      </w:pPr>
      <w:bookmarkStart w:id="16" w:name="_Toc185413380"/>
      <w:bookmarkStart w:id="17" w:name="_Toc204769317"/>
      <w:bookmarkStart w:id="18" w:name="_Toc226580792"/>
      <w:r>
        <w:rPr>
          <w:rFonts w:ascii="Times New Roman" w:hAnsi="Times New Roman"/>
          <w:b/>
          <w:noProof/>
          <w:color w:val="auto"/>
        </w:rPr>
        <w:t>Queixas</w:t>
      </w:r>
      <w:bookmarkEnd w:id="16"/>
      <w:bookmarkEnd w:id="17"/>
      <w:bookmarkEnd w:id="18"/>
    </w:p>
    <w:p w14:paraId="40C7EEC2" w14:textId="20750E1B" w:rsidR="00862667" w:rsidRPr="00046813" w:rsidRDefault="00862667" w:rsidP="05B2B5AE">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Em 2025, foram apresentadas seis queixas através dos instrumentos criados pela Comissão para assegurar um acompanhamento eficiente da aplicação do ACC</w:t>
      </w:r>
      <w:r>
        <w:rPr>
          <w:rFonts w:ascii="Times New Roman" w:hAnsi="Times New Roman" w:cs="Times New Roman"/>
          <w:noProof/>
          <w:vertAlign w:val="superscript"/>
        </w:rPr>
        <w:footnoteReference w:id="18"/>
      </w:r>
      <w:r>
        <w:rPr>
          <w:rFonts w:ascii="Times New Roman" w:hAnsi="Times New Roman"/>
          <w:noProof/>
          <w:sz w:val="24"/>
        </w:rPr>
        <w:t>. Apenas duas queixas diziam respeito a essa aplicação</w:t>
      </w:r>
      <w:r>
        <w:rPr>
          <w:rStyle w:val="FootnoteReference"/>
          <w:rFonts w:ascii="Times New Roman" w:eastAsia="Times New Roman" w:hAnsi="Times New Roman" w:cs="Times New Roman"/>
          <w:noProof/>
          <w:sz w:val="24"/>
          <w:szCs w:val="24"/>
        </w:rPr>
        <w:footnoteReference w:id="19"/>
      </w:r>
      <w:r>
        <w:rPr>
          <w:rFonts w:ascii="Times New Roman" w:hAnsi="Times New Roman"/>
          <w:noProof/>
          <w:sz w:val="24"/>
        </w:rPr>
        <w:t>. As restantes quatro estavam relacionadas com questões não abrangidas pelo âmbito de aplicação do ACC e foram respondidas em conformidade.</w:t>
      </w:r>
    </w:p>
    <w:p w14:paraId="5EC85A68" w14:textId="1D076C06" w:rsidR="004350B3" w:rsidRPr="0086076B" w:rsidRDefault="3B7D07B8" w:rsidP="00470A6D">
      <w:pPr>
        <w:pStyle w:val="Heading2"/>
        <w:keepNext w:val="0"/>
        <w:keepLines w:val="0"/>
        <w:numPr>
          <w:ilvl w:val="1"/>
          <w:numId w:val="55"/>
        </w:numPr>
        <w:spacing w:before="100" w:beforeAutospacing="1" w:after="100" w:afterAutospacing="1" w:line="240" w:lineRule="auto"/>
        <w:ind w:left="1077"/>
        <w:rPr>
          <w:rFonts w:ascii="Times New Roman" w:eastAsia="Times New Roman" w:hAnsi="Times New Roman" w:cs="Times New Roman"/>
          <w:b/>
          <w:bCs/>
          <w:noProof/>
          <w:color w:val="auto"/>
        </w:rPr>
      </w:pPr>
      <w:bookmarkStart w:id="19" w:name="_Toc185413381"/>
      <w:bookmarkStart w:id="20" w:name="_Toc204769318"/>
      <w:bookmarkStart w:id="21" w:name="_Toc226580793"/>
      <w:r>
        <w:rPr>
          <w:rFonts w:ascii="Times New Roman" w:hAnsi="Times New Roman"/>
          <w:b/>
          <w:noProof/>
          <w:color w:val="auto"/>
        </w:rPr>
        <w:t>Resolução de litígios</w:t>
      </w:r>
      <w:bookmarkEnd w:id="19"/>
      <w:bookmarkEnd w:id="20"/>
      <w:bookmarkEnd w:id="21"/>
    </w:p>
    <w:p w14:paraId="26A935A9" w14:textId="7D799734" w:rsidR="009C24DE" w:rsidRDefault="003163D4" w:rsidP="00470A6D">
      <w:pPr>
        <w:spacing w:before="100" w:beforeAutospacing="1" w:after="100" w:afterAutospacing="1" w:line="240" w:lineRule="auto"/>
        <w:jc w:val="both"/>
        <w:rPr>
          <w:rFonts w:ascii="Times New Roman" w:hAnsi="Times New Roman" w:cs="Times New Roman"/>
          <w:noProof/>
          <w:sz w:val="24"/>
          <w:szCs w:val="24"/>
        </w:rPr>
      </w:pPr>
      <w:bookmarkStart w:id="22" w:name="_Hlk181272529"/>
      <w:r>
        <w:rPr>
          <w:rFonts w:ascii="Times New Roman" w:hAnsi="Times New Roman"/>
          <w:noProof/>
          <w:sz w:val="24"/>
        </w:rPr>
        <w:t>O processo de arbitragem iniciado pela UE em 25 de outubro de 2024, nos termos do artigo 739.º do ACC, relativo à decisão do Reino Unido de proibir a pesca da galeota nas suas águas a partir de 26 de março de 2024, foi concluído em 28 de abril de 2025.</w:t>
      </w:r>
    </w:p>
    <w:p w14:paraId="21614D9F" w14:textId="409BA7E5" w:rsidR="009C24DE" w:rsidRDefault="005F588D"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No seu acórdão</w:t>
      </w:r>
      <w:r>
        <w:rPr>
          <w:rStyle w:val="FootnoteReference"/>
          <w:rFonts w:ascii="Times New Roman" w:hAnsi="Times New Roman" w:cs="Times New Roman"/>
          <w:noProof/>
          <w:sz w:val="24"/>
          <w:szCs w:val="24"/>
        </w:rPr>
        <w:footnoteReference w:id="20"/>
      </w:r>
      <w:r>
        <w:rPr>
          <w:rFonts w:ascii="Times New Roman" w:hAnsi="Times New Roman"/>
          <w:noProof/>
          <w:sz w:val="24"/>
        </w:rPr>
        <w:t>, o tribunal arbitral considerou que a proibição da pesca da galeota em águas inglesas era incompatível com as obrigações do Reino Unido nos termos do artigo 496.º, n.º 1, do ACC, lido em conjugação com o artigo 494.º, n.º 3, alínea f). O tribunal concluiu que o Reino Unido não tinha respeitado devidamente o princípio da proporcionalidade ao adotar a medida. Determinou ainda que, consequentemente, o Reino Unido tinha violado a sua obrigação de conceder pleno acesso às suas águas para a pesca da galeota, em conformidade com o artigo 2.º, n.º 1, alínea a), do anexo 38 do ACC. O acórdão exigia que o Reino Unido tomasse as medidas necessárias a fim de dar cumprimento às disposições pertinentes do ACC.</w:t>
      </w:r>
    </w:p>
    <w:p w14:paraId="0E0483B8" w14:textId="37A6B301" w:rsidR="00D3563F" w:rsidRDefault="00093869"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Posteriormente, o Reino Unido reviu a sua avaliação com a inclusão de elementos científicos atualizados e avaliações de impacto, e tomou uma nova decisão sobre o encerramento das águas inglesas à pesca da galeota. Em 25 de junho de 2025, notificou a UE das medidas que tinha tomado para dar cumprimento ao acórdão. A Comissão avaliou essas informações à luz do acórdão e decidiu não solicitar uma análise do cumprimento.</w:t>
      </w:r>
    </w:p>
    <w:p w14:paraId="5E042427" w14:textId="0748626E" w:rsidR="00BD4DEC" w:rsidRPr="00BD4DEC" w:rsidRDefault="00CF2581"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No que diz respeito ao painel de peritos para litígios relacionados com o capítulo relativo às condições de concorrência equitativas para a concorrência aberta e leal e o desenvolvimento sustentável, nos termos do artigo 409.º do ACC, em 23 de fevereiro de 2026, a Comissão adotou uma proposta de decisão do Conselho para estabelecer a lista de pessoas dispostas e aptas a desempenhar a função de membros do painel de peritos</w:t>
      </w:r>
      <w:r>
        <w:rPr>
          <w:rStyle w:val="FootnoteReference"/>
          <w:rFonts w:ascii="Times New Roman" w:hAnsi="Times New Roman" w:cs="Times New Roman"/>
          <w:noProof/>
          <w:sz w:val="24"/>
          <w:szCs w:val="24"/>
        </w:rPr>
        <w:footnoteReference w:id="21"/>
      </w:r>
      <w:r>
        <w:rPr>
          <w:rFonts w:ascii="Times New Roman" w:hAnsi="Times New Roman"/>
          <w:noProof/>
          <w:sz w:val="24"/>
        </w:rPr>
        <w:t xml:space="preserve">. </w:t>
      </w:r>
    </w:p>
    <w:p w14:paraId="137590D4" w14:textId="42269B5E" w:rsidR="006D1404" w:rsidRPr="0086076B" w:rsidRDefault="33A451BC" w:rsidP="00470A6D">
      <w:pPr>
        <w:pStyle w:val="Heading1"/>
        <w:keepLines w:val="0"/>
        <w:numPr>
          <w:ilvl w:val="0"/>
          <w:numId w:val="55"/>
        </w:numPr>
        <w:spacing w:before="100" w:beforeAutospacing="1" w:after="100" w:afterAutospacing="1" w:line="240" w:lineRule="auto"/>
        <w:ind w:left="714" w:hanging="357"/>
        <w:rPr>
          <w:rFonts w:ascii="Times New Roman" w:hAnsi="Times New Roman" w:cs="Times New Roman"/>
          <w:b/>
          <w:bCs/>
          <w:noProof/>
          <w:color w:val="auto"/>
        </w:rPr>
      </w:pPr>
      <w:bookmarkStart w:id="23" w:name="_Toc185413382"/>
      <w:bookmarkStart w:id="24" w:name="_Toc204769319"/>
      <w:bookmarkStart w:id="25" w:name="_Toc226580794"/>
      <w:bookmarkEnd w:id="22"/>
      <w:r>
        <w:rPr>
          <w:rFonts w:ascii="Times New Roman" w:hAnsi="Times New Roman"/>
          <w:b/>
          <w:noProof/>
          <w:color w:val="auto"/>
        </w:rPr>
        <w:t>Execução setorial</w:t>
      </w:r>
      <w:bookmarkEnd w:id="23"/>
      <w:bookmarkEnd w:id="24"/>
      <w:bookmarkEnd w:id="25"/>
    </w:p>
    <w:p w14:paraId="0DE58DA4" w14:textId="77C95A41" w:rsidR="00764E6C" w:rsidRPr="00F006D0" w:rsidRDefault="00554FBD" w:rsidP="00470A6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A presente secção destaca as realizações nos domínios de intervenção abrangidos pelo ACC e os progressos realizados na execução das ações acordadas no Entendimento Comum abrangidas pelo âmbito de aplicação do ACC. Apresenta igualmente dados sobre os fluxos comerciais de mercadorias e serviços entre a UE e o Reino Unido.</w:t>
      </w:r>
    </w:p>
    <w:p w14:paraId="18A6A513" w14:textId="62E78BCC" w:rsidR="006D1404" w:rsidRPr="0086076B" w:rsidRDefault="33A451BC" w:rsidP="00470A6D">
      <w:pPr>
        <w:pStyle w:val="Heading2"/>
        <w:keepNext w:val="0"/>
        <w:keepLines w:val="0"/>
        <w:numPr>
          <w:ilvl w:val="1"/>
          <w:numId w:val="55"/>
        </w:numPr>
        <w:spacing w:before="100" w:beforeAutospacing="1" w:after="100" w:afterAutospacing="1" w:line="240" w:lineRule="auto"/>
        <w:ind w:left="1077"/>
        <w:rPr>
          <w:rFonts w:ascii="Times New Roman" w:hAnsi="Times New Roman" w:cs="Times New Roman"/>
          <w:b/>
          <w:bCs/>
          <w:noProof/>
          <w:color w:val="auto"/>
        </w:rPr>
      </w:pPr>
      <w:bookmarkStart w:id="26" w:name="_Toc185413383"/>
      <w:bookmarkStart w:id="27" w:name="_Toc204769320"/>
      <w:bookmarkStart w:id="28" w:name="_Toc226580795"/>
      <w:r>
        <w:rPr>
          <w:rFonts w:ascii="Times New Roman" w:hAnsi="Times New Roman"/>
          <w:b/>
          <w:noProof/>
          <w:color w:val="auto"/>
        </w:rPr>
        <w:t>Comércio de mercadorias</w:t>
      </w:r>
      <w:bookmarkEnd w:id="26"/>
      <w:bookmarkEnd w:id="27"/>
      <w:bookmarkEnd w:id="28"/>
    </w:p>
    <w:p w14:paraId="7B427CB0" w14:textId="02987943" w:rsidR="00786D3D" w:rsidRPr="00F006D0" w:rsidRDefault="3EA7FCBB" w:rsidP="00470A6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De um modo geral, os acordos relacionados com o comércio estabelecidos no ACC têm sido eficazes e funcionado bem.</w:t>
      </w:r>
    </w:p>
    <w:p w14:paraId="243C2595" w14:textId="46307EA7" w:rsidR="008E0385" w:rsidRDefault="42B9BA73" w:rsidP="3B674C25">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Em consonância com o artigo 31.º do ACC, a UE e o Reino Unido trocaram informações estatísticas de importação</w:t>
      </w:r>
      <w:r>
        <w:rPr>
          <w:rStyle w:val="FootnoteReference"/>
          <w:rFonts w:ascii="Times New Roman" w:eastAsia="Times New Roman" w:hAnsi="Times New Roman" w:cs="Times New Roman"/>
          <w:noProof/>
          <w:sz w:val="24"/>
          <w:szCs w:val="24"/>
        </w:rPr>
        <w:footnoteReference w:id="22"/>
      </w:r>
      <w:r>
        <w:rPr>
          <w:rFonts w:ascii="Times New Roman" w:hAnsi="Times New Roman"/>
          <w:noProof/>
          <w:sz w:val="24"/>
        </w:rPr>
        <w:t xml:space="preserve">. Estas mostram que cerca de 39,5 % das exportações da UE para o Reino Unido e 48,5 % das importações da UE provenientes do Reino Unido eram elegíveis para tratamento preferencial ao abrigo do acordo comercial. Os restantes fluxos comerciais diziam respeito a posições pautais que já estavam isentas de direitos de acordo com o princípio da «nação mais favorecida». </w:t>
      </w:r>
    </w:p>
    <w:p w14:paraId="4C429E98" w14:textId="1566CFBC" w:rsidR="00565046" w:rsidRPr="00F006D0" w:rsidRDefault="42B9BA73" w:rsidP="3B674C25">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As taxas de utilização das preferências</w:t>
      </w:r>
      <w:r>
        <w:rPr>
          <w:rStyle w:val="FootnoteReference"/>
          <w:rFonts w:ascii="Times New Roman" w:eastAsia="Times New Roman" w:hAnsi="Times New Roman" w:cs="Times New Roman"/>
          <w:noProof/>
          <w:sz w:val="24"/>
          <w:szCs w:val="24"/>
        </w:rPr>
        <w:footnoteReference w:id="23"/>
      </w:r>
      <w:r>
        <w:rPr>
          <w:rFonts w:ascii="Times New Roman" w:hAnsi="Times New Roman"/>
          <w:noProof/>
          <w:sz w:val="24"/>
        </w:rPr>
        <w:t xml:space="preserve"> continuam a ser elevadas e são comparáveis às do ano anterior: 88 % das mercadorias da UE elegíveis para preferências exportadas para o Reino Unido e 83,2 % das mercadorias elegíveis para preferências importadas do Reino Unido beneficiaram das preferências ao abrigo do ACC. Estas taxas são coerentes com as observadas para outros parceiros com os quais a UE tem acordos de comércio livre</w:t>
      </w:r>
      <w:r>
        <w:rPr>
          <w:rStyle w:val="FootnoteReference"/>
          <w:rFonts w:ascii="Times New Roman" w:eastAsia="Times New Roman" w:hAnsi="Times New Roman" w:cs="Times New Roman"/>
          <w:noProof/>
          <w:sz w:val="24"/>
          <w:szCs w:val="24"/>
        </w:rPr>
        <w:footnoteReference w:id="24"/>
      </w:r>
      <w:r>
        <w:rPr>
          <w:rFonts w:ascii="Times New Roman" w:hAnsi="Times New Roman"/>
          <w:noProof/>
          <w:sz w:val="24"/>
        </w:rPr>
        <w:t>.</w:t>
      </w:r>
    </w:p>
    <w:p w14:paraId="4C69AD7C" w14:textId="14226C88" w:rsidR="00050116" w:rsidRPr="00E9362D" w:rsidRDefault="00CA2DC7" w:rsidP="00470A6D">
      <w:pPr>
        <w:spacing w:before="100" w:beforeAutospacing="1" w:after="100" w:afterAutospacing="1" w:line="240" w:lineRule="auto"/>
        <w:jc w:val="both"/>
        <w:rPr>
          <w:rFonts w:ascii="Times New Roman" w:eastAsia="Times New Roman" w:hAnsi="Times New Roman" w:cs="Times New Roman"/>
          <w:noProof/>
          <w:sz w:val="24"/>
          <w:szCs w:val="24"/>
        </w:rPr>
      </w:pPr>
      <w:bookmarkStart w:id="30" w:name="_Hlk204787258"/>
      <w:bookmarkStart w:id="31" w:name="_Hlk148710669"/>
      <w:r>
        <w:rPr>
          <w:rFonts w:ascii="Times New Roman" w:hAnsi="Times New Roman"/>
          <w:noProof/>
          <w:sz w:val="24"/>
        </w:rPr>
        <w:t xml:space="preserve">Apresenta-se em seguida uma panorâmica da evolução dos </w:t>
      </w:r>
      <w:r>
        <w:rPr>
          <w:rFonts w:ascii="Times New Roman" w:hAnsi="Times New Roman"/>
          <w:b/>
          <w:noProof/>
          <w:sz w:val="24"/>
        </w:rPr>
        <w:t>fluxos comerciais de mercadorias</w:t>
      </w:r>
      <w:r>
        <w:rPr>
          <w:rFonts w:ascii="Times New Roman" w:eastAsia="Times New Roman" w:hAnsi="Times New Roman" w:cs="Times New Roman"/>
          <w:noProof/>
          <w:vertAlign w:val="superscript"/>
        </w:rPr>
        <w:footnoteReference w:id="25"/>
      </w:r>
      <w:r>
        <w:rPr>
          <w:rFonts w:ascii="Times New Roman" w:hAnsi="Times New Roman"/>
          <w:noProof/>
          <w:sz w:val="24"/>
        </w:rPr>
        <w:t xml:space="preserve"> entre a UE e o Reino Unido em 2025.</w:t>
      </w:r>
    </w:p>
    <w:bookmarkEnd w:id="30"/>
    <w:p w14:paraId="381B9F1A" w14:textId="2D379EE3" w:rsidR="00CE052D" w:rsidRDefault="00CE052D" w:rsidP="00CE052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A UE registou um excedente comercial substancial de mercadorias com o Reino Unido, no montante de 188 mil milhões de EUR. A UE exportou mercadorias no valor de 346 mil milhões de EUR para o Reino Unido, o que representa um aumento de 0,8 % em relação a 2024. As importações de mercadorias provenientes do Reino Unido ascenderam a 159 mil milhões de EUR, o que representa uma redução de 3,1 % em relação a 2024.</w:t>
      </w:r>
    </w:p>
    <w:p w14:paraId="0E33E134" w14:textId="006E1996" w:rsidR="00CE052D" w:rsidRPr="00C13EF7" w:rsidRDefault="00CE052D" w:rsidP="00CE052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Os setores que registaram o maior crescimento das exportações da UE para o Reino Unido foram os dos alimentos, bebidas e tabaco (+3,5 %), das matérias-primas (+3,3 %) e dos produtos químicos e produtos afins (+3,3 %). A única categoria de exportação que diminuiu foi a dos combustíveis minerais (–2,5 %). Do lado das importações, registaram-se aumentos nos setores dos alimentos, bebidas e tabaco (+3,8 %) e das matérias-primas (+4,1 %), tendo diminuído nas restantes categorias. A maior diminuição foi observada nos combustíveis minerais (–14,2 %). De um modo geral, esta evolução evidencia uma divergência na dinâmica do comércio entre setores, com os produtos relacionados com a energia a continuarem em contração, enquanto os alimentos, bebidas e tabaco, bem como as matérias</w:t>
      </w:r>
      <w:r w:rsidR="009019E6">
        <w:rPr>
          <w:rFonts w:ascii="Times New Roman" w:hAnsi="Times New Roman"/>
          <w:noProof/>
          <w:sz w:val="24"/>
        </w:rPr>
        <w:noBreakHyphen/>
      </w:r>
      <w:r>
        <w:rPr>
          <w:rFonts w:ascii="Times New Roman" w:hAnsi="Times New Roman"/>
          <w:noProof/>
          <w:sz w:val="24"/>
        </w:rPr>
        <w:t xml:space="preserve">primas, mantiveram um crescimento moderado. </w:t>
      </w:r>
    </w:p>
    <w:p w14:paraId="77532E40" w14:textId="27715C9B" w:rsidR="00CE052D" w:rsidRPr="00C13EF7" w:rsidRDefault="00CE052D" w:rsidP="00CE052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Em comparação com outros países terceiros, o comércio de mercadorias da UE com o Reino Unido foi menos dinâmico. Em 2025, as exportações da UE para outros países terceiros aumentaram 2,4 % em comparação com 2024, enquanto as importações da UE provenientes de outros países terceiros aumentaram 2,9 %. Em 2025, o comércio total de mercadorias com o Reino Unido representou 9,8 % do comércio global da UE com parceiros internacionais, contra 10,1 % em 2024. O Reino Unido continuou a ser o segundo maior destino das exportações da UE, recebendo 13,1 % do total das exportações de mercadorias da UE, em comparação com 13,3 % em 2024, a seguir aos Estados Unidos (20,9 %). Do lado das importações, o Reino Unido foi a origem de 6,3 % das importações de mercadorias da UE, contra 6,7 % em 2024, ocupando o terceiro lugar a seguir à China (22,3 %) e aos Estados Unidos (14,1 %). Estes valores confirmam a continuação de uma tendência identificada nos anteriores relatórios anuais da Comissão sobre a aplicação do ACC, em que o comércio de mercadorias com outros parceiros de países terceiros se expandiu mais rapidamente do que o comércio com o Reino Unido desde a sua saída da UE.</w:t>
      </w:r>
    </w:p>
    <w:p w14:paraId="4D224D74" w14:textId="0B9B2F96" w:rsidR="00CE052D" w:rsidRDefault="00AB5C7B" w:rsidP="00CE052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Ao analisar a evolução do comércio de mercadorias desde que o ACC começou a ser aplicado em 2021, verifica-se que as exportações da UE para o Reino Unido registaram um crescimento constante. Em 2025, as exportações atingiram 346 mil milhões de EUR, contra 282 mil milhões de EUR em 2021, o que representa um aumento de 23 %. O maior crescimento anual ocorreu entre 2021 e 2022, refletindo uma recuperação do impacto da pandemia de COVID-19. Em contrapartida, as importações da UE provenientes do Reino Unido seguiram uma trajetória mais volátil, aumentando acentuadamente de 147 mil milhões de EUR em 2021 para 216 mil milhões de EUR em 2022, refletindo também o ajustamento pós-pandemia, antes de diminuírem de forma constante para 159 mil milhões de EUR em 2025. Esta divergência entre exportações e importações sugere que a economia da UE se adaptou eficazmente às novas condições comerciais com o Reino Unido na sequência da sua saída da UE. </w:t>
      </w:r>
    </w:p>
    <w:p w14:paraId="7633CEC8" w14:textId="390D4AD0" w:rsidR="00F44321" w:rsidRPr="008C0FA2" w:rsidRDefault="00F60028" w:rsidP="00076B08">
      <w:pPr>
        <w:spacing w:before="100" w:beforeAutospacing="1" w:after="100" w:afterAutospacing="1" w:line="240" w:lineRule="auto"/>
        <w:jc w:val="both"/>
        <w:rPr>
          <w:rFonts w:ascii="Times New Roman" w:hAnsi="Times New Roman" w:cs="Times New Roman"/>
          <w:noProof/>
          <w:sz w:val="24"/>
          <w:szCs w:val="24"/>
          <w:highlight w:val="lightGray"/>
        </w:rPr>
      </w:pPr>
      <w:r w:rsidRPr="00F60028">
        <w:rPr>
          <w:noProof/>
          <w:highlight w:val="lightGray"/>
          <w:lang w:val="en-GB" w:eastAsia="en-GB"/>
        </w:rPr>
        <w:drawing>
          <wp:inline distT="0" distB="0" distL="0" distR="0" wp14:anchorId="5D202434" wp14:editId="749E1118">
            <wp:extent cx="5731510" cy="3343275"/>
            <wp:effectExtent l="0" t="0" r="0" b="0"/>
            <wp:docPr id="384330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343275"/>
                    </a:xfrm>
                    <a:prstGeom prst="rect">
                      <a:avLst/>
                    </a:prstGeom>
                    <a:noFill/>
                    <a:ln>
                      <a:noFill/>
                    </a:ln>
                  </pic:spPr>
                </pic:pic>
              </a:graphicData>
            </a:graphic>
          </wp:inline>
        </w:drawing>
      </w:r>
    </w:p>
    <w:p w14:paraId="738369C9" w14:textId="1096D3C9" w:rsidR="00F44321" w:rsidRPr="00C13EF7" w:rsidRDefault="00F44321" w:rsidP="00F44321">
      <w:pPr>
        <w:rPr>
          <w:i/>
          <w:iCs/>
          <w:noProof/>
        </w:rPr>
      </w:pPr>
      <w:r>
        <w:rPr>
          <w:i/>
          <w:noProof/>
        </w:rPr>
        <w:t xml:space="preserve">Figura 1: Comércio de mercadorias da UE com o Reino Unido, 2021-2025, em mil milhões de EUR. Fonte: Eurostat (conjunto de dados </w:t>
      </w:r>
      <w:hyperlink r:id="rId16" w:history="1">
        <w:r>
          <w:rPr>
            <w:rStyle w:val="Hyperlink"/>
            <w:i/>
            <w:noProof/>
          </w:rPr>
          <w:t>ext_lt_maineu</w:t>
        </w:r>
      </w:hyperlink>
      <w:r>
        <w:rPr>
          <w:i/>
          <w:noProof/>
        </w:rPr>
        <w:t>)</w:t>
      </w:r>
    </w:p>
    <w:p w14:paraId="23714695" w14:textId="54500DF8" w:rsidR="006D1404" w:rsidRPr="0086076B" w:rsidRDefault="5A876DED" w:rsidP="00470A6D">
      <w:pPr>
        <w:pStyle w:val="Heading2"/>
        <w:keepLines w:val="0"/>
        <w:numPr>
          <w:ilvl w:val="1"/>
          <w:numId w:val="55"/>
        </w:numPr>
        <w:spacing w:before="100" w:beforeAutospacing="1" w:after="100" w:afterAutospacing="1" w:line="240" w:lineRule="auto"/>
        <w:ind w:left="1077"/>
        <w:rPr>
          <w:rFonts w:ascii="Times New Roman" w:hAnsi="Times New Roman" w:cs="Times New Roman"/>
          <w:b/>
          <w:bCs/>
          <w:noProof/>
          <w:color w:val="auto"/>
        </w:rPr>
      </w:pPr>
      <w:bookmarkStart w:id="32" w:name="_Toc185413384"/>
      <w:bookmarkStart w:id="33" w:name="_Toc204769321"/>
      <w:bookmarkStart w:id="34" w:name="_Toc226580796"/>
      <w:bookmarkStart w:id="35" w:name="_Hlk190384460"/>
      <w:bookmarkEnd w:id="31"/>
      <w:r>
        <w:rPr>
          <w:rFonts w:ascii="Times New Roman" w:hAnsi="Times New Roman"/>
          <w:b/>
          <w:noProof/>
          <w:color w:val="auto"/>
        </w:rPr>
        <w:t>Serviços e investimento, comércio digital, contratação pública e pequenas e médias empresas</w:t>
      </w:r>
      <w:bookmarkEnd w:id="32"/>
      <w:bookmarkEnd w:id="33"/>
      <w:bookmarkEnd w:id="34"/>
    </w:p>
    <w:p w14:paraId="39F08706" w14:textId="77777777" w:rsidR="000D7DA0" w:rsidRDefault="00B8510B" w:rsidP="000D7DA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 aplicação do ACC nos domínios dos serviços e investimento, do comércio digital, da propriedade intelectual, da contratação pública e das pequenas e médias empresas decorreu, de um modo geral, com normalidade, com exceção dos problemas persistentes relacionados com o </w:t>
      </w:r>
      <w:r>
        <w:rPr>
          <w:rFonts w:ascii="Times New Roman" w:hAnsi="Times New Roman"/>
          <w:b/>
          <w:noProof/>
          <w:sz w:val="24"/>
        </w:rPr>
        <w:t>regime de patrocínio para vistos</w:t>
      </w:r>
      <w:r>
        <w:rPr>
          <w:rStyle w:val="FootnoteReference"/>
          <w:rFonts w:ascii="Times New Roman" w:eastAsia="Times New Roman" w:hAnsi="Times New Roman" w:cs="Times New Roman"/>
          <w:noProof/>
          <w:sz w:val="24"/>
          <w:szCs w:val="24"/>
        </w:rPr>
        <w:footnoteReference w:id="26"/>
      </w:r>
      <w:r>
        <w:rPr>
          <w:rFonts w:ascii="Times New Roman" w:hAnsi="Times New Roman"/>
          <w:noProof/>
          <w:sz w:val="24"/>
        </w:rPr>
        <w:t xml:space="preserve"> do Reino Unido aplicado aos prestadores de serviços da UE abrangidos pelo ACC. </w:t>
      </w:r>
    </w:p>
    <w:bookmarkEnd w:id="35"/>
    <w:p w14:paraId="6665E26B" w14:textId="1AF1FFA9" w:rsidR="000D7DA0" w:rsidRDefault="000D7DA0" w:rsidP="000D7DA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Desde 2022, a UE tem manifestado sistematicamente, no âmbito dos organismos conjuntos do ACC, preocupações quanto à complexidade do sistema, aos encargos desproporcionados e à falta de clareza</w:t>
      </w:r>
      <w:r>
        <w:rPr>
          <w:rStyle w:val="FootnoteReference"/>
          <w:rFonts w:ascii="Times New Roman" w:eastAsia="Times New Roman" w:hAnsi="Times New Roman" w:cs="Times New Roman"/>
          <w:noProof/>
          <w:sz w:val="24"/>
          <w:szCs w:val="24"/>
        </w:rPr>
        <w:footnoteReference w:id="27"/>
      </w:r>
      <w:r>
        <w:rPr>
          <w:rFonts w:ascii="Times New Roman" w:hAnsi="Times New Roman"/>
          <w:noProof/>
          <w:sz w:val="24"/>
        </w:rPr>
        <w:t xml:space="preserve">. O requisito de patrocínio continua a dificultar a aplicação efetiva do ACC aos prestadores de serviços da UE, tal como refletido na emissão de apenas 49 vistos nos primeiros nove meses de 2025 a nacionais da UE ao abrigo da via para prestadores de serviços, que abrange os profissionais independentes e os prestadores de serviços sob contrato da UE. Consequentemente, os prestadores de serviços da UE continuam a deparar-se com obstáculos significativos para servir clientes no Reino Unido, enquanto o Governo continua relutante em resolver o problema. Conforme acordado no Entendimento Comum, um diálogo sobre o cumprimento dos compromissos do ACC em matéria de entrada e estada temporária de pessoas singulares por motivos profissionais visa resolver esta questão de longa data que dificulta a plena aplicação do ACC. </w:t>
      </w:r>
    </w:p>
    <w:p w14:paraId="6DAC217F" w14:textId="4FA2B177" w:rsidR="000D7DA0" w:rsidRPr="00F006D0" w:rsidRDefault="000D7DA0" w:rsidP="000D7DA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Foi estabelecido outro diálogo sobre a aplicação dos compromissos do ACC em matéria de </w:t>
      </w:r>
      <w:r>
        <w:rPr>
          <w:rFonts w:ascii="Times New Roman" w:hAnsi="Times New Roman"/>
          <w:b/>
          <w:noProof/>
          <w:sz w:val="24"/>
        </w:rPr>
        <w:t>reconhecimento das qualificações profissionais</w:t>
      </w:r>
      <w:r>
        <w:rPr>
          <w:rFonts w:ascii="Times New Roman" w:hAnsi="Times New Roman"/>
          <w:noProof/>
          <w:sz w:val="24"/>
        </w:rPr>
        <w:t>, em conformidade com o Entendimento Comum.</w:t>
      </w:r>
    </w:p>
    <w:p w14:paraId="0175AA10" w14:textId="1116248D" w:rsidR="00D03CCA" w:rsidRDefault="00D03CCA" w:rsidP="00D03CCA">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 domínio dos </w:t>
      </w:r>
      <w:r>
        <w:rPr>
          <w:rFonts w:ascii="Times New Roman" w:hAnsi="Times New Roman"/>
          <w:b/>
          <w:noProof/>
          <w:sz w:val="24"/>
        </w:rPr>
        <w:t>serviços financeiros</w:t>
      </w:r>
      <w:r>
        <w:rPr>
          <w:rFonts w:ascii="Times New Roman" w:hAnsi="Times New Roman"/>
          <w:noProof/>
          <w:sz w:val="24"/>
        </w:rPr>
        <w:t>, o Fórum UE-Reino Unido sobre Regulamentação Financeira, realizado em conformidade com o Memorando de Entendimento</w:t>
      </w:r>
      <w:r>
        <w:rPr>
          <w:rStyle w:val="FootnoteReference"/>
          <w:rFonts w:ascii="Times New Roman" w:eastAsia="Times New Roman" w:hAnsi="Times New Roman" w:cs="Times New Roman"/>
          <w:noProof/>
          <w:sz w:val="24"/>
          <w:szCs w:val="24"/>
        </w:rPr>
        <w:footnoteReference w:id="28"/>
      </w:r>
      <w:r>
        <w:rPr>
          <w:rFonts w:ascii="Times New Roman" w:hAnsi="Times New Roman"/>
          <w:noProof/>
          <w:sz w:val="24"/>
        </w:rPr>
        <w:t xml:space="preserve"> de 2023, reuniu-se duas vezes em 2025: em 12 de fevereiro, em Londres, e em 1 de outubro, em Bruxelas. Os debates incidiram sobre uma série de temas, incluindo as perspetivas macroeconómicas e de estabilidade financeira, a regulamentação bancária, o financiamento digital, as reformas dos mercados de capitais e o financiamento sustentável. Na sequência de ambas as reuniões, foram emitidas declarações conjuntas</w:t>
      </w:r>
      <w:r>
        <w:rPr>
          <w:rStyle w:val="FootnoteReference"/>
          <w:rFonts w:ascii="Times New Roman" w:eastAsia="Times New Roman" w:hAnsi="Times New Roman" w:cs="Times New Roman"/>
          <w:noProof/>
          <w:sz w:val="24"/>
          <w:szCs w:val="24"/>
        </w:rPr>
        <w:footnoteReference w:id="29"/>
      </w:r>
      <w:r>
        <w:rPr>
          <w:rFonts w:ascii="Times New Roman" w:hAnsi="Times New Roman"/>
          <w:noProof/>
          <w:sz w:val="24"/>
        </w:rPr>
        <w:t xml:space="preserve"> que resumem os resultados.</w:t>
      </w:r>
    </w:p>
    <w:p w14:paraId="59404A5F" w14:textId="6BC2CD6C" w:rsidR="00E8406E" w:rsidRPr="00E1040D" w:rsidRDefault="00286F43" w:rsidP="00470A6D">
      <w:pPr>
        <w:spacing w:before="100" w:beforeAutospacing="1" w:after="100" w:afterAutospacing="1" w:line="240" w:lineRule="auto"/>
        <w:jc w:val="both"/>
        <w:rPr>
          <w:rFonts w:ascii="Times New Roman" w:eastAsia="Times New Roman" w:hAnsi="Times New Roman" w:cs="Times New Roman"/>
          <w:noProof/>
          <w:sz w:val="24"/>
          <w:szCs w:val="24"/>
        </w:rPr>
      </w:pPr>
      <w:bookmarkStart w:id="36" w:name="_Hlk184225968"/>
      <w:r>
        <w:rPr>
          <w:rFonts w:ascii="Times New Roman" w:hAnsi="Times New Roman"/>
          <w:noProof/>
          <w:sz w:val="24"/>
        </w:rPr>
        <w:t xml:space="preserve">Apresenta-se a seguir uma panorâmica dos </w:t>
      </w:r>
      <w:r>
        <w:rPr>
          <w:rFonts w:ascii="Times New Roman" w:hAnsi="Times New Roman"/>
          <w:b/>
          <w:noProof/>
          <w:sz w:val="24"/>
        </w:rPr>
        <w:t>fluxos comerciais de serviços</w:t>
      </w:r>
      <w:r>
        <w:rPr>
          <w:rFonts w:ascii="Times New Roman" w:hAnsi="Times New Roman"/>
          <w:noProof/>
          <w:sz w:val="24"/>
        </w:rPr>
        <w:t xml:space="preserve"> entre a UE e o Reino Unido em 2025</w:t>
      </w:r>
      <w:r>
        <w:rPr>
          <w:rFonts w:ascii="Times New Roman" w:eastAsia="Times New Roman" w:hAnsi="Times New Roman" w:cs="Times New Roman"/>
          <w:noProof/>
          <w:sz w:val="24"/>
          <w:szCs w:val="24"/>
          <w:vertAlign w:val="superscript"/>
        </w:rPr>
        <w:footnoteReference w:id="30"/>
      </w:r>
      <w:r>
        <w:rPr>
          <w:rFonts w:ascii="Times New Roman" w:hAnsi="Times New Roman"/>
          <w:noProof/>
          <w:sz w:val="24"/>
        </w:rPr>
        <w:t>.</w:t>
      </w:r>
    </w:p>
    <w:p w14:paraId="7D44BF00" w14:textId="53FAF043" w:rsidR="00AB5C7B" w:rsidRPr="00C13EF7" w:rsidRDefault="002E2FC3" w:rsidP="00AB5C7B">
      <w:pPr>
        <w:spacing w:before="100" w:beforeAutospacing="1" w:after="100" w:afterAutospacing="1" w:line="240" w:lineRule="auto"/>
        <w:jc w:val="both"/>
        <w:rPr>
          <w:rFonts w:ascii="Times New Roman" w:eastAsia="Times New Roman" w:hAnsi="Times New Roman" w:cs="Times New Roman"/>
          <w:noProof/>
          <w:sz w:val="24"/>
          <w:szCs w:val="24"/>
        </w:rPr>
      </w:pPr>
      <w:bookmarkStart w:id="37" w:name="_Hlk214522268"/>
      <w:bookmarkStart w:id="38" w:name="_Hlk184331826"/>
      <w:r>
        <w:rPr>
          <w:rFonts w:ascii="Times New Roman" w:hAnsi="Times New Roman"/>
          <w:noProof/>
          <w:sz w:val="24"/>
        </w:rPr>
        <w:t xml:space="preserve">Nos </w:t>
      </w:r>
      <w:bookmarkStart w:id="39" w:name="_Hlk222925372"/>
      <w:r>
        <w:rPr>
          <w:rFonts w:ascii="Times New Roman" w:hAnsi="Times New Roman"/>
          <w:noProof/>
          <w:sz w:val="24"/>
        </w:rPr>
        <w:t>três primeiros trimestres</w:t>
      </w:r>
      <w:bookmarkEnd w:id="39"/>
      <w:r>
        <w:rPr>
          <w:rFonts w:ascii="Times New Roman" w:hAnsi="Times New Roman"/>
          <w:noProof/>
          <w:sz w:val="24"/>
        </w:rPr>
        <w:t xml:space="preserve"> de 2025, a UE exportou serviços no valor de 230 mil milhões de EUR para o Reino Unido, o que representa um aumento de 5,1 % em comparação com o mesmo período de 2024.</w:t>
      </w:r>
      <w:bookmarkEnd w:id="37"/>
      <w:r>
        <w:rPr>
          <w:rFonts w:ascii="Times New Roman" w:hAnsi="Times New Roman"/>
          <w:noProof/>
          <w:sz w:val="24"/>
        </w:rPr>
        <w:t xml:space="preserve"> </w:t>
      </w:r>
      <w:bookmarkStart w:id="40" w:name="_Hlk214522310"/>
      <w:r>
        <w:rPr>
          <w:rFonts w:ascii="Times New Roman" w:hAnsi="Times New Roman"/>
          <w:noProof/>
          <w:sz w:val="24"/>
        </w:rPr>
        <w:t>Nos três primeiros trimestres de 2025, o valor das importações de serviços da UE provenientes do Reino Unido foi de 183 mil milhões de EUR, o que representa um aumento de 4 % em comparação com o mesmo período de 2024</w:t>
      </w:r>
      <w:bookmarkEnd w:id="40"/>
      <w:r>
        <w:rPr>
          <w:rFonts w:ascii="Times New Roman" w:hAnsi="Times New Roman"/>
          <w:noProof/>
          <w:sz w:val="24"/>
        </w:rPr>
        <w:t>. Nos três primeiros trimestres de 2025, a UE registou um excedente no comércio de serviços com o Reino Unido de 47 mil milhões de EUR. Os setores em que as exportações da UE para o Reino Unido registaram o maior crescimento em 2025 em comparação com 2024 foram os serviços de manutenção e reparação (+20,7 %) e as taxas pela utilização de propriedade intelectual (+20,3 %). Do lado das importações, os maiores aumentos a partir do Reino Unido foram observados nas taxas pela utilização de propriedade intelectual (+15 %), seguidas das viagens (+12,2 %).</w:t>
      </w:r>
    </w:p>
    <w:p w14:paraId="5160684C" w14:textId="4AF966CA" w:rsidR="00AB5C7B" w:rsidRDefault="00AB5C7B" w:rsidP="00AB5C7B">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Nos três primeiros trimestres de 2025, o comércio total de serviços com o Reino Unido representou 18,7 % do comércio total da UE com os seus parceiros internacionais, uma diminuição em relação aos 18,6 % no mesmo período de 2024. O Reino Unido foi o destino de 19,8 % das exportações de serviços da UE nos três primeiros trimestres de 2025 (em comparação com 19,1 % no mesmo período de 2024), ficando apenas atrás dos Estados Unidos (21,5 %). O Reino Unido foi a origem de 17,5 % das importações da UE nos três primeiros trimestres de 2025 (em comparação com 17,9 % no mesmo período de 2024), ficando apenas atrás dos Estados Unidos (36,5 %).</w:t>
      </w:r>
    </w:p>
    <w:p w14:paraId="30E1A5C5" w14:textId="0F33FD2C" w:rsidR="00F60028" w:rsidRDefault="009529F6" w:rsidP="00F60028">
      <w:pPr>
        <w:spacing w:before="100" w:beforeAutospacing="1" w:after="100" w:afterAutospacing="1" w:line="240" w:lineRule="auto"/>
        <w:jc w:val="both"/>
        <w:rPr>
          <w:i/>
          <w:noProof/>
        </w:rPr>
      </w:pPr>
      <w:bookmarkStart w:id="41" w:name="_Hlk214522424"/>
      <w:r w:rsidRPr="002E45A6">
        <w:rPr>
          <w:noProof/>
          <w:lang w:val="en-GB" w:eastAsia="en-GB"/>
        </w:rPr>
        <w:drawing>
          <wp:anchor distT="0" distB="0" distL="114300" distR="114300" simplePos="0" relativeHeight="251659776" behindDoc="1" locked="0" layoutInCell="1" allowOverlap="1" wp14:anchorId="3169091D" wp14:editId="0F207230">
            <wp:simplePos x="0" y="0"/>
            <wp:positionH relativeFrom="column">
              <wp:posOffset>127000</wp:posOffset>
            </wp:positionH>
            <wp:positionV relativeFrom="paragraph">
              <wp:posOffset>2185670</wp:posOffset>
            </wp:positionV>
            <wp:extent cx="5462905" cy="3276600"/>
            <wp:effectExtent l="0" t="0" r="0" b="0"/>
            <wp:wrapTight wrapText="bothSides">
              <wp:wrapPolygon edited="0">
                <wp:start x="0" y="0"/>
                <wp:lineTo x="0" y="21474"/>
                <wp:lineTo x="21542" y="21474"/>
                <wp:lineTo x="21542" y="0"/>
                <wp:lineTo x="0" y="0"/>
              </wp:wrapPolygon>
            </wp:wrapTight>
            <wp:docPr id="1595862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62905" cy="327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5C7B">
        <w:rPr>
          <w:rFonts w:ascii="Times New Roman" w:hAnsi="Times New Roman"/>
          <w:noProof/>
          <w:sz w:val="24"/>
        </w:rPr>
        <w:t xml:space="preserve">Ao analisar a evolução do comércio de serviços desde que o ACC começou a ser aplicado em 2021, verifica-se que as exportações de serviços da UE para o Reino Unido registaram um crescimento constante, passando de 150 mil milhões de EUR nos três primeiros trimestres de 2021 para 230 mil milhões de EUR nos três primeiros trimestres de 2025, o que representa um aumento de mais de 53 %. As importações de serviços do Reino Unido para a UE também aumentaram de forma constante, passando de 125 mil milhões de EUR em 2021 para 183 mil milhões de EUR em 2025 (+47 %). </w:t>
      </w:r>
      <w:bookmarkEnd w:id="41"/>
      <w:r w:rsidR="00AB5C7B">
        <w:rPr>
          <w:rFonts w:ascii="Times New Roman" w:hAnsi="Times New Roman"/>
          <w:noProof/>
          <w:sz w:val="24"/>
        </w:rPr>
        <w:t xml:space="preserve">O maior crescimento ocorreu entre 2021 e 2022, </w:t>
      </w:r>
      <w:bookmarkStart w:id="42" w:name="_Hlk214523018"/>
      <w:r w:rsidR="00AB5C7B">
        <w:rPr>
          <w:rFonts w:ascii="Times New Roman" w:hAnsi="Times New Roman"/>
          <w:noProof/>
          <w:sz w:val="24"/>
        </w:rPr>
        <w:t xml:space="preserve">refletindo uma recuperação do </w:t>
      </w:r>
      <w:bookmarkEnd w:id="42"/>
      <w:r w:rsidR="00AB5C7B">
        <w:rPr>
          <w:rFonts w:ascii="Times New Roman" w:hAnsi="Times New Roman"/>
          <w:noProof/>
          <w:sz w:val="24"/>
        </w:rPr>
        <w:t xml:space="preserve">impacto da pandemia de COVID-19 nas viagens, no turismo e noutros setores dos serviços. De um modo geral, estas tendências indicam que o comércio de serviços com o Reino Unido tem vindo a expandir-se de forma constante, tanto a nível de exportações como de importações. </w:t>
      </w:r>
    </w:p>
    <w:p w14:paraId="545D510F" w14:textId="3B26DFB2" w:rsidR="00F60028" w:rsidRDefault="00F60028" w:rsidP="00F60028">
      <w:pPr>
        <w:spacing w:before="100" w:beforeAutospacing="1" w:after="100" w:afterAutospacing="1" w:line="240" w:lineRule="auto"/>
        <w:jc w:val="both"/>
        <w:rPr>
          <w:i/>
          <w:noProof/>
        </w:rPr>
      </w:pPr>
    </w:p>
    <w:p w14:paraId="478C3A79" w14:textId="5BA14191" w:rsidR="00B84BEB" w:rsidRPr="00D455C1" w:rsidRDefault="00B84BEB" w:rsidP="00F60028">
      <w:pPr>
        <w:spacing w:before="100" w:beforeAutospacing="1" w:after="100" w:afterAutospacing="1" w:line="240" w:lineRule="auto"/>
        <w:jc w:val="both"/>
        <w:rPr>
          <w:i/>
          <w:iCs/>
          <w:noProof/>
        </w:rPr>
      </w:pPr>
      <w:r>
        <w:rPr>
          <w:i/>
          <w:noProof/>
        </w:rPr>
        <w:t xml:space="preserve">Figura 2: Comércio de serviços da UE com o Reino Unido, três primeiros trimestres de 2021-2025, mil milhões de EUR. Fonte: Eurostat (conjunto de dados </w:t>
      </w:r>
      <w:hyperlink r:id="rId18" w:history="1">
        <w:r>
          <w:rPr>
            <w:rStyle w:val="Hyperlink"/>
            <w:noProof/>
          </w:rPr>
          <w:t>bop_eu6_q</w:t>
        </w:r>
      </w:hyperlink>
      <w:r>
        <w:rPr>
          <w:i/>
          <w:noProof/>
        </w:rPr>
        <w:t>)</w:t>
      </w:r>
    </w:p>
    <w:p w14:paraId="5BEF67C5" w14:textId="7CCF3DCC" w:rsidR="00C229A5" w:rsidRPr="0067486A" w:rsidRDefault="00C229A5"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43" w:name="_Toc204769322"/>
      <w:bookmarkStart w:id="44" w:name="_Toc226580797"/>
      <w:bookmarkStart w:id="45" w:name="_Toc185413385"/>
      <w:bookmarkEnd w:id="36"/>
      <w:bookmarkEnd w:id="38"/>
      <w:r>
        <w:rPr>
          <w:rFonts w:ascii="Times New Roman" w:hAnsi="Times New Roman"/>
          <w:b/>
          <w:noProof/>
          <w:color w:val="auto"/>
        </w:rPr>
        <w:t>Direitos de propriedade intelectual</w:t>
      </w:r>
      <w:bookmarkEnd w:id="43"/>
      <w:bookmarkEnd w:id="44"/>
    </w:p>
    <w:p w14:paraId="4CB80B80" w14:textId="7790B84A" w:rsidR="002530EB" w:rsidRPr="00F006D0" w:rsidRDefault="0071342F" w:rsidP="6A5D11F7">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O Instituto da Propriedade Intelectual da UE e o Instituto da Propriedade Intelectual do Reino Unido prosseguiram os diálogos sobre um memorando de entendimento para melhorar a cooperação administrativa no domínio da propriedade intelectual, tal como referido no artigo 273.º, n.º 2, alínea g), do ACC.</w:t>
      </w:r>
    </w:p>
    <w:p w14:paraId="21E2CF68" w14:textId="3C000EE4" w:rsidR="00DF5454" w:rsidRPr="0086076B" w:rsidRDefault="00DF5454"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46" w:name="_Toc204769323"/>
      <w:bookmarkStart w:id="47" w:name="_Toc226580798"/>
      <w:r>
        <w:rPr>
          <w:rFonts w:ascii="Times New Roman" w:hAnsi="Times New Roman"/>
          <w:b/>
          <w:noProof/>
          <w:color w:val="auto"/>
        </w:rPr>
        <w:t xml:space="preserve">Condições de concorrência </w:t>
      </w:r>
      <w:bookmarkEnd w:id="45"/>
      <w:r>
        <w:rPr>
          <w:rFonts w:ascii="Times New Roman" w:hAnsi="Times New Roman"/>
          <w:b/>
          <w:noProof/>
          <w:color w:val="auto"/>
        </w:rPr>
        <w:t>equitativas</w:t>
      </w:r>
      <w:bookmarkEnd w:id="46"/>
      <w:bookmarkEnd w:id="47"/>
    </w:p>
    <w:p w14:paraId="394EB410" w14:textId="18559878" w:rsidR="0071342F" w:rsidRDefault="00D455C1" w:rsidP="00C104C4">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Tal como referido no Entendimento Comum, o primeiro acordo complementar nos termos do artigo 361.º, n.º 4, do ACC foi acordado em 2025 e assinado em 25 de fevereiro de 2026</w:t>
      </w:r>
      <w:r>
        <w:rPr>
          <w:rStyle w:val="FootnoteReference"/>
          <w:rFonts w:ascii="Times New Roman" w:hAnsi="Times New Roman" w:cs="Times New Roman"/>
          <w:noProof/>
          <w:sz w:val="24"/>
          <w:szCs w:val="24"/>
        </w:rPr>
        <w:footnoteReference w:id="31"/>
      </w:r>
      <w:r>
        <w:rPr>
          <w:rFonts w:ascii="Times New Roman" w:hAnsi="Times New Roman"/>
          <w:noProof/>
          <w:sz w:val="24"/>
        </w:rPr>
        <w:t xml:space="preserve">. O </w:t>
      </w:r>
      <w:bookmarkStart w:id="48" w:name="_Hlk215156914"/>
      <w:r>
        <w:rPr>
          <w:rFonts w:ascii="Times New Roman" w:hAnsi="Times New Roman"/>
          <w:noProof/>
          <w:sz w:val="24"/>
        </w:rPr>
        <w:t>Acordo de Cooperação em matéria de Concorrência</w:t>
      </w:r>
      <w:bookmarkEnd w:id="48"/>
      <w:r>
        <w:rPr>
          <w:rFonts w:ascii="Times New Roman" w:hAnsi="Times New Roman"/>
          <w:noProof/>
          <w:sz w:val="24"/>
        </w:rPr>
        <w:t>:</w:t>
      </w:r>
    </w:p>
    <w:p w14:paraId="4CAEE030" w14:textId="06A371B6" w:rsidR="0071342F" w:rsidRPr="00DD4985" w:rsidRDefault="00E86DA7" w:rsidP="00DD4985">
      <w:pPr>
        <w:pStyle w:val="ListParagraph"/>
        <w:numPr>
          <w:ilvl w:val="0"/>
          <w:numId w:val="68"/>
        </w:num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estabelece um quadro para a cooperação em matéria de concorrência entre, por um lado, a Comissão e as autoridades da concorrência dos Estados-Membros da UE e, por outro, a Autoridade da Concorrência e dos Mercados do Reino Unido,</w:t>
      </w:r>
    </w:p>
    <w:p w14:paraId="77FE1980" w14:textId="55A71A29" w:rsidR="0071342F" w:rsidRPr="00DD4985" w:rsidRDefault="002D1213" w:rsidP="00DD4985">
      <w:pPr>
        <w:pStyle w:val="ListParagraph"/>
        <w:numPr>
          <w:ilvl w:val="0"/>
          <w:numId w:val="68"/>
        </w:num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prevê que investigações importantes em matéria de práticas anticoncorrenciais e de concentrações sejam levadas ao conhecimento de cada uma das partes, </w:t>
      </w:r>
    </w:p>
    <w:p w14:paraId="2BA4C5F7" w14:textId="126EC8D7" w:rsidR="0071342F" w:rsidRPr="00DD4985" w:rsidRDefault="00903CE3" w:rsidP="00DD4985">
      <w:pPr>
        <w:pStyle w:val="ListParagraph"/>
        <w:numPr>
          <w:ilvl w:val="0"/>
          <w:numId w:val="68"/>
        </w:num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permite a coordenação das investigações entre as jurisdições envolvidas, quando necessário (que, do lado da UE, podem envolver a Comissão ou as autoridades da concorrência dos Estados-Membros, consoante o caso),</w:t>
      </w:r>
    </w:p>
    <w:p w14:paraId="2CAD454A" w14:textId="3F1B8C9D" w:rsidR="0080197F" w:rsidRPr="00DD4985" w:rsidRDefault="00903CE3" w:rsidP="00DD4985">
      <w:pPr>
        <w:pStyle w:val="ListParagraph"/>
        <w:numPr>
          <w:ilvl w:val="0"/>
          <w:numId w:val="68"/>
        </w:num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estabelece princípios claros de cooperação destinados a evitar conflitos entre jurisdições.</w:t>
      </w:r>
    </w:p>
    <w:p w14:paraId="41244E06" w14:textId="06032026" w:rsidR="006D1404" w:rsidRDefault="5A876DED" w:rsidP="0080197F">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49" w:name="_Toc185413386"/>
      <w:bookmarkStart w:id="50" w:name="_Toc204769324"/>
      <w:bookmarkStart w:id="51" w:name="_Toc226580799"/>
      <w:r>
        <w:rPr>
          <w:rFonts w:ascii="Times New Roman" w:hAnsi="Times New Roman"/>
          <w:b/>
          <w:noProof/>
          <w:color w:val="auto"/>
        </w:rPr>
        <w:t>Energia</w:t>
      </w:r>
      <w:bookmarkEnd w:id="49"/>
      <w:bookmarkEnd w:id="50"/>
      <w:bookmarkEnd w:id="51"/>
    </w:p>
    <w:p w14:paraId="6CCE9F77" w14:textId="56DA0E39" w:rsidR="00DC4CB9" w:rsidRPr="003029C6" w:rsidRDefault="003029C6" w:rsidP="00DC4CB9">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O desenvolvimento mais significativo relacionado com energia em 2025 foi o acordo político alcançado na cimeira UE-Reino Unido, de 19 de maio, no sentido de alargar, numa base contínua, a cooperação energética entre as partes. Ambas as partes partilharam o entendimento político de que os objetivos do ACC relacionados com energia devem ser prosseguidos de forma contínua, o que torna adequado prorrogar a execução do título «Energia». Essa prorrogação foi formalizada através da adoção da Declaração n.º 1/2025</w:t>
      </w:r>
      <w:r>
        <w:rPr>
          <w:rStyle w:val="FootnoteReference"/>
          <w:rFonts w:ascii="Times New Roman" w:hAnsi="Times New Roman" w:cs="Times New Roman"/>
          <w:noProof/>
          <w:sz w:val="24"/>
          <w:szCs w:val="24"/>
        </w:rPr>
        <w:footnoteReference w:id="32"/>
      </w:r>
      <w:r>
        <w:rPr>
          <w:rFonts w:ascii="Times New Roman" w:hAnsi="Times New Roman"/>
          <w:noProof/>
          <w:sz w:val="24"/>
        </w:rPr>
        <w:t xml:space="preserve"> e da Decisão n.º 2/2025</w:t>
      </w:r>
      <w:r>
        <w:rPr>
          <w:rStyle w:val="FootnoteReference"/>
          <w:rFonts w:ascii="Times New Roman" w:hAnsi="Times New Roman" w:cs="Times New Roman"/>
          <w:noProof/>
          <w:sz w:val="24"/>
          <w:szCs w:val="24"/>
        </w:rPr>
        <w:footnoteReference w:id="33"/>
      </w:r>
      <w:r>
        <w:rPr>
          <w:rFonts w:ascii="Times New Roman" w:hAnsi="Times New Roman"/>
          <w:noProof/>
          <w:sz w:val="24"/>
        </w:rPr>
        <w:t xml:space="preserve"> do Conselho de Parceria, de 19 de junho de 2025, que prevê a primeira prorrogação até 31 de março de 2027. Este quadro proporciona estabilidade e previsibilidade às partes interessadas, tanto na UE como no Reino Unido, facilita a atividade empresarial e garante a estabilidade do mercado.</w:t>
      </w:r>
    </w:p>
    <w:p w14:paraId="3D767F4F" w14:textId="1B450F1C" w:rsidR="001A412E" w:rsidRDefault="00D62585" w:rsidP="001A412E">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No que diz respeito aos regimes de comércio de eletricidade, o Comité Especializado da Energia prosseguiu a sua análise do acoplamento de volume flexível multirregional referido no anexo 29 do ACC. Em conformidade com a Recomendação n.º 1/2024</w:t>
      </w:r>
      <w:r>
        <w:rPr>
          <w:rStyle w:val="FootnoteReference"/>
          <w:rFonts w:ascii="Times New Roman" w:hAnsi="Times New Roman" w:cs="Times New Roman"/>
          <w:noProof/>
          <w:sz w:val="24"/>
          <w:szCs w:val="24"/>
        </w:rPr>
        <w:footnoteReference w:id="34"/>
      </w:r>
      <w:r>
        <w:rPr>
          <w:rFonts w:ascii="Times New Roman" w:hAnsi="Times New Roman"/>
          <w:noProof/>
          <w:sz w:val="24"/>
        </w:rPr>
        <w:t xml:space="preserve">, os operadores de redes de transporte de eletricidade da UE e do Reino Unido apresentaram ao Comité Especializado da Energia, em 30 de setembro de 2025, um relatório conjunto sobre a aplicação do acoplamento de volume flexível multirregional. </w:t>
      </w:r>
      <w:bookmarkStart w:id="52" w:name="_Hlk214543247"/>
      <w:r>
        <w:rPr>
          <w:rFonts w:ascii="Times New Roman" w:hAnsi="Times New Roman"/>
          <w:noProof/>
          <w:sz w:val="24"/>
        </w:rPr>
        <w:t>Por sua vez, em 27 e 28 de outubro de 2025, respetivamente, os reguladores nacionais da energia do Reino Unido e a Agência da UE de Cooperação dos Reguladores da Energia apresentaram os seus pareceres informais ao Comité Especializado da Energia</w:t>
      </w:r>
      <w:bookmarkEnd w:id="52"/>
      <w:r>
        <w:rPr>
          <w:rFonts w:ascii="Times New Roman" w:hAnsi="Times New Roman"/>
          <w:noProof/>
          <w:sz w:val="24"/>
        </w:rPr>
        <w:t>, que avaliará mais aprofundadamente os pareceres em 2026. Estes documentos não definiram uma forma satisfatória de proceder em relação ao acoplamento de volume flexível multirregional.</w:t>
      </w:r>
    </w:p>
    <w:p w14:paraId="4C0F8813" w14:textId="77324CBF" w:rsidR="00E81BD4" w:rsidRPr="0065255E" w:rsidRDefault="001A412E" w:rsidP="003E301C">
      <w:pPr>
        <w:spacing w:line="276" w:lineRule="auto"/>
        <w:jc w:val="both"/>
        <w:rPr>
          <w:rFonts w:ascii="Times New Roman" w:hAnsi="Times New Roman" w:cs="Times New Roman"/>
          <w:noProof/>
          <w:sz w:val="24"/>
          <w:szCs w:val="24"/>
        </w:rPr>
      </w:pPr>
      <w:r>
        <w:rPr>
          <w:rFonts w:ascii="Times New Roman" w:hAnsi="Times New Roman"/>
          <w:noProof/>
          <w:sz w:val="24"/>
        </w:rPr>
        <w:t>Consequentemente, com base no Entendimento Comum, a Comissão Europeia e o Reino Unido realizaram e concluíram conversações exploratórias sobre a participação do Reino Unido no mercado interno da eletricidade da UE. Nesta base, a Comissão Europeia adotou uma recomendação relativa a um quadro de negociação para a participação do Reino Unido no mercado interno da eletricidade da UE e à contribuição financeira do Reino Unido destinada a reduzir as disparidades económicas e sociais entre as regiões da UE</w:t>
      </w:r>
      <w:r>
        <w:rPr>
          <w:rStyle w:val="FootnoteReference"/>
          <w:rFonts w:ascii="Times New Roman" w:hAnsi="Times New Roman" w:cs="Times New Roman"/>
          <w:noProof/>
          <w:sz w:val="24"/>
          <w:szCs w:val="24"/>
        </w:rPr>
        <w:footnoteReference w:id="35"/>
      </w:r>
      <w:r>
        <w:rPr>
          <w:rFonts w:ascii="Times New Roman" w:hAnsi="Times New Roman"/>
          <w:noProof/>
          <w:sz w:val="24"/>
        </w:rPr>
        <w:t>.</w:t>
      </w:r>
    </w:p>
    <w:p w14:paraId="26B131D9" w14:textId="6F1ACA29" w:rsidR="007E1D53" w:rsidRPr="0065255E" w:rsidRDefault="008F2672" w:rsidP="00A050CA">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Por último, o Grupo de Trabalho sobre a Segurança do Aprovisionamento, criado pela Decisão n.º 2/2024</w:t>
      </w:r>
      <w:r>
        <w:rPr>
          <w:rStyle w:val="FootnoteReference"/>
          <w:rFonts w:ascii="Times New Roman" w:hAnsi="Times New Roman" w:cs="Times New Roman"/>
          <w:noProof/>
          <w:sz w:val="24"/>
          <w:szCs w:val="24"/>
        </w:rPr>
        <w:footnoteReference w:id="36"/>
      </w:r>
      <w:r>
        <w:rPr>
          <w:rFonts w:ascii="Times New Roman" w:hAnsi="Times New Roman"/>
          <w:noProof/>
          <w:sz w:val="24"/>
        </w:rPr>
        <w:t xml:space="preserve"> do Comité Especializado da Energia, reuniu-se três vezes em 2025 para adotar os seus estatutos e debater a segurança do aprovisionamento antes dos períodos de verão e de inverno.</w:t>
      </w:r>
    </w:p>
    <w:p w14:paraId="4B35EA80" w14:textId="0C3A93D4" w:rsidR="006D1404" w:rsidRPr="0065255E" w:rsidRDefault="5A876DED" w:rsidP="00470A6D">
      <w:pPr>
        <w:pStyle w:val="Heading2"/>
        <w:keepLines w:val="0"/>
        <w:numPr>
          <w:ilvl w:val="1"/>
          <w:numId w:val="55"/>
        </w:numPr>
        <w:spacing w:before="100" w:beforeAutospacing="1" w:after="100" w:afterAutospacing="1" w:line="240" w:lineRule="auto"/>
        <w:ind w:left="1077"/>
        <w:rPr>
          <w:rFonts w:ascii="Times New Roman" w:hAnsi="Times New Roman" w:cs="Times New Roman"/>
          <w:b/>
          <w:bCs/>
          <w:noProof/>
          <w:color w:val="auto"/>
        </w:rPr>
      </w:pPr>
      <w:bookmarkStart w:id="53" w:name="_Hlk157433161"/>
      <w:bookmarkStart w:id="54" w:name="_Toc185413387"/>
      <w:bookmarkStart w:id="55" w:name="_Toc204769325"/>
      <w:bookmarkStart w:id="56" w:name="_Toc226580800"/>
      <w:bookmarkEnd w:id="53"/>
      <w:r>
        <w:rPr>
          <w:rFonts w:ascii="Times New Roman" w:hAnsi="Times New Roman"/>
          <w:b/>
          <w:noProof/>
          <w:color w:val="auto"/>
        </w:rPr>
        <w:t>Transportes</w:t>
      </w:r>
      <w:bookmarkEnd w:id="54"/>
      <w:bookmarkEnd w:id="55"/>
      <w:bookmarkEnd w:id="56"/>
    </w:p>
    <w:p w14:paraId="6321356A" w14:textId="71CA7975" w:rsidR="00520836" w:rsidRPr="00411895" w:rsidRDefault="3DF2D69C" w:rsidP="00470A6D">
      <w:pPr>
        <w:spacing w:before="100" w:beforeAutospacing="1" w:after="100" w:afterAutospacing="1" w:line="240" w:lineRule="auto"/>
        <w:jc w:val="both"/>
        <w:rPr>
          <w:rFonts w:ascii="Times New Roman" w:eastAsia="Calibri" w:hAnsi="Times New Roman" w:cs="Times New Roman"/>
          <w:noProof/>
          <w:sz w:val="24"/>
          <w:szCs w:val="24"/>
        </w:rPr>
      </w:pPr>
      <w:r>
        <w:rPr>
          <w:rFonts w:ascii="Times New Roman" w:hAnsi="Times New Roman"/>
          <w:noProof/>
          <w:sz w:val="24"/>
        </w:rPr>
        <w:t>A aplicação do ACC no domínio dos transportes decorreu sem problemas e centrou-se no exercício efetivo dos direitos mutuamente concedidos pelas partes.</w:t>
      </w:r>
    </w:p>
    <w:p w14:paraId="5409AED8" w14:textId="57F61107" w:rsidR="00DB5952" w:rsidRPr="002F3EF0" w:rsidRDefault="00DB5952" w:rsidP="00DB5952">
      <w:pPr>
        <w:spacing w:before="100" w:beforeAutospacing="1" w:after="100" w:afterAutospacing="1" w:line="240" w:lineRule="auto"/>
        <w:jc w:val="both"/>
        <w:rPr>
          <w:rFonts w:ascii="Times New Roman" w:eastAsia="Calibri" w:hAnsi="Times New Roman" w:cs="Times New Roman"/>
          <w:noProof/>
          <w:sz w:val="24"/>
          <w:szCs w:val="24"/>
        </w:rPr>
      </w:pPr>
      <w:r>
        <w:rPr>
          <w:rFonts w:ascii="Times New Roman" w:hAnsi="Times New Roman"/>
          <w:noProof/>
          <w:sz w:val="24"/>
        </w:rPr>
        <w:t xml:space="preserve">No domínio da </w:t>
      </w:r>
      <w:r>
        <w:rPr>
          <w:rFonts w:ascii="Times New Roman" w:hAnsi="Times New Roman"/>
          <w:b/>
          <w:noProof/>
          <w:sz w:val="24"/>
        </w:rPr>
        <w:t>segurança da aviação</w:t>
      </w:r>
      <w:r>
        <w:rPr>
          <w:rFonts w:ascii="Times New Roman" w:hAnsi="Times New Roman"/>
          <w:noProof/>
          <w:sz w:val="24"/>
        </w:rPr>
        <w:t>, dos 32 pedidos de validação de certificados emitidos pela Autoridade da Aviação Civil do Reino Unido, 23 foram aprovados pela Agência da União Europeia para a Segurança da Aviação (AESA), nos termos do artigo 446.º do ACC, em conjugação com o seu anexo 30. Com o apoio da AESA, as autoridades do Reino Unido validaram quatro dos 11 projetos apresentados por candidatos da UE, o que está em consonância com os níveis de atividade esperados para a validação de certificados.</w:t>
      </w:r>
    </w:p>
    <w:p w14:paraId="128565B2" w14:textId="7E634CFC" w:rsidR="00DB5952" w:rsidRPr="00F006D0" w:rsidRDefault="00DB5952" w:rsidP="00DB5952">
      <w:pPr>
        <w:spacing w:before="100" w:beforeAutospacing="1" w:after="100" w:afterAutospacing="1" w:line="240" w:lineRule="auto"/>
        <w:jc w:val="both"/>
        <w:rPr>
          <w:rFonts w:ascii="Times New Roman" w:eastAsia="Calibri" w:hAnsi="Times New Roman" w:cs="Times New Roman"/>
          <w:noProof/>
        </w:rPr>
      </w:pPr>
      <w:r>
        <w:rPr>
          <w:rFonts w:ascii="Times New Roman" w:hAnsi="Times New Roman"/>
          <w:noProof/>
          <w:sz w:val="24"/>
        </w:rPr>
        <w:t xml:space="preserve">No domínio do </w:t>
      </w:r>
      <w:r>
        <w:rPr>
          <w:rFonts w:ascii="Times New Roman" w:hAnsi="Times New Roman"/>
          <w:b/>
          <w:noProof/>
          <w:sz w:val="24"/>
        </w:rPr>
        <w:t>transporte aéreo</w:t>
      </w:r>
      <w:r>
        <w:rPr>
          <w:rFonts w:ascii="Times New Roman" w:hAnsi="Times New Roman"/>
          <w:noProof/>
          <w:sz w:val="24"/>
        </w:rPr>
        <w:t>, previa-se que, até ao final de 2025, o tráfego aéreo entre a UE e o Reino Unido atingisse os níveis anteriores à pandemia. No total, foram concluídos 26 acordos de serviços exclusivamente de carga e procedimentos de aprovação de voos não regulares entre os Estados-Membros da UE e o Reino Unido, nos termos do artigo 419.º, n.</w:t>
      </w:r>
      <w:r>
        <w:rPr>
          <w:rFonts w:ascii="Times New Roman" w:hAnsi="Times New Roman"/>
          <w:noProof/>
          <w:sz w:val="24"/>
          <w:vertAlign w:val="superscript"/>
        </w:rPr>
        <w:t>os</w:t>
      </w:r>
      <w:r>
        <w:rPr>
          <w:rFonts w:ascii="Times New Roman" w:hAnsi="Times New Roman"/>
          <w:noProof/>
          <w:sz w:val="24"/>
        </w:rPr>
        <w:t> 4 e 9, do ACC</w:t>
      </w:r>
      <w:r>
        <w:rPr>
          <w:rStyle w:val="FootnoteReference"/>
          <w:rFonts w:ascii="Times New Roman" w:eastAsia="Calibri" w:hAnsi="Times New Roman" w:cs="Times New Roman"/>
          <w:noProof/>
          <w:sz w:val="24"/>
          <w:szCs w:val="24"/>
        </w:rPr>
        <w:footnoteReference w:id="37"/>
      </w:r>
      <w:r>
        <w:rPr>
          <w:rFonts w:ascii="Times New Roman" w:hAnsi="Times New Roman"/>
          <w:noProof/>
          <w:sz w:val="24"/>
        </w:rPr>
        <w:t xml:space="preserve">. Além disso, os Estados-Membros da UE e o Reino Unido concederam autorizações </w:t>
      </w:r>
      <w:r>
        <w:rPr>
          <w:rFonts w:ascii="Times New Roman" w:hAnsi="Times New Roman"/>
          <w:i/>
          <w:iCs/>
          <w:noProof/>
          <w:sz w:val="24"/>
        </w:rPr>
        <w:t>ad hoc</w:t>
      </w:r>
      <w:r>
        <w:rPr>
          <w:rFonts w:ascii="Times New Roman" w:hAnsi="Times New Roman"/>
          <w:noProof/>
          <w:sz w:val="24"/>
        </w:rPr>
        <w:t xml:space="preserve"> para voos regulares de transporte de mercadorias ou de passageiros entre o Reino Unido e a UE para além das liberdades previstas no artigo 419.º do ACC. O Reino Unido e 25 Estados-Membros concederam estas autorizações através de «licenças globais», que abrangem vários voos para uma determinada transportadora aérea. </w:t>
      </w:r>
    </w:p>
    <w:p w14:paraId="229B0D3F" w14:textId="5B82697B" w:rsidR="00DB5952" w:rsidRPr="00F006D0" w:rsidRDefault="00DB5952" w:rsidP="00DB5952">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 domínio dos </w:t>
      </w:r>
      <w:r>
        <w:rPr>
          <w:rFonts w:ascii="Times New Roman" w:hAnsi="Times New Roman"/>
          <w:b/>
          <w:noProof/>
          <w:sz w:val="24"/>
        </w:rPr>
        <w:t>transportes rodoviários</w:t>
      </w:r>
      <w:r>
        <w:rPr>
          <w:rFonts w:ascii="Times New Roman" w:hAnsi="Times New Roman"/>
          <w:noProof/>
          <w:sz w:val="24"/>
        </w:rPr>
        <w:t>, prosseguiram trabalhos para aplicar as disposições do ACC relativas ao intercâmbio de informações e dados contidos nos registos eletrónicos nacionais (ver a parte A, secção 1, artigo 14.º, do anexo 31 do ACC). Esses trabalhos incluíram a ligação, a partir de 1 de janeiro de 2026, do Reino Unido ao Registo Europeu das Empresas de Transporte Rodoviário, que liga os registos nacionais dos transportadores rodoviários, permitindo o intercâmbio de informações sobre infrações graves cometidas pelas empresas de transporte rodoviário na outra parte do ACC, bem como de outras informações contidas nos registos eletrónicos nacionais. Estas iniciativas visam reforçar a cooperação e melhorar a partilha de dados entre a UE e o Reino Unido, tendo sido formalizadas através das Decisões n.º 1/2025, n.º 2/2025 e n.º 3/2025 do Comité Especializado dos Transportes Rodoviários</w:t>
      </w:r>
      <w:r>
        <w:rPr>
          <w:rStyle w:val="FootnoteReference"/>
          <w:rFonts w:ascii="Times New Roman" w:eastAsia="Times New Roman" w:hAnsi="Times New Roman" w:cs="Times New Roman"/>
          <w:noProof/>
          <w:sz w:val="24"/>
          <w:szCs w:val="24"/>
        </w:rPr>
        <w:footnoteReference w:id="38"/>
      </w:r>
      <w:r>
        <w:rPr>
          <w:rFonts w:ascii="Times New Roman" w:hAnsi="Times New Roman"/>
          <w:noProof/>
          <w:sz w:val="24"/>
        </w:rPr>
        <w:t>.</w:t>
      </w:r>
    </w:p>
    <w:p w14:paraId="29BC8358" w14:textId="7CB14664" w:rsidR="00F12521" w:rsidRDefault="33A451BC"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57" w:name="_Toc185413388"/>
      <w:bookmarkStart w:id="58" w:name="_Toc204769326"/>
      <w:bookmarkStart w:id="59" w:name="_Toc226580801"/>
      <w:r>
        <w:rPr>
          <w:rFonts w:ascii="Times New Roman" w:hAnsi="Times New Roman"/>
          <w:b/>
          <w:noProof/>
          <w:color w:val="auto"/>
        </w:rPr>
        <w:t>Pescas</w:t>
      </w:r>
      <w:bookmarkEnd w:id="57"/>
      <w:bookmarkEnd w:id="58"/>
      <w:bookmarkEnd w:id="59"/>
    </w:p>
    <w:p w14:paraId="581315E5" w14:textId="43779723" w:rsidR="00B7366F" w:rsidRDefault="00A9100D" w:rsidP="00A9100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O acordo político histórico alcançado na cimeira UE-Reino Unido no sentido de garantir o pleno acesso recíproco às águas para além de 30 de junho de 2026 e até 30 de junho de 2038 é o desenvolvimento mais significativo no domínio das pescas. Formalizado através da Decisão n.º 1/2025</w:t>
      </w:r>
      <w:r>
        <w:rPr>
          <w:rStyle w:val="FootnoteReference"/>
          <w:rFonts w:ascii="Times New Roman" w:hAnsi="Times New Roman" w:cs="Times New Roman"/>
          <w:noProof/>
          <w:sz w:val="24"/>
          <w:szCs w:val="24"/>
        </w:rPr>
        <w:footnoteReference w:id="39"/>
      </w:r>
      <w:r>
        <w:rPr>
          <w:rFonts w:ascii="Times New Roman" w:hAnsi="Times New Roman"/>
          <w:noProof/>
          <w:sz w:val="24"/>
        </w:rPr>
        <w:t xml:space="preserve"> do Conselho de Parceria e da Decisão n.º 1/2025</w:t>
      </w:r>
      <w:r>
        <w:rPr>
          <w:rStyle w:val="FootnoteReference"/>
          <w:rFonts w:ascii="Times New Roman" w:hAnsi="Times New Roman" w:cs="Times New Roman"/>
          <w:noProof/>
          <w:sz w:val="24"/>
          <w:szCs w:val="24"/>
        </w:rPr>
        <w:footnoteReference w:id="40"/>
      </w:r>
      <w:r>
        <w:rPr>
          <w:rFonts w:ascii="Times New Roman" w:hAnsi="Times New Roman"/>
          <w:noProof/>
          <w:sz w:val="24"/>
        </w:rPr>
        <w:t xml:space="preserve"> do Comité Especializado das Pescas ao abrigo do ACC, este acordo proporciona estabilidade e previsibilidade a longo prazo aos pescadores da UE, garantindo os seus direitos e salvaguardando os meios de subsistência, e constitui um importante passo em frente na aplicação do Entendimento Comum.</w:t>
      </w:r>
    </w:p>
    <w:p w14:paraId="7DC693C0" w14:textId="5DEDF008" w:rsidR="00B33843" w:rsidRDefault="00B33843" w:rsidP="00A14452">
      <w:pPr>
        <w:spacing w:before="100" w:beforeAutospacing="1" w:after="100" w:afterAutospacing="1" w:line="240" w:lineRule="auto"/>
        <w:jc w:val="both"/>
        <w:rPr>
          <w:rFonts w:ascii="Times New Roman" w:hAnsi="Times New Roman" w:cs="Times New Roman"/>
          <w:noProof/>
          <w:sz w:val="24"/>
          <w:szCs w:val="24"/>
        </w:rPr>
      </w:pPr>
      <w:bookmarkStart w:id="60" w:name="_Hlk218760230"/>
      <w:bookmarkStart w:id="61" w:name="_Hlk210125164"/>
      <w:r>
        <w:rPr>
          <w:rFonts w:ascii="Times New Roman" w:hAnsi="Times New Roman"/>
          <w:noProof/>
          <w:sz w:val="24"/>
        </w:rPr>
        <w:t>Além disso, a Comissão participou ativamente em debates com o Reino Unido sobre as respetivas zonas marinhas protegidas. Embora apoie plenamente a proteção dos ecossistemas marinhos, a Comissão salienta a necessidade de abordagens que equilibrem a conservação com considerações socioeconómicas e a proteção dos direitos de pesca da UE. A Comissão continua empenhada num diálogo construtivo com as autoridades do Reino Unido.</w:t>
      </w:r>
    </w:p>
    <w:bookmarkEnd w:id="60"/>
    <w:p w14:paraId="7684B2D5" w14:textId="5DCEBD49" w:rsidR="00A9100D" w:rsidRPr="00A9100D" w:rsidRDefault="0023461A" w:rsidP="00A9100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Por fim, em dezembro de 2025, a UE e o Reino Unido concluíram as consultas anuais ao abrigo do artigo 498.º do ACC para determinar os totais admissíveis de capturas para unidades populacionais partilhadas em 2026. O acordo garante que as frotas da UE podem pescar até 288 000 toneladas, num valor superior a 1,2 mil milhões de EUR.</w:t>
      </w:r>
    </w:p>
    <w:p w14:paraId="2F3DBB23" w14:textId="12FB78F2" w:rsidR="006D1404" w:rsidRPr="0086076B" w:rsidRDefault="33A451BC"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62" w:name="_Toc185413389"/>
      <w:bookmarkStart w:id="63" w:name="_Toc204769327"/>
      <w:bookmarkStart w:id="64" w:name="_Toc226580802"/>
      <w:bookmarkEnd w:id="61"/>
      <w:r>
        <w:rPr>
          <w:rFonts w:ascii="Times New Roman" w:hAnsi="Times New Roman"/>
          <w:b/>
          <w:noProof/>
          <w:color w:val="auto"/>
        </w:rPr>
        <w:t>Coordenação da segurança social</w:t>
      </w:r>
      <w:bookmarkEnd w:id="62"/>
      <w:bookmarkEnd w:id="63"/>
      <w:bookmarkEnd w:id="64"/>
    </w:p>
    <w:p w14:paraId="5A6C51B1" w14:textId="7A85E211" w:rsidR="01125C26" w:rsidRDefault="01125C26" w:rsidP="001D0BC1">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Tal como em anos anteriores, a aplicação do Protocolo relativo à Coordenação da Segurança Social do ACC (o «Protocolo») prosseguiu de forma construtiva, não tendo sido identificadas questões sistémicas ou estruturais.</w:t>
      </w:r>
    </w:p>
    <w:p w14:paraId="3F455BA4" w14:textId="69F2E688" w:rsidR="01125C26" w:rsidRDefault="01125C26" w:rsidP="00411895">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O Comité Especializado da Coordenação da Segurança Social prosseguiu os seus trabalhos técnicos, nomeadamente nos seguintes domínios: i) alterações dos documentos eletrónicos estruturados e dos documentos portáteis, ii) procedimentos para o reembolso do custo das prestações de doença, iii) transposição das decisões pertinentes da Comissão Administrativa para a Coordenação dos Sistemas de Segurança Social e iv) conversações exploratórias sobre a possibilidade de incluir uma nova disposição nas regras de execução do Protocolo, que permita aos Estados derrogar as regras relativas à legislação aplicável por comum acordo em situações bem definidas e no interesse das pessoas em causa. Em 2025, não foram adotadas decisões ou recomendações.</w:t>
      </w:r>
    </w:p>
    <w:p w14:paraId="7A26BA23" w14:textId="70077539" w:rsidR="006D1404" w:rsidRPr="0086076B" w:rsidRDefault="33A451BC"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65" w:name="_Toc185413390"/>
      <w:bookmarkStart w:id="66" w:name="_Toc204769328"/>
      <w:bookmarkStart w:id="67" w:name="_Toc226580803"/>
      <w:r>
        <w:rPr>
          <w:rFonts w:ascii="Times New Roman" w:hAnsi="Times New Roman"/>
          <w:b/>
          <w:noProof/>
          <w:color w:val="auto"/>
        </w:rPr>
        <w:t>Cooperação policial e judiciária em matéria penal</w:t>
      </w:r>
      <w:bookmarkEnd w:id="65"/>
      <w:bookmarkEnd w:id="66"/>
      <w:bookmarkEnd w:id="67"/>
    </w:p>
    <w:p w14:paraId="5BA06319" w14:textId="64BCFB75" w:rsidR="00AE3EE8" w:rsidRDefault="00AE3EE8" w:rsidP="00470A6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Em 2025, registaram-se novos progressos no reforço da cooperação neste domínio.</w:t>
      </w:r>
    </w:p>
    <w:p w14:paraId="4091524D" w14:textId="0978DE52" w:rsidR="00AE3EE8" w:rsidRDefault="00AE3EE8" w:rsidP="00AE3EE8">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Até ao final do ano, 25 Estados-Membros e o Reino Unido tinham concedido mutuamente acesso às suas bases nacionais de dados dactiloscópicos, em conformidade com o artigo 534.º do ACC. Esta evolução teve por base os progressos realizados em 2024, quando todos os Estados-Membros e o Reino Unido forneceram acesso recíproco às suas bases de dados nacionais de ADN para consulta automatizada, em consonância com o artigo 530.º do ACC.</w:t>
      </w:r>
    </w:p>
    <w:p w14:paraId="6C37DB65" w14:textId="7368EE77" w:rsidR="00764E6C" w:rsidRDefault="00AE3EE8" w:rsidP="00AE3EE8">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No que diz respeito ao intercâmbio de dados relativos ao registo de veículos, o Reino Unido realizou uma visita de avaliação e um projeto-piloto para avaliar a sua aplicação das obrigações estabelecidas na parte III, título II, do ACC. Com base no relatório de avaliação de 17 de outubro de 2025, o Conselho determinará a data a partir da qual os Estados</w:t>
      </w:r>
      <w:r w:rsidR="009019E6">
        <w:rPr>
          <w:rFonts w:ascii="Times New Roman" w:hAnsi="Times New Roman"/>
          <w:noProof/>
          <w:sz w:val="24"/>
        </w:rPr>
        <w:noBreakHyphen/>
      </w:r>
      <w:r>
        <w:rPr>
          <w:rFonts w:ascii="Times New Roman" w:hAnsi="Times New Roman"/>
          <w:noProof/>
          <w:sz w:val="24"/>
        </w:rPr>
        <w:t>Membros podem começar a fornecer dados ao Reino Unido. Logo que a decisão seja adotada, os Estados-Membros e o Reino Unido poderão efetuar consultas automatizadas nas bases de dados nacionais uns dos outros, nos termos do artigo 537.º do ACC.</w:t>
      </w:r>
    </w:p>
    <w:p w14:paraId="218532FD" w14:textId="2E880FA9" w:rsidR="00305A8B" w:rsidRDefault="00305A8B" w:rsidP="00AE3EE8">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Em 24 de setembro, a Europol e a Agência Nacional para a Criminalidade do Reino Unido assinaram um acordo de trabalho relativo aos agentes de ligação destacados pelo Reino Unido para a Europol. Esse acordo permite ao Reino Unido destacar até 20 agentes de ligação para a Europol e especifica as funções desses agentes, os seus direitos e obrigações e os custos envolvidos, em conformidade com o artigo 577.º, n.º 2, alínea d), do ACC.</w:t>
      </w:r>
    </w:p>
    <w:p w14:paraId="3E663A9B" w14:textId="42F8ECFE" w:rsidR="00263800" w:rsidRDefault="00263800" w:rsidP="00AE3EE8">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Em conformidade com o artigo 630.º, n.º 2, do ACC, a UE reviu as suas notificações ao Reino Unido no que se refere à entrega de pessoas procuradas e notificou em conformidade o Comité Especializado da Aplicação da Lei e Cooperação Judiciária. Essa revisão tem de ser efetuada de cinco em cinco anos após a entrada em vigor do ACC</w:t>
      </w:r>
      <w:r>
        <w:rPr>
          <w:rStyle w:val="FootnoteReference"/>
          <w:rFonts w:ascii="Times New Roman" w:eastAsia="Times New Roman" w:hAnsi="Times New Roman" w:cs="Times New Roman"/>
          <w:noProof/>
          <w:sz w:val="24"/>
          <w:szCs w:val="24"/>
        </w:rPr>
        <w:footnoteReference w:id="41"/>
      </w:r>
      <w:r>
        <w:rPr>
          <w:rFonts w:ascii="Times New Roman" w:hAnsi="Times New Roman"/>
          <w:noProof/>
          <w:sz w:val="24"/>
        </w:rPr>
        <w:t>.</w:t>
      </w:r>
    </w:p>
    <w:p w14:paraId="5E3C5BB2" w14:textId="47735B9B" w:rsidR="006D1404" w:rsidRPr="0086076B" w:rsidRDefault="4EF2814B"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68" w:name="_Toc185413391"/>
      <w:bookmarkStart w:id="69" w:name="_Toc204769329"/>
      <w:bookmarkStart w:id="70" w:name="_Toc226580804"/>
      <w:r>
        <w:rPr>
          <w:rFonts w:ascii="Times New Roman" w:hAnsi="Times New Roman"/>
          <w:b/>
          <w:noProof/>
          <w:color w:val="auto"/>
        </w:rPr>
        <w:t>Associação do Reino Unido a determinados programas da UE</w:t>
      </w:r>
      <w:bookmarkEnd w:id="68"/>
      <w:bookmarkEnd w:id="69"/>
      <w:bookmarkEnd w:id="70"/>
    </w:p>
    <w:p w14:paraId="5699DD03" w14:textId="07C2BE5D" w:rsidR="00B66F0C" w:rsidRPr="00F52880" w:rsidRDefault="00B66F0C" w:rsidP="00B66F0C">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Desde 2024, o Reino Unido tem estado associado a vários programas da UE, incluindo o Horizonte Europa e a componente Copernicus do Programa Espacial da União. Essa associação permite que entidades do Reino Unido participem em projetos colaborativos de investigação e inovação em toda a UE e fora dela.</w:t>
      </w:r>
    </w:p>
    <w:p w14:paraId="18F03217" w14:textId="3992EB39" w:rsidR="00EC3EB0" w:rsidRPr="00F52880" w:rsidRDefault="00BD370D" w:rsidP="00B66F0C">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De acordo com os dados mais recentes</w:t>
      </w:r>
      <w:r>
        <w:rPr>
          <w:rStyle w:val="FootnoteReference"/>
          <w:rFonts w:ascii="Times New Roman" w:eastAsia="Times New Roman" w:hAnsi="Times New Roman" w:cs="Times New Roman"/>
          <w:noProof/>
          <w:sz w:val="24"/>
          <w:szCs w:val="24"/>
        </w:rPr>
        <w:footnoteReference w:id="42"/>
      </w:r>
      <w:r>
        <w:rPr>
          <w:rFonts w:ascii="Times New Roman" w:hAnsi="Times New Roman"/>
          <w:noProof/>
          <w:sz w:val="24"/>
        </w:rPr>
        <w:t>, desde 2024, o Reino Unido tem sido o quarto maior beneficiário de subvenções de entre todos os países participantes (a seguir à Alemanha, à Espanha e à França</w:t>
      </w:r>
      <w:r>
        <w:rPr>
          <w:rStyle w:val="FootnoteReference"/>
          <w:rFonts w:ascii="Times New Roman" w:eastAsia="Times New Roman" w:hAnsi="Times New Roman" w:cs="Times New Roman"/>
          <w:noProof/>
          <w:sz w:val="24"/>
          <w:szCs w:val="24"/>
        </w:rPr>
        <w:footnoteReference w:id="43"/>
      </w:r>
      <w:r>
        <w:rPr>
          <w:rFonts w:ascii="Times New Roman" w:hAnsi="Times New Roman"/>
          <w:noProof/>
          <w:sz w:val="24"/>
        </w:rPr>
        <w:t>), tendo as entidades do Reino Unido assegurado cerca de 1,2 mil milhões de EUR de financiamento do Horizonte Europa. O Reino Unido lidera igualmente no que se refere às ações Marie Skłodowska-Curie, permitindo que as suas universidades e instituições participem em redes de doutoramento e coordenem projetos.</w:t>
      </w:r>
    </w:p>
    <w:p w14:paraId="3224EBC7" w14:textId="6EEE91C3" w:rsidR="000F4C0B" w:rsidRDefault="00B66F0C" w:rsidP="00E10EB6">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Além disso, na cimeira de maio de 2025, ambas as partes acordaram trabalhar no sentido da associação do Reino Unido ao programa Erasmus+. Em dezembro de 2025, a Comissão concluiu as negociações para a associação do Reino Unido a partir de 1 de janeiro de 2027</w:t>
      </w:r>
      <w:r>
        <w:rPr>
          <w:rStyle w:val="FootnoteReference"/>
          <w:rFonts w:ascii="Times New Roman" w:eastAsia="Times New Roman" w:hAnsi="Times New Roman" w:cs="Times New Roman"/>
          <w:noProof/>
          <w:sz w:val="24"/>
          <w:szCs w:val="24"/>
        </w:rPr>
        <w:footnoteReference w:id="44"/>
      </w:r>
      <w:r>
        <w:rPr>
          <w:rFonts w:ascii="Times New Roman" w:hAnsi="Times New Roman"/>
          <w:noProof/>
          <w:sz w:val="24"/>
        </w:rPr>
        <w:t>. Seguir-se-á uma proposta da Comissão ao Conselho de alteração do Protocolo I do ACC, que, por sua vez, será seguida das etapas legislativas e processuais necessárias para que o Comité Especializado da Participação em Programas da União adote os termos atualizados do Protocolo I, que rege a associação do Reino Unido ao Erasmus+. Trata-se de um passo significativo no sentido de uma maior participação em mobilidades entre a UE e o Reino Unido, bem como da cooperação em todos os setores abrangidos pelo programa (educação, formação, juventude e desporto).</w:t>
      </w:r>
    </w:p>
    <w:p w14:paraId="6D4ABEFD" w14:textId="2AAC12F7" w:rsidR="00446FCC" w:rsidRPr="00446FCC" w:rsidRDefault="00446FCC" w:rsidP="007F7326">
      <w:pPr>
        <w:pStyle w:val="Heading2"/>
        <w:numPr>
          <w:ilvl w:val="1"/>
          <w:numId w:val="55"/>
        </w:numPr>
        <w:spacing w:before="100" w:beforeAutospacing="1" w:after="100" w:afterAutospacing="1" w:line="240" w:lineRule="auto"/>
        <w:rPr>
          <w:rFonts w:ascii="Times New Roman" w:eastAsia="Times New Roman" w:hAnsi="Times New Roman" w:cs="Times New Roman"/>
          <w:b/>
          <w:bCs/>
          <w:noProof/>
          <w:color w:val="auto"/>
        </w:rPr>
      </w:pPr>
      <w:bookmarkStart w:id="71" w:name="_Toc226580805"/>
      <w:r>
        <w:rPr>
          <w:rFonts w:ascii="Times New Roman" w:hAnsi="Times New Roman"/>
          <w:b/>
          <w:noProof/>
          <w:color w:val="auto"/>
        </w:rPr>
        <w:t>Outros domínios</w:t>
      </w:r>
      <w:bookmarkEnd w:id="71"/>
    </w:p>
    <w:p w14:paraId="06B769E2" w14:textId="121C8889" w:rsidR="00023CFA" w:rsidRPr="00F52880" w:rsidRDefault="00A94F20" w:rsidP="00470A6D">
      <w:pPr>
        <w:spacing w:before="100" w:beforeAutospacing="1" w:after="100" w:afterAutospacing="1" w:line="240" w:lineRule="auto"/>
        <w:jc w:val="both"/>
        <w:rPr>
          <w:rFonts w:ascii="Times New Roman" w:eastAsia="Times New Roman" w:hAnsi="Times New Roman" w:cs="Times New Roman"/>
          <w:noProof/>
          <w:sz w:val="24"/>
          <w:szCs w:val="24"/>
        </w:rPr>
      </w:pPr>
      <w:bookmarkStart w:id="72" w:name="_Hlk215156840"/>
      <w:r>
        <w:rPr>
          <w:rFonts w:ascii="Times New Roman" w:hAnsi="Times New Roman"/>
          <w:noProof/>
          <w:sz w:val="24"/>
        </w:rPr>
        <w:t xml:space="preserve">No domínio da </w:t>
      </w:r>
      <w:r>
        <w:rPr>
          <w:rFonts w:ascii="Times New Roman" w:hAnsi="Times New Roman"/>
          <w:b/>
          <w:noProof/>
          <w:sz w:val="24"/>
        </w:rPr>
        <w:t>segurança sanitária</w:t>
      </w:r>
      <w:r>
        <w:rPr>
          <w:rFonts w:ascii="Times New Roman" w:hAnsi="Times New Roman"/>
          <w:noProof/>
          <w:sz w:val="24"/>
        </w:rPr>
        <w:t>, realizaram-se conversações exploratórias com vista a maximizar a cooperação bilateral em matéria de deteção e preparação para futuras pandemias e de resposta a ameaças emergentes para a saúde.</w:t>
      </w:r>
    </w:p>
    <w:p w14:paraId="619399A7" w14:textId="3DDF9C4C" w:rsidR="001E56AA" w:rsidRDefault="001E56AA" w:rsidP="00470A6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Em conformidade com o Entendimento Comum e na sequência da adoção pelo Conselho, em 11 de junho de 2025, de uma decisão</w:t>
      </w:r>
      <w:r>
        <w:rPr>
          <w:rStyle w:val="FootnoteReference"/>
          <w:rFonts w:ascii="Times New Roman" w:eastAsia="Times New Roman" w:hAnsi="Times New Roman" w:cs="Times New Roman"/>
          <w:noProof/>
          <w:sz w:val="24"/>
          <w:szCs w:val="24"/>
        </w:rPr>
        <w:footnoteReference w:id="45"/>
      </w:r>
      <w:r>
        <w:rPr>
          <w:rFonts w:ascii="Times New Roman" w:hAnsi="Times New Roman"/>
          <w:noProof/>
          <w:sz w:val="24"/>
        </w:rPr>
        <w:t xml:space="preserve"> e de diretrizes de negociação, foram iniciadas negociações com vista à celebração de um acordo internacional sobre o </w:t>
      </w:r>
      <w:r>
        <w:rPr>
          <w:rFonts w:ascii="Times New Roman" w:hAnsi="Times New Roman"/>
          <w:b/>
          <w:noProof/>
          <w:sz w:val="24"/>
        </w:rPr>
        <w:t>programa de experiência profissional para os jovens</w:t>
      </w:r>
      <w:r>
        <w:rPr>
          <w:rFonts w:ascii="Times New Roman" w:hAnsi="Times New Roman"/>
          <w:noProof/>
          <w:sz w:val="24"/>
        </w:rPr>
        <w:t>, introduzindo uma nova via de emissão de vistos e facilitando a participação dos jovens da UE e do Reino Unido numa série de atividades.</w:t>
      </w:r>
    </w:p>
    <w:p w14:paraId="3F12493A" w14:textId="0289FC29" w:rsidR="006D1404" w:rsidRPr="0086076B" w:rsidRDefault="27FE4BCF" w:rsidP="000E5D73">
      <w:pPr>
        <w:pStyle w:val="Heading1"/>
        <w:keepLines w:val="0"/>
        <w:numPr>
          <w:ilvl w:val="0"/>
          <w:numId w:val="55"/>
        </w:numPr>
        <w:spacing w:before="100" w:beforeAutospacing="1" w:after="100" w:afterAutospacing="1" w:line="240" w:lineRule="auto"/>
        <w:rPr>
          <w:rFonts w:ascii="Times New Roman" w:hAnsi="Times New Roman" w:cs="Times New Roman"/>
          <w:b/>
          <w:bCs/>
          <w:noProof/>
          <w:color w:val="auto"/>
        </w:rPr>
      </w:pPr>
      <w:bookmarkStart w:id="73" w:name="_Toc86154517"/>
      <w:bookmarkStart w:id="74" w:name="_Toc185413393"/>
      <w:bookmarkStart w:id="75" w:name="_Toc204769330"/>
      <w:bookmarkStart w:id="76" w:name="_Toc226580806"/>
      <w:bookmarkEnd w:id="72"/>
      <w:r>
        <w:rPr>
          <w:rFonts w:ascii="Times New Roman" w:hAnsi="Times New Roman"/>
          <w:b/>
          <w:noProof/>
          <w:color w:val="auto"/>
        </w:rPr>
        <w:t xml:space="preserve">Evolução do direito do </w:t>
      </w:r>
      <w:bookmarkEnd w:id="73"/>
      <w:r>
        <w:rPr>
          <w:rFonts w:ascii="Times New Roman" w:hAnsi="Times New Roman"/>
          <w:b/>
          <w:noProof/>
          <w:color w:val="auto"/>
        </w:rPr>
        <w:t>Reino Unido</w:t>
      </w:r>
      <w:bookmarkEnd w:id="74"/>
      <w:bookmarkEnd w:id="75"/>
      <w:bookmarkEnd w:id="76"/>
    </w:p>
    <w:p w14:paraId="01EEAF13" w14:textId="5B0A9DA4" w:rsidR="009C4EB8" w:rsidRDefault="00225BB2"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Em consonância com o acompanhamento contínuo realizado pela Comissão, a presente secção analisa a evolução legislativa no Reino Unido, tal como exigido pelo artigo 2.º, n.º 4, da Decisão (UE) 2021/689 do Conselho, com especial destaque para as medidas mais significativas pertinentes para a aplicação do ACC.</w:t>
      </w:r>
    </w:p>
    <w:p w14:paraId="43031B4E" w14:textId="1404317F" w:rsidR="007D3844" w:rsidRPr="006146F7" w:rsidRDefault="007D3844" w:rsidP="007D3844">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 domínio do </w:t>
      </w:r>
      <w:r>
        <w:rPr>
          <w:rFonts w:ascii="Times New Roman" w:hAnsi="Times New Roman"/>
          <w:b/>
          <w:noProof/>
          <w:sz w:val="24"/>
        </w:rPr>
        <w:t>controlo das subvenções</w:t>
      </w:r>
      <w:r>
        <w:rPr>
          <w:rFonts w:ascii="Times New Roman" w:hAnsi="Times New Roman"/>
          <w:noProof/>
          <w:sz w:val="24"/>
        </w:rPr>
        <w:t>, o Governo continuou a aperfeiçoar o quadro estabelecido ao abrigo da Subsidy Control Act 2022 (Lei relativa ao controlo das subvenções de 2022)</w:t>
      </w:r>
      <w:r>
        <w:rPr>
          <w:rStyle w:val="FootnoteReference"/>
          <w:rFonts w:ascii="Times New Roman" w:eastAsia="Times New Roman" w:hAnsi="Times New Roman" w:cs="Times New Roman"/>
          <w:noProof/>
          <w:sz w:val="24"/>
          <w:szCs w:val="24"/>
        </w:rPr>
        <w:footnoteReference w:id="46"/>
      </w:r>
      <w:r>
        <w:rPr>
          <w:rFonts w:ascii="Times New Roman" w:hAnsi="Times New Roman"/>
          <w:noProof/>
          <w:sz w:val="24"/>
        </w:rPr>
        <w:t>. Os Subsidy Control (Subsidies and Schemes of Interest or Particular Interest) (Amendment) Regulations 2025 [Regulamentos de 2025 relativos ao controlo das subvenções (subvenções e regimes de juros ou de juros especiais) (alteração)]</w:t>
      </w:r>
      <w:r>
        <w:rPr>
          <w:rStyle w:val="FootnoteReference"/>
          <w:rFonts w:ascii="Times New Roman" w:eastAsia="Times New Roman" w:hAnsi="Times New Roman" w:cs="Times New Roman"/>
          <w:noProof/>
          <w:sz w:val="24"/>
          <w:szCs w:val="24"/>
        </w:rPr>
        <w:footnoteReference w:id="47"/>
      </w:r>
      <w:r>
        <w:rPr>
          <w:rFonts w:ascii="Times New Roman" w:hAnsi="Times New Roman"/>
          <w:noProof/>
          <w:sz w:val="24"/>
        </w:rPr>
        <w:t>, com efeitos a partir de agosto de 2025, aumentaram o limiar financeiro para a comunicação obrigatória de subvenções e regimes em setores não sensíveis à Competition and Markets Authority (autoridade da concorrência e dos mercados), de 10 milhões de GBP para 25 milhões de GBP.</w:t>
      </w:r>
      <w:r>
        <w:rPr>
          <w:noProof/>
        </w:rPr>
        <w:t xml:space="preserve"> </w:t>
      </w:r>
      <w:r>
        <w:rPr>
          <w:rFonts w:ascii="Times New Roman" w:hAnsi="Times New Roman"/>
          <w:noProof/>
          <w:sz w:val="24"/>
        </w:rPr>
        <w:t>Consequentemente, a Competition and Markets Authority estimou uma redução de 28 % no número de subvenções examinadas pela Subsidy Advice Unit (unidade de aconselhamento em subvenções).</w:t>
      </w:r>
    </w:p>
    <w:p w14:paraId="50E46F1B" w14:textId="1B32F897" w:rsidR="00E81C30" w:rsidRPr="006146F7" w:rsidRDefault="00E81C30"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 domínio das </w:t>
      </w:r>
      <w:r>
        <w:rPr>
          <w:rFonts w:ascii="Times New Roman" w:hAnsi="Times New Roman"/>
          <w:b/>
          <w:noProof/>
          <w:sz w:val="24"/>
        </w:rPr>
        <w:t>normas laborais e sociais</w:t>
      </w:r>
      <w:r>
        <w:rPr>
          <w:rFonts w:ascii="Times New Roman" w:hAnsi="Times New Roman"/>
          <w:noProof/>
          <w:sz w:val="24"/>
        </w:rPr>
        <w:t>, a Employment Rights Act 2025 (Lei de 2025 relativa aos direitos dos trabalhadores)</w:t>
      </w:r>
      <w:r>
        <w:rPr>
          <w:rStyle w:val="FootnoteReference"/>
          <w:rFonts w:ascii="Times New Roman" w:eastAsia="Times New Roman" w:hAnsi="Times New Roman" w:cs="Times New Roman"/>
          <w:noProof/>
          <w:sz w:val="24"/>
          <w:szCs w:val="24"/>
        </w:rPr>
        <w:footnoteReference w:id="48"/>
      </w:r>
      <w:r>
        <w:rPr>
          <w:rFonts w:ascii="Times New Roman" w:hAnsi="Times New Roman"/>
          <w:noProof/>
          <w:sz w:val="24"/>
        </w:rPr>
        <w:t xml:space="preserve"> introduziu reformas no direito do trabalho em Inglaterra, na Escócia e no País de Gales. As principais disposições, acolhidas favoravelmente pela UE, incluem atualizações dos procedimentos de despedimento, obrigações dos empregadores em matéria de igualdade, funções sindicais e aplicação da legislação laboral. Em especial, esta lei visa pôr termo aos contratos sem especificação do horário de trabalho, concedendo direitos a horas garantidas, e modernizar a legislação sindical, nomeadamente revogando a controversa Strikes (Minimum Service Levels) Act 2023 [Lei de 2023 relativa às greves (níveis de serviços mínimos)]</w:t>
      </w:r>
      <w:r>
        <w:rPr>
          <w:rStyle w:val="FootnoteReference"/>
          <w:rFonts w:ascii="Times New Roman" w:eastAsia="Times New Roman" w:hAnsi="Times New Roman" w:cs="Times New Roman"/>
          <w:noProof/>
          <w:sz w:val="24"/>
          <w:szCs w:val="24"/>
        </w:rPr>
        <w:footnoteReference w:id="49"/>
      </w:r>
      <w:r>
        <w:rPr>
          <w:rFonts w:ascii="Times New Roman" w:hAnsi="Times New Roman"/>
          <w:noProof/>
          <w:sz w:val="24"/>
        </w:rPr>
        <w:t>, salientada pela Comissão no seu relatório de 2023 sobre a aplicação do ACC</w:t>
      </w:r>
      <w:r>
        <w:rPr>
          <w:rStyle w:val="FootnoteReference"/>
          <w:rFonts w:ascii="Times New Roman" w:eastAsia="Times New Roman" w:hAnsi="Times New Roman" w:cs="Times New Roman"/>
          <w:noProof/>
          <w:sz w:val="24"/>
          <w:szCs w:val="24"/>
        </w:rPr>
        <w:footnoteReference w:id="50"/>
      </w:r>
      <w:r>
        <w:rPr>
          <w:rFonts w:ascii="Times New Roman" w:hAnsi="Times New Roman"/>
          <w:noProof/>
          <w:sz w:val="24"/>
        </w:rPr>
        <w:t>.</w:t>
      </w:r>
    </w:p>
    <w:p w14:paraId="25BF688E" w14:textId="3A01553A" w:rsidR="00E661FF" w:rsidRDefault="00A5477E"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 que se refere à legislação em matéria de </w:t>
      </w:r>
      <w:r>
        <w:rPr>
          <w:rFonts w:ascii="Times New Roman" w:hAnsi="Times New Roman"/>
          <w:b/>
          <w:noProof/>
          <w:sz w:val="24"/>
        </w:rPr>
        <w:t>clima e ambiente</w:t>
      </w:r>
      <w:r>
        <w:rPr>
          <w:rFonts w:ascii="Times New Roman" w:hAnsi="Times New Roman"/>
          <w:noProof/>
          <w:sz w:val="24"/>
        </w:rPr>
        <w:t>, a Great British Energy Act 2025 (Lei de 2025 relativa à Great British Energy)</w:t>
      </w:r>
      <w:r>
        <w:rPr>
          <w:rStyle w:val="FootnoteReference"/>
          <w:rFonts w:ascii="Times New Roman" w:eastAsia="Times New Roman" w:hAnsi="Times New Roman" w:cs="Times New Roman"/>
          <w:noProof/>
          <w:sz w:val="24"/>
          <w:szCs w:val="24"/>
        </w:rPr>
        <w:footnoteReference w:id="51"/>
      </w:r>
      <w:r>
        <w:rPr>
          <w:rFonts w:ascii="Times New Roman" w:hAnsi="Times New Roman"/>
          <w:noProof/>
          <w:sz w:val="24"/>
        </w:rPr>
        <w:t xml:space="preserve"> cria a Great British Energy (GBE), uma empresa pública de energia encarregada de acelerar o desenvolvimento de energias internas limpas. Esta lei confere à GBE autoridade para investir em infraestruturas de produção de energia, bem como para as gerir, promovendo assim a sustentabilidade ambiental e a segurança energética. Com um investimento superior a 8,3 mil milhões de GBP, a Comissão está a supervisionar atentamente a execução, a fim de assegurar a sua consonância com os compromissos assumidos pelo Reino Unido no âmbito do ACC.</w:t>
      </w:r>
    </w:p>
    <w:p w14:paraId="6FD30062" w14:textId="632DDCAD" w:rsidR="00E81C30" w:rsidRPr="006146F7" w:rsidRDefault="00212267" w:rsidP="00E661FF">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Além disso, a Planning and Infrastructure Act 2025 (Lei de 2025 relativa ao planeamento e às infraestruturas)</w:t>
      </w:r>
      <w:r>
        <w:rPr>
          <w:rStyle w:val="FootnoteReference"/>
          <w:rFonts w:ascii="Times New Roman" w:eastAsia="Times New Roman" w:hAnsi="Times New Roman" w:cs="Times New Roman"/>
          <w:noProof/>
          <w:sz w:val="24"/>
          <w:szCs w:val="24"/>
        </w:rPr>
        <w:footnoteReference w:id="52"/>
      </w:r>
      <w:r>
        <w:rPr>
          <w:rFonts w:ascii="Times New Roman" w:hAnsi="Times New Roman"/>
          <w:noProof/>
          <w:sz w:val="24"/>
        </w:rPr>
        <w:t xml:space="preserve"> procura simplificar a implantação de infraestruturas críticas através da introdução de um ordenamento estratégico do território em Inglaterra e da aceleração de projetos importantes, a fim de apoiar o crescimento económico e a sustentabilidade ambiental. Esta lei revê as regras em matéria de planeamento e infraestruturas, substituindo as obrigações de planeamento ambiental por uma taxa paga pelos promotores ao Fundo de Restauro da Natureza para financiar projetos de restauro. Além disso, simplifica as aprovações de «projetos de infraestruturas de importância significativa a nível nacional» e de infraestruturas de eletricidade. Trata-se de uma evolução importante neste domínio e a Comissão está a acompanhar ativamente o seu impacto no comércio, no investimento e no potencial incumprimento das obrigações de não regressão ao abrigo do ACC.</w:t>
      </w:r>
    </w:p>
    <w:p w14:paraId="0C283AFC" w14:textId="74C297D5" w:rsidR="00144CF1" w:rsidRDefault="00E81C30"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 domínio da </w:t>
      </w:r>
      <w:r>
        <w:rPr>
          <w:rFonts w:ascii="Times New Roman" w:hAnsi="Times New Roman"/>
          <w:b/>
          <w:noProof/>
          <w:sz w:val="24"/>
        </w:rPr>
        <w:t>regulamentação de produtos</w:t>
      </w:r>
      <w:r>
        <w:rPr>
          <w:rFonts w:ascii="Times New Roman" w:hAnsi="Times New Roman"/>
          <w:noProof/>
          <w:sz w:val="24"/>
        </w:rPr>
        <w:t>, a Product Regulation and Metrology Act 2025 (Lei de 2025 relativa à regulamentação de produtos e metrologia)</w:t>
      </w:r>
      <w:r>
        <w:rPr>
          <w:rStyle w:val="FootnoteReference"/>
          <w:rFonts w:ascii="Times New Roman" w:eastAsia="Times New Roman" w:hAnsi="Times New Roman" w:cs="Times New Roman"/>
          <w:noProof/>
          <w:sz w:val="24"/>
          <w:szCs w:val="24"/>
        </w:rPr>
        <w:footnoteReference w:id="53"/>
      </w:r>
      <w:r>
        <w:rPr>
          <w:rFonts w:ascii="Times New Roman" w:hAnsi="Times New Roman"/>
          <w:noProof/>
          <w:sz w:val="24"/>
        </w:rPr>
        <w:t xml:space="preserve"> constitui uma reforma abrangente do quadro do Reino Unido em matéria de segurança dos produtos, metrologia e proteção dos consumidores. Habilita o ministro da tutela a introduzir regulamentos que regulem a segurança, a eficiência e a exatidão dos produtos, nomeadamente no que diz respeito aos dispositivos de pesagem e de medição, e estende-se aos instaladores de produtos. Permite igualmente a normalização das unidades de medida, estabelece procedimentos para a supervisão regulamentar e prevê a coordenação com as administrações descentralizadas. Embora determinados setores, como o alimentar, dos medicamentos, do equipamento militar, das aeronaves e de alguns produtos agrícolas, estejam excluídos, esta lei estabelece as bases para o direito derivado futuro, nomeadamente regras que visam os mercados em linha e o comércio digital. O acompanhamento da aplicação desta lei é fundamental para permitir à Comissão manter o cumprimento do ACC e antecipar as alterações regulamentares que afetam o comércio transfronteiriço.</w:t>
      </w:r>
    </w:p>
    <w:p w14:paraId="3A825B03" w14:textId="20610E3D" w:rsidR="006749E2" w:rsidRDefault="006749E2"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No domínio da proteção de dados, a Data (Use and Access) Act 2025 [Lei de 2025 relativa aos dados (utilização e acesso)]</w:t>
      </w:r>
      <w:r>
        <w:rPr>
          <w:rStyle w:val="FootnoteReference"/>
          <w:rFonts w:ascii="Times New Roman" w:eastAsia="Times New Roman" w:hAnsi="Times New Roman" w:cs="Times New Roman"/>
          <w:noProof/>
          <w:sz w:val="24"/>
          <w:szCs w:val="24"/>
        </w:rPr>
        <w:footnoteReference w:id="54"/>
      </w:r>
      <w:r>
        <w:rPr>
          <w:rFonts w:ascii="Times New Roman" w:hAnsi="Times New Roman"/>
          <w:noProof/>
          <w:sz w:val="24"/>
        </w:rPr>
        <w:t>, adotada em junho de 2025 e que entra progressivamente em vigor entre junho de 2025 e junho de 2026, reforma o quadro de proteção de dados do Reino Unido para a verificação digital e a partilha de dados. Esta lei altera o General Data Protection Regulation (Regulamento Geral sobre a Proteção de Dados do Reino Unido) e a Data Protection Act 2018 (Lei de 2018 relativa à proteção de dados), estabelecendo novos fundamentos jurídicos para o tratamento de dados pessoais em determinados domínios de interesse público, permitindo regimes de dados inteligentes para a partilha segura de dados, criando um quadro jurídico para os serviços de identidade digital e instituindo um registo nacional de ativos subterrâneos.</w:t>
      </w:r>
    </w:p>
    <w:p w14:paraId="7491E04D" w14:textId="56910B66" w:rsidR="00640672" w:rsidRDefault="00640672"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Em junho de 2025, a Comissão Europeia adotou uma prorrogação técnica de seis meses das duas decisões de adequação de 2021</w:t>
      </w:r>
      <w:r>
        <w:rPr>
          <w:rStyle w:val="FootnoteReference"/>
          <w:rFonts w:ascii="Times New Roman" w:eastAsia="Times New Roman" w:hAnsi="Times New Roman" w:cs="Times New Roman"/>
          <w:noProof/>
          <w:sz w:val="24"/>
          <w:szCs w:val="24"/>
        </w:rPr>
        <w:footnoteReference w:id="55"/>
      </w:r>
      <w:r>
        <w:rPr>
          <w:rFonts w:ascii="Times New Roman" w:hAnsi="Times New Roman"/>
          <w:noProof/>
          <w:sz w:val="24"/>
        </w:rPr>
        <w:t>, a fim de avaliar as implicações da Data (Use and Access) Act 2025. Em julho do mesmo ano, concluiu que o quadro jurídico do Reino Unido prevê salvaguardas em matéria de proteção de dados, incluindo as alteradas pela Data (Use and Access) Act 2025, essencialmente equivalentes às da UE, e posteriormente deu início ao processo de adoção pelo Conselho de novas decisões de adequação</w:t>
      </w:r>
      <w:r>
        <w:rPr>
          <w:rStyle w:val="FootnoteReference"/>
          <w:rFonts w:ascii="Times New Roman" w:eastAsia="Times New Roman" w:hAnsi="Times New Roman" w:cs="Times New Roman"/>
          <w:noProof/>
          <w:sz w:val="24"/>
          <w:szCs w:val="24"/>
        </w:rPr>
        <w:footnoteReference w:id="56"/>
      </w:r>
      <w:r>
        <w:rPr>
          <w:rFonts w:ascii="Times New Roman" w:hAnsi="Times New Roman"/>
          <w:noProof/>
          <w:sz w:val="24"/>
        </w:rPr>
        <w:t>. Em 19 de dezembro de 2025, essas decisões de adequação foram adotadas</w:t>
      </w:r>
      <w:r>
        <w:rPr>
          <w:rStyle w:val="FootnoteReference"/>
          <w:rFonts w:ascii="Times New Roman" w:eastAsia="Times New Roman" w:hAnsi="Times New Roman" w:cs="Times New Roman"/>
          <w:noProof/>
          <w:sz w:val="24"/>
          <w:szCs w:val="24"/>
        </w:rPr>
        <w:footnoteReference w:id="57"/>
      </w:r>
      <w:r>
        <w:rPr>
          <w:rFonts w:ascii="Times New Roman" w:hAnsi="Times New Roman"/>
          <w:noProof/>
          <w:sz w:val="24"/>
        </w:rPr>
        <w:t>, serão revistas periodicamente ao fim de quatro anos e caducarão em 27 de dezembro de 2031, a menos que sejam prorrogadas.</w:t>
      </w:r>
    </w:p>
    <w:p w14:paraId="44996096" w14:textId="692EDF65" w:rsidR="006D1404" w:rsidRPr="0086076B" w:rsidRDefault="33A451BC" w:rsidP="71022153">
      <w:pPr>
        <w:pStyle w:val="Heading1"/>
        <w:keepNext w:val="0"/>
        <w:keepLines w:val="0"/>
        <w:numPr>
          <w:ilvl w:val="0"/>
          <w:numId w:val="55"/>
        </w:numPr>
        <w:spacing w:before="100" w:beforeAutospacing="1" w:after="100" w:afterAutospacing="1" w:line="240" w:lineRule="auto"/>
        <w:rPr>
          <w:rFonts w:ascii="Times New Roman" w:hAnsi="Times New Roman" w:cs="Times New Roman"/>
          <w:b/>
          <w:bCs/>
          <w:noProof/>
          <w:color w:val="auto"/>
        </w:rPr>
      </w:pPr>
      <w:bookmarkStart w:id="77" w:name="_Toc120291013"/>
      <w:bookmarkStart w:id="78" w:name="_Toc86061903"/>
      <w:bookmarkStart w:id="79" w:name="_Toc86154525"/>
      <w:bookmarkStart w:id="80" w:name="_Toc185413397"/>
      <w:bookmarkStart w:id="81" w:name="_Toc204769334"/>
      <w:bookmarkStart w:id="82" w:name="_Toc226580807"/>
      <w:bookmarkEnd w:id="77"/>
      <w:r>
        <w:rPr>
          <w:rFonts w:ascii="Times New Roman" w:hAnsi="Times New Roman"/>
          <w:b/>
          <w:noProof/>
          <w:color w:val="auto"/>
        </w:rPr>
        <w:t>Conclusões</w:t>
      </w:r>
      <w:bookmarkEnd w:id="78"/>
      <w:bookmarkEnd w:id="79"/>
      <w:bookmarkEnd w:id="80"/>
      <w:bookmarkEnd w:id="81"/>
      <w:bookmarkEnd w:id="82"/>
    </w:p>
    <w:p w14:paraId="42E1930E" w14:textId="27695B5A" w:rsidR="00CB29E2" w:rsidRPr="00CB29E2" w:rsidRDefault="00CB29E2" w:rsidP="00CB29E2">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Após cinco anos de aplicação, o ACC demonstrou ser uma base sólida e eficaz para as relações entre a UE e o Reino Unido, cuja aplicação tem progredido globalmente bem. Os problemas identificados no presente relatório constituem exceções, tendo em conta a amplitude e a profundidade da cooperação estabelecida no âmbito do ACC.</w:t>
      </w:r>
    </w:p>
    <w:p w14:paraId="62D35BCC" w14:textId="4FBDAF7E" w:rsidR="00CB29E2" w:rsidRPr="00CB29E2" w:rsidRDefault="00CB29E2" w:rsidP="00CB29E2">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Tal como reafirmado no Entendimento Comum adotado na primeira cimeira UE-Reino Unido, em 19 de maio de 2025, o ACC continua a ser uma pedra angular do desenvolvimento da nova parceria estratégica entre a UE e o Reino Unido e continua a ser o principal instrumento para aprofundar a cooperação num contexto geopolítico em mutação.</w:t>
      </w:r>
    </w:p>
    <w:p w14:paraId="057651B9" w14:textId="01F1C7B7" w:rsidR="000B0C31" w:rsidRPr="00CB29E2" w:rsidRDefault="00CB29E2" w:rsidP="00155310">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A avaliação da Comissão confirma que, passados cinco anos, o ACC proporciona um quadro estável, previsível e mutuamente benéfico, que será ainda mais reforçado pelos novos acordos previstos no Entendimento Comum.</w:t>
      </w:r>
    </w:p>
    <w:p w14:paraId="4DBF3B62" w14:textId="77777777" w:rsidR="00CB29E2" w:rsidRDefault="00CB29E2">
      <w:pPr>
        <w:rPr>
          <w:rFonts w:ascii="Times New Roman" w:eastAsiaTheme="majorEastAsia" w:hAnsi="Times New Roman" w:cs="Times New Roman"/>
          <w:b/>
          <w:bCs/>
          <w:noProof/>
          <w:sz w:val="32"/>
          <w:szCs w:val="32"/>
        </w:rPr>
      </w:pPr>
      <w:bookmarkStart w:id="83" w:name="_Toc185413398"/>
      <w:bookmarkStart w:id="84" w:name="_Toc204769335"/>
      <w:r>
        <w:rPr>
          <w:noProof/>
        </w:rPr>
        <w:br w:type="page"/>
      </w:r>
    </w:p>
    <w:p w14:paraId="78E52ABD" w14:textId="00C003F4" w:rsidR="006D1404" w:rsidRPr="00157ED4" w:rsidRDefault="00537043" w:rsidP="6A5D11F7">
      <w:pPr>
        <w:pStyle w:val="Heading1"/>
        <w:keepNext w:val="0"/>
        <w:keepLines w:val="0"/>
        <w:spacing w:before="100" w:beforeAutospacing="1" w:after="100" w:afterAutospacing="1" w:line="240" w:lineRule="auto"/>
        <w:rPr>
          <w:rFonts w:ascii="Times New Roman" w:hAnsi="Times New Roman" w:cs="Times New Roman"/>
          <w:b/>
          <w:bCs/>
          <w:noProof/>
          <w:color w:val="auto"/>
        </w:rPr>
      </w:pPr>
      <w:bookmarkStart w:id="85" w:name="_Toc226580808"/>
      <w:r>
        <w:rPr>
          <w:rFonts w:ascii="Times New Roman" w:hAnsi="Times New Roman"/>
          <w:b/>
          <w:noProof/>
          <w:color w:val="auto"/>
        </w:rPr>
        <w:t>Anexo 1: Reuniões dos organismos conjuntos e outras estruturas criadas pelo ACC</w:t>
      </w:r>
      <w:bookmarkEnd w:id="83"/>
      <w:bookmarkEnd w:id="84"/>
      <w:r>
        <w:rPr>
          <w:rStyle w:val="FootnoteReference"/>
          <w:rFonts w:ascii="Times New Roman" w:hAnsi="Times New Roman" w:cs="Times New Roman"/>
          <w:noProof/>
          <w:color w:val="auto"/>
        </w:rPr>
        <w:footnoteReference w:id="58"/>
      </w:r>
      <w:bookmarkEnd w:id="85"/>
    </w:p>
    <w:tbl>
      <w:tblPr>
        <w:tblStyle w:val="TableGrid"/>
        <w:tblW w:w="9103" w:type="dxa"/>
        <w:tblLook w:val="04A0" w:firstRow="1" w:lastRow="0" w:firstColumn="1" w:lastColumn="0" w:noHBand="0" w:noVBand="1"/>
      </w:tblPr>
      <w:tblGrid>
        <w:gridCol w:w="1661"/>
        <w:gridCol w:w="7442"/>
      </w:tblGrid>
      <w:tr w:rsidR="00F006D0" w:rsidRPr="00F006D0" w14:paraId="2538BE6C" w14:textId="77777777" w:rsidTr="00BF7CBB">
        <w:trPr>
          <w:trHeight w:val="227"/>
        </w:trPr>
        <w:tc>
          <w:tcPr>
            <w:tcW w:w="1661" w:type="dxa"/>
            <w:shd w:val="clear" w:color="auto" w:fill="BFBFBF" w:themeFill="background1" w:themeFillShade="BF"/>
            <w:hideMark/>
          </w:tcPr>
          <w:p w14:paraId="52070644" w14:textId="77777777" w:rsidR="00487231" w:rsidRPr="00F006D0" w:rsidRDefault="00487231" w:rsidP="00470A6D">
            <w:pPr>
              <w:spacing w:before="100" w:beforeAutospacing="1" w:after="100" w:afterAutospacing="1"/>
              <w:rPr>
                <w:rFonts w:ascii="Times New Roman" w:hAnsi="Times New Roman" w:cs="Times New Roman"/>
                <w:b/>
                <w:bCs/>
                <w:noProof/>
                <w:sz w:val="24"/>
                <w:szCs w:val="24"/>
              </w:rPr>
            </w:pPr>
            <w:r>
              <w:rPr>
                <w:rFonts w:ascii="Times New Roman" w:hAnsi="Times New Roman"/>
                <w:b/>
                <w:noProof/>
                <w:sz w:val="24"/>
              </w:rPr>
              <w:t>Data</w:t>
            </w:r>
          </w:p>
          <w:p w14:paraId="728846B3" w14:textId="77777777" w:rsidR="00487231" w:rsidRPr="00F006D0" w:rsidRDefault="00487231" w:rsidP="00470A6D">
            <w:pPr>
              <w:spacing w:before="100" w:beforeAutospacing="1" w:after="100" w:afterAutospacing="1"/>
              <w:rPr>
                <w:rFonts w:ascii="Times New Roman" w:hAnsi="Times New Roman" w:cs="Times New Roman"/>
                <w:b/>
                <w:bCs/>
                <w:noProof/>
                <w:sz w:val="24"/>
                <w:szCs w:val="24"/>
              </w:rPr>
            </w:pPr>
          </w:p>
        </w:tc>
        <w:tc>
          <w:tcPr>
            <w:tcW w:w="7442" w:type="dxa"/>
            <w:shd w:val="clear" w:color="auto" w:fill="BFBFBF" w:themeFill="background1" w:themeFillShade="BF"/>
            <w:hideMark/>
          </w:tcPr>
          <w:p w14:paraId="710D45B9" w14:textId="77777777" w:rsidR="00487231" w:rsidRPr="00F006D0" w:rsidRDefault="00487231" w:rsidP="00470A6D">
            <w:pPr>
              <w:spacing w:before="100" w:beforeAutospacing="1" w:after="100" w:afterAutospacing="1"/>
              <w:rPr>
                <w:rFonts w:ascii="Times New Roman" w:hAnsi="Times New Roman" w:cs="Times New Roman"/>
                <w:b/>
                <w:bCs/>
                <w:noProof/>
                <w:sz w:val="24"/>
                <w:szCs w:val="24"/>
              </w:rPr>
            </w:pPr>
            <w:r>
              <w:rPr>
                <w:rFonts w:ascii="Times New Roman" w:hAnsi="Times New Roman"/>
                <w:b/>
                <w:noProof/>
                <w:sz w:val="24"/>
              </w:rPr>
              <w:t>Organismo conjunto/estrutura</w:t>
            </w:r>
          </w:p>
        </w:tc>
      </w:tr>
      <w:tr w:rsidR="00792558" w:rsidRPr="00F006D0" w14:paraId="0D8A811A" w14:textId="77777777" w:rsidTr="00BF7CBB">
        <w:tc>
          <w:tcPr>
            <w:tcW w:w="1661" w:type="dxa"/>
            <w:vAlign w:val="center"/>
          </w:tcPr>
          <w:p w14:paraId="0CEE0496" w14:textId="055C264D"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28 de janeiro</w:t>
            </w:r>
          </w:p>
        </w:tc>
        <w:tc>
          <w:tcPr>
            <w:tcW w:w="7442" w:type="dxa"/>
            <w:vAlign w:val="center"/>
          </w:tcPr>
          <w:p w14:paraId="2232AFAF" w14:textId="41A85E70"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Segurança do Aprovisionamento Energético (Grupo de Trabalho): 1.ª reunião</w:t>
            </w:r>
          </w:p>
        </w:tc>
      </w:tr>
      <w:tr w:rsidR="00792558" w:rsidRPr="00F006D0" w14:paraId="22CF46B2" w14:textId="77777777" w:rsidTr="00BF7CBB">
        <w:tc>
          <w:tcPr>
            <w:tcW w:w="1661" w:type="dxa"/>
            <w:vAlign w:val="center"/>
          </w:tcPr>
          <w:p w14:paraId="15878296" w14:textId="3B35FA4A"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4 de fevereiro</w:t>
            </w:r>
          </w:p>
        </w:tc>
        <w:tc>
          <w:tcPr>
            <w:tcW w:w="7442" w:type="dxa"/>
            <w:vAlign w:val="center"/>
          </w:tcPr>
          <w:p w14:paraId="0AA97A8E" w14:textId="637E0EC2"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Diálogo sobre a Luta contra o Terrorismo — artigo 768.º do ACC: 2.ª reunião</w:t>
            </w:r>
          </w:p>
        </w:tc>
      </w:tr>
      <w:tr w:rsidR="00792558" w:rsidRPr="00F006D0" w14:paraId="24479BAE" w14:textId="77777777" w:rsidTr="00BF7CBB">
        <w:tc>
          <w:tcPr>
            <w:tcW w:w="1661" w:type="dxa"/>
            <w:vAlign w:val="center"/>
          </w:tcPr>
          <w:p w14:paraId="04D7DB7B" w14:textId="20CFCA11"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10 de fevereiro</w:t>
            </w:r>
          </w:p>
        </w:tc>
        <w:tc>
          <w:tcPr>
            <w:tcW w:w="7442" w:type="dxa"/>
            <w:vAlign w:val="center"/>
          </w:tcPr>
          <w:p w14:paraId="680BB5BA" w14:textId="76090EAD"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Cooperação dos supervisores (ambiente/clima) — artigo 395.º do ACC: 1.ª reunião</w:t>
            </w:r>
          </w:p>
        </w:tc>
      </w:tr>
      <w:tr w:rsidR="00792558" w:rsidRPr="00F006D0" w14:paraId="6C1AC1AD" w14:textId="77777777" w:rsidTr="00BF7CBB">
        <w:tc>
          <w:tcPr>
            <w:tcW w:w="1661" w:type="dxa"/>
            <w:vAlign w:val="center"/>
          </w:tcPr>
          <w:p w14:paraId="6A2C2665" w14:textId="5E87B834"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12 de fevereiro</w:t>
            </w:r>
          </w:p>
        </w:tc>
        <w:tc>
          <w:tcPr>
            <w:tcW w:w="7442" w:type="dxa"/>
            <w:vAlign w:val="center"/>
          </w:tcPr>
          <w:p w14:paraId="3AC9D5C5" w14:textId="1CD2471A" w:rsidR="00792558" w:rsidRPr="004E3ECA" w:rsidRDefault="00386F61"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Fórum UE-Reino Unido sobre Regulamentação Financeira: 3.ª reunião</w:t>
            </w:r>
          </w:p>
        </w:tc>
      </w:tr>
      <w:tr w:rsidR="00792558" w:rsidRPr="00F006D0" w14:paraId="06D070F4" w14:textId="77777777" w:rsidTr="00BF7CBB">
        <w:tc>
          <w:tcPr>
            <w:tcW w:w="1661" w:type="dxa"/>
            <w:vAlign w:val="center"/>
          </w:tcPr>
          <w:p w14:paraId="59850541" w14:textId="17B28E6A"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 xml:space="preserve">26 de fevereiro </w:t>
            </w:r>
          </w:p>
        </w:tc>
        <w:tc>
          <w:tcPr>
            <w:tcW w:w="7442" w:type="dxa"/>
            <w:vAlign w:val="center"/>
          </w:tcPr>
          <w:p w14:paraId="5F276EBF" w14:textId="7973276A"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Pescas (Grupo de Trabalho): 9.ª reunião</w:t>
            </w:r>
          </w:p>
        </w:tc>
      </w:tr>
      <w:tr w:rsidR="00792558" w:rsidRPr="00F006D0" w14:paraId="40920834" w14:textId="77777777" w:rsidTr="00BF7CBB">
        <w:tc>
          <w:tcPr>
            <w:tcW w:w="1661" w:type="dxa"/>
            <w:vAlign w:val="center"/>
          </w:tcPr>
          <w:p w14:paraId="19F2CC8A" w14:textId="167D28E6"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17 e 18 de março</w:t>
            </w:r>
          </w:p>
        </w:tc>
        <w:tc>
          <w:tcPr>
            <w:tcW w:w="7442" w:type="dxa"/>
            <w:vAlign w:val="center"/>
          </w:tcPr>
          <w:p w14:paraId="129D88B3" w14:textId="51BBFCA0"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Assembleia Parlamentar da Parceria: 5.ª reunião</w:t>
            </w:r>
          </w:p>
        </w:tc>
      </w:tr>
      <w:tr w:rsidR="00792558" w:rsidRPr="00F006D0" w14:paraId="26EE21AC" w14:textId="77777777" w:rsidTr="00BF7CBB">
        <w:tc>
          <w:tcPr>
            <w:tcW w:w="1661" w:type="dxa"/>
            <w:vAlign w:val="center"/>
          </w:tcPr>
          <w:p w14:paraId="3D51902D" w14:textId="5A96B31B"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25 de março</w:t>
            </w:r>
          </w:p>
        </w:tc>
        <w:tc>
          <w:tcPr>
            <w:tcW w:w="7442" w:type="dxa"/>
            <w:vAlign w:val="center"/>
          </w:tcPr>
          <w:p w14:paraId="7D14EDA7" w14:textId="33D76E5A"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Grupo Consultivo Interno da UE: 14.ª reunião</w:t>
            </w:r>
          </w:p>
        </w:tc>
      </w:tr>
      <w:tr w:rsidR="00792558" w:rsidRPr="00F006D0" w14:paraId="082C9BA4" w14:textId="77777777" w:rsidTr="00BF7CBB">
        <w:tc>
          <w:tcPr>
            <w:tcW w:w="1661" w:type="dxa"/>
            <w:vAlign w:val="center"/>
          </w:tcPr>
          <w:p w14:paraId="2D4F8DD1" w14:textId="6192700B"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14 de maio</w:t>
            </w:r>
          </w:p>
        </w:tc>
        <w:tc>
          <w:tcPr>
            <w:tcW w:w="7442" w:type="dxa"/>
            <w:vAlign w:val="center"/>
          </w:tcPr>
          <w:p w14:paraId="60005793" w14:textId="6AB13F92"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Pescas (Comité Especializado): 10.ª reunião</w:t>
            </w:r>
          </w:p>
        </w:tc>
      </w:tr>
      <w:tr w:rsidR="00792558" w:rsidRPr="00F006D0" w14:paraId="751D5DC4" w14:textId="77777777" w:rsidTr="00BF7CBB">
        <w:tc>
          <w:tcPr>
            <w:tcW w:w="1661" w:type="dxa"/>
            <w:vAlign w:val="center"/>
          </w:tcPr>
          <w:p w14:paraId="325B9202" w14:textId="49E14AF5"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22 de maio</w:t>
            </w:r>
          </w:p>
        </w:tc>
        <w:tc>
          <w:tcPr>
            <w:tcW w:w="7442" w:type="dxa"/>
            <w:vAlign w:val="center"/>
          </w:tcPr>
          <w:p w14:paraId="7DFD2FBD" w14:textId="2CE0ABD1"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Segurança do Aprovisionamento Energético (Grupo de Trabalho): 2.ª reunião</w:t>
            </w:r>
          </w:p>
        </w:tc>
      </w:tr>
      <w:tr w:rsidR="00792558" w:rsidRPr="00F006D0" w14:paraId="729354C7" w14:textId="77777777" w:rsidTr="00BF7CBB">
        <w:tc>
          <w:tcPr>
            <w:tcW w:w="1661" w:type="dxa"/>
            <w:vAlign w:val="center"/>
          </w:tcPr>
          <w:p w14:paraId="02A32F01" w14:textId="63058799"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4 de junho</w:t>
            </w:r>
          </w:p>
        </w:tc>
        <w:tc>
          <w:tcPr>
            <w:tcW w:w="7442" w:type="dxa"/>
            <w:vAlign w:val="center"/>
          </w:tcPr>
          <w:p w14:paraId="494EE426" w14:textId="422C3A5B"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Produtos Biológicos (Grupo de Trabalho): 2.ª reunião</w:t>
            </w:r>
          </w:p>
        </w:tc>
      </w:tr>
      <w:tr w:rsidR="00792558" w:rsidRPr="00F006D0" w14:paraId="26FD90DB" w14:textId="77777777" w:rsidTr="00BF7CBB">
        <w:tc>
          <w:tcPr>
            <w:tcW w:w="1661" w:type="dxa"/>
            <w:vAlign w:val="center"/>
          </w:tcPr>
          <w:p w14:paraId="1928585F" w14:textId="662FD651"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5 de junho</w:t>
            </w:r>
          </w:p>
        </w:tc>
        <w:tc>
          <w:tcPr>
            <w:tcW w:w="7442" w:type="dxa"/>
            <w:vAlign w:val="center"/>
          </w:tcPr>
          <w:p w14:paraId="3BD2F493" w14:textId="35C78F33"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Medicamentos (Grupo de Trabalho): 2.ª reunião</w:t>
            </w:r>
          </w:p>
        </w:tc>
      </w:tr>
      <w:tr w:rsidR="00792558" w:rsidRPr="00F006D0" w14:paraId="21103B8A" w14:textId="77777777" w:rsidTr="00BF7CBB">
        <w:tc>
          <w:tcPr>
            <w:tcW w:w="1661" w:type="dxa"/>
            <w:vAlign w:val="center"/>
          </w:tcPr>
          <w:p w14:paraId="100C6E84" w14:textId="609C01FC"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11 de junho</w:t>
            </w:r>
          </w:p>
        </w:tc>
        <w:tc>
          <w:tcPr>
            <w:tcW w:w="7442" w:type="dxa"/>
            <w:vAlign w:val="center"/>
          </w:tcPr>
          <w:p w14:paraId="47F870E7" w14:textId="43CD5EB6"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Transportes Aéreos (Comité Especializado): 5.ª reunião</w:t>
            </w:r>
          </w:p>
        </w:tc>
      </w:tr>
      <w:tr w:rsidR="00792558" w:rsidRPr="00F006D0" w14:paraId="5E2647EB" w14:textId="77777777" w:rsidTr="00BF7CBB">
        <w:tc>
          <w:tcPr>
            <w:tcW w:w="1661" w:type="dxa"/>
            <w:vAlign w:val="center"/>
          </w:tcPr>
          <w:p w14:paraId="06C8ED03" w14:textId="5C050241"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 xml:space="preserve">12 de junho </w:t>
            </w:r>
          </w:p>
        </w:tc>
        <w:tc>
          <w:tcPr>
            <w:tcW w:w="7442" w:type="dxa"/>
            <w:vAlign w:val="center"/>
          </w:tcPr>
          <w:p w14:paraId="65393154" w14:textId="38B73506"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Veículos a Motor e Peças (Grupo de Trabalho): 2.ª reunião</w:t>
            </w:r>
          </w:p>
        </w:tc>
      </w:tr>
      <w:tr w:rsidR="00792558" w:rsidRPr="00F006D0" w14:paraId="33E4B31E" w14:textId="77777777" w:rsidTr="00BF7CBB">
        <w:tc>
          <w:tcPr>
            <w:tcW w:w="1661" w:type="dxa"/>
            <w:vAlign w:val="center"/>
          </w:tcPr>
          <w:p w14:paraId="7DA1EB7E" w14:textId="47344C0F"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13 de junho</w:t>
            </w:r>
          </w:p>
        </w:tc>
        <w:tc>
          <w:tcPr>
            <w:tcW w:w="7442" w:type="dxa"/>
            <w:vAlign w:val="center"/>
          </w:tcPr>
          <w:p w14:paraId="47D43AE8" w14:textId="6779F6E7"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Grupo Consultivo Interno da UE: 15.ª reunião</w:t>
            </w:r>
          </w:p>
        </w:tc>
      </w:tr>
      <w:tr w:rsidR="00792558" w:rsidRPr="00F006D0" w14:paraId="24B66C51" w14:textId="77777777" w:rsidTr="00BF7CBB">
        <w:tc>
          <w:tcPr>
            <w:tcW w:w="1661" w:type="dxa"/>
            <w:vAlign w:val="center"/>
          </w:tcPr>
          <w:p w14:paraId="67B861C2" w14:textId="3C56AA20"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18 de junho</w:t>
            </w:r>
          </w:p>
        </w:tc>
        <w:tc>
          <w:tcPr>
            <w:tcW w:w="7442" w:type="dxa"/>
            <w:vAlign w:val="center"/>
          </w:tcPr>
          <w:p w14:paraId="278B43D8" w14:textId="4D01DFF2"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Energia (Comité Especializado): 6.ª reunião</w:t>
            </w:r>
          </w:p>
        </w:tc>
      </w:tr>
      <w:tr w:rsidR="00792558" w:rsidRPr="00F006D0" w14:paraId="7B9A7173" w14:textId="77777777" w:rsidTr="00BF7CBB">
        <w:tc>
          <w:tcPr>
            <w:tcW w:w="1661" w:type="dxa"/>
            <w:vAlign w:val="center"/>
          </w:tcPr>
          <w:p w14:paraId="056637C5" w14:textId="63C95CD3"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24 de junho</w:t>
            </w:r>
          </w:p>
        </w:tc>
        <w:tc>
          <w:tcPr>
            <w:tcW w:w="7442" w:type="dxa"/>
            <w:vAlign w:val="center"/>
          </w:tcPr>
          <w:p w14:paraId="3D7639F6" w14:textId="5BF9338F"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Fórum da Sociedade Civil: 4.ª reunião</w:t>
            </w:r>
          </w:p>
        </w:tc>
      </w:tr>
      <w:tr w:rsidR="008D7052" w:rsidRPr="00F006D0" w14:paraId="140DBCAC" w14:textId="77777777" w:rsidTr="00BF7CBB">
        <w:tc>
          <w:tcPr>
            <w:tcW w:w="1661" w:type="dxa"/>
            <w:vAlign w:val="center"/>
          </w:tcPr>
          <w:p w14:paraId="6EFF35DF" w14:textId="102C5E0A"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16 de julho</w:t>
            </w:r>
          </w:p>
        </w:tc>
        <w:tc>
          <w:tcPr>
            <w:tcW w:w="7442" w:type="dxa"/>
            <w:vAlign w:val="center"/>
          </w:tcPr>
          <w:p w14:paraId="7747AEE7" w14:textId="0A0ABED0"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Pescas (Grupo de Trabalho): 10.ª reunião</w:t>
            </w:r>
          </w:p>
        </w:tc>
      </w:tr>
      <w:tr w:rsidR="008D7052" w:rsidRPr="00F006D0" w14:paraId="13F6DD8B" w14:textId="77777777" w:rsidTr="00BF7CBB">
        <w:tc>
          <w:tcPr>
            <w:tcW w:w="1661" w:type="dxa"/>
            <w:vAlign w:val="center"/>
          </w:tcPr>
          <w:p w14:paraId="46588D13" w14:textId="22A5CC04" w:rsidR="008D7052" w:rsidRPr="004E3ECA" w:rsidRDefault="001A2F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17 de setembro</w:t>
            </w:r>
          </w:p>
        </w:tc>
        <w:tc>
          <w:tcPr>
            <w:tcW w:w="7442" w:type="dxa"/>
            <w:vAlign w:val="center"/>
          </w:tcPr>
          <w:p w14:paraId="4E28F2C9" w14:textId="3D839926"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Pescas (Comité Especializado): 11.ª reunião</w:t>
            </w:r>
          </w:p>
        </w:tc>
      </w:tr>
      <w:tr w:rsidR="008D7052" w:rsidRPr="00F006D0" w14:paraId="7C654B80" w14:textId="77777777" w:rsidTr="00BF7CBB">
        <w:tc>
          <w:tcPr>
            <w:tcW w:w="1661" w:type="dxa"/>
            <w:vAlign w:val="center"/>
          </w:tcPr>
          <w:p w14:paraId="009DCCC8" w14:textId="7BA59EDC" w:rsidR="008D7052" w:rsidRPr="004E3ECA" w:rsidRDefault="00E453DD"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29 de setembro</w:t>
            </w:r>
          </w:p>
        </w:tc>
        <w:tc>
          <w:tcPr>
            <w:tcW w:w="7442" w:type="dxa"/>
            <w:vAlign w:val="center"/>
          </w:tcPr>
          <w:p w14:paraId="40C5B95F" w14:textId="7C971ED8"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Medidas Sanitárias e Fitossanitárias (Comité Especializado do Comércio): 5.ª reunião</w:t>
            </w:r>
          </w:p>
        </w:tc>
      </w:tr>
      <w:tr w:rsidR="008D7052" w:rsidRPr="00F006D0" w14:paraId="28E4CDE8" w14:textId="77777777" w:rsidTr="00BF7CBB">
        <w:tc>
          <w:tcPr>
            <w:tcW w:w="1661" w:type="dxa"/>
            <w:vAlign w:val="center"/>
          </w:tcPr>
          <w:p w14:paraId="550E5892" w14:textId="05695931" w:rsidR="008D7052" w:rsidRPr="004E3ECA" w:rsidRDefault="001A2F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 de outubro</w:t>
            </w:r>
          </w:p>
        </w:tc>
        <w:tc>
          <w:tcPr>
            <w:tcW w:w="7442" w:type="dxa"/>
            <w:vAlign w:val="center"/>
          </w:tcPr>
          <w:p w14:paraId="2268C89C" w14:textId="4342D8C1"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Fórum UE-Reino Unido sobre Regulamentação Financeira: 4.ª reunião</w:t>
            </w:r>
          </w:p>
        </w:tc>
      </w:tr>
      <w:tr w:rsidR="008D7052" w:rsidRPr="00F006D0" w14:paraId="3E9AD88C" w14:textId="77777777" w:rsidTr="00BF7CBB">
        <w:tc>
          <w:tcPr>
            <w:tcW w:w="1661" w:type="dxa"/>
            <w:vAlign w:val="center"/>
          </w:tcPr>
          <w:p w14:paraId="6CBC10D3" w14:textId="2EBC714D" w:rsidR="008D7052" w:rsidRPr="004E3ECA" w:rsidRDefault="001A2F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 de outubro</w:t>
            </w:r>
          </w:p>
        </w:tc>
        <w:tc>
          <w:tcPr>
            <w:tcW w:w="7442" w:type="dxa"/>
            <w:vAlign w:val="center"/>
          </w:tcPr>
          <w:p w14:paraId="05DE5CCD" w14:textId="79181232"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Cooperação Administrativa em matéria de IVA e Cobrança de Impostos e Direitos (Comité Especializado do Comércio): 5.ª reunião</w:t>
            </w:r>
          </w:p>
        </w:tc>
      </w:tr>
      <w:tr w:rsidR="008D7052" w:rsidRPr="00F006D0" w14:paraId="0394CCF9" w14:textId="77777777" w:rsidTr="00BF7CBB">
        <w:tc>
          <w:tcPr>
            <w:tcW w:w="1661" w:type="dxa"/>
            <w:vAlign w:val="center"/>
          </w:tcPr>
          <w:p w14:paraId="557255EA" w14:textId="1621FBEF" w:rsidR="008D7052" w:rsidRPr="004E3ECA" w:rsidRDefault="001A2F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8 de outubro</w:t>
            </w:r>
          </w:p>
        </w:tc>
        <w:tc>
          <w:tcPr>
            <w:tcW w:w="7442" w:type="dxa"/>
            <w:vAlign w:val="center"/>
          </w:tcPr>
          <w:p w14:paraId="1E56D0CB" w14:textId="2B7F01B3"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Contratação Pública (Comité Especializado do Comércio): 5.ª reunião</w:t>
            </w:r>
          </w:p>
        </w:tc>
      </w:tr>
      <w:tr w:rsidR="008D7052" w:rsidRPr="00F006D0" w14:paraId="5BB42817" w14:textId="77777777" w:rsidTr="00BF7CBB">
        <w:tc>
          <w:tcPr>
            <w:tcW w:w="1661" w:type="dxa"/>
            <w:vAlign w:val="center"/>
          </w:tcPr>
          <w:p w14:paraId="72B0C72B" w14:textId="5E6B46D0" w:rsidR="008D7052" w:rsidRPr="004E3ECA" w:rsidRDefault="001A2F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9 de outubro</w:t>
            </w:r>
          </w:p>
        </w:tc>
        <w:tc>
          <w:tcPr>
            <w:tcW w:w="7442" w:type="dxa"/>
            <w:vAlign w:val="center"/>
          </w:tcPr>
          <w:p w14:paraId="02D5B602" w14:textId="2972F17F"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Propriedade Intelectual (Comité Especializado do Comércio): 5.ª reunião</w:t>
            </w:r>
          </w:p>
        </w:tc>
      </w:tr>
      <w:tr w:rsidR="008D7052" w:rsidRPr="00F006D0" w14:paraId="038D95FF" w14:textId="77777777" w:rsidTr="00BF7CBB">
        <w:tc>
          <w:tcPr>
            <w:tcW w:w="1661" w:type="dxa"/>
            <w:vAlign w:val="center"/>
          </w:tcPr>
          <w:p w14:paraId="6067EC4A" w14:textId="1041D063"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15 de outubro</w:t>
            </w:r>
          </w:p>
        </w:tc>
        <w:tc>
          <w:tcPr>
            <w:tcW w:w="7442" w:type="dxa"/>
            <w:vAlign w:val="center"/>
          </w:tcPr>
          <w:p w14:paraId="0DE0C90C" w14:textId="1776D5C8" w:rsidR="008D7052" w:rsidRPr="004E3ECA" w:rsidRDefault="008D7052" w:rsidP="00DB0117">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Condições de Concorrência Equitativas para a Concorrência Aberta e Leal e o Desenvolvimento Sustentável (Comité Especializado do Comércio): 5.ª reunião</w:t>
            </w:r>
          </w:p>
        </w:tc>
      </w:tr>
      <w:tr w:rsidR="008D7052" w:rsidRPr="00F006D0" w14:paraId="2692AC4C" w14:textId="77777777" w:rsidTr="00BF7CBB">
        <w:tc>
          <w:tcPr>
            <w:tcW w:w="1661" w:type="dxa"/>
            <w:vAlign w:val="center"/>
          </w:tcPr>
          <w:p w14:paraId="77DAF0B2" w14:textId="4CA9C0C1"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16 de outubro</w:t>
            </w:r>
          </w:p>
        </w:tc>
        <w:tc>
          <w:tcPr>
            <w:tcW w:w="7442" w:type="dxa"/>
            <w:vAlign w:val="center"/>
          </w:tcPr>
          <w:p w14:paraId="2550C497" w14:textId="189BB513"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Cooperação Aduaneira e Regras de Origem (Comité Especializado do Comércio): 5.ª reunião</w:t>
            </w:r>
          </w:p>
        </w:tc>
      </w:tr>
      <w:tr w:rsidR="008D7052" w:rsidRPr="00F006D0" w14:paraId="55F8B2AF" w14:textId="77777777" w:rsidTr="00BF7CBB">
        <w:tc>
          <w:tcPr>
            <w:tcW w:w="1661" w:type="dxa"/>
            <w:vAlign w:val="center"/>
          </w:tcPr>
          <w:p w14:paraId="2D83A036" w14:textId="78EABCEA"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22 de outubro</w:t>
            </w:r>
          </w:p>
        </w:tc>
        <w:tc>
          <w:tcPr>
            <w:tcW w:w="7442" w:type="dxa"/>
            <w:vAlign w:val="center"/>
          </w:tcPr>
          <w:p w14:paraId="2DA60ACA" w14:textId="40EBD278"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Obstáculos Técnicos ao Comércio (Comité Especializado do Comércio): 5.ª reunião</w:t>
            </w:r>
          </w:p>
        </w:tc>
      </w:tr>
      <w:tr w:rsidR="008D7052" w:rsidRPr="00F006D0" w14:paraId="36FF98D9" w14:textId="77777777" w:rsidTr="00BF7CBB">
        <w:tc>
          <w:tcPr>
            <w:tcW w:w="1661" w:type="dxa"/>
            <w:vAlign w:val="center"/>
          </w:tcPr>
          <w:p w14:paraId="7BE4C7A5" w14:textId="0705B185"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23 de outubro</w:t>
            </w:r>
          </w:p>
        </w:tc>
        <w:tc>
          <w:tcPr>
            <w:tcW w:w="7442" w:type="dxa"/>
            <w:vAlign w:val="center"/>
          </w:tcPr>
          <w:p w14:paraId="12CBFEEE" w14:textId="06979301"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Serviços, Investimentos e Comércio Digital (Comité Especializado do Comércio): 5.ª reunião</w:t>
            </w:r>
          </w:p>
        </w:tc>
      </w:tr>
      <w:tr w:rsidR="0050341E" w:rsidRPr="00F006D0" w14:paraId="14F14061" w14:textId="77777777" w:rsidTr="00BF7CBB">
        <w:tc>
          <w:tcPr>
            <w:tcW w:w="1661" w:type="dxa"/>
            <w:vAlign w:val="center"/>
          </w:tcPr>
          <w:p w14:paraId="5034C046" w14:textId="490CF111" w:rsidR="0050341E" w:rsidRDefault="0050341E" w:rsidP="0050341E">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30 de outubro</w:t>
            </w:r>
          </w:p>
        </w:tc>
        <w:tc>
          <w:tcPr>
            <w:tcW w:w="7442" w:type="dxa"/>
            <w:vAlign w:val="center"/>
          </w:tcPr>
          <w:p w14:paraId="12C11938" w14:textId="1088F5B7" w:rsidR="0050341E" w:rsidRPr="004E3ECA" w:rsidRDefault="0050341E" w:rsidP="0050341E">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 xml:space="preserve">Transportes Rodoviários (Comité Especializado): 5.ª reunião </w:t>
            </w:r>
          </w:p>
        </w:tc>
      </w:tr>
      <w:tr w:rsidR="008D7052" w:rsidRPr="00F006D0" w14:paraId="03ADF3D4" w14:textId="77777777" w:rsidTr="00BF7CBB">
        <w:tc>
          <w:tcPr>
            <w:tcW w:w="1661" w:type="dxa"/>
            <w:vAlign w:val="center"/>
          </w:tcPr>
          <w:p w14:paraId="03023307" w14:textId="62AC5FAB"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6 de novembro</w:t>
            </w:r>
          </w:p>
        </w:tc>
        <w:tc>
          <w:tcPr>
            <w:tcW w:w="7442" w:type="dxa"/>
            <w:vAlign w:val="center"/>
          </w:tcPr>
          <w:p w14:paraId="066C4C0B" w14:textId="436FCE78"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Mercadorias (Comité Especializado do Comércio): 5.ª reunião</w:t>
            </w:r>
          </w:p>
        </w:tc>
      </w:tr>
      <w:tr w:rsidR="00DB0117" w:rsidRPr="00F006D0" w14:paraId="27D0B194" w14:textId="77777777" w:rsidTr="00BF7CBB">
        <w:tc>
          <w:tcPr>
            <w:tcW w:w="1661" w:type="dxa"/>
            <w:vAlign w:val="center"/>
          </w:tcPr>
          <w:p w14:paraId="2C12FA8E" w14:textId="291BA340" w:rsidR="00DB0117" w:rsidRDefault="00DB0117" w:rsidP="00DB0117">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7 de novembro</w:t>
            </w:r>
          </w:p>
        </w:tc>
        <w:tc>
          <w:tcPr>
            <w:tcW w:w="7442" w:type="dxa"/>
            <w:vAlign w:val="center"/>
          </w:tcPr>
          <w:p w14:paraId="6F22DEF8" w14:textId="24528553" w:rsidR="00DB0117" w:rsidRPr="004E3ECA" w:rsidRDefault="00DB0117" w:rsidP="00DB0117">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Energia (Comité Especializado): 7.ª reunião</w:t>
            </w:r>
          </w:p>
        </w:tc>
      </w:tr>
      <w:tr w:rsidR="008D7052" w:rsidRPr="00F006D0" w14:paraId="3955CBC1" w14:textId="77777777" w:rsidTr="00BF7CBB">
        <w:tc>
          <w:tcPr>
            <w:tcW w:w="1661" w:type="dxa"/>
            <w:vAlign w:val="center"/>
          </w:tcPr>
          <w:p w14:paraId="7505E392" w14:textId="72A5778D"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12 de novembro</w:t>
            </w:r>
          </w:p>
        </w:tc>
        <w:tc>
          <w:tcPr>
            <w:tcW w:w="7442" w:type="dxa"/>
            <w:vAlign w:val="center"/>
          </w:tcPr>
          <w:p w14:paraId="7DF84AAD" w14:textId="2B767D29"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Cooperação em Matéria de Regulamentação (Comité Especializado do Comércio): 5.ª reunião</w:t>
            </w:r>
          </w:p>
        </w:tc>
      </w:tr>
      <w:tr w:rsidR="008D7052" w:rsidRPr="00F006D0" w14:paraId="7A4B7683" w14:textId="77777777" w:rsidTr="00BF7CBB">
        <w:tc>
          <w:tcPr>
            <w:tcW w:w="1661" w:type="dxa"/>
            <w:vAlign w:val="center"/>
          </w:tcPr>
          <w:p w14:paraId="7577DF5A" w14:textId="5756D7B8" w:rsidR="008D7052" w:rsidRPr="00BE46DE" w:rsidRDefault="00BE46DE"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18 e 19 de novembro</w:t>
            </w:r>
          </w:p>
        </w:tc>
        <w:tc>
          <w:tcPr>
            <w:tcW w:w="7442" w:type="dxa"/>
            <w:vAlign w:val="center"/>
          </w:tcPr>
          <w:p w14:paraId="12C06766" w14:textId="2D609A12" w:rsidR="008D7052" w:rsidRPr="00BE46DE"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Assembleia Parlamentar da Parceria: 6.ª reunião</w:t>
            </w:r>
          </w:p>
        </w:tc>
      </w:tr>
      <w:tr w:rsidR="00153F3B" w:rsidRPr="00F006D0" w14:paraId="0E4A58C2" w14:textId="77777777" w:rsidTr="00BF7CBB">
        <w:tc>
          <w:tcPr>
            <w:tcW w:w="1661" w:type="dxa"/>
            <w:vAlign w:val="center"/>
          </w:tcPr>
          <w:p w14:paraId="6E5F0CF1" w14:textId="75D116AF" w:rsidR="00153F3B" w:rsidRDefault="00153F3B"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21 de novembro</w:t>
            </w:r>
          </w:p>
        </w:tc>
        <w:tc>
          <w:tcPr>
            <w:tcW w:w="7442" w:type="dxa"/>
            <w:vAlign w:val="center"/>
          </w:tcPr>
          <w:p w14:paraId="4F807661" w14:textId="113061AD" w:rsidR="00153F3B" w:rsidRPr="004E3ECA" w:rsidRDefault="00153F3B"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Diálogo sobre Regimes Fiscais Prejudiciais: 2.ª reunião</w:t>
            </w:r>
          </w:p>
        </w:tc>
      </w:tr>
      <w:tr w:rsidR="008D7052" w:rsidRPr="00F006D0" w14:paraId="15E7374F" w14:textId="77777777" w:rsidTr="00BF7CBB">
        <w:tc>
          <w:tcPr>
            <w:tcW w:w="1661" w:type="dxa"/>
            <w:vAlign w:val="center"/>
          </w:tcPr>
          <w:p w14:paraId="2AF1248C" w14:textId="016166F4"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26 de novembro</w:t>
            </w:r>
          </w:p>
        </w:tc>
        <w:tc>
          <w:tcPr>
            <w:tcW w:w="7442" w:type="dxa"/>
            <w:vAlign w:val="center"/>
          </w:tcPr>
          <w:p w14:paraId="0013E28F" w14:textId="62417D62"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Segurança Operacional da Aviação (Comité Especializado): 5.ª reunião</w:t>
            </w:r>
          </w:p>
        </w:tc>
      </w:tr>
      <w:tr w:rsidR="008D7052" w:rsidRPr="00F006D0" w14:paraId="0420BB1D" w14:textId="77777777" w:rsidTr="00BF7CBB">
        <w:tc>
          <w:tcPr>
            <w:tcW w:w="1661" w:type="dxa"/>
            <w:vAlign w:val="center"/>
          </w:tcPr>
          <w:p w14:paraId="42F1AFA1" w14:textId="2CEC0C39"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 de dezembro</w:t>
            </w:r>
          </w:p>
        </w:tc>
        <w:tc>
          <w:tcPr>
            <w:tcW w:w="7442" w:type="dxa"/>
            <w:vAlign w:val="center"/>
          </w:tcPr>
          <w:p w14:paraId="4CEB90D9" w14:textId="76B6F8AF"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Coordenação da Segurança Social (Comité Especializado): 5.ª reunião</w:t>
            </w:r>
          </w:p>
        </w:tc>
      </w:tr>
      <w:tr w:rsidR="008D7052" w:rsidRPr="00F006D0" w14:paraId="430CC0E3" w14:textId="77777777" w:rsidTr="00BF7CBB">
        <w:tc>
          <w:tcPr>
            <w:tcW w:w="1661" w:type="dxa"/>
            <w:vAlign w:val="center"/>
          </w:tcPr>
          <w:p w14:paraId="3D18A43F" w14:textId="37EF8E22" w:rsidR="008D7052" w:rsidRPr="004E3ECA" w:rsidRDefault="00206650"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4 de dezembro</w:t>
            </w:r>
          </w:p>
        </w:tc>
        <w:tc>
          <w:tcPr>
            <w:tcW w:w="7442" w:type="dxa"/>
            <w:vAlign w:val="center"/>
          </w:tcPr>
          <w:p w14:paraId="7561C699" w14:textId="5B508E1E"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 xml:space="preserve">Comité da Parceria Comercial: 5.ª reunião </w:t>
            </w:r>
          </w:p>
        </w:tc>
      </w:tr>
      <w:tr w:rsidR="008D7052" w:rsidRPr="00F006D0" w14:paraId="49552707" w14:textId="77777777" w:rsidTr="00BF7CBB">
        <w:tc>
          <w:tcPr>
            <w:tcW w:w="1661" w:type="dxa"/>
            <w:vAlign w:val="center"/>
          </w:tcPr>
          <w:p w14:paraId="1368C1DA" w14:textId="5B9563F1" w:rsidR="008D7052" w:rsidRPr="004E3ECA" w:rsidRDefault="0050341E"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4 de dezembro</w:t>
            </w:r>
          </w:p>
        </w:tc>
        <w:tc>
          <w:tcPr>
            <w:tcW w:w="7442" w:type="dxa"/>
            <w:vAlign w:val="center"/>
          </w:tcPr>
          <w:p w14:paraId="34E17BBF" w14:textId="62C70CCF"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Cooperação Policial e Judiciária (Comité Especializado): 5.ª reunião</w:t>
            </w:r>
          </w:p>
        </w:tc>
      </w:tr>
      <w:tr w:rsidR="008D7052" w:rsidRPr="00F006D0" w14:paraId="7032F7F9" w14:textId="77777777" w:rsidTr="00BF7CBB">
        <w:tc>
          <w:tcPr>
            <w:tcW w:w="1661" w:type="dxa"/>
            <w:vAlign w:val="center"/>
          </w:tcPr>
          <w:p w14:paraId="568E3695" w14:textId="756F568C" w:rsidR="008D7052" w:rsidRPr="004E3ECA" w:rsidRDefault="00153F3B" w:rsidP="00470A6D">
            <w:pPr>
              <w:spacing w:before="100" w:beforeAutospacing="1" w:after="100" w:afterAutospacing="1"/>
              <w:rPr>
                <w:rFonts w:ascii="Times New Roman" w:hAnsi="Times New Roman" w:cs="Times New Roman"/>
                <w:noProof/>
                <w:sz w:val="24"/>
                <w:szCs w:val="24"/>
              </w:rPr>
            </w:pPr>
            <w:bookmarkStart w:id="86" w:name="_Hlk215156625"/>
            <w:r>
              <w:rPr>
                <w:rFonts w:ascii="Times New Roman" w:hAnsi="Times New Roman"/>
                <w:noProof/>
                <w:sz w:val="24"/>
              </w:rPr>
              <w:t>9 e 10 de dezembro</w:t>
            </w:r>
          </w:p>
        </w:tc>
        <w:tc>
          <w:tcPr>
            <w:tcW w:w="7442" w:type="dxa"/>
            <w:vAlign w:val="center"/>
          </w:tcPr>
          <w:p w14:paraId="28D0E020" w14:textId="5484F9C2" w:rsidR="008D7052" w:rsidRPr="00153F3B"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Diálogo sobre Questões do Ciberespaço — artigo 703.º do ACC: 3.ª reunião</w:t>
            </w:r>
          </w:p>
        </w:tc>
      </w:tr>
      <w:tr w:rsidR="008D7052" w:rsidRPr="00F006D0" w14:paraId="344F8DE6" w14:textId="77777777" w:rsidTr="00BF7CBB">
        <w:tc>
          <w:tcPr>
            <w:tcW w:w="1661" w:type="dxa"/>
            <w:vAlign w:val="center"/>
          </w:tcPr>
          <w:p w14:paraId="0706EB29" w14:textId="52269998" w:rsidR="008D7052" w:rsidRPr="004E3ECA" w:rsidRDefault="00153F3B"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15 de dezembro</w:t>
            </w:r>
          </w:p>
        </w:tc>
        <w:tc>
          <w:tcPr>
            <w:tcW w:w="7442" w:type="dxa"/>
            <w:vAlign w:val="center"/>
          </w:tcPr>
          <w:p w14:paraId="2F78472E" w14:textId="7E5E53B4" w:rsidR="008D7052" w:rsidRPr="00153F3B" w:rsidRDefault="00153F3B"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Participação em Programas da União (Comité Especializado): 5.ª reunião</w:t>
            </w:r>
          </w:p>
        </w:tc>
      </w:tr>
    </w:tbl>
    <w:p w14:paraId="5105B79E" w14:textId="77777777" w:rsidR="00DF1978" w:rsidRDefault="00DF1978" w:rsidP="00470A6D">
      <w:pPr>
        <w:pStyle w:val="Heading1"/>
        <w:keepNext w:val="0"/>
        <w:keepLines w:val="0"/>
        <w:spacing w:before="100" w:beforeAutospacing="1" w:after="100" w:afterAutospacing="1" w:line="240" w:lineRule="auto"/>
        <w:rPr>
          <w:rFonts w:ascii="Times New Roman" w:hAnsi="Times New Roman" w:cs="Times New Roman"/>
          <w:b/>
          <w:bCs/>
          <w:noProof/>
          <w:color w:val="auto"/>
        </w:rPr>
      </w:pPr>
      <w:bookmarkStart w:id="87" w:name="_Toc185413400"/>
      <w:bookmarkStart w:id="88" w:name="_Toc204769336"/>
      <w:bookmarkEnd w:id="86"/>
    </w:p>
    <w:p w14:paraId="433041FF" w14:textId="77777777" w:rsidR="00DF1978" w:rsidRDefault="00DF1978" w:rsidP="00470A6D">
      <w:pPr>
        <w:spacing w:before="100" w:beforeAutospacing="1" w:after="100" w:afterAutospacing="1" w:line="240" w:lineRule="auto"/>
        <w:rPr>
          <w:rFonts w:ascii="Times New Roman" w:eastAsiaTheme="majorEastAsia" w:hAnsi="Times New Roman" w:cs="Times New Roman"/>
          <w:b/>
          <w:bCs/>
          <w:noProof/>
          <w:sz w:val="32"/>
          <w:szCs w:val="32"/>
        </w:rPr>
      </w:pPr>
      <w:r>
        <w:rPr>
          <w:noProof/>
        </w:rPr>
        <w:br w:type="page"/>
      </w:r>
    </w:p>
    <w:p w14:paraId="11EBED9A" w14:textId="0C6E6B82" w:rsidR="001A76E8" w:rsidRPr="00157ED4" w:rsidRDefault="7AFBC456" w:rsidP="00470A6D">
      <w:pPr>
        <w:pStyle w:val="Heading1"/>
        <w:keepNext w:val="0"/>
        <w:keepLines w:val="0"/>
        <w:spacing w:before="100" w:beforeAutospacing="1" w:after="100" w:afterAutospacing="1" w:line="240" w:lineRule="auto"/>
        <w:rPr>
          <w:rFonts w:ascii="Times New Roman" w:hAnsi="Times New Roman" w:cs="Times New Roman"/>
          <w:b/>
          <w:bCs/>
          <w:noProof/>
          <w:color w:val="auto"/>
          <w:sz w:val="31"/>
          <w:szCs w:val="31"/>
        </w:rPr>
      </w:pPr>
      <w:bookmarkStart w:id="89" w:name="_Toc226580809"/>
      <w:r>
        <w:rPr>
          <w:rFonts w:ascii="Times New Roman" w:hAnsi="Times New Roman"/>
          <w:b/>
          <w:noProof/>
          <w:color w:val="auto"/>
        </w:rPr>
        <w:t>Anexo 2:</w:t>
      </w:r>
      <w:r>
        <w:rPr>
          <w:rFonts w:ascii="Times New Roman" w:hAnsi="Times New Roman"/>
          <w:b/>
          <w:noProof/>
          <w:color w:val="auto"/>
          <w:sz w:val="31"/>
        </w:rPr>
        <w:t xml:space="preserve"> </w:t>
      </w:r>
      <w:r>
        <w:rPr>
          <w:rFonts w:ascii="Times New Roman" w:hAnsi="Times New Roman"/>
          <w:b/>
          <w:noProof/>
          <w:color w:val="auto"/>
        </w:rPr>
        <w:t xml:space="preserve">Decisões, recomendações e declarações adotadas pelo </w:t>
      </w:r>
      <w:r>
        <w:rPr>
          <w:rFonts w:ascii="Times New Roman" w:hAnsi="Times New Roman"/>
          <w:b/>
          <w:noProof/>
          <w:color w:val="auto"/>
          <w:sz w:val="31"/>
        </w:rPr>
        <w:t>Conselho de Parceria e pelos comités criados pelo ACC</w:t>
      </w:r>
      <w:bookmarkStart w:id="90" w:name="_Hlk187697968"/>
      <w:bookmarkEnd w:id="87"/>
      <w:bookmarkEnd w:id="88"/>
      <w:bookmarkEnd w:id="89"/>
    </w:p>
    <w:tbl>
      <w:tblPr>
        <w:tblStyle w:val="TableGrid"/>
        <w:tblW w:w="0" w:type="auto"/>
        <w:tblInd w:w="-34" w:type="dxa"/>
        <w:tblLook w:val="04A0" w:firstRow="1" w:lastRow="0" w:firstColumn="1" w:lastColumn="0" w:noHBand="0" w:noVBand="1"/>
      </w:tblPr>
      <w:tblGrid>
        <w:gridCol w:w="1560"/>
        <w:gridCol w:w="7716"/>
      </w:tblGrid>
      <w:tr w:rsidR="00F006D0" w:rsidRPr="00F006D0" w14:paraId="4D25622D" w14:textId="77777777" w:rsidTr="008C47FD">
        <w:tc>
          <w:tcPr>
            <w:tcW w:w="1560" w:type="dxa"/>
            <w:shd w:val="clear" w:color="auto" w:fill="D0CECE" w:themeFill="background2" w:themeFillShade="E6"/>
          </w:tcPr>
          <w:p w14:paraId="760E1FFE" w14:textId="77777777" w:rsidR="00040652" w:rsidRPr="00F006D0" w:rsidRDefault="00040652" w:rsidP="00470A6D">
            <w:pPr>
              <w:spacing w:before="100" w:beforeAutospacing="1" w:after="100" w:afterAutospacing="1"/>
              <w:rPr>
                <w:rFonts w:ascii="Times New Roman" w:eastAsia="Times New Roman" w:hAnsi="Times New Roman" w:cs="Times New Roman"/>
                <w:b/>
                <w:bCs/>
                <w:noProof/>
                <w:sz w:val="24"/>
                <w:szCs w:val="24"/>
              </w:rPr>
            </w:pPr>
            <w:r>
              <w:rPr>
                <w:rFonts w:ascii="Times New Roman" w:hAnsi="Times New Roman"/>
                <w:b/>
                <w:noProof/>
                <w:sz w:val="24"/>
              </w:rPr>
              <w:t>Data</w:t>
            </w:r>
          </w:p>
        </w:tc>
        <w:tc>
          <w:tcPr>
            <w:tcW w:w="7716" w:type="dxa"/>
            <w:shd w:val="clear" w:color="auto" w:fill="D0CECE" w:themeFill="background2" w:themeFillShade="E6"/>
          </w:tcPr>
          <w:p w14:paraId="16EE404C" w14:textId="77777777" w:rsidR="00040652" w:rsidRPr="00F006D0" w:rsidRDefault="00040652" w:rsidP="00470A6D">
            <w:pPr>
              <w:spacing w:before="100" w:beforeAutospacing="1" w:after="100" w:afterAutospacing="1"/>
              <w:rPr>
                <w:rFonts w:ascii="Times New Roman" w:eastAsia="Times New Roman" w:hAnsi="Times New Roman" w:cs="Times New Roman"/>
                <w:b/>
                <w:bCs/>
                <w:noProof/>
                <w:sz w:val="24"/>
                <w:szCs w:val="24"/>
              </w:rPr>
            </w:pPr>
            <w:r>
              <w:rPr>
                <w:rFonts w:ascii="Times New Roman" w:hAnsi="Times New Roman"/>
                <w:b/>
                <w:noProof/>
                <w:sz w:val="24"/>
              </w:rPr>
              <w:t>Decisão ou recomendação</w:t>
            </w:r>
          </w:p>
        </w:tc>
      </w:tr>
      <w:tr w:rsidR="00F67C44" w:rsidRPr="00F006D0" w14:paraId="0A820F82" w14:textId="77777777" w:rsidTr="008C47FD">
        <w:tc>
          <w:tcPr>
            <w:tcW w:w="1560" w:type="dxa"/>
          </w:tcPr>
          <w:p w14:paraId="6F1F37D8" w14:textId="29078AFA" w:rsidR="00F67C44" w:rsidRDefault="00853323"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18 de junho de 2025</w:t>
            </w:r>
          </w:p>
        </w:tc>
        <w:tc>
          <w:tcPr>
            <w:tcW w:w="7716" w:type="dxa"/>
          </w:tcPr>
          <w:p w14:paraId="1BAE5866" w14:textId="2C9681D9" w:rsidR="00F67C44" w:rsidRPr="00F67C44" w:rsidRDefault="00F67C44"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Decisão n.º 1/2025 do Conselho de Parceria relativa à interpretação do artigo 508.º, n.º 2, alínea d), do Acordo de Comércio e Cooperação</w:t>
            </w:r>
            <w:r>
              <w:rPr>
                <w:rStyle w:val="FootnoteReference"/>
                <w:rFonts w:ascii="Times New Roman" w:eastAsia="Times New Roman" w:hAnsi="Times New Roman" w:cs="Times New Roman"/>
                <w:noProof/>
                <w:sz w:val="24"/>
                <w:szCs w:val="24"/>
              </w:rPr>
              <w:footnoteReference w:id="59"/>
            </w:r>
          </w:p>
        </w:tc>
      </w:tr>
      <w:tr w:rsidR="00F006D0" w:rsidRPr="00F006D0" w14:paraId="79A78066" w14:textId="77777777" w:rsidTr="008C47FD">
        <w:tc>
          <w:tcPr>
            <w:tcW w:w="1560" w:type="dxa"/>
          </w:tcPr>
          <w:p w14:paraId="7496C444" w14:textId="0CF631AE" w:rsidR="00040652" w:rsidRPr="00F006D0" w:rsidRDefault="00F67C44"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19 de junho de 2025</w:t>
            </w:r>
          </w:p>
        </w:tc>
        <w:tc>
          <w:tcPr>
            <w:tcW w:w="7716" w:type="dxa"/>
          </w:tcPr>
          <w:p w14:paraId="56F46A86" w14:textId="109286CE" w:rsidR="00040652" w:rsidRPr="00F006D0" w:rsidRDefault="00F67C44" w:rsidP="00470A6D">
            <w:pPr>
              <w:spacing w:before="100" w:beforeAutospacing="1" w:after="100" w:afterAutospacing="1"/>
              <w:jc w:val="both"/>
              <w:rPr>
                <w:rFonts w:ascii="Times New Roman" w:hAnsi="Times New Roman" w:cs="Times New Roman"/>
                <w:noProof/>
                <w:sz w:val="24"/>
                <w:szCs w:val="24"/>
              </w:rPr>
            </w:pPr>
            <w:r>
              <w:rPr>
                <w:rFonts w:ascii="Times New Roman" w:hAnsi="Times New Roman"/>
                <w:noProof/>
                <w:sz w:val="24"/>
              </w:rPr>
              <w:t>Decisão n.º 2/2025 do Conselho de Parceria que interpreta o artigo 331.º, n.º 2, e prorroga a aplicação da parte dois, subparte um, título VIII, relativo à energia, do Acordo de Comércio e Cooperação</w:t>
            </w:r>
            <w:r>
              <w:rPr>
                <w:rStyle w:val="FootnoteReference"/>
                <w:rFonts w:ascii="Times New Roman" w:hAnsi="Times New Roman" w:cs="Times New Roman"/>
                <w:noProof/>
                <w:sz w:val="24"/>
                <w:szCs w:val="24"/>
              </w:rPr>
              <w:footnoteReference w:id="60"/>
            </w:r>
          </w:p>
        </w:tc>
      </w:tr>
      <w:tr w:rsidR="00764227" w:rsidRPr="00F006D0" w14:paraId="3B3180ED" w14:textId="77777777" w:rsidTr="008C47FD">
        <w:tc>
          <w:tcPr>
            <w:tcW w:w="1560" w:type="dxa"/>
          </w:tcPr>
          <w:p w14:paraId="29F5D493" w14:textId="061C8D01" w:rsidR="00764227" w:rsidRPr="00F006D0" w:rsidRDefault="00764227"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19 de junho de 2025</w:t>
            </w:r>
          </w:p>
        </w:tc>
        <w:tc>
          <w:tcPr>
            <w:tcW w:w="7716" w:type="dxa"/>
          </w:tcPr>
          <w:p w14:paraId="56E8C745" w14:textId="3ABE36F7" w:rsidR="00764227" w:rsidRPr="00F006D0" w:rsidRDefault="00764227"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Declaração conjunta 1/2025 da União e do Reino Unido proferida no âmbito do Conselho de Parceria criado pelo Acordo de Comércio e Cooperação</w:t>
            </w:r>
            <w:r>
              <w:rPr>
                <w:rStyle w:val="FootnoteReference"/>
                <w:rFonts w:ascii="Times New Roman" w:eastAsia="Times New Roman" w:hAnsi="Times New Roman" w:cs="Times New Roman"/>
                <w:noProof/>
                <w:sz w:val="24"/>
                <w:szCs w:val="24"/>
              </w:rPr>
              <w:footnoteReference w:id="61"/>
            </w:r>
          </w:p>
        </w:tc>
      </w:tr>
      <w:tr w:rsidR="00F006D0" w:rsidRPr="00F006D0" w14:paraId="0422E4B9" w14:textId="77777777" w:rsidTr="008C47FD">
        <w:tc>
          <w:tcPr>
            <w:tcW w:w="1560" w:type="dxa"/>
          </w:tcPr>
          <w:p w14:paraId="752BDC49" w14:textId="24BB8A4C" w:rsidR="00040652" w:rsidRPr="00F006D0" w:rsidRDefault="003071B8"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19 de junho de 2025</w:t>
            </w:r>
          </w:p>
        </w:tc>
        <w:tc>
          <w:tcPr>
            <w:tcW w:w="7716" w:type="dxa"/>
          </w:tcPr>
          <w:p w14:paraId="2EAED4B5" w14:textId="6B60E169" w:rsidR="00040652" w:rsidRPr="00F006D0" w:rsidRDefault="00A22C1C"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Decisão n.º 1/2025 do Comité Especializado das Pescas respeitante às disposições relativas ao nível e às condições de acesso concedidos por cada uma das Partes aos navios da outra Parte para pescar nas suas águas de 1 de julho de 2026 a 30 de junho de 2038</w:t>
            </w:r>
            <w:r>
              <w:rPr>
                <w:rStyle w:val="FootnoteReference"/>
                <w:rFonts w:ascii="Times New Roman" w:eastAsia="Times New Roman" w:hAnsi="Times New Roman" w:cs="Times New Roman"/>
                <w:noProof/>
                <w:sz w:val="24"/>
                <w:szCs w:val="24"/>
              </w:rPr>
              <w:footnoteReference w:id="62"/>
            </w:r>
          </w:p>
        </w:tc>
      </w:tr>
      <w:tr w:rsidR="00F006D0" w:rsidRPr="00F006D0" w14:paraId="4E0A5D17" w14:textId="77777777" w:rsidTr="008C47FD">
        <w:tc>
          <w:tcPr>
            <w:tcW w:w="1560" w:type="dxa"/>
          </w:tcPr>
          <w:p w14:paraId="4277D2B8" w14:textId="0157DF29" w:rsidR="00C76B39" w:rsidRPr="007049DB" w:rsidRDefault="007049DB" w:rsidP="00470A6D">
            <w:pPr>
              <w:spacing w:before="100" w:beforeAutospacing="1" w:after="100" w:afterAutospacing="1"/>
              <w:rPr>
                <w:rFonts w:ascii="Times New Roman" w:eastAsia="Times New Roman" w:hAnsi="Times New Roman" w:cs="Times New Roman"/>
                <w:noProof/>
                <w:sz w:val="24"/>
                <w:szCs w:val="24"/>
                <w:highlight w:val="yellow"/>
              </w:rPr>
            </w:pPr>
            <w:r>
              <w:rPr>
                <w:rFonts w:ascii="Times New Roman" w:hAnsi="Times New Roman"/>
                <w:noProof/>
                <w:sz w:val="24"/>
              </w:rPr>
              <w:t>31 de julho de 2025</w:t>
            </w:r>
          </w:p>
        </w:tc>
        <w:tc>
          <w:tcPr>
            <w:tcW w:w="7716" w:type="dxa"/>
          </w:tcPr>
          <w:p w14:paraId="09DBBDBB" w14:textId="031F2083" w:rsidR="00C76B39" w:rsidRPr="007049DB" w:rsidRDefault="00A75372" w:rsidP="00470A6D">
            <w:pPr>
              <w:spacing w:before="100" w:beforeAutospacing="1" w:after="100" w:afterAutospacing="1"/>
              <w:jc w:val="both"/>
              <w:rPr>
                <w:rFonts w:ascii="Times New Roman" w:eastAsia="Calibri" w:hAnsi="Times New Roman" w:cs="Times New Roman"/>
                <w:noProof/>
                <w:sz w:val="24"/>
                <w:szCs w:val="24"/>
              </w:rPr>
            </w:pPr>
            <w:r>
              <w:rPr>
                <w:rFonts w:ascii="Times New Roman" w:hAnsi="Times New Roman"/>
                <w:noProof/>
                <w:sz w:val="24"/>
              </w:rPr>
              <w:t>Decisão n.º 1/2025 do Comité Especializado do Comércio sobre a Cooperação Administrativa em Matéria de IVA e Cobrança de Impostos e Direitos, de 31 de julho de 2025, que altera a Decisão n.º 4/2023 relativa aos formulários normalizados para a comunicação das informações e dados estatísticos, à transmissão de informações através da Rede Comum de Comunicações e às disposições práticas para a organização dos contactos entre os serviços centrais de ligação e os serviços de ligação</w:t>
            </w:r>
            <w:r>
              <w:rPr>
                <w:rStyle w:val="FootnoteReference"/>
                <w:rFonts w:ascii="Times New Roman" w:eastAsia="Calibri" w:hAnsi="Times New Roman" w:cs="Times New Roman"/>
                <w:noProof/>
                <w:sz w:val="24"/>
                <w:szCs w:val="24"/>
              </w:rPr>
              <w:footnoteReference w:id="63"/>
            </w:r>
          </w:p>
        </w:tc>
      </w:tr>
      <w:tr w:rsidR="008C47FD" w:rsidRPr="00F006D0" w14:paraId="1DB67225" w14:textId="77777777" w:rsidTr="008C47FD">
        <w:tc>
          <w:tcPr>
            <w:tcW w:w="1560" w:type="dxa"/>
          </w:tcPr>
          <w:p w14:paraId="673FC51C" w14:textId="77777777" w:rsidR="008C47FD" w:rsidRPr="00B21CE1" w:rsidRDefault="008C47FD" w:rsidP="00637692">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30 de outubro de 2025</w:t>
            </w:r>
          </w:p>
        </w:tc>
        <w:tc>
          <w:tcPr>
            <w:tcW w:w="7716" w:type="dxa"/>
          </w:tcPr>
          <w:p w14:paraId="1479BF8E" w14:textId="77777777" w:rsidR="008C47FD" w:rsidRPr="00A75372" w:rsidRDefault="008C47FD" w:rsidP="00637692">
            <w:pPr>
              <w:spacing w:before="100" w:beforeAutospacing="1" w:after="100" w:afterAutospacing="1"/>
              <w:jc w:val="both"/>
              <w:rPr>
                <w:rFonts w:ascii="Times New Roman" w:eastAsia="Calibri" w:hAnsi="Times New Roman" w:cs="Times New Roman"/>
                <w:noProof/>
                <w:sz w:val="24"/>
                <w:szCs w:val="24"/>
              </w:rPr>
            </w:pPr>
            <w:bookmarkStart w:id="91" w:name="_Hlk222926831"/>
            <w:r>
              <w:rPr>
                <w:rFonts w:ascii="Times New Roman" w:hAnsi="Times New Roman"/>
                <w:noProof/>
                <w:sz w:val="24"/>
              </w:rPr>
              <w:t>Decisão n.º 1/2025 do Comité Especializado dos Transportes Rodoviários no que respeita a uma lista das categorias, tipos e graus de gravidade das infrações graves que podem acarretar a perda da idoneidade de um transportador rodoviário de mercadorias</w:t>
            </w:r>
            <w:r>
              <w:rPr>
                <w:rStyle w:val="FootnoteReference"/>
                <w:rFonts w:ascii="Times New Roman" w:eastAsia="Calibri" w:hAnsi="Times New Roman" w:cs="Times New Roman"/>
                <w:noProof/>
                <w:sz w:val="24"/>
                <w:szCs w:val="24"/>
              </w:rPr>
              <w:footnoteReference w:id="64"/>
            </w:r>
            <w:bookmarkEnd w:id="91"/>
          </w:p>
        </w:tc>
      </w:tr>
      <w:tr w:rsidR="008C47FD" w:rsidRPr="00F006D0" w14:paraId="1F4D8855" w14:textId="77777777" w:rsidTr="008C47FD">
        <w:tc>
          <w:tcPr>
            <w:tcW w:w="1560" w:type="dxa"/>
          </w:tcPr>
          <w:p w14:paraId="7B45BAD2" w14:textId="77777777" w:rsidR="008C47FD" w:rsidRPr="00B21CE1" w:rsidRDefault="008C47FD" w:rsidP="00637692">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30 de outubro de 2025</w:t>
            </w:r>
          </w:p>
        </w:tc>
        <w:tc>
          <w:tcPr>
            <w:tcW w:w="7716" w:type="dxa"/>
          </w:tcPr>
          <w:p w14:paraId="3D1D1222" w14:textId="77777777" w:rsidR="008C47FD" w:rsidRPr="00A75372" w:rsidRDefault="008C47FD" w:rsidP="00637692">
            <w:pPr>
              <w:spacing w:before="100" w:beforeAutospacing="1" w:after="100" w:afterAutospacing="1"/>
              <w:jc w:val="both"/>
              <w:rPr>
                <w:rFonts w:ascii="Times New Roman" w:eastAsia="Calibri" w:hAnsi="Times New Roman" w:cs="Times New Roman"/>
                <w:noProof/>
                <w:sz w:val="24"/>
                <w:szCs w:val="24"/>
              </w:rPr>
            </w:pPr>
            <w:bookmarkStart w:id="93" w:name="_Hlk222926868"/>
            <w:r>
              <w:rPr>
                <w:rFonts w:ascii="Times New Roman" w:hAnsi="Times New Roman"/>
                <w:noProof/>
                <w:sz w:val="24"/>
              </w:rPr>
              <w:t>Decisão n.º 2/2025 do Comité Especializado dos Transportes Rodoviários relativa aos registos eletrónicos nacionais das empresas de transporte rodoviário e às modalidades de intercâmbio de informações contidas nesses registos</w:t>
            </w:r>
            <w:r>
              <w:rPr>
                <w:rStyle w:val="FootnoteReference"/>
                <w:rFonts w:ascii="Times New Roman" w:eastAsia="Calibri" w:hAnsi="Times New Roman" w:cs="Times New Roman"/>
                <w:noProof/>
                <w:sz w:val="24"/>
                <w:szCs w:val="24"/>
              </w:rPr>
              <w:footnoteReference w:id="65"/>
            </w:r>
            <w:bookmarkEnd w:id="93"/>
          </w:p>
        </w:tc>
      </w:tr>
      <w:tr w:rsidR="008C47FD" w:rsidRPr="00F006D0" w14:paraId="3A64B17B" w14:textId="77777777" w:rsidTr="008C47FD">
        <w:tc>
          <w:tcPr>
            <w:tcW w:w="1560" w:type="dxa"/>
          </w:tcPr>
          <w:p w14:paraId="7C73E085" w14:textId="77777777" w:rsidR="008C47FD" w:rsidRPr="00B21CE1" w:rsidRDefault="008C47FD" w:rsidP="00637692">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30 de outubro de 2025</w:t>
            </w:r>
          </w:p>
        </w:tc>
        <w:tc>
          <w:tcPr>
            <w:tcW w:w="7716" w:type="dxa"/>
          </w:tcPr>
          <w:p w14:paraId="04793EA3" w14:textId="77777777" w:rsidR="008C47FD" w:rsidRPr="00A75372" w:rsidRDefault="008C47FD" w:rsidP="00637692">
            <w:pPr>
              <w:spacing w:before="100" w:beforeAutospacing="1" w:after="100" w:afterAutospacing="1"/>
              <w:jc w:val="both"/>
              <w:rPr>
                <w:rFonts w:ascii="Times New Roman" w:eastAsia="Calibri" w:hAnsi="Times New Roman" w:cs="Times New Roman"/>
                <w:noProof/>
                <w:sz w:val="24"/>
                <w:szCs w:val="24"/>
              </w:rPr>
            </w:pPr>
            <w:r>
              <w:rPr>
                <w:rFonts w:ascii="Times New Roman" w:hAnsi="Times New Roman"/>
                <w:noProof/>
                <w:sz w:val="24"/>
              </w:rPr>
              <w:t>Decisão n.º 3/2025 do Comité Especializado dos Transportes Rodoviários relativa ao montante e às modalidades da contribuição financeira do Reino Unido para alguns sistemas de informação sobre os transportes rodoviários geridos pela União e que altera a Decisão n.º 1/2022 do Comité Especializado dos Transportes Rodoviários</w:t>
            </w:r>
            <w:r>
              <w:rPr>
                <w:rStyle w:val="FootnoteReference"/>
                <w:rFonts w:ascii="Times New Roman" w:eastAsia="Calibri" w:hAnsi="Times New Roman" w:cs="Times New Roman"/>
                <w:noProof/>
                <w:sz w:val="24"/>
                <w:szCs w:val="24"/>
              </w:rPr>
              <w:footnoteReference w:id="66"/>
            </w:r>
            <w:r>
              <w:rPr>
                <w:rFonts w:ascii="Times New Roman" w:hAnsi="Times New Roman"/>
                <w:noProof/>
                <w:sz w:val="24"/>
              </w:rPr>
              <w:t xml:space="preserve"> </w:t>
            </w:r>
          </w:p>
        </w:tc>
      </w:tr>
    </w:tbl>
    <w:p w14:paraId="02E118BD" w14:textId="655E33D7" w:rsidR="001B243A" w:rsidRDefault="001B243A" w:rsidP="00470A6D">
      <w:pPr>
        <w:pStyle w:val="Heading1"/>
        <w:keepNext w:val="0"/>
        <w:keepLines w:val="0"/>
        <w:spacing w:before="100" w:beforeAutospacing="1" w:after="100" w:afterAutospacing="1" w:line="240" w:lineRule="auto"/>
        <w:rPr>
          <w:rFonts w:ascii="Times New Roman" w:hAnsi="Times New Roman" w:cs="Times New Roman"/>
          <w:b/>
          <w:bCs/>
          <w:noProof/>
          <w:color w:val="auto"/>
        </w:rPr>
      </w:pPr>
      <w:r>
        <w:rPr>
          <w:noProof/>
        </w:rPr>
        <w:br w:type="page"/>
      </w:r>
      <w:bookmarkStart w:id="95" w:name="_Toc204769337"/>
      <w:bookmarkStart w:id="96" w:name="_Toc226580810"/>
      <w:r>
        <w:rPr>
          <w:rFonts w:ascii="Times New Roman" w:hAnsi="Times New Roman"/>
          <w:b/>
          <w:noProof/>
          <w:color w:val="auto"/>
        </w:rPr>
        <w:t>Anexo 3: Panorâmica da execução das ações relacionadas com o ACC acordadas no Entendimento Comum</w:t>
      </w:r>
      <w:bookmarkEnd w:id="95"/>
      <w:bookmarkEnd w:id="96"/>
    </w:p>
    <w:tbl>
      <w:tblPr>
        <w:tblStyle w:val="TableGrid"/>
        <w:tblW w:w="0" w:type="auto"/>
        <w:tblInd w:w="-34" w:type="dxa"/>
        <w:tblLook w:val="04A0" w:firstRow="1" w:lastRow="0" w:firstColumn="1" w:lastColumn="0" w:noHBand="0" w:noVBand="1"/>
      </w:tblPr>
      <w:tblGrid>
        <w:gridCol w:w="2977"/>
        <w:gridCol w:w="6237"/>
      </w:tblGrid>
      <w:tr w:rsidR="001B243A" w:rsidRPr="00F006D0" w14:paraId="04742748" w14:textId="77777777">
        <w:tc>
          <w:tcPr>
            <w:tcW w:w="2977" w:type="dxa"/>
            <w:shd w:val="clear" w:color="auto" w:fill="D0CECE" w:themeFill="background2" w:themeFillShade="E6"/>
          </w:tcPr>
          <w:p w14:paraId="107EBAC4" w14:textId="77777777" w:rsidR="001B243A" w:rsidRPr="00F006D0" w:rsidRDefault="001B243A" w:rsidP="00470A6D">
            <w:pPr>
              <w:spacing w:before="100" w:beforeAutospacing="1" w:after="100" w:afterAutospacing="1"/>
              <w:rPr>
                <w:rFonts w:ascii="Times New Roman" w:eastAsia="Times New Roman" w:hAnsi="Times New Roman" w:cs="Times New Roman"/>
                <w:b/>
                <w:bCs/>
                <w:noProof/>
                <w:sz w:val="24"/>
                <w:szCs w:val="24"/>
              </w:rPr>
            </w:pPr>
            <w:r>
              <w:rPr>
                <w:rFonts w:ascii="Times New Roman" w:hAnsi="Times New Roman"/>
                <w:b/>
                <w:noProof/>
                <w:sz w:val="24"/>
              </w:rPr>
              <w:t>Ação/domínio de cooperação</w:t>
            </w:r>
          </w:p>
        </w:tc>
        <w:tc>
          <w:tcPr>
            <w:tcW w:w="6237" w:type="dxa"/>
            <w:shd w:val="clear" w:color="auto" w:fill="D0CECE" w:themeFill="background2" w:themeFillShade="E6"/>
          </w:tcPr>
          <w:p w14:paraId="68CFBC35" w14:textId="77777777" w:rsidR="001B243A" w:rsidRPr="00F006D0" w:rsidRDefault="001B243A" w:rsidP="00470A6D">
            <w:pPr>
              <w:spacing w:before="100" w:beforeAutospacing="1" w:after="100" w:afterAutospacing="1"/>
              <w:rPr>
                <w:rFonts w:ascii="Times New Roman" w:eastAsia="Times New Roman" w:hAnsi="Times New Roman" w:cs="Times New Roman"/>
                <w:b/>
                <w:bCs/>
                <w:noProof/>
                <w:sz w:val="24"/>
                <w:szCs w:val="24"/>
              </w:rPr>
            </w:pPr>
            <w:r>
              <w:rPr>
                <w:rFonts w:ascii="Times New Roman" w:hAnsi="Times New Roman"/>
                <w:b/>
                <w:noProof/>
                <w:sz w:val="24"/>
              </w:rPr>
              <w:t>Ponto da situação</w:t>
            </w:r>
          </w:p>
        </w:tc>
      </w:tr>
      <w:tr w:rsidR="001B243A" w:rsidRPr="00F006D0" w14:paraId="0FA81AF2" w14:textId="77777777">
        <w:tc>
          <w:tcPr>
            <w:tcW w:w="2977" w:type="dxa"/>
          </w:tcPr>
          <w:p w14:paraId="7713A974" w14:textId="77777777" w:rsidR="001B243A" w:rsidRPr="00F006D0"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Pleno acesso recíproco às águas de pesca até 30 de junho de 2038</w:t>
            </w:r>
          </w:p>
        </w:tc>
        <w:tc>
          <w:tcPr>
            <w:tcW w:w="6237" w:type="dxa"/>
          </w:tcPr>
          <w:p w14:paraId="4858BF1A" w14:textId="0EEE656F" w:rsidR="001B243A" w:rsidRPr="00F006D0" w:rsidRDefault="00B21CE1"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A Decisão n.º 1/2025</w:t>
            </w:r>
            <w:r>
              <w:rPr>
                <w:rStyle w:val="FootnoteReference"/>
                <w:rFonts w:ascii="Times New Roman" w:hAnsi="Times New Roman" w:cs="Times New Roman"/>
                <w:noProof/>
                <w:sz w:val="24"/>
                <w:szCs w:val="24"/>
              </w:rPr>
              <w:footnoteReference w:id="67"/>
            </w:r>
            <w:r>
              <w:rPr>
                <w:rFonts w:ascii="Times New Roman" w:hAnsi="Times New Roman"/>
                <w:noProof/>
                <w:sz w:val="24"/>
              </w:rPr>
              <w:t xml:space="preserve"> do Conselho de Parceria, de 18 de junho de 2025, e a Decisão n.º 1/2025</w:t>
            </w:r>
            <w:r>
              <w:rPr>
                <w:rStyle w:val="FootnoteReference"/>
                <w:rFonts w:ascii="Times New Roman" w:hAnsi="Times New Roman" w:cs="Times New Roman"/>
                <w:noProof/>
                <w:sz w:val="24"/>
                <w:szCs w:val="24"/>
              </w:rPr>
              <w:footnoteReference w:id="68"/>
            </w:r>
            <w:r>
              <w:rPr>
                <w:rFonts w:ascii="Times New Roman" w:hAnsi="Times New Roman"/>
                <w:noProof/>
                <w:sz w:val="24"/>
              </w:rPr>
              <w:t xml:space="preserve"> do Comité Especializado das Pescas, de 1 de julho de 2025, preveem o acesso pleno e recíproco às águas para além de 30 de junho de 2026 até 30 de junho de 2038. </w:t>
            </w:r>
          </w:p>
        </w:tc>
      </w:tr>
      <w:tr w:rsidR="001B243A" w:rsidRPr="00F006D0" w14:paraId="6A333B27" w14:textId="77777777">
        <w:tc>
          <w:tcPr>
            <w:tcW w:w="2977" w:type="dxa"/>
          </w:tcPr>
          <w:p w14:paraId="3F1E68DE" w14:textId="77777777" w:rsidR="001B243A" w:rsidRPr="00F006D0"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Alargamento da cooperação no domínio da energia</w:t>
            </w:r>
          </w:p>
        </w:tc>
        <w:tc>
          <w:tcPr>
            <w:tcW w:w="6237" w:type="dxa"/>
          </w:tcPr>
          <w:p w14:paraId="0CA9D3E9" w14:textId="479A89D5" w:rsidR="001B243A" w:rsidRPr="00F006D0" w:rsidRDefault="00A10D75" w:rsidP="00470A6D">
            <w:pPr>
              <w:spacing w:before="100" w:beforeAutospacing="1" w:after="100" w:afterAutospacing="1"/>
              <w:jc w:val="both"/>
              <w:rPr>
                <w:rFonts w:ascii="Times New Roman" w:hAnsi="Times New Roman" w:cs="Times New Roman"/>
                <w:noProof/>
                <w:sz w:val="24"/>
                <w:szCs w:val="24"/>
              </w:rPr>
            </w:pPr>
            <w:r>
              <w:rPr>
                <w:rFonts w:ascii="Times New Roman" w:hAnsi="Times New Roman"/>
                <w:noProof/>
                <w:sz w:val="24"/>
              </w:rPr>
              <w:t>A Declaração n.º 1/2025</w:t>
            </w:r>
            <w:r>
              <w:rPr>
                <w:rStyle w:val="FootnoteReference"/>
                <w:rFonts w:ascii="Times New Roman" w:hAnsi="Times New Roman" w:cs="Times New Roman"/>
                <w:noProof/>
                <w:sz w:val="24"/>
                <w:szCs w:val="24"/>
              </w:rPr>
              <w:footnoteReference w:id="69"/>
            </w:r>
            <w:r>
              <w:rPr>
                <w:rFonts w:ascii="Times New Roman" w:hAnsi="Times New Roman"/>
                <w:noProof/>
                <w:sz w:val="24"/>
              </w:rPr>
              <w:t xml:space="preserve"> e a Decisão n.º 2/2025</w:t>
            </w:r>
            <w:r>
              <w:rPr>
                <w:rStyle w:val="FootnoteReference"/>
                <w:rFonts w:ascii="Times New Roman" w:hAnsi="Times New Roman" w:cs="Times New Roman"/>
                <w:noProof/>
                <w:sz w:val="24"/>
                <w:szCs w:val="24"/>
              </w:rPr>
              <w:footnoteReference w:id="70"/>
            </w:r>
            <w:r>
              <w:rPr>
                <w:rFonts w:ascii="Times New Roman" w:hAnsi="Times New Roman"/>
                <w:noProof/>
                <w:sz w:val="24"/>
              </w:rPr>
              <w:t xml:space="preserve"> do Conselho de Parceria, de 19 de junho de 2025, preveem a continuação da aplicação das disposições do ACC em matéria de energia. A primeira prorrogação será aplicável até 31 de março de 2027, seguindo-se novas prorrogações anuais.</w:t>
            </w:r>
          </w:p>
        </w:tc>
      </w:tr>
      <w:tr w:rsidR="001B243A" w:rsidRPr="00F006D0" w14:paraId="2D15223D" w14:textId="77777777">
        <w:tc>
          <w:tcPr>
            <w:tcW w:w="2977" w:type="dxa"/>
          </w:tcPr>
          <w:p w14:paraId="4A713922" w14:textId="1055ED4E" w:rsidR="001B243A" w:rsidRPr="00F006D0"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Trabalho no sentido de ligar os sistemas de comércio de licenças de emissão de ambas as partes</w:t>
            </w:r>
          </w:p>
        </w:tc>
        <w:tc>
          <w:tcPr>
            <w:tcW w:w="6237" w:type="dxa"/>
          </w:tcPr>
          <w:p w14:paraId="74A9B1C1" w14:textId="3E7A026A" w:rsidR="001B243A" w:rsidRPr="00F006D0" w:rsidRDefault="00AC273F"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 xml:space="preserve">Na sequência da adoção do mandato de negociação do Conselho em 17 de novembro de 2025, tiveram início as negociações. </w:t>
            </w:r>
          </w:p>
        </w:tc>
      </w:tr>
      <w:tr w:rsidR="00D13CD5" w:rsidRPr="009E033A" w14:paraId="1FB9D752" w14:textId="77777777">
        <w:tc>
          <w:tcPr>
            <w:tcW w:w="2977" w:type="dxa"/>
          </w:tcPr>
          <w:p w14:paraId="2F412437" w14:textId="56940615" w:rsidR="00D13CD5" w:rsidRPr="009E033A" w:rsidRDefault="00D13CD5"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Associação do Reino Unido ao Erasmus+</w:t>
            </w:r>
          </w:p>
        </w:tc>
        <w:tc>
          <w:tcPr>
            <w:tcW w:w="6237" w:type="dxa"/>
          </w:tcPr>
          <w:p w14:paraId="71172380" w14:textId="1FBE21A1" w:rsidR="00D13CD5" w:rsidRPr="00AC273F" w:rsidDel="00D13CD5" w:rsidRDefault="00BD2ED4"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Em dezembro de 2025, a Comissão concluiu as negociações para a associação do Reino Unido a partir de 1 de janeiro de 2027.</w:t>
            </w:r>
          </w:p>
        </w:tc>
      </w:tr>
      <w:tr w:rsidR="001B243A" w:rsidRPr="009E033A" w14:paraId="4C978D9F" w14:textId="77777777">
        <w:tc>
          <w:tcPr>
            <w:tcW w:w="2977" w:type="dxa"/>
          </w:tcPr>
          <w:p w14:paraId="1ECF5202" w14:textId="77777777" w:rsidR="001B243A" w:rsidRPr="009E033A"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Promover a prestação de serviços</w:t>
            </w:r>
          </w:p>
        </w:tc>
        <w:tc>
          <w:tcPr>
            <w:tcW w:w="6237" w:type="dxa"/>
          </w:tcPr>
          <w:p w14:paraId="1289D405" w14:textId="77BD3254" w:rsidR="001B243A" w:rsidRPr="009E033A" w:rsidRDefault="00BE2C45" w:rsidP="00470A6D">
            <w:pPr>
              <w:spacing w:before="100" w:beforeAutospacing="1" w:after="100" w:afterAutospacing="1"/>
              <w:jc w:val="both"/>
              <w:rPr>
                <w:rFonts w:ascii="Times New Roman" w:eastAsia="Times New Roman" w:hAnsi="Times New Roman" w:cs="Times New Roman"/>
                <w:i/>
                <w:iCs/>
                <w:noProof/>
                <w:sz w:val="24"/>
                <w:szCs w:val="24"/>
              </w:rPr>
            </w:pPr>
            <w:r>
              <w:rPr>
                <w:rFonts w:ascii="Times New Roman" w:hAnsi="Times New Roman"/>
                <w:noProof/>
                <w:sz w:val="24"/>
              </w:rPr>
              <w:t>Diálogos específicos sobre a aplicação do ACC no que se refere à entrada e estada temporária de pessoas singulares por motivos profissionais, incluindo o regime de patrocínio, e o reconhecimento das qualificações profissionais, comunicando informações aos organismos conjuntos do ACC</w:t>
            </w:r>
          </w:p>
        </w:tc>
      </w:tr>
      <w:tr w:rsidR="001B243A" w:rsidRPr="009E033A" w14:paraId="57FB8490" w14:textId="77777777">
        <w:tc>
          <w:tcPr>
            <w:tcW w:w="2977" w:type="dxa"/>
          </w:tcPr>
          <w:p w14:paraId="6D20E360" w14:textId="77777777" w:rsidR="001B243A" w:rsidRPr="009E033A"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Maximização da cooperação em matéria de segurança sanitária</w:t>
            </w:r>
          </w:p>
        </w:tc>
        <w:tc>
          <w:tcPr>
            <w:tcW w:w="6237" w:type="dxa"/>
          </w:tcPr>
          <w:p w14:paraId="21BFD92E" w14:textId="60D4E466" w:rsidR="001B243A" w:rsidRPr="009E033A" w:rsidRDefault="00A94F20"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Prosseguem as conversações exploratórias.</w:t>
            </w:r>
          </w:p>
        </w:tc>
      </w:tr>
      <w:tr w:rsidR="001B243A" w:rsidRPr="00F006D0" w14:paraId="3EF59CCD" w14:textId="77777777">
        <w:tc>
          <w:tcPr>
            <w:tcW w:w="2977" w:type="dxa"/>
          </w:tcPr>
          <w:p w14:paraId="671973C2" w14:textId="77777777" w:rsidR="001B243A" w:rsidRPr="009E033A"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Reforço da cooperação judiciária em matéria penal e de aplicação da lei</w:t>
            </w:r>
          </w:p>
        </w:tc>
        <w:tc>
          <w:tcPr>
            <w:tcW w:w="6237" w:type="dxa"/>
          </w:tcPr>
          <w:p w14:paraId="567AC572" w14:textId="63271916" w:rsidR="001B243A" w:rsidRPr="00F006D0" w:rsidRDefault="009E033A"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Prosseguem as conversações exploratórias.</w:t>
            </w:r>
          </w:p>
        </w:tc>
      </w:tr>
      <w:tr w:rsidR="001B243A" w:rsidRPr="00F006D0" w14:paraId="0751E247" w14:textId="77777777">
        <w:tc>
          <w:tcPr>
            <w:tcW w:w="2977" w:type="dxa"/>
          </w:tcPr>
          <w:p w14:paraId="6F8D3E02" w14:textId="77777777" w:rsidR="001B243A" w:rsidRPr="00F006D0"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 xml:space="preserve">Acordo de cooperação em matéria de concorrência </w:t>
            </w:r>
          </w:p>
        </w:tc>
        <w:tc>
          <w:tcPr>
            <w:tcW w:w="6237" w:type="dxa"/>
          </w:tcPr>
          <w:p w14:paraId="1890D541" w14:textId="0FA6A9B4" w:rsidR="001B243A" w:rsidRPr="00F006D0" w:rsidRDefault="00C46761"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O Acordo de Cooperação em matéria de Concorrência entre a UE e o Reino Unido foi celebrado em 2025 e assinado em fevereiro de 2026.</w:t>
            </w:r>
          </w:p>
        </w:tc>
      </w:tr>
      <w:bookmarkEnd w:id="90"/>
    </w:tbl>
    <w:p w14:paraId="49AD2CD4" w14:textId="23F3777C" w:rsidR="00040652" w:rsidRPr="001B243A" w:rsidRDefault="00040652" w:rsidP="00F44491">
      <w:pPr>
        <w:spacing w:before="100" w:beforeAutospacing="1" w:after="100" w:afterAutospacing="1" w:line="240" w:lineRule="auto"/>
        <w:rPr>
          <w:noProof/>
        </w:rPr>
      </w:pPr>
    </w:p>
    <w:sectPr w:rsidR="00040652" w:rsidRPr="001B243A" w:rsidSect="00656149">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18"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A1D9B" w14:textId="77777777" w:rsidR="00014E06" w:rsidRDefault="00014E06" w:rsidP="003E5080">
      <w:pPr>
        <w:spacing w:after="0" w:line="240" w:lineRule="auto"/>
      </w:pPr>
      <w:r>
        <w:separator/>
      </w:r>
    </w:p>
  </w:endnote>
  <w:endnote w:type="continuationSeparator" w:id="0">
    <w:p w14:paraId="54FA1D9A" w14:textId="77777777" w:rsidR="00014E06" w:rsidRDefault="00014E06" w:rsidP="003E5080">
      <w:pPr>
        <w:spacing w:after="0" w:line="240" w:lineRule="auto"/>
      </w:pPr>
      <w:r>
        <w:continuationSeparator/>
      </w:r>
    </w:p>
  </w:endnote>
  <w:endnote w:type="continuationNotice" w:id="1">
    <w:p w14:paraId="52D604A9" w14:textId="77777777" w:rsidR="00014E06" w:rsidRDefault="00014E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1B80A" w14:textId="6A8C5DA1" w:rsidR="004D2871" w:rsidRPr="004D2871" w:rsidRDefault="004D2871" w:rsidP="004D2871">
    <w:pPr>
      <w:pStyle w:val="FooterCoverPage"/>
      <w:rPr>
        <w:rFonts w:ascii="Arial" w:hAnsi="Arial" w:cs="Arial"/>
        <w:b/>
        <w:sz w:val="48"/>
      </w:rPr>
    </w:pPr>
    <w:r w:rsidRPr="004D2871">
      <w:rPr>
        <w:rFonts w:ascii="Arial" w:hAnsi="Arial" w:cs="Arial"/>
        <w:b/>
        <w:sz w:val="48"/>
      </w:rPr>
      <w:t>PT</w:t>
    </w:r>
    <w:r w:rsidRPr="004D2871">
      <w:rPr>
        <w:rFonts w:ascii="Arial" w:hAnsi="Arial" w:cs="Arial"/>
        <w:b/>
        <w:sz w:val="48"/>
      </w:rPr>
      <w:tab/>
    </w:r>
    <w:r w:rsidRPr="004D2871">
      <w:rPr>
        <w:rFonts w:ascii="Arial" w:hAnsi="Arial" w:cs="Arial"/>
        <w:b/>
        <w:sz w:val="48"/>
      </w:rPr>
      <w:tab/>
    </w:r>
    <w:r w:rsidRPr="004D2871">
      <w:tab/>
    </w:r>
    <w:r w:rsidRPr="004D2871">
      <w:rPr>
        <w:rFonts w:ascii="Arial" w:hAnsi="Arial" w:cs="Arial"/>
        <w:b/>
        <w:sz w:val="48"/>
      </w:rPr>
      <w:t>PT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12632" w14:textId="77F58069" w:rsidR="004D2871" w:rsidRPr="004D2871" w:rsidRDefault="004D2871" w:rsidP="004D2871">
    <w:pPr>
      <w:pStyle w:val="FooterCoverPage"/>
      <w:rPr>
        <w:rFonts w:ascii="Arial" w:hAnsi="Arial" w:cs="Arial"/>
        <w:b/>
        <w:sz w:val="48"/>
      </w:rPr>
    </w:pPr>
    <w:r w:rsidRPr="004D2871">
      <w:rPr>
        <w:rFonts w:ascii="Arial" w:hAnsi="Arial" w:cs="Arial"/>
        <w:b/>
        <w:sz w:val="48"/>
      </w:rPr>
      <w:t>PT</w:t>
    </w:r>
    <w:r w:rsidRPr="004D2871">
      <w:rPr>
        <w:rFonts w:ascii="Arial" w:hAnsi="Arial" w:cs="Arial"/>
        <w:b/>
        <w:sz w:val="48"/>
      </w:rPr>
      <w:tab/>
    </w:r>
    <w:r w:rsidRPr="004D2871">
      <w:rPr>
        <w:rFonts w:ascii="Arial" w:hAnsi="Arial" w:cs="Arial"/>
        <w:b/>
        <w:sz w:val="48"/>
      </w:rPr>
      <w:tab/>
    </w:r>
    <w:r w:rsidRPr="004D2871">
      <w:tab/>
    </w:r>
    <w:r w:rsidRPr="004D2871">
      <w:rPr>
        <w:rFonts w:ascii="Arial" w:hAnsi="Arial" w:cs="Arial"/>
        <w:b/>
        <w:sz w:val="48"/>
      </w:rPr>
      <w:t>PT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1B141" w14:textId="77777777" w:rsidR="004D2871" w:rsidRPr="004D2871" w:rsidRDefault="004D2871" w:rsidP="004D2871">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56874" w14:textId="77777777" w:rsidR="00656149" w:rsidRDefault="00656149" w:rsidP="00073840">
    <w:pPr>
      <w:pStyle w:val="Footer"/>
      <w:jc w:val="right"/>
    </w:pPr>
    <w:r>
      <w:fldChar w:fldCharType="begin"/>
    </w:r>
    <w:r>
      <w:instrText xml:space="preserve"> PAGE   \* MERGEFORMAT </w:instrText>
    </w:r>
    <w:r>
      <w:fldChar w:fldCharType="separate"/>
    </w:r>
    <w:r>
      <w:t>4</w:t>
    </w:r>
    <w:r>
      <w:fldChar w:fldCharType="end"/>
    </w:r>
  </w:p>
  <w:p w14:paraId="1EF51F8F" w14:textId="77777777" w:rsidR="00656149" w:rsidRDefault="00656149" w:rsidP="00073840">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635974"/>
      <w:docPartObj>
        <w:docPartGallery w:val="Page Numbers (Bottom of Page)"/>
        <w:docPartUnique/>
      </w:docPartObj>
    </w:sdtPr>
    <w:sdtEndPr>
      <w:rPr>
        <w:rFonts w:ascii="Times New Roman" w:hAnsi="Times New Roman" w:cs="Times New Roman"/>
        <w:noProof/>
      </w:rPr>
    </w:sdtEndPr>
    <w:sdtContent>
      <w:p w14:paraId="3C94C359" w14:textId="5279B4AA" w:rsidR="00656149" w:rsidRPr="009A44EE" w:rsidRDefault="00656149" w:rsidP="00CB267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4D2871">
          <w:rPr>
            <w:rFonts w:ascii="Times New Roman" w:hAnsi="Times New Roman" w:cs="Times New Roman"/>
            <w:noProof/>
          </w:rPr>
          <w:t>4</w:t>
        </w:r>
        <w:r>
          <w:rPr>
            <w:rFonts w:ascii="Times New Roman" w:hAnsi="Times New Roman" w:cs="Times New Roman"/>
          </w:rPr>
          <w:fldChar w:fldCharType="end"/>
        </w:r>
      </w:p>
    </w:sdtContent>
  </w:sdt>
  <w:p w14:paraId="32171423" w14:textId="77777777" w:rsidR="00656149" w:rsidRDefault="006561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686626"/>
      <w:docPartObj>
        <w:docPartGallery w:val="Page Numbers (Bottom of Page)"/>
        <w:docPartUnique/>
      </w:docPartObj>
    </w:sdtPr>
    <w:sdtEndPr>
      <w:rPr>
        <w:rFonts w:ascii="Times New Roman" w:hAnsi="Times New Roman" w:cs="Times New Roman"/>
        <w:noProof/>
      </w:rPr>
    </w:sdtEndPr>
    <w:sdtContent>
      <w:p w14:paraId="000216C7" w14:textId="75C2CA8B" w:rsidR="00CB2675" w:rsidRPr="00764E6C" w:rsidRDefault="00CB267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4D2871">
          <w:rPr>
            <w:rFonts w:ascii="Times New Roman" w:hAnsi="Times New Roman" w:cs="Times New Roman"/>
            <w:noProof/>
          </w:rPr>
          <w:t>1</w:t>
        </w:r>
        <w:r>
          <w:rPr>
            <w:rFonts w:ascii="Times New Roman" w:hAnsi="Times New Roman" w:cs="Times New Roman"/>
          </w:rPr>
          <w:fldChar w:fldCharType="end"/>
        </w:r>
      </w:p>
    </w:sdtContent>
  </w:sdt>
  <w:p w14:paraId="5D6CEF75" w14:textId="77777777" w:rsidR="00656149" w:rsidRDefault="00656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460C8" w14:textId="77777777" w:rsidR="00014E06" w:rsidRDefault="00014E06" w:rsidP="003E5080">
      <w:pPr>
        <w:spacing w:after="0" w:line="240" w:lineRule="auto"/>
      </w:pPr>
      <w:r>
        <w:separator/>
      </w:r>
    </w:p>
  </w:footnote>
  <w:footnote w:type="continuationSeparator" w:id="0">
    <w:p w14:paraId="5243F3FA" w14:textId="77777777" w:rsidR="00014E06" w:rsidRDefault="00014E06" w:rsidP="003E5080">
      <w:pPr>
        <w:spacing w:after="0" w:line="240" w:lineRule="auto"/>
      </w:pPr>
      <w:r>
        <w:continuationSeparator/>
      </w:r>
    </w:p>
  </w:footnote>
  <w:footnote w:type="continuationNotice" w:id="1">
    <w:p w14:paraId="05EAFF18" w14:textId="77777777" w:rsidR="00014E06" w:rsidRDefault="00014E06">
      <w:pPr>
        <w:spacing w:after="0" w:line="240" w:lineRule="auto"/>
      </w:pPr>
    </w:p>
  </w:footnote>
  <w:footnote w:id="2">
    <w:p w14:paraId="75957F4E" w14:textId="5AA7DB73" w:rsidR="00C976FE" w:rsidRPr="00054215" w:rsidRDefault="00C976FE" w:rsidP="00C976F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Cimeira UE-Reino Unido de 2025 — Declaração conjunta (em inglês) </w:t>
      </w:r>
      <w:hyperlink r:id="rId1" w:history="1">
        <w:r>
          <w:rPr>
            <w:rStyle w:val="Hyperlink"/>
            <w:rFonts w:ascii="Times New Roman" w:hAnsi="Times New Roman"/>
          </w:rPr>
          <w:t>https://www.consilium.europa.eu/media/1edla1hi/eu-uk_joint-statement.pdf</w:t>
        </w:r>
      </w:hyperlink>
      <w:r>
        <w:rPr>
          <w:rFonts w:ascii="Times New Roman" w:hAnsi="Times New Roman"/>
        </w:rPr>
        <w:t>.</w:t>
      </w:r>
    </w:p>
  </w:footnote>
  <w:footnote w:id="3">
    <w:p w14:paraId="26CF5AB0" w14:textId="749AAC1B" w:rsidR="00DF6F61" w:rsidRPr="00846AF8" w:rsidRDefault="00DF6F6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Acordo sobre a saída do Reino Unido da Grã-Bretanha e da Irlanda do Norte da União Europeia e da Comunidade Europeia da Energia Atómica (2019/C 384 I/01) </w:t>
      </w:r>
      <w:hyperlink r:id="rId2" w:history="1">
        <w:r>
          <w:rPr>
            <w:rStyle w:val="Hyperlink"/>
            <w:rFonts w:ascii="Times New Roman" w:hAnsi="Times New Roman"/>
          </w:rPr>
          <w:t>https://eur-lex.europa.eu/legal-content/PT/TXT/?uri=CELEX%3A12019W/TXT%2802%29</w:t>
        </w:r>
      </w:hyperlink>
      <w:r>
        <w:rPr>
          <w:rFonts w:ascii="Times New Roman" w:hAnsi="Times New Roman"/>
        </w:rPr>
        <w:t>.</w:t>
      </w:r>
    </w:p>
  </w:footnote>
  <w:footnote w:id="4">
    <w:p w14:paraId="58D490EB" w14:textId="77777777" w:rsidR="00846AF8" w:rsidRPr="00846AF8" w:rsidRDefault="00846AF8" w:rsidP="00846AF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Declaração Política de Windsor da Comissão Europeia e do Governo do Reino Unido</w:t>
      </w:r>
    </w:p>
    <w:p w14:paraId="511EC776" w14:textId="6CC98623" w:rsidR="00846AF8" w:rsidRPr="00846AF8" w:rsidRDefault="00846AF8">
      <w:pPr>
        <w:pStyle w:val="FootnoteText"/>
        <w:rPr>
          <w:rFonts w:ascii="Times New Roman" w:hAnsi="Times New Roman" w:cs="Times New Roman"/>
        </w:rPr>
      </w:pPr>
      <w:r>
        <w:rPr>
          <w:rFonts w:ascii="Times New Roman" w:hAnsi="Times New Roman"/>
        </w:rPr>
        <w:t xml:space="preserve"> </w:t>
      </w:r>
      <w:hyperlink r:id="rId3" w:history="1">
        <w:r>
          <w:rPr>
            <w:rStyle w:val="Hyperlink"/>
            <w:rFonts w:ascii="Times New Roman" w:hAnsi="Times New Roman"/>
          </w:rPr>
          <w:t>https://commission.europa.eu/publications/windsor-political-declaration-european-commission-and-government-united-kingdom_pt</w:t>
        </w:r>
      </w:hyperlink>
      <w:r>
        <w:rPr>
          <w:rFonts w:ascii="Times New Roman" w:hAnsi="Times New Roman"/>
        </w:rPr>
        <w:t>.</w:t>
      </w:r>
    </w:p>
  </w:footnote>
  <w:footnote w:id="5">
    <w:p w14:paraId="5B7F9EA1" w14:textId="0A2BD026" w:rsidR="00846AF8" w:rsidRPr="00846AF8" w:rsidRDefault="00846AF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Acordo de Comércio e Cooperação entre a União Europeia e a Comunidade Europeia da Energia Atómica, por um lado, e o Reino Unido da Grã-Bretanha e da Irlanda do Norte, por outro </w:t>
      </w:r>
      <w:hyperlink r:id="rId4" w:history="1">
        <w:r>
          <w:rPr>
            <w:rStyle w:val="Hyperlink"/>
            <w:rFonts w:ascii="Times New Roman" w:hAnsi="Times New Roman"/>
          </w:rPr>
          <w:t>https://eur-lex.europa.eu/eli/agree_internation/2021/689(1)/oj/por</w:t>
        </w:r>
      </w:hyperlink>
      <w:r>
        <w:rPr>
          <w:rFonts w:ascii="Times New Roman" w:hAnsi="Times New Roman"/>
        </w:rPr>
        <w:t>.</w:t>
      </w:r>
    </w:p>
  </w:footnote>
  <w:footnote w:id="6">
    <w:p w14:paraId="54C2A237" w14:textId="77777777" w:rsidR="001017A9" w:rsidRPr="009019E6" w:rsidRDefault="001017A9" w:rsidP="001017A9">
      <w:pPr>
        <w:pStyle w:val="FootnoteText"/>
        <w:jc w:val="both"/>
        <w:rPr>
          <w:rFonts w:ascii="Times New Roman" w:hAnsi="Times New Roman" w:cs="Times New Roman"/>
          <w:lang w:val="en-IE"/>
        </w:rPr>
      </w:pPr>
      <w:r>
        <w:rPr>
          <w:rStyle w:val="FootnoteReference"/>
          <w:rFonts w:ascii="Times New Roman" w:hAnsi="Times New Roman" w:cs="Times New Roman"/>
        </w:rPr>
        <w:footnoteRef/>
      </w:r>
      <w:r w:rsidRPr="009019E6">
        <w:rPr>
          <w:rFonts w:ascii="Times New Roman" w:hAnsi="Times New Roman"/>
          <w:i/>
          <w:iCs/>
          <w:lang w:val="en-IE"/>
        </w:rPr>
        <w:t>A renewed agenda for European Union – United Kingdom cooperation Common Understanding</w:t>
      </w:r>
      <w:r w:rsidRPr="009019E6">
        <w:rPr>
          <w:rFonts w:ascii="Times New Roman" w:hAnsi="Times New Roman"/>
          <w:lang w:val="en-IE"/>
        </w:rPr>
        <w:t xml:space="preserve"> (não traduzido para português)</w:t>
      </w:r>
    </w:p>
    <w:p w14:paraId="49D5FB56" w14:textId="4DDCF6C7" w:rsidR="001017A9" w:rsidRPr="009019E6" w:rsidRDefault="001017A9" w:rsidP="001017A9">
      <w:pPr>
        <w:pStyle w:val="FootnoteText"/>
        <w:jc w:val="both"/>
        <w:rPr>
          <w:rFonts w:ascii="Times New Roman" w:hAnsi="Times New Roman" w:cs="Times New Roman"/>
          <w:lang w:val="en-IE"/>
        </w:rPr>
      </w:pPr>
      <w:r w:rsidRPr="009019E6">
        <w:rPr>
          <w:rFonts w:ascii="Times New Roman" w:hAnsi="Times New Roman"/>
          <w:lang w:val="en-IE"/>
        </w:rPr>
        <w:t xml:space="preserve"> </w:t>
      </w:r>
      <w:hyperlink r:id="rId5" w:history="1">
        <w:r w:rsidRPr="009019E6">
          <w:rPr>
            <w:rStyle w:val="Hyperlink"/>
            <w:rFonts w:ascii="Times New Roman" w:hAnsi="Times New Roman"/>
            <w:lang w:val="en-IE"/>
          </w:rPr>
          <w:t>https://ec.europa.eu/commission/presscorner/detail/pt/statement_25_1267</w:t>
        </w:r>
      </w:hyperlink>
      <w:r w:rsidRPr="009019E6">
        <w:rPr>
          <w:rFonts w:ascii="Times New Roman" w:hAnsi="Times New Roman"/>
          <w:lang w:val="en-IE"/>
        </w:rPr>
        <w:t>.</w:t>
      </w:r>
    </w:p>
  </w:footnote>
  <w:footnote w:id="7">
    <w:p w14:paraId="63124ED5" w14:textId="30F41A3E" w:rsidR="00FA7FF2" w:rsidRPr="009019E6" w:rsidRDefault="00FA7FF2" w:rsidP="00FA7FF2">
      <w:pPr>
        <w:pStyle w:val="FootnoteText"/>
        <w:rPr>
          <w:lang w:val="en-IE"/>
        </w:rPr>
      </w:pPr>
      <w:r>
        <w:rPr>
          <w:rStyle w:val="FootnoteReference"/>
          <w:rFonts w:ascii="Times New Roman" w:hAnsi="Times New Roman" w:cs="Times New Roman"/>
        </w:rPr>
        <w:footnoteRef/>
      </w:r>
      <w:r w:rsidRPr="009019E6">
        <w:rPr>
          <w:rFonts w:ascii="Times New Roman" w:hAnsi="Times New Roman"/>
          <w:lang w:val="en-IE"/>
        </w:rPr>
        <w:t xml:space="preserve"> </w:t>
      </w:r>
      <w:hyperlink r:id="rId6" w:history="1">
        <w:r w:rsidRPr="009019E6">
          <w:rPr>
            <w:rStyle w:val="Hyperlink"/>
            <w:rFonts w:ascii="Times New Roman" w:hAnsi="Times New Roman"/>
            <w:lang w:val="en-IE"/>
          </w:rPr>
          <w:t>https://ec.europa.eu/commission/presscorner/detail/pt/statement_25_3103</w:t>
        </w:r>
      </w:hyperlink>
      <w:r w:rsidRPr="009019E6">
        <w:rPr>
          <w:rFonts w:ascii="Times New Roman" w:hAnsi="Times New Roman"/>
          <w:lang w:val="en-IE"/>
        </w:rPr>
        <w:t>.</w:t>
      </w:r>
    </w:p>
  </w:footnote>
  <w:footnote w:id="8">
    <w:p w14:paraId="4988E30B" w14:textId="77777777" w:rsidR="00E31ED7" w:rsidRPr="004F21B5" w:rsidRDefault="00E31ED7" w:rsidP="004F21B5">
      <w:pPr>
        <w:pStyle w:val="FootnoteText"/>
        <w:spacing w:after="1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Decisão (UE) 2021/689 do Conselho, de 29 de abril de 2021, relativa à celebração, em nome da União, do Acordo de Comércio e Cooperação entre a União Europeia e a Comunidade Europeia da Energia Atómica, por um lado, e o Reino Unido da Grã-Bretanha e da Irlanda do Norte, por outro, e do Acordo entre a União Europeia e o Reino Unido da Grã-Bretanha e da Irlanda do Norte sobre os procedimentos de segurança para o intercâmbio e a proteção de informações classificadas (JO L 149 de 30.4.2021, p. 2: </w:t>
      </w:r>
      <w:r>
        <w:rPr>
          <w:rFonts w:ascii="Times New Roman" w:hAnsi="Times New Roman"/>
          <w:color w:val="0563C1" w:themeColor="hyperlink"/>
          <w:u w:val="single"/>
        </w:rPr>
        <w:t xml:space="preserve">ELI: </w:t>
      </w:r>
      <w:hyperlink r:id="rId7" w:history="1">
        <w:r>
          <w:rPr>
            <w:rStyle w:val="Hyperlink"/>
            <w:rFonts w:ascii="Times New Roman" w:hAnsi="Times New Roman"/>
          </w:rPr>
          <w:t>http://data.europa.eu/eli/dec/2021/689/oj</w:t>
        </w:r>
      </w:hyperlink>
      <w:r>
        <w:rPr>
          <w:rFonts w:ascii="Times New Roman" w:hAnsi="Times New Roman"/>
        </w:rPr>
        <w:t>).</w:t>
      </w:r>
    </w:p>
  </w:footnote>
  <w:footnote w:id="9">
    <w:p w14:paraId="3F9ED5BF" w14:textId="143DC43E" w:rsidR="001B6AD6" w:rsidRPr="00095FFB" w:rsidRDefault="001B6AD6" w:rsidP="001B6AD6">
      <w:pPr>
        <w:pStyle w:val="FootnoteText"/>
      </w:pPr>
      <w:r>
        <w:rPr>
          <w:rStyle w:val="FootnoteReference"/>
          <w:rFonts w:ascii="Times New Roman" w:hAnsi="Times New Roman" w:cs="Times New Roman"/>
        </w:rPr>
        <w:footnoteRef/>
      </w:r>
      <w:r>
        <w:rPr>
          <w:rFonts w:ascii="Times New Roman" w:hAnsi="Times New Roman"/>
        </w:rPr>
        <w:t xml:space="preserve"> Grupos de trabalho sobre: produtos biológicos, veículos a motor e suas partes, medicamentos e coordenação da segurança social.</w:t>
      </w:r>
    </w:p>
  </w:footnote>
  <w:footnote w:id="10">
    <w:p w14:paraId="4591E44A" w14:textId="433CF58B" w:rsidR="00095FFB" w:rsidRPr="00095FFB" w:rsidRDefault="003D6027" w:rsidP="00095FF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Quinta Assembleia Parlamentar da Parceria UE-Reino Unido, 17 e 18 de março de 2025, Bruxelas.</w:t>
      </w:r>
    </w:p>
    <w:p w14:paraId="1F1CC57F" w14:textId="14A4AA2B" w:rsidR="003D6027" w:rsidRPr="00270FCE" w:rsidRDefault="004D2871" w:rsidP="004F21B5">
      <w:pPr>
        <w:pStyle w:val="FootnoteText"/>
        <w:rPr>
          <w:rFonts w:ascii="Times New Roman" w:hAnsi="Times New Roman" w:cs="Times New Roman"/>
        </w:rPr>
      </w:pPr>
      <w:hyperlink r:id="rId8" w:history="1">
        <w:r w:rsidR="003D6027">
          <w:rPr>
            <w:rStyle w:val="Hyperlink"/>
            <w:rFonts w:ascii="Times New Roman" w:hAnsi="Times New Roman"/>
          </w:rPr>
          <w:t>https://www.europarl.europa.eu/delegations/pt/5th-eu-uk-parliamentary-partnership-asse/product-details/20250224DPU39839</w:t>
        </w:r>
      </w:hyperlink>
      <w:r w:rsidR="003D6027">
        <w:rPr>
          <w:rFonts w:ascii="Times New Roman" w:hAnsi="Times New Roman"/>
        </w:rPr>
        <w:t>.</w:t>
      </w:r>
    </w:p>
  </w:footnote>
  <w:footnote w:id="11">
    <w:p w14:paraId="50C6C1DB" w14:textId="0C20F0D7" w:rsidR="00A60811" w:rsidRPr="00270FCE" w:rsidRDefault="00A60811">
      <w:pPr>
        <w:pStyle w:val="FootnoteText"/>
      </w:pPr>
      <w:r>
        <w:rPr>
          <w:rStyle w:val="FootnoteReference"/>
          <w:rFonts w:ascii="Times New Roman" w:hAnsi="Times New Roman" w:cs="Times New Roman"/>
        </w:rPr>
        <w:footnoteRef/>
      </w:r>
      <w:r>
        <w:rPr>
          <w:rFonts w:ascii="Times New Roman" w:hAnsi="Times New Roman"/>
        </w:rPr>
        <w:t xml:space="preserve"> </w:t>
      </w:r>
      <w:hyperlink r:id="rId9" w:history="1">
        <w:r>
          <w:rPr>
            <w:rStyle w:val="Hyperlink"/>
            <w:rFonts w:ascii="Times New Roman" w:hAnsi="Times New Roman"/>
          </w:rPr>
          <w:t>https://www.europarl.europa.eu/delegations/pt/d-uk/activities/inter-parliamentary</w:t>
        </w:r>
      </w:hyperlink>
      <w:r>
        <w:t>.</w:t>
      </w:r>
    </w:p>
  </w:footnote>
  <w:footnote w:id="12">
    <w:p w14:paraId="7E3C3949" w14:textId="66C42AF1" w:rsidR="00A60811" w:rsidRPr="00270FCE" w:rsidRDefault="00A60811" w:rsidP="00A6081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Recomendação sobre o reforço da parceria UE-Reino Unido (em inglês). </w:t>
      </w:r>
      <w:hyperlink r:id="rId10" w:history="1">
        <w:r>
          <w:rPr>
            <w:rStyle w:val="Hyperlink"/>
            <w:rFonts w:ascii="Times New Roman" w:hAnsi="Times New Roman"/>
          </w:rPr>
          <w:t>https://www.europarl.europa.eu/cmsdata/293904/5th%20PPA%20Recommendation%2017.03.25.pdf</w:t>
        </w:r>
      </w:hyperlink>
      <w:r>
        <w:rPr>
          <w:rFonts w:ascii="Times New Roman" w:hAnsi="Times New Roman"/>
        </w:rPr>
        <w:t>.</w:t>
      </w:r>
    </w:p>
  </w:footnote>
  <w:footnote w:id="13">
    <w:p w14:paraId="17A8A0B6" w14:textId="0EB03A4B" w:rsidR="00A60811" w:rsidRPr="00270FCE" w:rsidRDefault="00A6081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1" w:history="1">
        <w:r>
          <w:rPr>
            <w:rStyle w:val="Hyperlink"/>
            <w:rFonts w:ascii="Times New Roman" w:hAnsi="Times New Roman"/>
          </w:rPr>
          <w:t>https://www.europarl.europa.eu/cmsdata/300310/6th%20PPA%20-%20Recommendation%20on%20trade,%20security%20and%20global%20challenges.pdf</w:t>
        </w:r>
      </w:hyperlink>
      <w:r>
        <w:rPr>
          <w:rFonts w:ascii="Times New Roman" w:hAnsi="Times New Roman"/>
        </w:rPr>
        <w:t>.</w:t>
      </w:r>
    </w:p>
  </w:footnote>
  <w:footnote w:id="14">
    <w:p w14:paraId="6BFDC906" w14:textId="19B90173" w:rsidR="00095FFB" w:rsidRPr="00270FCE" w:rsidRDefault="00865BFD" w:rsidP="00095FFB">
      <w:pPr>
        <w:pStyle w:val="FootnoteText"/>
        <w:rPr>
          <w:rFonts w:ascii="Times New Roman" w:hAnsi="Times New Roman" w:cs="Times New Roman"/>
          <w:b/>
          <w:bCs/>
        </w:rPr>
      </w:pPr>
      <w:r>
        <w:rPr>
          <w:rStyle w:val="FootnoteReference"/>
          <w:rFonts w:ascii="Times New Roman" w:hAnsi="Times New Roman" w:cs="Times New Roman"/>
        </w:rPr>
        <w:footnoteRef/>
      </w:r>
      <w:r>
        <w:rPr>
          <w:rFonts w:ascii="Times New Roman" w:hAnsi="Times New Roman"/>
        </w:rPr>
        <w:t xml:space="preserve"> Grupo Consultivo Interno da UE no âmbito do Acordo de Comércio e Cooperação UE-Reino Unido</w:t>
      </w:r>
    </w:p>
    <w:p w14:paraId="12087600" w14:textId="1784F6E3" w:rsidR="00865BFD" w:rsidRPr="004F21B5" w:rsidRDefault="004D2871" w:rsidP="004F21B5">
      <w:pPr>
        <w:pStyle w:val="FootnoteText"/>
        <w:rPr>
          <w:rFonts w:ascii="Times New Roman" w:hAnsi="Times New Roman" w:cs="Times New Roman"/>
        </w:rPr>
      </w:pPr>
      <w:hyperlink r:id="rId12" w:history="1">
        <w:r w:rsidR="00865BFD">
          <w:rPr>
            <w:rStyle w:val="Hyperlink"/>
            <w:rFonts w:ascii="Times New Roman" w:hAnsi="Times New Roman"/>
          </w:rPr>
          <w:t>https://www.eesc.europa.eu/pt/sections-other-bodies/other/eu-domestic-advisory-group-under-eu-uk-tca</w:t>
        </w:r>
      </w:hyperlink>
      <w:r w:rsidR="00865BFD">
        <w:rPr>
          <w:rFonts w:ascii="Times New Roman" w:hAnsi="Times New Roman"/>
        </w:rPr>
        <w:t>.</w:t>
      </w:r>
    </w:p>
  </w:footnote>
  <w:footnote w:id="15">
    <w:p w14:paraId="54D2A8F8" w14:textId="6300284C" w:rsidR="00D72AC6" w:rsidRPr="004F21B5" w:rsidRDefault="00D72AC6" w:rsidP="004F21B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Declaração conjunta (em inglês) </w:t>
      </w:r>
      <w:hyperlink r:id="rId13" w:history="1">
        <w:r>
          <w:rPr>
            <w:rStyle w:val="Hyperlink"/>
            <w:rFonts w:ascii="Times New Roman" w:hAnsi="Times New Roman"/>
          </w:rPr>
          <w:t>https://www.eesc.europa.eu/sites/default/files/2025-06/eu-uk_dags_joint_statement_2025.pdf</w:t>
        </w:r>
      </w:hyperlink>
      <w:r>
        <w:rPr>
          <w:rFonts w:ascii="Times New Roman" w:hAnsi="Times New Roman"/>
        </w:rPr>
        <w:t>.</w:t>
      </w:r>
    </w:p>
  </w:footnote>
  <w:footnote w:id="16">
    <w:p w14:paraId="25C08730" w14:textId="5FFDB2FC" w:rsidR="00D72AC6" w:rsidRPr="007359FB" w:rsidRDefault="00D72AC6" w:rsidP="004F21B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Quarto Fórum da Sociedade Civil do Acordo de Comércio e Cooperação UE-Reino Unido</w:t>
      </w:r>
      <w:r>
        <w:t xml:space="preserve"> </w:t>
      </w:r>
      <w:hyperlink r:id="rId14" w:history="1">
        <w:r>
          <w:rPr>
            <w:rStyle w:val="Hyperlink"/>
            <w:rFonts w:ascii="Times New Roman" w:hAnsi="Times New Roman"/>
          </w:rPr>
          <w:t>https://policy.trade.ec.europa.eu/events/fourth-eu-uk-trade-and-cooperation-agreement-civil-society-forum-2025-06-24_pt</w:t>
        </w:r>
      </w:hyperlink>
      <w:r>
        <w:rPr>
          <w:rFonts w:ascii="Times New Roman" w:hAnsi="Times New Roman"/>
        </w:rPr>
        <w:t>.</w:t>
      </w:r>
    </w:p>
  </w:footnote>
  <w:footnote w:id="17">
    <w:p w14:paraId="515663C2" w14:textId="77777777" w:rsidR="007971BC" w:rsidRPr="007971BC" w:rsidRDefault="007971BC" w:rsidP="007971B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Quarta reunião do Conselho de Parceria</w:t>
      </w:r>
    </w:p>
    <w:p w14:paraId="7A3DDA9F" w14:textId="77777777" w:rsidR="007971BC" w:rsidRPr="007971BC" w:rsidRDefault="004D2871" w:rsidP="007971BC">
      <w:pPr>
        <w:pStyle w:val="FootnoteText"/>
        <w:rPr>
          <w:rFonts w:ascii="Times New Roman" w:hAnsi="Times New Roman" w:cs="Times New Roman"/>
        </w:rPr>
      </w:pPr>
      <w:hyperlink r:id="rId15" w:history="1">
        <w:r w:rsidR="007971BC">
          <w:rPr>
            <w:rStyle w:val="Hyperlink"/>
            <w:rFonts w:ascii="Times New Roman" w:hAnsi="Times New Roman"/>
          </w:rPr>
          <w:t>Quarta reunião do Conselho de Parceria — Comissão Europeia</w:t>
        </w:r>
      </w:hyperlink>
      <w:r w:rsidR="007971BC">
        <w:t>.</w:t>
      </w:r>
    </w:p>
  </w:footnote>
  <w:footnote w:id="18">
    <w:p w14:paraId="616FD0A9" w14:textId="77777777" w:rsidR="007359FB" w:rsidRPr="007359FB" w:rsidRDefault="00862667" w:rsidP="007359F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Acordo de Comércio e Cooperação UE-Reino Unido: questionário do ponto central de apresentação de queixas</w:t>
      </w:r>
    </w:p>
    <w:p w14:paraId="728CFCDE" w14:textId="37739E16" w:rsidR="007359FB" w:rsidRPr="007359FB" w:rsidRDefault="004D2871" w:rsidP="007359FB">
      <w:pPr>
        <w:pStyle w:val="FootnoteText"/>
        <w:jc w:val="both"/>
        <w:rPr>
          <w:rFonts w:ascii="Times New Roman" w:hAnsi="Times New Roman" w:cs="Times New Roman"/>
        </w:rPr>
      </w:pPr>
      <w:hyperlink r:id="rId16" w:history="1">
        <w:r w:rsidR="00862667">
          <w:rPr>
            <w:rStyle w:val="Hyperlink"/>
            <w:rFonts w:ascii="Times New Roman" w:hAnsi="Times New Roman"/>
          </w:rPr>
          <w:t>https://ec.europa.eu/assets/sg/complaint_eu_uk_tca/complaints_pt/</w:t>
        </w:r>
      </w:hyperlink>
      <w:r w:rsidR="00862667">
        <w:rPr>
          <w:rFonts w:ascii="Times New Roman" w:hAnsi="Times New Roman"/>
        </w:rPr>
        <w:t xml:space="preserve"> e ponto de entrada único</w:t>
      </w:r>
    </w:p>
    <w:p w14:paraId="24596BD5" w14:textId="5B389C2D" w:rsidR="00862667" w:rsidRPr="006A1351" w:rsidRDefault="007359FB" w:rsidP="004F21B5">
      <w:pPr>
        <w:pStyle w:val="FootnoteText"/>
        <w:jc w:val="both"/>
        <w:rPr>
          <w:rFonts w:ascii="Times New Roman" w:hAnsi="Times New Roman" w:cs="Times New Roman"/>
        </w:rPr>
      </w:pPr>
      <w:r>
        <w:t xml:space="preserve"> </w:t>
      </w:r>
      <w:hyperlink r:id="rId17" w:history="1">
        <w:r>
          <w:rPr>
            <w:rStyle w:val="Hyperlink"/>
            <w:rFonts w:ascii="Times New Roman" w:hAnsi="Times New Roman"/>
          </w:rPr>
          <w:t>https://trade.ec.europa.eu/access-to-markets/pt/content/ponto-de-entrada-unico-0</w:t>
        </w:r>
      </w:hyperlink>
      <w:r>
        <w:rPr>
          <w:rFonts w:ascii="Times New Roman" w:hAnsi="Times New Roman"/>
        </w:rPr>
        <w:t>.</w:t>
      </w:r>
    </w:p>
  </w:footnote>
  <w:footnote w:id="19">
    <w:p w14:paraId="76B76CE4" w14:textId="1F5FD2BE" w:rsidR="00BA4E5E" w:rsidRPr="00DE0E87" w:rsidRDefault="00BA4E5E" w:rsidP="00DE0E8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Uma queixa alegava a aplicação incorreta do ACC por uma autoridade de um Estado-Membro que decidiu partilhar registos criminais antigos com o Reino Unido nos termos do artigo 649.º, n.º 2. Os serviços da Comissão verificaram a questão e informaram o queixoso de que é a legislação do Estado-Membro que regula durante quanto tempo as informações sobre condenações antigas devem ser transmitidas e qual será o âmbito das informações transmitidas. A segunda queixa dizia respeito ao regime de contratos diferenciais («Contracts for Difference») do Reino Unido para a geração de energia renovável — ronda de atribuição 7. À data do presente relatório, a Comissão ainda não tinha concluído a avaliação desta queixa.</w:t>
      </w:r>
    </w:p>
  </w:footnote>
  <w:footnote w:id="20">
    <w:p w14:paraId="2065D78E" w14:textId="323769C3" w:rsidR="006A1351" w:rsidRPr="006A1351" w:rsidRDefault="006A1351">
      <w:pPr>
        <w:pStyle w:val="FootnoteText"/>
      </w:pPr>
      <w:r>
        <w:rPr>
          <w:rStyle w:val="FootnoteReference"/>
          <w:rFonts w:ascii="Times New Roman" w:hAnsi="Times New Roman" w:cs="Times New Roman"/>
        </w:rPr>
        <w:footnoteRef/>
      </w:r>
      <w:r>
        <w:rPr>
          <w:rFonts w:ascii="Times New Roman" w:hAnsi="Times New Roman"/>
        </w:rPr>
        <w:t xml:space="preserve"> PROCESSO TPA N.º 2024-45 </w:t>
      </w:r>
      <w:hyperlink r:id="rId18" w:history="1">
        <w:r>
          <w:rPr>
            <w:rStyle w:val="Hyperlink"/>
            <w:rFonts w:ascii="Times New Roman" w:hAnsi="Times New Roman"/>
          </w:rPr>
          <w:t>https://pcacases.com/web/sendAttach/70467</w:t>
        </w:r>
      </w:hyperlink>
      <w:r>
        <w:t>.</w:t>
      </w:r>
    </w:p>
  </w:footnote>
  <w:footnote w:id="21">
    <w:p w14:paraId="0BBDDB8E" w14:textId="07AA9DE8" w:rsidR="007E3B5A" w:rsidRPr="00C53FC6" w:rsidRDefault="007E3B5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Proposta de decisão do Conselho sobre a posição a adotar, em nome da União Europeia, no âmbito do Comité Especializado do Comércio sobre Condições de Concorrência Equitativas para a Concorrência Aberta e Leal e o Desenvolvimento Sustentável criado pelo Acordo de Comércio e Cooperação entre a União Europeia e a Comunidade Europeia da Energia Atómica, por um lado, e o Reino Unido da Grã-Bretanha e da Irlanda do Norte, por outro, no respeitante à adoção de uma decisão de estabelecer uma lista de pessoas dispostas e aptas a desempenhar a função de membros do painel de peritos criado nos termos do artigo 409.º do Acordo de Comércio e Cooperação </w:t>
      </w:r>
      <w:hyperlink r:id="rId19" w:history="1">
        <w:r>
          <w:rPr>
            <w:rStyle w:val="Hyperlink"/>
            <w:rFonts w:ascii="Times New Roman" w:hAnsi="Times New Roman"/>
          </w:rPr>
          <w:t>https://eur-lex.europa.eu/legal-content/PT/TXT/HTML/?uri=CELEX:52026PC0089</w:t>
        </w:r>
      </w:hyperlink>
      <w:r>
        <w:t>.</w:t>
      </w:r>
      <w:r>
        <w:rPr>
          <w:rFonts w:ascii="Times New Roman" w:hAnsi="Times New Roman"/>
        </w:rPr>
        <w:t xml:space="preserve"> </w:t>
      </w:r>
    </w:p>
  </w:footnote>
  <w:footnote w:id="22">
    <w:p w14:paraId="26C1F84B" w14:textId="2479A685" w:rsidR="006F2932" w:rsidRPr="006F2932" w:rsidRDefault="006F2932">
      <w:pPr>
        <w:pStyle w:val="FootnoteText"/>
      </w:pPr>
      <w:r>
        <w:rPr>
          <w:rStyle w:val="FootnoteReference"/>
        </w:rPr>
        <w:footnoteRef/>
      </w:r>
      <w:r>
        <w:t xml:space="preserve"> </w:t>
      </w:r>
      <w:bookmarkStart w:id="29" w:name="_Hlk158194613"/>
      <w:r>
        <w:rPr>
          <w:rFonts w:ascii="Times New Roman" w:hAnsi="Times New Roman"/>
        </w:rPr>
        <w:t>As estatísticas abrangeram importações em 202</w:t>
      </w:r>
      <w:bookmarkEnd w:id="29"/>
      <w:r>
        <w:rPr>
          <w:rFonts w:ascii="Times New Roman" w:hAnsi="Times New Roman"/>
        </w:rPr>
        <w:t>4.</w:t>
      </w:r>
    </w:p>
  </w:footnote>
  <w:footnote w:id="23">
    <w:p w14:paraId="0235A4B5" w14:textId="73C8258C" w:rsidR="007E5B4E" w:rsidRPr="00BB7C1E" w:rsidRDefault="007E5B4E" w:rsidP="004F21B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taxa de utilização das preferências reflete a parte das importações ou exportações abrangida pelas preferências comerciais, em percentagem do valor total das importações ou exportações elegíveis para preferências por país parceiro.</w:t>
      </w:r>
    </w:p>
  </w:footnote>
  <w:footnote w:id="24">
    <w:p w14:paraId="13C40051" w14:textId="1D021361" w:rsidR="000B7200" w:rsidRPr="00BB7C1E" w:rsidRDefault="000B7200" w:rsidP="004F21B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Para mais informações sobre a execução dos acordos de comércio livre da UE, consultar o Relatório da Comissão ao Parlamento Europeu, ao Conselho, ao Comité Económico e Social Europeu e ao Comité das Regiões sobre a aplicação e o cumprimento da política comercial da UE: </w:t>
      </w:r>
      <w:hyperlink r:id="rId20" w:history="1">
        <w:r>
          <w:rPr>
            <w:rStyle w:val="Hyperlink"/>
            <w:rFonts w:ascii="Times New Roman" w:hAnsi="Times New Roman"/>
          </w:rPr>
          <w:t>https://policy.trade.ec.europa.eu/enforcement-and-protection/implementing-and-enforcing-eu-trade-agreements_pt</w:t>
        </w:r>
      </w:hyperlink>
      <w:r>
        <w:rPr>
          <w:rFonts w:ascii="Times New Roman" w:hAnsi="Times New Roman"/>
        </w:rPr>
        <w:t>.</w:t>
      </w:r>
    </w:p>
  </w:footnote>
  <w:footnote w:id="25">
    <w:p w14:paraId="0CC97C07" w14:textId="77777777" w:rsidR="00CA2DC7" w:rsidRPr="00BB7C1E" w:rsidRDefault="00CA2DC7" w:rsidP="00CA2DC7">
      <w:pPr>
        <w:pStyle w:val="oCarCar1"/>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Salvo disposição em contrário, todos os números se baseiam em dados do Eurostat: </w:t>
      </w:r>
      <w:hyperlink r:id="rId21" w:history="1">
        <w:r>
          <w:rPr>
            <w:rStyle w:val="Hyperlink"/>
            <w:rFonts w:ascii="Times New Roman" w:hAnsi="Times New Roman"/>
          </w:rPr>
          <w:t>https://ec.europa.eu/eurostat/web/international-trade-in-goods/overview</w:t>
        </w:r>
      </w:hyperlink>
      <w:r>
        <w:rPr>
          <w:rFonts w:ascii="Times New Roman" w:hAnsi="Times New Roman"/>
        </w:rPr>
        <w:t>.</w:t>
      </w:r>
    </w:p>
  </w:footnote>
  <w:footnote w:id="26">
    <w:p w14:paraId="42D2101F" w14:textId="72CCB7A6" w:rsidR="00EE202D" w:rsidRPr="00EE202D" w:rsidRDefault="00B8510B" w:rsidP="00EE202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Visto para prestadores de serviços (Mobilidade Empresarial Global)</w:t>
      </w:r>
    </w:p>
    <w:p w14:paraId="67C7CE6E" w14:textId="06F350D6" w:rsidR="00B8510B" w:rsidRPr="001F1FC5" w:rsidRDefault="00F97D5F" w:rsidP="00B8510B">
      <w:pPr>
        <w:pStyle w:val="FootnoteText"/>
        <w:rPr>
          <w:rFonts w:ascii="Times New Roman" w:hAnsi="Times New Roman" w:cs="Times New Roman"/>
        </w:rPr>
      </w:pPr>
      <w:r>
        <w:rPr>
          <w:rFonts w:ascii="Times New Roman" w:hAnsi="Times New Roman"/>
        </w:rPr>
        <w:t xml:space="preserve"> </w:t>
      </w:r>
      <w:hyperlink r:id="rId22" w:history="1">
        <w:r>
          <w:rPr>
            <w:rStyle w:val="Hyperlink"/>
            <w:rFonts w:ascii="Times New Roman" w:hAnsi="Times New Roman"/>
          </w:rPr>
          <w:t>https://www.gov.uk/service-supplier-visa/eligibility</w:t>
        </w:r>
      </w:hyperlink>
      <w:r>
        <w:rPr>
          <w:rFonts w:ascii="Times New Roman" w:hAnsi="Times New Roman"/>
        </w:rPr>
        <w:t>.</w:t>
      </w:r>
    </w:p>
  </w:footnote>
  <w:footnote w:id="27">
    <w:p w14:paraId="7F8E0449" w14:textId="77777777" w:rsidR="000D7DA0" w:rsidRPr="00DB2614" w:rsidRDefault="000D7DA0" w:rsidP="000D7DA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Ver os relatórios da Comissão sobre a aplicação do ACC relativos aos anos de 2022, 2023 e 2024. </w:t>
      </w:r>
    </w:p>
  </w:footnote>
  <w:footnote w:id="28">
    <w:p w14:paraId="1A09CA5B" w14:textId="77777777" w:rsidR="00D03CCA" w:rsidRPr="000614F7" w:rsidRDefault="00D03CCA" w:rsidP="00D03CC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Memorando de Entendimento sobre a cooperação regulamentar dos serviços financeiros</w:t>
      </w:r>
    </w:p>
    <w:p w14:paraId="04A4D4CA" w14:textId="77777777" w:rsidR="00D03CCA" w:rsidRPr="000614F7" w:rsidRDefault="00D03CCA" w:rsidP="00D03CCA">
      <w:pPr>
        <w:pStyle w:val="FootnoteText"/>
        <w:rPr>
          <w:rFonts w:ascii="Times New Roman" w:hAnsi="Times New Roman" w:cs="Times New Roman"/>
        </w:rPr>
      </w:pPr>
      <w:r>
        <w:rPr>
          <w:rFonts w:ascii="Times New Roman" w:hAnsi="Times New Roman"/>
        </w:rPr>
        <w:t>entre a União Europeia e o Reino Unido da Grã-Bretanha e da</w:t>
      </w:r>
    </w:p>
    <w:p w14:paraId="4283EC30" w14:textId="77777777" w:rsidR="00D03CCA" w:rsidRPr="00820904" w:rsidRDefault="00D03CCA" w:rsidP="00D03CCA">
      <w:pPr>
        <w:pStyle w:val="FootnoteText"/>
        <w:rPr>
          <w:rFonts w:ascii="Times New Roman" w:hAnsi="Times New Roman" w:cs="Times New Roman"/>
        </w:rPr>
      </w:pPr>
      <w:r>
        <w:rPr>
          <w:rFonts w:ascii="Times New Roman" w:hAnsi="Times New Roman"/>
        </w:rPr>
        <w:t xml:space="preserve">Irlanda do Norte: </w:t>
      </w:r>
      <w:hyperlink r:id="rId23" w:history="1">
        <w:r>
          <w:rPr>
            <w:rStyle w:val="Hyperlink"/>
            <w:rFonts w:ascii="Times New Roman" w:hAnsi="Times New Roman"/>
          </w:rPr>
          <w:t>https://finance.ec.europa.eu/system/files/2023-09/230627-memorandum-understanding-financial-services-eu-uk_en.pdf</w:t>
        </w:r>
      </w:hyperlink>
      <w:r>
        <w:rPr>
          <w:rFonts w:ascii="Times New Roman" w:hAnsi="Times New Roman"/>
        </w:rPr>
        <w:t xml:space="preserve"> (em inglês).</w:t>
      </w:r>
    </w:p>
  </w:footnote>
  <w:footnote w:id="29">
    <w:p w14:paraId="5A08C25E" w14:textId="77777777" w:rsidR="00D03CCA" w:rsidRPr="00F600F9" w:rsidRDefault="00D03CCA" w:rsidP="00D03CC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4" w:history="1">
        <w:r>
          <w:rPr>
            <w:rStyle w:val="Hyperlink"/>
            <w:rFonts w:ascii="Times New Roman" w:hAnsi="Times New Roman"/>
          </w:rPr>
          <w:t>https://finance.ec.europa.eu/eu-and-world/bilateral-relations/regulatory-dialogues-united-kingdom_pt</w:t>
        </w:r>
      </w:hyperlink>
      <w:r>
        <w:rPr>
          <w:rFonts w:ascii="Times New Roman" w:hAnsi="Times New Roman"/>
        </w:rPr>
        <w:t>.</w:t>
      </w:r>
    </w:p>
  </w:footnote>
  <w:footnote w:id="30">
    <w:p w14:paraId="788188CC" w14:textId="70C84FB5" w:rsidR="00E8406E" w:rsidRPr="008B263A" w:rsidRDefault="00E8406E" w:rsidP="004F21B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Salvo disposição em contrário, todos os números se baseiam em dados do Eurostat: </w:t>
      </w:r>
      <w:hyperlink r:id="rId25" w:history="1">
        <w:r>
          <w:rPr>
            <w:rStyle w:val="Hyperlink"/>
            <w:rFonts w:ascii="Times New Roman" w:hAnsi="Times New Roman"/>
          </w:rPr>
          <w:t>https://ec.europa.eu/eurostat/web/balance-of-payments/overview</w:t>
        </w:r>
      </w:hyperlink>
      <w:r>
        <w:rPr>
          <w:rFonts w:ascii="Times New Roman" w:hAnsi="Times New Roman"/>
        </w:rPr>
        <w:t xml:space="preserve"> e </w:t>
      </w:r>
      <w:hyperlink r:id="rId26" w:history="1">
        <w:r>
          <w:rPr>
            <w:rStyle w:val="Hyperlink"/>
            <w:rFonts w:ascii="Times New Roman" w:hAnsi="Times New Roman"/>
          </w:rPr>
          <w:t>https://ec.europa.eu/eurostat/web/international-trade-in-services/overview</w:t>
        </w:r>
      </w:hyperlink>
      <w:r>
        <w:rPr>
          <w:rFonts w:ascii="Times New Roman" w:hAnsi="Times New Roman"/>
        </w:rPr>
        <w:t>.</w:t>
      </w:r>
    </w:p>
  </w:footnote>
  <w:footnote w:id="31">
    <w:p w14:paraId="22B04B35" w14:textId="4209552C" w:rsidR="008937E9" w:rsidRPr="00B06BD4" w:rsidRDefault="008937E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7" w:history="1">
        <w:r>
          <w:rPr>
            <w:rStyle w:val="Hyperlink"/>
            <w:rFonts w:ascii="Times New Roman" w:hAnsi="Times New Roman"/>
          </w:rPr>
          <w:t>https://ec.europa.eu/commission/presscorner/detail/pt/ip_26_454</w:t>
        </w:r>
      </w:hyperlink>
      <w:r>
        <w:t>.</w:t>
      </w:r>
      <w:r>
        <w:rPr>
          <w:rFonts w:ascii="Times New Roman" w:hAnsi="Times New Roman"/>
        </w:rPr>
        <w:t xml:space="preserve"> </w:t>
      </w:r>
    </w:p>
  </w:footnote>
  <w:footnote w:id="32">
    <w:p w14:paraId="25EAA47D" w14:textId="0B935FF2" w:rsidR="00DC4CB9" w:rsidRPr="00DC4CB9" w:rsidRDefault="00DC4CB9" w:rsidP="00DC4CB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Declaração conjunta 1/2025 da União e do Reino Unido proferida no âmbito do Conselho de Parceria criado pelo Acordo de Comércio e Cooperação entre a União Europeia e a Comunidade Europeia da Energia Atómica, por um lado, e o Reino Unido da Grã-Bretanha e da Irlanda do Norte, por outro, de 19 de junho de 2025 </w:t>
      </w:r>
      <w:hyperlink r:id="rId28" w:history="1">
        <w:r>
          <w:rPr>
            <w:rStyle w:val="Hyperlink"/>
            <w:rFonts w:ascii="Times New Roman" w:hAnsi="Times New Roman"/>
          </w:rPr>
          <w:t>https://eur-lex.europa.eu/legal-content/PT/TXT/?uri=OJ%3AL_202501232</w:t>
        </w:r>
      </w:hyperlink>
      <w:r>
        <w:rPr>
          <w:rFonts w:ascii="Times New Roman" w:hAnsi="Times New Roman"/>
        </w:rPr>
        <w:t>.</w:t>
      </w:r>
    </w:p>
  </w:footnote>
  <w:footnote w:id="33">
    <w:p w14:paraId="74927A7D" w14:textId="2FD486AE" w:rsidR="00DC4CB9" w:rsidRPr="00DC4CB9" w:rsidRDefault="00DC4CB9" w:rsidP="00DC4CB9">
      <w:pPr>
        <w:pStyle w:val="FootnoteText"/>
        <w:jc w:val="both"/>
      </w:pPr>
      <w:r>
        <w:rPr>
          <w:rStyle w:val="FootnoteReference"/>
          <w:rFonts w:ascii="Times New Roman" w:hAnsi="Times New Roman" w:cs="Times New Roman"/>
        </w:rPr>
        <w:footnoteRef/>
      </w:r>
      <w:r>
        <w:rPr>
          <w:rFonts w:ascii="Times New Roman" w:hAnsi="Times New Roman"/>
        </w:rPr>
        <w:t xml:space="preserve"> Decisão n.º 2/2025 do Conselho de Parceria criado pelo Acordo de Comércio e Cooperação entre a União Europeia e a Comunidade Europeia da Energia Atómica, por um lado, e o Reino Unido da Grã-Bretanha e da Irlanda do Norte, por outro, de 19 de junho de 2025, que interpreta o artigo 331.º, n.º 2, e prorroga a aplicação da parte dois, subparte um, título VIII, relativo à energia, do Acordo de Comércio e Cooperação entre a União Europeia e a Comunidade Europeia da Energia Atómica, por um lado, e o Reino Unido da Grã-Bretanha e da Irlanda do Norte, por outro </w:t>
      </w:r>
      <w:hyperlink r:id="rId29" w:history="1">
        <w:r>
          <w:rPr>
            <w:rStyle w:val="Hyperlink"/>
            <w:rFonts w:ascii="Times New Roman" w:hAnsi="Times New Roman"/>
          </w:rPr>
          <w:t>https://eur-lex.europa.eu/legal-content/PT/TXT/?uri=OJ%3AL_202501230</w:t>
        </w:r>
      </w:hyperlink>
      <w:r>
        <w:t>.</w:t>
      </w:r>
    </w:p>
  </w:footnote>
  <w:footnote w:id="34">
    <w:p w14:paraId="05FEDA23" w14:textId="2BBC4F76" w:rsidR="001A412E" w:rsidRPr="002237FC" w:rsidRDefault="001A412E" w:rsidP="001A412E">
      <w:pPr>
        <w:pStyle w:val="FootnoteText"/>
        <w:jc w:val="both"/>
        <w:rPr>
          <w:rFonts w:ascii="Times New Roman" w:hAnsi="Times New Roman" w:cs="Times New Roman"/>
          <w:i/>
          <w:iCs/>
        </w:rPr>
      </w:pPr>
      <w:r>
        <w:rPr>
          <w:rStyle w:val="FootnoteReference"/>
        </w:rPr>
        <w:footnoteRef/>
      </w:r>
      <w:r>
        <w:t xml:space="preserve"> </w:t>
      </w:r>
      <w:r>
        <w:rPr>
          <w:rFonts w:ascii="Times New Roman" w:hAnsi="Times New Roman"/>
        </w:rPr>
        <w:t>Recomendação n.º 1/2024 do Comité Especializado da Energia criado pelo artigo 8.º, n.º 1, alínea l), do Acordo de Comércio e Cooperação entre a União Europeia e a Comunidade Europeia da Energia Atómica, por um lado, e o Reino Unido da Grã-Bretanha e da Irlanda do Norte, por outro, de 19 de dezembro de 2024, a cada uma das Partes no que respeita à elaboração de procedimentos técnicos para a utilização eficiente das interligações da eletricidade:</w:t>
      </w:r>
    </w:p>
    <w:p w14:paraId="1D031B6D" w14:textId="1AD0CEB8" w:rsidR="001A412E" w:rsidRPr="0057302A" w:rsidRDefault="004D2871" w:rsidP="001A412E">
      <w:pPr>
        <w:pStyle w:val="FootnoteText"/>
        <w:jc w:val="both"/>
        <w:rPr>
          <w:rFonts w:ascii="Times New Roman" w:hAnsi="Times New Roman" w:cs="Times New Roman"/>
        </w:rPr>
      </w:pPr>
      <w:hyperlink r:id="rId30" w:history="1">
        <w:r w:rsidR="001A412E">
          <w:rPr>
            <w:rStyle w:val="Hyperlink"/>
            <w:rFonts w:ascii="Times New Roman" w:hAnsi="Times New Roman"/>
          </w:rPr>
          <w:t>https://eur-lex.europa.eu/legal-content/PT/TXT/?uri=CELEX%3A22025D0706&amp;qid=1756374227559</w:t>
        </w:r>
      </w:hyperlink>
      <w:r w:rsidR="001A412E">
        <w:t>.</w:t>
      </w:r>
    </w:p>
  </w:footnote>
  <w:footnote w:id="35">
    <w:p w14:paraId="7BBF6A47" w14:textId="21E2CB40" w:rsidR="003E301C" w:rsidRPr="00E81BD4" w:rsidRDefault="003E301C" w:rsidP="003E301C">
      <w:pPr>
        <w:pStyle w:val="FootnoteText"/>
      </w:pPr>
      <w:r>
        <w:rPr>
          <w:rStyle w:val="FootnoteReference"/>
          <w:rFonts w:ascii="Times New Roman" w:hAnsi="Times New Roman" w:cs="Times New Roman"/>
        </w:rPr>
        <w:footnoteRef/>
      </w:r>
      <w:r>
        <w:rPr>
          <w:rFonts w:ascii="Times New Roman" w:hAnsi="Times New Roman"/>
        </w:rPr>
        <w:t xml:space="preserve"> </w:t>
      </w:r>
      <w:hyperlink r:id="rId31" w:history="1">
        <w:r>
          <w:rPr>
            <w:rStyle w:val="Hyperlink"/>
            <w:rFonts w:ascii="Times New Roman" w:hAnsi="Times New Roman"/>
          </w:rPr>
          <w:t>https://eur-lex.europa.eu/legal-content/PT/TXT/HTML/?uri=COM:2025:804:FIN</w:t>
        </w:r>
      </w:hyperlink>
      <w:r>
        <w:t>.</w:t>
      </w:r>
    </w:p>
  </w:footnote>
  <w:footnote w:id="36">
    <w:p w14:paraId="2DCF85CD" w14:textId="414C0C80" w:rsidR="00C31234" w:rsidRPr="006C4F09" w:rsidRDefault="00C3123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Decisão n.º 2/2024 do Comité Especializado da Energia criado pelo artigo 8.º, n.º 1, alínea l), do Acordo de Comércio e Cooperação entre a União Europeia e a Comunidade Europeia da Energia Atómica, por um lado, e o Reino Unido da Grã-Bretanha e da Irlanda do Norte, por outro, de 7 de novembro de 2024, relativa à criação de um grupo de trabalho sobre a segurança do aprovisionamento, </w:t>
      </w:r>
      <w:hyperlink r:id="rId32" w:history="1">
        <w:r>
          <w:rPr>
            <w:rStyle w:val="Hyperlink"/>
            <w:rFonts w:ascii="Times New Roman" w:hAnsi="Times New Roman"/>
          </w:rPr>
          <w:t>https://eur-lex.europa.eu/legal-content/PT/TXT/?uri=CELEX%3A22025D0705&amp;qid=1756375999645</w:t>
        </w:r>
      </w:hyperlink>
      <w:r>
        <w:t>.</w:t>
      </w:r>
    </w:p>
  </w:footnote>
  <w:footnote w:id="37">
    <w:p w14:paraId="4E8C1182" w14:textId="77777777" w:rsidR="00016EB0" w:rsidRPr="0066529A" w:rsidRDefault="00016EB0" w:rsidP="00016EB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Os seguintes Estados-Membros assinaram acordos bilaterais com o Reino Unido: Alemanha, Áustria, Bélgica, Bulgária, Chéquia, Chipre, Croácia, Dinamarca, Eslováquia, Eslovénia, Estónia, Finlândia, França, Grécia, Hungria, Itália, Irlanda, Letónia, Lituânia, Luxemburgo, Malta, Países Baixos e Suécia.</w:t>
      </w:r>
    </w:p>
  </w:footnote>
  <w:footnote w:id="38">
    <w:p w14:paraId="14CB13D4" w14:textId="5277C7E1" w:rsidR="00DB5952" w:rsidRPr="006B530F" w:rsidRDefault="00DB5952" w:rsidP="006B530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Decisão n.º 1/2025 do Comité Especializado dos Transportes Rodoviários no que respeita a uma lista das categorias, tipos e graus de gravidade das infrações graves que podem acarretar a perda da idoneidade de um transportador rodoviário de mercadorias</w:t>
      </w:r>
      <w:r>
        <w:t xml:space="preserve"> </w:t>
      </w:r>
      <w:hyperlink r:id="rId33" w:history="1">
        <w:r>
          <w:rPr>
            <w:rStyle w:val="Hyperlink"/>
            <w:rFonts w:ascii="Times New Roman" w:hAnsi="Times New Roman"/>
          </w:rPr>
          <w:t>EUR-Lex — 22025D2330 — PT — EUR-Lex</w:t>
        </w:r>
      </w:hyperlink>
      <w:r>
        <w:rPr>
          <w:rFonts w:ascii="Times New Roman" w:hAnsi="Times New Roman"/>
        </w:rPr>
        <w:t xml:space="preserve"> e Decisão n.º 2/2025 do Comité Especializado dos Transportes Rodoviários relativa aos registos eletrónicos nacionais das empresas de transporte rodoviário e às modalidades de intercâmbio de informações contidas nesses registos</w:t>
      </w:r>
      <w:r>
        <w:t xml:space="preserve"> </w:t>
      </w:r>
      <w:hyperlink r:id="rId34" w:history="1">
        <w:r>
          <w:rPr>
            <w:rStyle w:val="Hyperlink"/>
            <w:rFonts w:ascii="Times New Roman" w:hAnsi="Times New Roman"/>
          </w:rPr>
          <w:t>https://eur-lex.europa.eu/legal-content/PT/TXT/?uri=OJ:L_202502331</w:t>
        </w:r>
      </w:hyperlink>
      <w:r>
        <w:rPr>
          <w:rFonts w:ascii="Times New Roman" w:hAnsi="Times New Roman"/>
        </w:rPr>
        <w:t xml:space="preserve">. </w:t>
      </w:r>
    </w:p>
  </w:footnote>
  <w:footnote w:id="39">
    <w:p w14:paraId="44677093" w14:textId="2682CFD7" w:rsidR="00A9100D" w:rsidRPr="00A9100D" w:rsidRDefault="00A9100D" w:rsidP="00A9100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Decisão n.º 1/2025 do Conselho de Parceria criado pelo Acordo de Comércio e Cooperação entre a União Europeia e a Comunidade Europeia da Energia Atómica, por um lado, e o Reino Unido da Grã-Bretanha e da Irlanda do Norte, por outro, de 18 de junho de 2025, relativa à interpretação do artigo 508.º, n.º 2, alínea d), do Acordo de Comércio e Cooperação entre a União Europeia e a Comunidade Europeia da Energia Atómica, por um lado, e o Reino Unido da Grã-Bretanha e da Irlanda do Norte, por outro: </w:t>
      </w:r>
      <w:hyperlink r:id="rId35" w:history="1">
        <w:r>
          <w:rPr>
            <w:rStyle w:val="Hyperlink"/>
            <w:rFonts w:ascii="Times New Roman" w:hAnsi="Times New Roman"/>
          </w:rPr>
          <w:t>https://eur-lex.europa.eu/legal-content/PT/TXT/?uri=OJ%3AL_202501229</w:t>
        </w:r>
      </w:hyperlink>
      <w:r>
        <w:rPr>
          <w:rFonts w:ascii="Times New Roman" w:hAnsi="Times New Roman"/>
        </w:rPr>
        <w:t>.</w:t>
      </w:r>
    </w:p>
  </w:footnote>
  <w:footnote w:id="40">
    <w:p w14:paraId="02C09CC1" w14:textId="036C3C2F" w:rsidR="00A9100D" w:rsidRPr="00A9100D" w:rsidRDefault="00A9100D" w:rsidP="00A9100D">
      <w:pPr>
        <w:pStyle w:val="FootnoteText"/>
        <w:jc w:val="both"/>
      </w:pPr>
      <w:r>
        <w:rPr>
          <w:rStyle w:val="FootnoteReference"/>
          <w:rFonts w:ascii="Times New Roman" w:hAnsi="Times New Roman" w:cs="Times New Roman"/>
        </w:rPr>
        <w:footnoteRef/>
      </w:r>
      <w:r>
        <w:rPr>
          <w:rFonts w:ascii="Times New Roman" w:hAnsi="Times New Roman"/>
        </w:rPr>
        <w:t xml:space="preserve"> Decisão n.º 1/2025 do Comité Especializado das Pescas respeitante às disposições relativas ao nível e às condições de acesso concedidos por cada uma das Partes aos navios da outra Parte para pescar nas suas águas de 1 de julho de 2026 a 30 de junho de 2038: </w:t>
      </w:r>
      <w:hyperlink r:id="rId36" w:history="1">
        <w:r>
          <w:rPr>
            <w:rStyle w:val="Hyperlink"/>
            <w:rFonts w:ascii="Times New Roman" w:hAnsi="Times New Roman"/>
          </w:rPr>
          <w:t>https://eur-lex.europa.eu/legal-content/PT/TXT/?uri=OJ:L_202501231</w:t>
        </w:r>
      </w:hyperlink>
      <w:r>
        <w:t>.</w:t>
      </w:r>
    </w:p>
  </w:footnote>
  <w:footnote w:id="41">
    <w:p w14:paraId="40AA7418" w14:textId="7A2BE07C" w:rsidR="004E689D" w:rsidRPr="005A2BA7" w:rsidRDefault="004E689D" w:rsidP="004E689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Notificações nos termos da parte três — Cooperação policial e judiciária em matéria penal do Acordo de Comércio e Cooperação entre a União Europeia e o Reino Unido — Análise das notificações efetuadas ao Reino Unido no âmbito da revisão conjunta da parte três do Acordo de Comércio e Cooperação (artigo 630.º do Acordo de Comércio e Cooperação)</w:t>
      </w:r>
      <w:r>
        <w:t>:</w:t>
      </w:r>
      <w:r>
        <w:rPr>
          <w:rFonts w:ascii="Times New Roman" w:hAnsi="Times New Roman"/>
        </w:rPr>
        <w:t xml:space="preserve"> </w:t>
      </w:r>
      <w:hyperlink r:id="rId37" w:history="1">
        <w:r>
          <w:rPr>
            <w:rStyle w:val="Hyperlink"/>
            <w:rFonts w:ascii="Times New Roman" w:hAnsi="Times New Roman"/>
          </w:rPr>
          <w:t>https://eur-lex.europa.eu/legal-content/PT/TXT/?uri=OJ:C_202506451</w:t>
        </w:r>
      </w:hyperlink>
      <w:r>
        <w:rPr>
          <w:rFonts w:ascii="Times New Roman" w:hAnsi="Times New Roman"/>
        </w:rPr>
        <w:t>.</w:t>
      </w:r>
    </w:p>
  </w:footnote>
  <w:footnote w:id="42">
    <w:p w14:paraId="76010AD3" w14:textId="75819E4D" w:rsidR="000C5317" w:rsidRDefault="000C5317">
      <w:pPr>
        <w:pStyle w:val="FootnoteText"/>
      </w:pPr>
      <w:r>
        <w:rPr>
          <w:rStyle w:val="FootnoteReference"/>
        </w:rPr>
        <w:footnoteRef/>
      </w:r>
      <w:r>
        <w:rPr>
          <w:rFonts w:ascii="Times New Roman" w:hAnsi="Times New Roman"/>
        </w:rPr>
        <w:t xml:space="preserve"> Dados de outubro de 2025.</w:t>
      </w:r>
    </w:p>
  </w:footnote>
  <w:footnote w:id="43">
    <w:p w14:paraId="3A4A753D" w14:textId="65377431" w:rsidR="00BD370D" w:rsidRPr="00F52880" w:rsidRDefault="00BD370D" w:rsidP="00BD370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Painel do Horizonte: </w:t>
      </w:r>
      <w:hyperlink r:id="rId38" w:history="1">
        <w:r>
          <w:rPr>
            <w:rStyle w:val="Hyperlink"/>
            <w:rFonts w:ascii="Times New Roman" w:hAnsi="Times New Roman"/>
          </w:rPr>
          <w:t>R&amp;I Country Profile — Welcome |</w:t>
        </w:r>
      </w:hyperlink>
      <w:hyperlink r:id="rId39" w:history="1">
        <w:r>
          <w:rPr>
            <w:rStyle w:val="Hyperlink"/>
            <w:rFonts w:ascii="Times New Roman" w:hAnsi="Times New Roman"/>
          </w:rPr>
          <w:t xml:space="preserve"> Sheet — Qlik Sense</w:t>
        </w:r>
      </w:hyperlink>
      <w:r>
        <w:t>.</w:t>
      </w:r>
    </w:p>
  </w:footnote>
  <w:footnote w:id="44">
    <w:p w14:paraId="15609000" w14:textId="1B7179D5" w:rsidR="00BD370D" w:rsidRPr="00CD620E" w:rsidRDefault="00BD370D">
      <w:pPr>
        <w:pStyle w:val="FootnoteText"/>
      </w:pPr>
      <w:r>
        <w:rPr>
          <w:rStyle w:val="FootnoteReference"/>
          <w:rFonts w:ascii="Times New Roman" w:hAnsi="Times New Roman" w:cs="Times New Roman"/>
        </w:rPr>
        <w:footnoteRef/>
      </w:r>
      <w:r>
        <w:rPr>
          <w:rFonts w:ascii="Times New Roman" w:hAnsi="Times New Roman"/>
        </w:rPr>
        <w:t xml:space="preserve"> </w:t>
      </w:r>
      <w:hyperlink r:id="rId40" w:history="1">
        <w:r>
          <w:rPr>
            <w:rStyle w:val="Hyperlink"/>
            <w:rFonts w:ascii="Times New Roman" w:hAnsi="Times New Roman"/>
          </w:rPr>
          <w:t>https://ec.europa.eu/commission/presscorner/detail/pt/statement_25_3103</w:t>
        </w:r>
      </w:hyperlink>
      <w:r>
        <w:t>.</w:t>
      </w:r>
    </w:p>
  </w:footnote>
  <w:footnote w:id="45">
    <w:p w14:paraId="24F86AC0" w14:textId="7CBD391D" w:rsidR="001E56AA" w:rsidRPr="007D3844" w:rsidRDefault="001E56AA" w:rsidP="001E56A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Decisão (UE) 2025/1286 do Conselho, de 20 de junho de 2025, que autoriza a abertura de negociações com o Reino Unido da Grã-Bretanha e da Irlanda do Norte tendo em vista um acordo sobre um programa de experiência profissional para os jovens</w:t>
      </w:r>
      <w:r>
        <w:t xml:space="preserve"> </w:t>
      </w:r>
      <w:hyperlink r:id="rId41" w:history="1">
        <w:r>
          <w:rPr>
            <w:rStyle w:val="Hyperlink"/>
            <w:rFonts w:ascii="Times New Roman" w:hAnsi="Times New Roman"/>
          </w:rPr>
          <w:t>https://eur-lex.europa.eu/eli/dec/2025/1286/oj/por</w:t>
        </w:r>
      </w:hyperlink>
      <w:r>
        <w:rPr>
          <w:rFonts w:ascii="Times New Roman" w:hAnsi="Times New Roman"/>
        </w:rPr>
        <w:t>.</w:t>
      </w:r>
    </w:p>
  </w:footnote>
  <w:footnote w:id="46">
    <w:p w14:paraId="1AEBC27D" w14:textId="2782EFD4" w:rsidR="007D3844" w:rsidRPr="007D3844" w:rsidRDefault="007D384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2" w:history="1">
        <w:r>
          <w:rPr>
            <w:rStyle w:val="Hyperlink"/>
            <w:rFonts w:ascii="Times New Roman" w:hAnsi="Times New Roman"/>
          </w:rPr>
          <w:t>Lei relativa ao controlo das subvenções de 2022</w:t>
        </w:r>
      </w:hyperlink>
      <w:r>
        <w:t>.</w:t>
      </w:r>
      <w:r>
        <w:rPr>
          <w:rFonts w:ascii="Times New Roman" w:hAnsi="Times New Roman"/>
        </w:rPr>
        <w:t xml:space="preserve"> </w:t>
      </w:r>
    </w:p>
  </w:footnote>
  <w:footnote w:id="47">
    <w:p w14:paraId="693B47CA" w14:textId="77777777" w:rsidR="007D3844" w:rsidRPr="00FB459C" w:rsidRDefault="007D3844" w:rsidP="007D384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3" w:history="1">
        <w:r>
          <w:rPr>
            <w:rStyle w:val="Hyperlink"/>
            <w:rFonts w:ascii="Times New Roman" w:hAnsi="Times New Roman"/>
          </w:rPr>
          <w:t>https://www.legislation.gov.uk/uksi/2025/845/made</w:t>
        </w:r>
      </w:hyperlink>
      <w:r>
        <w:t>.</w:t>
      </w:r>
      <w:r>
        <w:rPr>
          <w:rFonts w:ascii="Times New Roman" w:hAnsi="Times New Roman"/>
        </w:rPr>
        <w:t xml:space="preserve"> </w:t>
      </w:r>
    </w:p>
  </w:footnote>
  <w:footnote w:id="48">
    <w:p w14:paraId="60B18121" w14:textId="6BDC0AA1" w:rsidR="00836903" w:rsidRPr="001E56AA" w:rsidRDefault="0083690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https://assets.publishing.service.gov.uk/media/69440cd78f4636fa2c547e8a/employment-rights-act-2025-overview.pdf.</w:t>
      </w:r>
    </w:p>
  </w:footnote>
  <w:footnote w:id="49">
    <w:p w14:paraId="403A8039" w14:textId="2BA61A95" w:rsidR="00670DDE" w:rsidRPr="0018706E" w:rsidRDefault="00670DD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4" w:history="1">
        <w:r>
          <w:rPr>
            <w:rStyle w:val="Hyperlink"/>
            <w:rFonts w:ascii="Times New Roman" w:hAnsi="Times New Roman"/>
          </w:rPr>
          <w:t>https://www.legislation.gov.uk/ukpga/2023/39</w:t>
        </w:r>
      </w:hyperlink>
      <w:r>
        <w:rPr>
          <w:rFonts w:ascii="Times New Roman" w:hAnsi="Times New Roman"/>
        </w:rPr>
        <w:t>.</w:t>
      </w:r>
    </w:p>
  </w:footnote>
  <w:footnote w:id="50">
    <w:p w14:paraId="1ABBFF10" w14:textId="1E568D9D" w:rsidR="0018706E" w:rsidRPr="0018706E" w:rsidRDefault="0018706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5" w:history="1">
        <w:r>
          <w:rPr>
            <w:rStyle w:val="Hyperlink"/>
            <w:rFonts w:ascii="Times New Roman" w:hAnsi="Times New Roman"/>
          </w:rPr>
          <w:t>https://eur-lex.europa.eu/legal-content/PT/TXT/?uri=celex:52024DC0127</w:t>
        </w:r>
      </w:hyperlink>
      <w:r>
        <w:rPr>
          <w:rFonts w:ascii="Times New Roman" w:hAnsi="Times New Roman"/>
        </w:rPr>
        <w:t>.</w:t>
      </w:r>
    </w:p>
  </w:footnote>
  <w:footnote w:id="51">
    <w:p w14:paraId="596F5552" w14:textId="79839573" w:rsidR="003758D3" w:rsidRPr="0018706E" w:rsidRDefault="003758D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6" w:history="1">
        <w:r>
          <w:rPr>
            <w:rStyle w:val="Hyperlink"/>
            <w:rFonts w:ascii="Times New Roman" w:hAnsi="Times New Roman"/>
          </w:rPr>
          <w:t>https://www.legislation.gov.uk/ukpga/2025/16</w:t>
        </w:r>
      </w:hyperlink>
      <w:r>
        <w:rPr>
          <w:rFonts w:ascii="Times New Roman" w:hAnsi="Times New Roman"/>
        </w:rPr>
        <w:t>.</w:t>
      </w:r>
    </w:p>
  </w:footnote>
  <w:footnote w:id="52">
    <w:p w14:paraId="7E103CB6" w14:textId="466C01DE" w:rsidR="00212267" w:rsidRPr="00670DDE" w:rsidRDefault="002122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7" w:history="1">
        <w:r>
          <w:rPr>
            <w:rStyle w:val="Hyperlink"/>
            <w:rFonts w:ascii="Times New Roman" w:hAnsi="Times New Roman"/>
          </w:rPr>
          <w:t>https://www.legislation.gov.uk/ukpga/2025/34/enacted</w:t>
        </w:r>
      </w:hyperlink>
      <w:r>
        <w:rPr>
          <w:rFonts w:ascii="Times New Roman" w:hAnsi="Times New Roman"/>
        </w:rPr>
        <w:t>.</w:t>
      </w:r>
    </w:p>
  </w:footnote>
  <w:footnote w:id="53">
    <w:p w14:paraId="25D70552" w14:textId="389074F8" w:rsidR="00945223" w:rsidRPr="003A2C95" w:rsidRDefault="0094522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8" w:history="1">
        <w:r>
          <w:rPr>
            <w:rStyle w:val="Hyperlink"/>
            <w:rFonts w:ascii="Times New Roman" w:hAnsi="Times New Roman"/>
          </w:rPr>
          <w:t>https://www.legislation.gov.uk/ukpga/2025/20</w:t>
        </w:r>
      </w:hyperlink>
      <w:r>
        <w:rPr>
          <w:rFonts w:ascii="Times New Roman" w:hAnsi="Times New Roman"/>
        </w:rPr>
        <w:t>.</w:t>
      </w:r>
    </w:p>
  </w:footnote>
  <w:footnote w:id="54">
    <w:p w14:paraId="7779E441" w14:textId="18E42756" w:rsidR="006749E2" w:rsidRPr="003A2C95" w:rsidRDefault="006749E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9" w:history="1">
        <w:r>
          <w:rPr>
            <w:rStyle w:val="Hyperlink"/>
            <w:rFonts w:ascii="Times New Roman" w:hAnsi="Times New Roman"/>
          </w:rPr>
          <w:t>https://www.legislation.gov.uk/ukpga/2025/18/contents</w:t>
        </w:r>
      </w:hyperlink>
      <w:r>
        <w:rPr>
          <w:rFonts w:ascii="Times New Roman" w:hAnsi="Times New Roman"/>
        </w:rPr>
        <w:t>.</w:t>
      </w:r>
    </w:p>
  </w:footnote>
  <w:footnote w:id="55">
    <w:p w14:paraId="533BDCF8" w14:textId="03C5CE89" w:rsidR="00640672" w:rsidRPr="003A2C95" w:rsidRDefault="00640672" w:rsidP="0064067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Decisão de Execução (UE) 2025/1226 da Comissão, de 24 de junho de 2025, que altera a Decisão de Execução (UE) 2021/1772 nos termos do Regulamento (UE) 2016/679 do Parlamento Europeu e do Conselho sobre a adequação do nível de proteção dos dados pessoais assegurado pelo Reino Unido: </w:t>
      </w:r>
      <w:hyperlink r:id="rId50" w:history="1">
        <w:r>
          <w:rPr>
            <w:rStyle w:val="Hyperlink"/>
            <w:rFonts w:ascii="Times New Roman" w:hAnsi="Times New Roman"/>
          </w:rPr>
          <w:t>https://eur-lex.europa.eu/legal-content/PT/TXT/HTML/?uri=OJ:L_202501226</w:t>
        </w:r>
      </w:hyperlink>
      <w:r>
        <w:rPr>
          <w:rFonts w:ascii="Times New Roman" w:hAnsi="Times New Roman"/>
        </w:rPr>
        <w:t>.</w:t>
      </w:r>
    </w:p>
  </w:footnote>
  <w:footnote w:id="56">
    <w:p w14:paraId="7EF1C424" w14:textId="18C4BEA1" w:rsidR="003A2C95" w:rsidRPr="003A2C95" w:rsidRDefault="003A2C95" w:rsidP="003A2C9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Decisão de Execução da Comissão que altera a Decisão de Execução (UE) 2021/1772 da Comissão, de 28 de junho de 2021, nos termos do Regulamento (UE) 2016/679 do Parlamento Europeu e do Conselho sobre a</w:t>
      </w:r>
    </w:p>
    <w:p w14:paraId="4FEE8992" w14:textId="33875A06" w:rsidR="003A2C95" w:rsidRPr="003A2C95" w:rsidRDefault="003A2C95" w:rsidP="003A2C95">
      <w:pPr>
        <w:pStyle w:val="FootnoteText"/>
      </w:pPr>
      <w:r>
        <w:rPr>
          <w:rFonts w:ascii="Times New Roman" w:hAnsi="Times New Roman"/>
        </w:rPr>
        <w:t xml:space="preserve">adequação do nível de proteção dos dados pessoais assegurado pelo Reino Unido [notificada com o número C(2021) 4800]: </w:t>
      </w:r>
      <w:hyperlink r:id="rId51" w:history="1">
        <w:r>
          <w:rPr>
            <w:rStyle w:val="Hyperlink"/>
            <w:rFonts w:ascii="Times New Roman" w:hAnsi="Times New Roman"/>
          </w:rPr>
          <w:t>https://commission.europa.eu/document/download/6f636fa0-30d4-4c05-a713-64484ad913fa_en?filename=Draft%20Renewal%20of%20EU%20adequacy%20decision%20for%20the%20UK%20under%20the%20GDPR.pdf</w:t>
        </w:r>
      </w:hyperlink>
      <w:r>
        <w:t>.</w:t>
      </w:r>
    </w:p>
  </w:footnote>
  <w:footnote w:id="57">
    <w:p w14:paraId="5EB4474A" w14:textId="6A9567E7" w:rsidR="00736AFA" w:rsidRPr="00285299" w:rsidRDefault="00736AF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2" w:history="1">
        <w:r>
          <w:rPr>
            <w:rStyle w:val="Hyperlink"/>
            <w:rFonts w:ascii="Times New Roman" w:hAnsi="Times New Roman"/>
          </w:rPr>
          <w:t>https://ec.europa.eu/commission/presscorner/detail/pt/ip_25_3059</w:t>
        </w:r>
      </w:hyperlink>
      <w:r>
        <w:rPr>
          <w:rFonts w:ascii="Times New Roman" w:hAnsi="Times New Roman"/>
        </w:rPr>
        <w:t>.</w:t>
      </w:r>
    </w:p>
  </w:footnote>
  <w:footnote w:id="58">
    <w:p w14:paraId="0B34A20D" w14:textId="77777777" w:rsidR="00101E60" w:rsidRPr="00C95D06" w:rsidRDefault="00101E60" w:rsidP="00101E60">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 xml:space="preserve">As ordens do dia e as atas das reuniões do Conselho de Parceria e dos comités especializados no âmbito do ACC estão disponíveis em: </w:t>
      </w:r>
      <w:hyperlink r:id="rId53" w:history="1">
        <w:r>
          <w:rPr>
            <w:rStyle w:val="Hyperlink"/>
            <w:rFonts w:ascii="Times New Roman" w:hAnsi="Times New Roman"/>
          </w:rPr>
          <w:t>https://ec.europa.eu/info/strategy/relations-non-eu-countries/relations-united-kingdom/eu-uk-trade-and-cooperation-agreement/meetings-eu-uk-partnership-council-and-specialised-committees-under-trade-and-cooperation-agreement_pt</w:t>
        </w:r>
      </w:hyperlink>
      <w:r>
        <w:rPr>
          <w:rFonts w:ascii="Times New Roman" w:hAnsi="Times New Roman"/>
        </w:rPr>
        <w:t>.</w:t>
      </w:r>
    </w:p>
    <w:p w14:paraId="51131AB8" w14:textId="7D3970D6" w:rsidR="00101E60" w:rsidRPr="00101E60" w:rsidRDefault="00101E60">
      <w:pPr>
        <w:pStyle w:val="FootnoteText"/>
      </w:pPr>
    </w:p>
  </w:footnote>
  <w:footnote w:id="59">
    <w:p w14:paraId="2500389A" w14:textId="5C2F039A" w:rsidR="00F67C44" w:rsidRPr="00AC273F" w:rsidRDefault="00F67C4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4" w:history="1">
        <w:r>
          <w:rPr>
            <w:rStyle w:val="Hyperlink"/>
            <w:rFonts w:ascii="Times New Roman" w:hAnsi="Times New Roman"/>
          </w:rPr>
          <w:t>https://eur-lex.europa.eu/legal-content/PT/TXT/?uri=OJ%3AL_202501229</w:t>
        </w:r>
      </w:hyperlink>
      <w:r>
        <w:rPr>
          <w:rFonts w:ascii="Times New Roman" w:hAnsi="Times New Roman"/>
        </w:rPr>
        <w:t>.</w:t>
      </w:r>
    </w:p>
  </w:footnote>
  <w:footnote w:id="60">
    <w:p w14:paraId="604A53A4" w14:textId="12AA05C4" w:rsidR="00F67C44" w:rsidRPr="00AC273F" w:rsidRDefault="00F67C4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5" w:history="1">
        <w:r>
          <w:rPr>
            <w:rStyle w:val="Hyperlink"/>
            <w:rFonts w:ascii="Times New Roman" w:hAnsi="Times New Roman"/>
          </w:rPr>
          <w:t>https://eur-lex.europa.eu/legal-content/PT/TXT/?uri=OJ%3AL_202501230</w:t>
        </w:r>
      </w:hyperlink>
      <w:r>
        <w:rPr>
          <w:rFonts w:ascii="Times New Roman" w:hAnsi="Times New Roman"/>
        </w:rPr>
        <w:t>.</w:t>
      </w:r>
    </w:p>
  </w:footnote>
  <w:footnote w:id="61">
    <w:p w14:paraId="2E4F7D4B" w14:textId="1FABDA04" w:rsidR="00764227" w:rsidRPr="00AC273F" w:rsidRDefault="007642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6" w:history="1">
        <w:r>
          <w:rPr>
            <w:rStyle w:val="Hyperlink"/>
            <w:rFonts w:ascii="Times New Roman" w:hAnsi="Times New Roman"/>
          </w:rPr>
          <w:t>https://eur-lex.europa.eu/legal-content/PT/TXT/?uri=OJ%3AL_202501232</w:t>
        </w:r>
      </w:hyperlink>
      <w:r>
        <w:rPr>
          <w:rFonts w:ascii="Times New Roman" w:hAnsi="Times New Roman"/>
        </w:rPr>
        <w:t>.</w:t>
      </w:r>
    </w:p>
  </w:footnote>
  <w:footnote w:id="62">
    <w:p w14:paraId="7EB46291" w14:textId="1ED78C91" w:rsidR="00A22C1C" w:rsidRPr="00AC273F" w:rsidRDefault="00A22C1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7" w:history="1">
        <w:r>
          <w:rPr>
            <w:rStyle w:val="Hyperlink"/>
            <w:rFonts w:ascii="Times New Roman" w:hAnsi="Times New Roman"/>
          </w:rPr>
          <w:t>https://eur-lex.europa.eu/legal-content/PT/TXT/?uri=OJ:L_202501231</w:t>
        </w:r>
      </w:hyperlink>
      <w:r>
        <w:rPr>
          <w:rFonts w:ascii="Times New Roman" w:hAnsi="Times New Roman"/>
        </w:rPr>
        <w:t>.</w:t>
      </w:r>
    </w:p>
  </w:footnote>
  <w:footnote w:id="63">
    <w:p w14:paraId="6FDD5313" w14:textId="4E386A98" w:rsidR="007049DB" w:rsidRPr="00AC273F" w:rsidRDefault="007049D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8" w:history="1">
        <w:r>
          <w:rPr>
            <w:rStyle w:val="Hyperlink"/>
            <w:rFonts w:ascii="Times New Roman" w:hAnsi="Times New Roman"/>
          </w:rPr>
          <w:t>https://eur-lex.europa.eu/legal-content/PT/TXT/?uri=OJ:L_202501755</w:t>
        </w:r>
      </w:hyperlink>
      <w:r>
        <w:rPr>
          <w:rFonts w:ascii="Times New Roman" w:hAnsi="Times New Roman"/>
        </w:rPr>
        <w:t>.</w:t>
      </w:r>
    </w:p>
  </w:footnote>
  <w:footnote w:id="64">
    <w:p w14:paraId="43F9935A" w14:textId="77777777" w:rsidR="008C47FD" w:rsidRPr="009019E6" w:rsidRDefault="008C47FD" w:rsidP="008C47FD">
      <w:pPr>
        <w:pStyle w:val="FootnoteText"/>
        <w:rPr>
          <w:rFonts w:ascii="Times New Roman" w:hAnsi="Times New Roman" w:cs="Times New Roman"/>
          <w:lang w:val="fr-FR"/>
        </w:rPr>
      </w:pPr>
      <w:r>
        <w:rPr>
          <w:rStyle w:val="FootnoteReference"/>
          <w:rFonts w:ascii="Times New Roman" w:hAnsi="Times New Roman" w:cs="Times New Roman"/>
        </w:rPr>
        <w:footnoteRef/>
      </w:r>
      <w:r w:rsidRPr="009019E6">
        <w:rPr>
          <w:rFonts w:ascii="Times New Roman" w:hAnsi="Times New Roman"/>
          <w:lang w:val="fr-FR"/>
        </w:rPr>
        <w:t xml:space="preserve"> </w:t>
      </w:r>
      <w:bookmarkStart w:id="92" w:name="_Hlk222926852"/>
      <w:r>
        <w:rPr>
          <w:rFonts w:ascii="Times New Roman" w:hAnsi="Times New Roman" w:cs="Times New Roman"/>
          <w:color w:val="0563C1" w:themeColor="hyperlink"/>
          <w:u w:val="single"/>
        </w:rPr>
        <w:fldChar w:fldCharType="begin"/>
      </w:r>
      <w:r w:rsidRPr="009019E6">
        <w:rPr>
          <w:rFonts w:ascii="Times New Roman" w:hAnsi="Times New Roman" w:cs="Times New Roman"/>
          <w:color w:val="0563C1" w:themeColor="hyperlink"/>
          <w:u w:val="single"/>
          <w:lang w:val="fr-FR"/>
        </w:rPr>
        <w:instrText>HYPERLINK "https://eur-lex.europa.eu/legal-content/PT/TXT/?uri=CELEX:22025D2330"</w:instrText>
      </w:r>
      <w:r>
        <w:rPr>
          <w:rFonts w:ascii="Times New Roman" w:hAnsi="Times New Roman" w:cs="Times New Roman"/>
          <w:color w:val="0563C1" w:themeColor="hyperlink"/>
          <w:u w:val="single"/>
        </w:rPr>
        <w:fldChar w:fldCharType="separate"/>
      </w:r>
      <w:r w:rsidRPr="009019E6">
        <w:rPr>
          <w:rStyle w:val="Hyperlink"/>
          <w:rFonts w:ascii="Times New Roman" w:hAnsi="Times New Roman"/>
          <w:lang w:val="fr-FR"/>
        </w:rPr>
        <w:t>EUR-Lex – 22025D2330 – PT — EUR-Lex</w:t>
      </w:r>
      <w:r>
        <w:rPr>
          <w:rFonts w:ascii="Times New Roman" w:hAnsi="Times New Roman" w:cs="Times New Roman"/>
          <w:color w:val="0563C1" w:themeColor="hyperlink"/>
          <w:u w:val="single"/>
        </w:rPr>
        <w:fldChar w:fldCharType="end"/>
      </w:r>
      <w:r w:rsidRPr="009019E6">
        <w:rPr>
          <w:rFonts w:ascii="Times New Roman" w:hAnsi="Times New Roman"/>
          <w:lang w:val="fr-FR"/>
        </w:rPr>
        <w:t>.</w:t>
      </w:r>
      <w:bookmarkEnd w:id="92"/>
    </w:p>
  </w:footnote>
  <w:footnote w:id="65">
    <w:p w14:paraId="5896AB1A" w14:textId="77777777" w:rsidR="008C47FD" w:rsidRPr="009019E6" w:rsidRDefault="008C47FD" w:rsidP="008C47FD">
      <w:pPr>
        <w:pStyle w:val="FootnoteText"/>
        <w:rPr>
          <w:rFonts w:ascii="Times New Roman" w:hAnsi="Times New Roman" w:cs="Times New Roman"/>
          <w:lang w:val="fr-FR"/>
        </w:rPr>
      </w:pPr>
      <w:r>
        <w:rPr>
          <w:rStyle w:val="FootnoteReference"/>
          <w:rFonts w:ascii="Times New Roman" w:hAnsi="Times New Roman" w:cs="Times New Roman"/>
        </w:rPr>
        <w:footnoteRef/>
      </w:r>
      <w:r w:rsidRPr="009019E6">
        <w:rPr>
          <w:rFonts w:ascii="Times New Roman" w:hAnsi="Times New Roman"/>
          <w:lang w:val="fr-FR"/>
        </w:rPr>
        <w:t xml:space="preserve"> </w:t>
      </w:r>
      <w:bookmarkStart w:id="94" w:name="_Hlk222926879"/>
      <w:r w:rsidRPr="009019E6">
        <w:rPr>
          <w:rFonts w:ascii="Times New Roman" w:hAnsi="Times New Roman"/>
          <w:lang w:val="fr-FR"/>
        </w:rPr>
        <w:t>https://eur-lex.europa.eu/legal-content/PT/TXT/?uri=OJ:L_202502331</w:t>
      </w:r>
      <w:bookmarkEnd w:id="94"/>
    </w:p>
  </w:footnote>
  <w:footnote w:id="66">
    <w:p w14:paraId="272EE242" w14:textId="77777777" w:rsidR="008C47FD" w:rsidRPr="009019E6" w:rsidRDefault="008C47FD" w:rsidP="008C47FD">
      <w:pPr>
        <w:pStyle w:val="FootnoteText"/>
        <w:rPr>
          <w:rFonts w:ascii="Times New Roman" w:hAnsi="Times New Roman" w:cs="Times New Roman"/>
          <w:lang w:val="fr-FR"/>
        </w:rPr>
      </w:pPr>
      <w:r>
        <w:rPr>
          <w:rStyle w:val="FootnoteReference"/>
          <w:rFonts w:ascii="Times New Roman" w:hAnsi="Times New Roman" w:cs="Times New Roman"/>
        </w:rPr>
        <w:footnoteRef/>
      </w:r>
      <w:r w:rsidRPr="009019E6">
        <w:rPr>
          <w:rFonts w:ascii="Times New Roman" w:hAnsi="Times New Roman"/>
          <w:lang w:val="fr-FR"/>
        </w:rPr>
        <w:t xml:space="preserve"> </w:t>
      </w:r>
      <w:hyperlink r:id="rId59" w:history="1">
        <w:r w:rsidRPr="009019E6">
          <w:rPr>
            <w:rStyle w:val="Hyperlink"/>
            <w:rFonts w:ascii="Times New Roman" w:hAnsi="Times New Roman"/>
            <w:lang w:val="fr-FR"/>
          </w:rPr>
          <w:t>EUR-Lex — 22025D2329 — PT — EUR-Lex</w:t>
        </w:r>
      </w:hyperlink>
      <w:r w:rsidRPr="009019E6">
        <w:rPr>
          <w:rFonts w:ascii="Times New Roman" w:hAnsi="Times New Roman"/>
          <w:lang w:val="fr-FR"/>
        </w:rPr>
        <w:t>.</w:t>
      </w:r>
    </w:p>
  </w:footnote>
  <w:footnote w:id="67">
    <w:p w14:paraId="449C28AA" w14:textId="6AB61482" w:rsidR="00B21CE1" w:rsidRPr="00A9100D" w:rsidRDefault="00B21CE1" w:rsidP="00B21CE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Decisão n.º 1/2025 do Conselho de Parceria criado pelo Acordo de Comércio e Cooperação entre a União Europeia e a Comunidade Europeia da Energia Atómica, por um lado, e o Reino Unido da Grã-Bretanha e da Irlanda do Norte, por outro, de 18 de junho de 2025, relativa à interpretação do artigo 508.º, n.º 2, alínea d), do Acordo de Comércio e Cooperação entre a União Europeia e a Comunidade Europeia da Energia Atómica, por um lado, e o Reino Unido da Grã-Bretanha e da Irlanda do Norte, por outro </w:t>
      </w:r>
      <w:hyperlink r:id="rId60" w:history="1">
        <w:r>
          <w:rPr>
            <w:rStyle w:val="Hyperlink"/>
            <w:rFonts w:ascii="Times New Roman" w:hAnsi="Times New Roman"/>
          </w:rPr>
          <w:t>https://eur-lex.europa.eu/legal-content/PT/TXT/?uri=OJ%3AL_202501229</w:t>
        </w:r>
      </w:hyperlink>
    </w:p>
  </w:footnote>
  <w:footnote w:id="68">
    <w:p w14:paraId="35D0DB26" w14:textId="663DC07A" w:rsidR="00B21CE1" w:rsidRPr="00A9100D" w:rsidRDefault="00B21CE1" w:rsidP="00B21CE1">
      <w:pPr>
        <w:pStyle w:val="FootnoteText"/>
        <w:jc w:val="both"/>
      </w:pPr>
      <w:r>
        <w:rPr>
          <w:rStyle w:val="FootnoteReference"/>
          <w:rFonts w:ascii="Times New Roman" w:hAnsi="Times New Roman" w:cs="Times New Roman"/>
        </w:rPr>
        <w:footnoteRef/>
      </w:r>
      <w:r>
        <w:rPr>
          <w:rFonts w:ascii="Times New Roman" w:hAnsi="Times New Roman"/>
        </w:rPr>
        <w:t xml:space="preserve"> Decisão n.º 1/2025 do Comité Especializado das Pescas respeitante às disposições relativas ao nível e às condições de acesso concedidos por cada uma das Partes aos navios da outra Parte para pescar nas suas águas de 1 de julho de 2026 a 30 de junho de 2038 </w:t>
      </w:r>
      <w:hyperlink r:id="rId61" w:history="1">
        <w:r>
          <w:rPr>
            <w:rStyle w:val="Hyperlink"/>
            <w:rFonts w:ascii="Times New Roman" w:hAnsi="Times New Roman"/>
          </w:rPr>
          <w:t>https://eur-lex.europa.eu/legal-content/PT/TXT/?uri=OJ:L_202501231</w:t>
        </w:r>
      </w:hyperlink>
    </w:p>
  </w:footnote>
  <w:footnote w:id="69">
    <w:p w14:paraId="4A0E2D24" w14:textId="6A0DEED2" w:rsidR="00A10D75" w:rsidRPr="00DC4CB9" w:rsidRDefault="00A10D75" w:rsidP="00A10D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Declaração conjunta 1/2025 da União e do Reino Unido proferida no âmbito do Conselho de Parceria criado pelo Acordo de Comércio e Cooperação entre a União Europeia e a Comunidade Europeia da Energia Atómica, por um lado, e o Reino Unido da Grã-Bretanha e da Irlanda do Norte, por outro de 19 de junho de 2025 </w:t>
      </w:r>
      <w:hyperlink r:id="rId62" w:history="1">
        <w:r>
          <w:rPr>
            <w:rStyle w:val="Hyperlink"/>
            <w:rFonts w:ascii="Times New Roman" w:hAnsi="Times New Roman"/>
          </w:rPr>
          <w:t>https://eur-lex.europa.eu/legal-content/PT/TXT/?uri=OJ%3AL_202501232</w:t>
        </w:r>
      </w:hyperlink>
    </w:p>
  </w:footnote>
  <w:footnote w:id="70">
    <w:p w14:paraId="1CE68929" w14:textId="338FDAB6" w:rsidR="00A10D75" w:rsidRPr="00DC4CB9" w:rsidRDefault="00A10D75" w:rsidP="00A10D75">
      <w:pPr>
        <w:pStyle w:val="FootnoteText"/>
        <w:jc w:val="both"/>
      </w:pPr>
      <w:r>
        <w:rPr>
          <w:rStyle w:val="FootnoteReference"/>
          <w:rFonts w:ascii="Times New Roman" w:hAnsi="Times New Roman" w:cs="Times New Roman"/>
        </w:rPr>
        <w:footnoteRef/>
      </w:r>
      <w:r>
        <w:rPr>
          <w:rFonts w:ascii="Times New Roman" w:hAnsi="Times New Roman"/>
        </w:rPr>
        <w:t xml:space="preserve"> Decisão n.º 2/2025 do Conselho de Parceria criado pelo Acordo de Comércio e Cooperação entre a União Europeia e a Comunidade Europeia da Energia Atómica, por um lado, e o Reino Unido da Grã-Bretanha e da Irlanda do Norte, por outro, de 19 de junho de 2025, que interpreta o artigo 331.º, n.º 2, e prorroga a aplicação da parte dois, subparte um, título VIII, relativo à energia, do Acordo de Comércio e Cooperação entre a União Europeia e a Comunidade Europeia da Energia Atómica, por um lado, e o Reino Unido da Grã-Bretanha e da Irlanda do Norte, por outro </w:t>
      </w:r>
      <w:hyperlink r:id="rId63" w:history="1">
        <w:r>
          <w:rPr>
            <w:rStyle w:val="Hyperlink"/>
            <w:rFonts w:ascii="Times New Roman" w:hAnsi="Times New Roman"/>
          </w:rPr>
          <w:t>https://eur-lex.europa.eu/legal-content/PT/TXT/?uri=OJ%3AL_202501230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29C2A" w14:textId="77777777" w:rsidR="004D2871" w:rsidRPr="004D2871" w:rsidRDefault="004D2871" w:rsidP="004D2871">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60294" w14:textId="77777777" w:rsidR="004D2871" w:rsidRPr="004D2871" w:rsidRDefault="004D2871" w:rsidP="004D2871">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7221E" w14:textId="77777777" w:rsidR="004D2871" w:rsidRPr="004D2871" w:rsidRDefault="004D2871" w:rsidP="004D2871">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9F337" w14:textId="77777777" w:rsidR="00656149" w:rsidRDefault="00656149" w:rsidP="00073840">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156ED" w14:textId="77777777" w:rsidR="00656149" w:rsidRDefault="00656149" w:rsidP="00073840">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FCF9D" w14:textId="77777777" w:rsidR="00656149" w:rsidRDefault="00656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11EA"/>
    <w:multiLevelType w:val="hybridMultilevel"/>
    <w:tmpl w:val="0C4C2B9E"/>
    <w:lvl w:ilvl="0" w:tplc="F3049B36">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E346B5"/>
    <w:multiLevelType w:val="hybridMultilevel"/>
    <w:tmpl w:val="B7CA3A30"/>
    <w:lvl w:ilvl="0" w:tplc="C16AA0AA">
      <w:start w:val="1"/>
      <w:numFmt w:val="bullet"/>
      <w:lvlText w:val="·"/>
      <w:lvlJc w:val="left"/>
      <w:pPr>
        <w:ind w:left="720" w:hanging="360"/>
      </w:pPr>
      <w:rPr>
        <w:rFonts w:ascii="Symbol" w:hAnsi="Symbol" w:hint="default"/>
      </w:rPr>
    </w:lvl>
    <w:lvl w:ilvl="1" w:tplc="203ADCCA">
      <w:start w:val="1"/>
      <w:numFmt w:val="bullet"/>
      <w:lvlText w:val="o"/>
      <w:lvlJc w:val="left"/>
      <w:pPr>
        <w:ind w:left="1440" w:hanging="360"/>
      </w:pPr>
      <w:rPr>
        <w:rFonts w:ascii="Courier New" w:hAnsi="Courier New" w:hint="default"/>
      </w:rPr>
    </w:lvl>
    <w:lvl w:ilvl="2" w:tplc="BDA2687A">
      <w:start w:val="1"/>
      <w:numFmt w:val="bullet"/>
      <w:lvlText w:val=""/>
      <w:lvlJc w:val="left"/>
      <w:pPr>
        <w:ind w:left="2160" w:hanging="360"/>
      </w:pPr>
      <w:rPr>
        <w:rFonts w:ascii="Wingdings" w:hAnsi="Wingdings" w:hint="default"/>
      </w:rPr>
    </w:lvl>
    <w:lvl w:ilvl="3" w:tplc="9838193A">
      <w:start w:val="1"/>
      <w:numFmt w:val="bullet"/>
      <w:lvlText w:val=""/>
      <w:lvlJc w:val="left"/>
      <w:pPr>
        <w:ind w:left="2880" w:hanging="360"/>
      </w:pPr>
      <w:rPr>
        <w:rFonts w:ascii="Symbol" w:hAnsi="Symbol" w:hint="default"/>
      </w:rPr>
    </w:lvl>
    <w:lvl w:ilvl="4" w:tplc="20945298">
      <w:start w:val="1"/>
      <w:numFmt w:val="bullet"/>
      <w:lvlText w:val="o"/>
      <w:lvlJc w:val="left"/>
      <w:pPr>
        <w:ind w:left="3600" w:hanging="360"/>
      </w:pPr>
      <w:rPr>
        <w:rFonts w:ascii="Courier New" w:hAnsi="Courier New" w:hint="default"/>
      </w:rPr>
    </w:lvl>
    <w:lvl w:ilvl="5" w:tplc="1A12790E">
      <w:start w:val="1"/>
      <w:numFmt w:val="bullet"/>
      <w:lvlText w:val=""/>
      <w:lvlJc w:val="left"/>
      <w:pPr>
        <w:ind w:left="4320" w:hanging="360"/>
      </w:pPr>
      <w:rPr>
        <w:rFonts w:ascii="Wingdings" w:hAnsi="Wingdings" w:hint="default"/>
      </w:rPr>
    </w:lvl>
    <w:lvl w:ilvl="6" w:tplc="A8C64DC8">
      <w:start w:val="1"/>
      <w:numFmt w:val="bullet"/>
      <w:lvlText w:val=""/>
      <w:lvlJc w:val="left"/>
      <w:pPr>
        <w:ind w:left="5040" w:hanging="360"/>
      </w:pPr>
      <w:rPr>
        <w:rFonts w:ascii="Symbol" w:hAnsi="Symbol" w:hint="default"/>
      </w:rPr>
    </w:lvl>
    <w:lvl w:ilvl="7" w:tplc="78A02AD8">
      <w:start w:val="1"/>
      <w:numFmt w:val="bullet"/>
      <w:lvlText w:val="o"/>
      <w:lvlJc w:val="left"/>
      <w:pPr>
        <w:ind w:left="5760" w:hanging="360"/>
      </w:pPr>
      <w:rPr>
        <w:rFonts w:ascii="Courier New" w:hAnsi="Courier New" w:hint="default"/>
      </w:rPr>
    </w:lvl>
    <w:lvl w:ilvl="8" w:tplc="E91EDCEC">
      <w:start w:val="1"/>
      <w:numFmt w:val="bullet"/>
      <w:lvlText w:val=""/>
      <w:lvlJc w:val="left"/>
      <w:pPr>
        <w:ind w:left="6480" w:hanging="360"/>
      </w:pPr>
      <w:rPr>
        <w:rFonts w:ascii="Wingdings" w:hAnsi="Wingdings" w:hint="default"/>
      </w:rPr>
    </w:lvl>
  </w:abstractNum>
  <w:abstractNum w:abstractNumId="2" w15:restartNumberingAfterBreak="0">
    <w:nsid w:val="03F8B7B9"/>
    <w:multiLevelType w:val="hybridMultilevel"/>
    <w:tmpl w:val="C6928C84"/>
    <w:lvl w:ilvl="0" w:tplc="0DF837BE">
      <w:start w:val="1"/>
      <w:numFmt w:val="bullet"/>
      <w:lvlText w:val=""/>
      <w:lvlJc w:val="left"/>
      <w:pPr>
        <w:ind w:left="720" w:hanging="360"/>
      </w:pPr>
      <w:rPr>
        <w:rFonts w:ascii="Symbol" w:hAnsi="Symbol" w:hint="default"/>
      </w:rPr>
    </w:lvl>
    <w:lvl w:ilvl="1" w:tplc="C20A8A80">
      <w:start w:val="1"/>
      <w:numFmt w:val="bullet"/>
      <w:lvlText w:val="o"/>
      <w:lvlJc w:val="left"/>
      <w:pPr>
        <w:ind w:left="1440" w:hanging="360"/>
      </w:pPr>
      <w:rPr>
        <w:rFonts w:ascii="Courier New" w:hAnsi="Courier New" w:hint="default"/>
      </w:rPr>
    </w:lvl>
    <w:lvl w:ilvl="2" w:tplc="BA54C512">
      <w:start w:val="1"/>
      <w:numFmt w:val="bullet"/>
      <w:lvlText w:val=""/>
      <w:lvlJc w:val="left"/>
      <w:pPr>
        <w:ind w:left="2160" w:hanging="360"/>
      </w:pPr>
      <w:rPr>
        <w:rFonts w:ascii="Wingdings" w:hAnsi="Wingdings" w:hint="default"/>
      </w:rPr>
    </w:lvl>
    <w:lvl w:ilvl="3" w:tplc="F5C4FF3E">
      <w:start w:val="1"/>
      <w:numFmt w:val="bullet"/>
      <w:lvlText w:val=""/>
      <w:lvlJc w:val="left"/>
      <w:pPr>
        <w:ind w:left="2880" w:hanging="360"/>
      </w:pPr>
      <w:rPr>
        <w:rFonts w:ascii="Symbol" w:hAnsi="Symbol" w:hint="default"/>
      </w:rPr>
    </w:lvl>
    <w:lvl w:ilvl="4" w:tplc="97BCAB42">
      <w:start w:val="1"/>
      <w:numFmt w:val="bullet"/>
      <w:lvlText w:val="o"/>
      <w:lvlJc w:val="left"/>
      <w:pPr>
        <w:ind w:left="3600" w:hanging="360"/>
      </w:pPr>
      <w:rPr>
        <w:rFonts w:ascii="Courier New" w:hAnsi="Courier New" w:hint="default"/>
      </w:rPr>
    </w:lvl>
    <w:lvl w:ilvl="5" w:tplc="7E120428">
      <w:start w:val="1"/>
      <w:numFmt w:val="bullet"/>
      <w:lvlText w:val=""/>
      <w:lvlJc w:val="left"/>
      <w:pPr>
        <w:ind w:left="4320" w:hanging="360"/>
      </w:pPr>
      <w:rPr>
        <w:rFonts w:ascii="Wingdings" w:hAnsi="Wingdings" w:hint="default"/>
      </w:rPr>
    </w:lvl>
    <w:lvl w:ilvl="6" w:tplc="AC6C56EC">
      <w:start w:val="1"/>
      <w:numFmt w:val="bullet"/>
      <w:lvlText w:val=""/>
      <w:lvlJc w:val="left"/>
      <w:pPr>
        <w:ind w:left="5040" w:hanging="360"/>
      </w:pPr>
      <w:rPr>
        <w:rFonts w:ascii="Symbol" w:hAnsi="Symbol" w:hint="default"/>
      </w:rPr>
    </w:lvl>
    <w:lvl w:ilvl="7" w:tplc="3092DCC2">
      <w:start w:val="1"/>
      <w:numFmt w:val="bullet"/>
      <w:lvlText w:val="o"/>
      <w:lvlJc w:val="left"/>
      <w:pPr>
        <w:ind w:left="5760" w:hanging="360"/>
      </w:pPr>
      <w:rPr>
        <w:rFonts w:ascii="Courier New" w:hAnsi="Courier New" w:hint="default"/>
      </w:rPr>
    </w:lvl>
    <w:lvl w:ilvl="8" w:tplc="82A45428">
      <w:start w:val="1"/>
      <w:numFmt w:val="bullet"/>
      <w:lvlText w:val=""/>
      <w:lvlJc w:val="left"/>
      <w:pPr>
        <w:ind w:left="6480" w:hanging="360"/>
      </w:pPr>
      <w:rPr>
        <w:rFonts w:ascii="Wingdings" w:hAnsi="Wingdings" w:hint="default"/>
      </w:rPr>
    </w:lvl>
  </w:abstractNum>
  <w:abstractNum w:abstractNumId="3" w15:restartNumberingAfterBreak="0">
    <w:nsid w:val="051059EC"/>
    <w:multiLevelType w:val="hybridMultilevel"/>
    <w:tmpl w:val="0B2E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5B44A"/>
    <w:multiLevelType w:val="hybridMultilevel"/>
    <w:tmpl w:val="62362092"/>
    <w:lvl w:ilvl="0" w:tplc="DB4EF0AA">
      <w:start w:val="1"/>
      <w:numFmt w:val="bullet"/>
      <w:lvlText w:val="-"/>
      <w:lvlJc w:val="left"/>
      <w:pPr>
        <w:ind w:left="720" w:hanging="360"/>
      </w:pPr>
      <w:rPr>
        <w:rFonts w:ascii="Calibri" w:hAnsi="Calibri" w:hint="default"/>
      </w:rPr>
    </w:lvl>
    <w:lvl w:ilvl="1" w:tplc="3C90E556">
      <w:start w:val="1"/>
      <w:numFmt w:val="bullet"/>
      <w:lvlText w:val="o"/>
      <w:lvlJc w:val="left"/>
      <w:pPr>
        <w:ind w:left="1440" w:hanging="360"/>
      </w:pPr>
      <w:rPr>
        <w:rFonts w:ascii="Courier New" w:hAnsi="Courier New" w:hint="default"/>
      </w:rPr>
    </w:lvl>
    <w:lvl w:ilvl="2" w:tplc="CB02C54C">
      <w:start w:val="1"/>
      <w:numFmt w:val="bullet"/>
      <w:lvlText w:val=""/>
      <w:lvlJc w:val="left"/>
      <w:pPr>
        <w:ind w:left="2160" w:hanging="360"/>
      </w:pPr>
      <w:rPr>
        <w:rFonts w:ascii="Wingdings" w:hAnsi="Wingdings" w:hint="default"/>
      </w:rPr>
    </w:lvl>
    <w:lvl w:ilvl="3" w:tplc="6D00FB02">
      <w:start w:val="1"/>
      <w:numFmt w:val="bullet"/>
      <w:lvlText w:val=""/>
      <w:lvlJc w:val="left"/>
      <w:pPr>
        <w:ind w:left="2880" w:hanging="360"/>
      </w:pPr>
      <w:rPr>
        <w:rFonts w:ascii="Symbol" w:hAnsi="Symbol" w:hint="default"/>
      </w:rPr>
    </w:lvl>
    <w:lvl w:ilvl="4" w:tplc="32B24F86">
      <w:start w:val="1"/>
      <w:numFmt w:val="bullet"/>
      <w:lvlText w:val="o"/>
      <w:lvlJc w:val="left"/>
      <w:pPr>
        <w:ind w:left="3600" w:hanging="360"/>
      </w:pPr>
      <w:rPr>
        <w:rFonts w:ascii="Courier New" w:hAnsi="Courier New" w:hint="default"/>
      </w:rPr>
    </w:lvl>
    <w:lvl w:ilvl="5" w:tplc="32F8C684">
      <w:start w:val="1"/>
      <w:numFmt w:val="bullet"/>
      <w:lvlText w:val=""/>
      <w:lvlJc w:val="left"/>
      <w:pPr>
        <w:ind w:left="4320" w:hanging="360"/>
      </w:pPr>
      <w:rPr>
        <w:rFonts w:ascii="Wingdings" w:hAnsi="Wingdings" w:hint="default"/>
      </w:rPr>
    </w:lvl>
    <w:lvl w:ilvl="6" w:tplc="50262DB6">
      <w:start w:val="1"/>
      <w:numFmt w:val="bullet"/>
      <w:lvlText w:val=""/>
      <w:lvlJc w:val="left"/>
      <w:pPr>
        <w:ind w:left="5040" w:hanging="360"/>
      </w:pPr>
      <w:rPr>
        <w:rFonts w:ascii="Symbol" w:hAnsi="Symbol" w:hint="default"/>
      </w:rPr>
    </w:lvl>
    <w:lvl w:ilvl="7" w:tplc="EE2E0D36">
      <w:start w:val="1"/>
      <w:numFmt w:val="bullet"/>
      <w:lvlText w:val="o"/>
      <w:lvlJc w:val="left"/>
      <w:pPr>
        <w:ind w:left="5760" w:hanging="360"/>
      </w:pPr>
      <w:rPr>
        <w:rFonts w:ascii="Courier New" w:hAnsi="Courier New" w:hint="default"/>
      </w:rPr>
    </w:lvl>
    <w:lvl w:ilvl="8" w:tplc="24366F3C">
      <w:start w:val="1"/>
      <w:numFmt w:val="bullet"/>
      <w:lvlText w:val=""/>
      <w:lvlJc w:val="left"/>
      <w:pPr>
        <w:ind w:left="6480" w:hanging="360"/>
      </w:pPr>
      <w:rPr>
        <w:rFonts w:ascii="Wingdings" w:hAnsi="Wingdings" w:hint="default"/>
      </w:rPr>
    </w:lvl>
  </w:abstractNum>
  <w:abstractNum w:abstractNumId="5" w15:restartNumberingAfterBreak="0">
    <w:nsid w:val="06B86DE1"/>
    <w:multiLevelType w:val="hybridMultilevel"/>
    <w:tmpl w:val="34A636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504660"/>
    <w:multiLevelType w:val="hybridMultilevel"/>
    <w:tmpl w:val="AD4E1F58"/>
    <w:lvl w:ilvl="0" w:tplc="1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F553FD"/>
    <w:multiLevelType w:val="multilevel"/>
    <w:tmpl w:val="C32E4A1C"/>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117D71"/>
    <w:multiLevelType w:val="multilevel"/>
    <w:tmpl w:val="440E4B88"/>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7B0C30"/>
    <w:multiLevelType w:val="multilevel"/>
    <w:tmpl w:val="8B76AE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784192"/>
    <w:multiLevelType w:val="hybridMultilevel"/>
    <w:tmpl w:val="681EB4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6A91549"/>
    <w:multiLevelType w:val="multilevel"/>
    <w:tmpl w:val="8B76AE02"/>
    <w:lvl w:ilvl="0">
      <w:start w:val="1"/>
      <w:numFmt w:val="decimal"/>
      <w:lvlText w:val="%1."/>
      <w:lvlJc w:val="left"/>
      <w:pPr>
        <w:ind w:left="560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8AB1946"/>
    <w:multiLevelType w:val="multilevel"/>
    <w:tmpl w:val="ECB441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A9C887D"/>
    <w:multiLevelType w:val="hybridMultilevel"/>
    <w:tmpl w:val="30023C44"/>
    <w:lvl w:ilvl="0" w:tplc="812E4DA2">
      <w:start w:val="1"/>
      <w:numFmt w:val="bullet"/>
      <w:lvlText w:val="·"/>
      <w:lvlJc w:val="left"/>
      <w:pPr>
        <w:ind w:left="720" w:hanging="360"/>
      </w:pPr>
      <w:rPr>
        <w:rFonts w:ascii="Symbol" w:hAnsi="Symbol" w:hint="default"/>
      </w:rPr>
    </w:lvl>
    <w:lvl w:ilvl="1" w:tplc="D5A0198E">
      <w:start w:val="1"/>
      <w:numFmt w:val="bullet"/>
      <w:lvlText w:val="o"/>
      <w:lvlJc w:val="left"/>
      <w:pPr>
        <w:ind w:left="1440" w:hanging="360"/>
      </w:pPr>
      <w:rPr>
        <w:rFonts w:ascii="Courier New" w:hAnsi="Courier New" w:hint="default"/>
      </w:rPr>
    </w:lvl>
    <w:lvl w:ilvl="2" w:tplc="B99C2B40">
      <w:start w:val="1"/>
      <w:numFmt w:val="bullet"/>
      <w:lvlText w:val=""/>
      <w:lvlJc w:val="left"/>
      <w:pPr>
        <w:ind w:left="2160" w:hanging="360"/>
      </w:pPr>
      <w:rPr>
        <w:rFonts w:ascii="Wingdings" w:hAnsi="Wingdings" w:hint="default"/>
      </w:rPr>
    </w:lvl>
    <w:lvl w:ilvl="3" w:tplc="97088834">
      <w:start w:val="1"/>
      <w:numFmt w:val="bullet"/>
      <w:lvlText w:val=""/>
      <w:lvlJc w:val="left"/>
      <w:pPr>
        <w:ind w:left="2880" w:hanging="360"/>
      </w:pPr>
      <w:rPr>
        <w:rFonts w:ascii="Symbol" w:hAnsi="Symbol" w:hint="default"/>
      </w:rPr>
    </w:lvl>
    <w:lvl w:ilvl="4" w:tplc="9FF06654">
      <w:start w:val="1"/>
      <w:numFmt w:val="bullet"/>
      <w:lvlText w:val="o"/>
      <w:lvlJc w:val="left"/>
      <w:pPr>
        <w:ind w:left="3600" w:hanging="360"/>
      </w:pPr>
      <w:rPr>
        <w:rFonts w:ascii="Courier New" w:hAnsi="Courier New" w:hint="default"/>
      </w:rPr>
    </w:lvl>
    <w:lvl w:ilvl="5" w:tplc="037635F2">
      <w:start w:val="1"/>
      <w:numFmt w:val="bullet"/>
      <w:lvlText w:val=""/>
      <w:lvlJc w:val="left"/>
      <w:pPr>
        <w:ind w:left="4320" w:hanging="360"/>
      </w:pPr>
      <w:rPr>
        <w:rFonts w:ascii="Wingdings" w:hAnsi="Wingdings" w:hint="default"/>
      </w:rPr>
    </w:lvl>
    <w:lvl w:ilvl="6" w:tplc="0BF616BE">
      <w:start w:val="1"/>
      <w:numFmt w:val="bullet"/>
      <w:lvlText w:val=""/>
      <w:lvlJc w:val="left"/>
      <w:pPr>
        <w:ind w:left="5040" w:hanging="360"/>
      </w:pPr>
      <w:rPr>
        <w:rFonts w:ascii="Symbol" w:hAnsi="Symbol" w:hint="default"/>
      </w:rPr>
    </w:lvl>
    <w:lvl w:ilvl="7" w:tplc="D8C6E128">
      <w:start w:val="1"/>
      <w:numFmt w:val="bullet"/>
      <w:lvlText w:val="o"/>
      <w:lvlJc w:val="left"/>
      <w:pPr>
        <w:ind w:left="5760" w:hanging="360"/>
      </w:pPr>
      <w:rPr>
        <w:rFonts w:ascii="Courier New" w:hAnsi="Courier New" w:hint="default"/>
      </w:rPr>
    </w:lvl>
    <w:lvl w:ilvl="8" w:tplc="564E4D5C">
      <w:start w:val="1"/>
      <w:numFmt w:val="bullet"/>
      <w:lvlText w:val=""/>
      <w:lvlJc w:val="left"/>
      <w:pPr>
        <w:ind w:left="6480" w:hanging="360"/>
      </w:pPr>
      <w:rPr>
        <w:rFonts w:ascii="Wingdings" w:hAnsi="Wingdings" w:hint="default"/>
      </w:rPr>
    </w:lvl>
  </w:abstractNum>
  <w:abstractNum w:abstractNumId="14" w15:restartNumberingAfterBreak="0">
    <w:nsid w:val="1B681634"/>
    <w:multiLevelType w:val="multilevel"/>
    <w:tmpl w:val="176874A4"/>
    <w:lvl w:ilvl="0">
      <w:start w:val="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1D066455"/>
    <w:multiLevelType w:val="hybridMultilevel"/>
    <w:tmpl w:val="6486D560"/>
    <w:lvl w:ilvl="0" w:tplc="4FCA626E">
      <w:start w:val="1"/>
      <w:numFmt w:val="bullet"/>
      <w:lvlText w:val=""/>
      <w:lvlJc w:val="left"/>
      <w:pPr>
        <w:ind w:left="720" w:hanging="360"/>
      </w:pPr>
      <w:rPr>
        <w:rFonts w:ascii="Symbol" w:hAnsi="Symbol" w:hint="default"/>
      </w:rPr>
    </w:lvl>
    <w:lvl w:ilvl="1" w:tplc="97C25E6E">
      <w:start w:val="1"/>
      <w:numFmt w:val="bullet"/>
      <w:lvlText w:val="o"/>
      <w:lvlJc w:val="left"/>
      <w:pPr>
        <w:ind w:left="1440" w:hanging="360"/>
      </w:pPr>
      <w:rPr>
        <w:rFonts w:ascii="Courier New" w:hAnsi="Courier New" w:hint="default"/>
      </w:rPr>
    </w:lvl>
    <w:lvl w:ilvl="2" w:tplc="113EB96C">
      <w:start w:val="1"/>
      <w:numFmt w:val="bullet"/>
      <w:lvlText w:val=""/>
      <w:lvlJc w:val="left"/>
      <w:pPr>
        <w:ind w:left="2160" w:hanging="360"/>
      </w:pPr>
      <w:rPr>
        <w:rFonts w:ascii="Wingdings" w:hAnsi="Wingdings" w:hint="default"/>
      </w:rPr>
    </w:lvl>
    <w:lvl w:ilvl="3" w:tplc="F3861FFA">
      <w:start w:val="1"/>
      <w:numFmt w:val="bullet"/>
      <w:lvlText w:val=""/>
      <w:lvlJc w:val="left"/>
      <w:pPr>
        <w:ind w:left="2880" w:hanging="360"/>
      </w:pPr>
      <w:rPr>
        <w:rFonts w:ascii="Symbol" w:hAnsi="Symbol" w:hint="default"/>
      </w:rPr>
    </w:lvl>
    <w:lvl w:ilvl="4" w:tplc="1C2662BA">
      <w:start w:val="1"/>
      <w:numFmt w:val="bullet"/>
      <w:lvlText w:val="o"/>
      <w:lvlJc w:val="left"/>
      <w:pPr>
        <w:ind w:left="3600" w:hanging="360"/>
      </w:pPr>
      <w:rPr>
        <w:rFonts w:ascii="Courier New" w:hAnsi="Courier New" w:hint="default"/>
      </w:rPr>
    </w:lvl>
    <w:lvl w:ilvl="5" w:tplc="E7B0DA18">
      <w:start w:val="1"/>
      <w:numFmt w:val="bullet"/>
      <w:lvlText w:val=""/>
      <w:lvlJc w:val="left"/>
      <w:pPr>
        <w:ind w:left="4320" w:hanging="360"/>
      </w:pPr>
      <w:rPr>
        <w:rFonts w:ascii="Wingdings" w:hAnsi="Wingdings" w:hint="default"/>
      </w:rPr>
    </w:lvl>
    <w:lvl w:ilvl="6" w:tplc="8500DEE2">
      <w:start w:val="1"/>
      <w:numFmt w:val="bullet"/>
      <w:lvlText w:val=""/>
      <w:lvlJc w:val="left"/>
      <w:pPr>
        <w:ind w:left="5040" w:hanging="360"/>
      </w:pPr>
      <w:rPr>
        <w:rFonts w:ascii="Symbol" w:hAnsi="Symbol" w:hint="default"/>
      </w:rPr>
    </w:lvl>
    <w:lvl w:ilvl="7" w:tplc="2F18F128">
      <w:start w:val="1"/>
      <w:numFmt w:val="bullet"/>
      <w:lvlText w:val="o"/>
      <w:lvlJc w:val="left"/>
      <w:pPr>
        <w:ind w:left="5760" w:hanging="360"/>
      </w:pPr>
      <w:rPr>
        <w:rFonts w:ascii="Courier New" w:hAnsi="Courier New" w:hint="default"/>
      </w:rPr>
    </w:lvl>
    <w:lvl w:ilvl="8" w:tplc="124C5710">
      <w:start w:val="1"/>
      <w:numFmt w:val="bullet"/>
      <w:lvlText w:val=""/>
      <w:lvlJc w:val="left"/>
      <w:pPr>
        <w:ind w:left="6480" w:hanging="360"/>
      </w:pPr>
      <w:rPr>
        <w:rFonts w:ascii="Wingdings" w:hAnsi="Wingdings" w:hint="default"/>
      </w:rPr>
    </w:lvl>
  </w:abstractNum>
  <w:abstractNum w:abstractNumId="16" w15:restartNumberingAfterBreak="0">
    <w:nsid w:val="1E57C548"/>
    <w:multiLevelType w:val="hybridMultilevel"/>
    <w:tmpl w:val="B97E8806"/>
    <w:lvl w:ilvl="0" w:tplc="F5E4C564">
      <w:numFmt w:val="none"/>
      <w:lvlText w:val=""/>
      <w:lvlJc w:val="left"/>
      <w:pPr>
        <w:tabs>
          <w:tab w:val="num" w:pos="360"/>
        </w:tabs>
      </w:pPr>
    </w:lvl>
    <w:lvl w:ilvl="1" w:tplc="2932A6E0">
      <w:start w:val="1"/>
      <w:numFmt w:val="lowerLetter"/>
      <w:lvlText w:val="%2."/>
      <w:lvlJc w:val="left"/>
      <w:pPr>
        <w:ind w:left="1437" w:hanging="360"/>
      </w:pPr>
    </w:lvl>
    <w:lvl w:ilvl="2" w:tplc="87E8508C">
      <w:start w:val="1"/>
      <w:numFmt w:val="lowerRoman"/>
      <w:lvlText w:val="%3."/>
      <w:lvlJc w:val="right"/>
      <w:pPr>
        <w:ind w:left="2157" w:hanging="180"/>
      </w:pPr>
    </w:lvl>
    <w:lvl w:ilvl="3" w:tplc="8F182F76">
      <w:start w:val="1"/>
      <w:numFmt w:val="decimal"/>
      <w:lvlText w:val="%4."/>
      <w:lvlJc w:val="left"/>
      <w:pPr>
        <w:ind w:left="2877" w:hanging="360"/>
      </w:pPr>
    </w:lvl>
    <w:lvl w:ilvl="4" w:tplc="422CEAA0">
      <w:start w:val="1"/>
      <w:numFmt w:val="lowerLetter"/>
      <w:lvlText w:val="%5."/>
      <w:lvlJc w:val="left"/>
      <w:pPr>
        <w:ind w:left="3597" w:hanging="360"/>
      </w:pPr>
    </w:lvl>
    <w:lvl w:ilvl="5" w:tplc="AB9C0C9C">
      <w:start w:val="1"/>
      <w:numFmt w:val="lowerRoman"/>
      <w:lvlText w:val="%6."/>
      <w:lvlJc w:val="right"/>
      <w:pPr>
        <w:ind w:left="4317" w:hanging="180"/>
      </w:pPr>
    </w:lvl>
    <w:lvl w:ilvl="6" w:tplc="358CCBEC">
      <w:start w:val="1"/>
      <w:numFmt w:val="decimal"/>
      <w:lvlText w:val="%7."/>
      <w:lvlJc w:val="left"/>
      <w:pPr>
        <w:ind w:left="5037" w:hanging="360"/>
      </w:pPr>
    </w:lvl>
    <w:lvl w:ilvl="7" w:tplc="D00AA292">
      <w:start w:val="1"/>
      <w:numFmt w:val="lowerLetter"/>
      <w:lvlText w:val="%8."/>
      <w:lvlJc w:val="left"/>
      <w:pPr>
        <w:ind w:left="5757" w:hanging="360"/>
      </w:pPr>
    </w:lvl>
    <w:lvl w:ilvl="8" w:tplc="6BC4B5A8">
      <w:start w:val="1"/>
      <w:numFmt w:val="lowerRoman"/>
      <w:lvlText w:val="%9."/>
      <w:lvlJc w:val="right"/>
      <w:pPr>
        <w:ind w:left="6477" w:hanging="180"/>
      </w:pPr>
    </w:lvl>
  </w:abstractNum>
  <w:abstractNum w:abstractNumId="17" w15:restartNumberingAfterBreak="0">
    <w:nsid w:val="216C580D"/>
    <w:multiLevelType w:val="hybridMultilevel"/>
    <w:tmpl w:val="6256F1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986A20"/>
    <w:multiLevelType w:val="hybridMultilevel"/>
    <w:tmpl w:val="549663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97F1A7D"/>
    <w:multiLevelType w:val="hybridMultilevel"/>
    <w:tmpl w:val="CBDC69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9D33E63"/>
    <w:multiLevelType w:val="hybridMultilevel"/>
    <w:tmpl w:val="43FA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0B1A30"/>
    <w:multiLevelType w:val="multilevel"/>
    <w:tmpl w:val="ECB441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DA87A40"/>
    <w:multiLevelType w:val="hybridMultilevel"/>
    <w:tmpl w:val="8CEA5820"/>
    <w:lvl w:ilvl="0" w:tplc="230E58F4">
      <w:start w:val="1"/>
      <w:numFmt w:val="bullet"/>
      <w:lvlText w:val="·"/>
      <w:lvlJc w:val="left"/>
      <w:pPr>
        <w:ind w:left="720" w:hanging="360"/>
      </w:pPr>
      <w:rPr>
        <w:rFonts w:ascii="Symbol" w:hAnsi="Symbol" w:hint="default"/>
      </w:rPr>
    </w:lvl>
    <w:lvl w:ilvl="1" w:tplc="00C6166E">
      <w:start w:val="1"/>
      <w:numFmt w:val="bullet"/>
      <w:lvlText w:val="o"/>
      <w:lvlJc w:val="left"/>
      <w:pPr>
        <w:ind w:left="1440" w:hanging="360"/>
      </w:pPr>
      <w:rPr>
        <w:rFonts w:ascii="Courier New" w:hAnsi="Courier New" w:hint="default"/>
      </w:rPr>
    </w:lvl>
    <w:lvl w:ilvl="2" w:tplc="E58014F6">
      <w:start w:val="1"/>
      <w:numFmt w:val="bullet"/>
      <w:lvlText w:val=""/>
      <w:lvlJc w:val="left"/>
      <w:pPr>
        <w:ind w:left="2160" w:hanging="360"/>
      </w:pPr>
      <w:rPr>
        <w:rFonts w:ascii="Wingdings" w:hAnsi="Wingdings" w:hint="default"/>
      </w:rPr>
    </w:lvl>
    <w:lvl w:ilvl="3" w:tplc="60C031B6">
      <w:start w:val="1"/>
      <w:numFmt w:val="bullet"/>
      <w:lvlText w:val=""/>
      <w:lvlJc w:val="left"/>
      <w:pPr>
        <w:ind w:left="2880" w:hanging="360"/>
      </w:pPr>
      <w:rPr>
        <w:rFonts w:ascii="Symbol" w:hAnsi="Symbol" w:hint="default"/>
      </w:rPr>
    </w:lvl>
    <w:lvl w:ilvl="4" w:tplc="6BA890BC">
      <w:start w:val="1"/>
      <w:numFmt w:val="bullet"/>
      <w:lvlText w:val="o"/>
      <w:lvlJc w:val="left"/>
      <w:pPr>
        <w:ind w:left="3600" w:hanging="360"/>
      </w:pPr>
      <w:rPr>
        <w:rFonts w:ascii="Courier New" w:hAnsi="Courier New" w:hint="default"/>
      </w:rPr>
    </w:lvl>
    <w:lvl w:ilvl="5" w:tplc="E4D0C4B8">
      <w:start w:val="1"/>
      <w:numFmt w:val="bullet"/>
      <w:lvlText w:val=""/>
      <w:lvlJc w:val="left"/>
      <w:pPr>
        <w:ind w:left="4320" w:hanging="360"/>
      </w:pPr>
      <w:rPr>
        <w:rFonts w:ascii="Wingdings" w:hAnsi="Wingdings" w:hint="default"/>
      </w:rPr>
    </w:lvl>
    <w:lvl w:ilvl="6" w:tplc="60702F4C">
      <w:start w:val="1"/>
      <w:numFmt w:val="bullet"/>
      <w:lvlText w:val=""/>
      <w:lvlJc w:val="left"/>
      <w:pPr>
        <w:ind w:left="5040" w:hanging="360"/>
      </w:pPr>
      <w:rPr>
        <w:rFonts w:ascii="Symbol" w:hAnsi="Symbol" w:hint="default"/>
      </w:rPr>
    </w:lvl>
    <w:lvl w:ilvl="7" w:tplc="E65A9212">
      <w:start w:val="1"/>
      <w:numFmt w:val="bullet"/>
      <w:lvlText w:val="o"/>
      <w:lvlJc w:val="left"/>
      <w:pPr>
        <w:ind w:left="5760" w:hanging="360"/>
      </w:pPr>
      <w:rPr>
        <w:rFonts w:ascii="Courier New" w:hAnsi="Courier New" w:hint="default"/>
      </w:rPr>
    </w:lvl>
    <w:lvl w:ilvl="8" w:tplc="23D2A6C4">
      <w:start w:val="1"/>
      <w:numFmt w:val="bullet"/>
      <w:lvlText w:val=""/>
      <w:lvlJc w:val="left"/>
      <w:pPr>
        <w:ind w:left="6480" w:hanging="360"/>
      </w:pPr>
      <w:rPr>
        <w:rFonts w:ascii="Wingdings" w:hAnsi="Wingdings" w:hint="default"/>
      </w:rPr>
    </w:lvl>
  </w:abstractNum>
  <w:abstractNum w:abstractNumId="23" w15:restartNumberingAfterBreak="0">
    <w:nsid w:val="2F5C2088"/>
    <w:multiLevelType w:val="hybridMultilevel"/>
    <w:tmpl w:val="CAB64B10"/>
    <w:lvl w:ilvl="0" w:tplc="8202FB4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653F77"/>
    <w:multiLevelType w:val="multilevel"/>
    <w:tmpl w:val="8B76AE02"/>
    <w:lvl w:ilvl="0">
      <w:start w:val="1"/>
      <w:numFmt w:val="decimal"/>
      <w:lvlText w:val="%1."/>
      <w:lvlJc w:val="left"/>
      <w:pPr>
        <w:ind w:left="560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0D88E63"/>
    <w:multiLevelType w:val="hybridMultilevel"/>
    <w:tmpl w:val="F4529B22"/>
    <w:lvl w:ilvl="0" w:tplc="F4E6E3C6">
      <w:start w:val="1"/>
      <w:numFmt w:val="bullet"/>
      <w:lvlText w:val="·"/>
      <w:lvlJc w:val="left"/>
      <w:pPr>
        <w:ind w:left="720" w:hanging="360"/>
      </w:pPr>
      <w:rPr>
        <w:rFonts w:ascii="Symbol" w:hAnsi="Symbol" w:hint="default"/>
      </w:rPr>
    </w:lvl>
    <w:lvl w:ilvl="1" w:tplc="B9B6EC86">
      <w:start w:val="1"/>
      <w:numFmt w:val="bullet"/>
      <w:lvlText w:val="o"/>
      <w:lvlJc w:val="left"/>
      <w:pPr>
        <w:ind w:left="1440" w:hanging="360"/>
      </w:pPr>
      <w:rPr>
        <w:rFonts w:ascii="Courier New" w:hAnsi="Courier New" w:hint="default"/>
      </w:rPr>
    </w:lvl>
    <w:lvl w:ilvl="2" w:tplc="80860B82">
      <w:start w:val="1"/>
      <w:numFmt w:val="bullet"/>
      <w:lvlText w:val=""/>
      <w:lvlJc w:val="left"/>
      <w:pPr>
        <w:ind w:left="2160" w:hanging="360"/>
      </w:pPr>
      <w:rPr>
        <w:rFonts w:ascii="Wingdings" w:hAnsi="Wingdings" w:hint="default"/>
      </w:rPr>
    </w:lvl>
    <w:lvl w:ilvl="3" w:tplc="DE26EACA">
      <w:start w:val="1"/>
      <w:numFmt w:val="bullet"/>
      <w:lvlText w:val=""/>
      <w:lvlJc w:val="left"/>
      <w:pPr>
        <w:ind w:left="2880" w:hanging="360"/>
      </w:pPr>
      <w:rPr>
        <w:rFonts w:ascii="Symbol" w:hAnsi="Symbol" w:hint="default"/>
      </w:rPr>
    </w:lvl>
    <w:lvl w:ilvl="4" w:tplc="FECED558">
      <w:start w:val="1"/>
      <w:numFmt w:val="bullet"/>
      <w:lvlText w:val="o"/>
      <w:lvlJc w:val="left"/>
      <w:pPr>
        <w:ind w:left="3600" w:hanging="360"/>
      </w:pPr>
      <w:rPr>
        <w:rFonts w:ascii="Courier New" w:hAnsi="Courier New" w:hint="default"/>
      </w:rPr>
    </w:lvl>
    <w:lvl w:ilvl="5" w:tplc="23D2A90E">
      <w:start w:val="1"/>
      <w:numFmt w:val="bullet"/>
      <w:lvlText w:val=""/>
      <w:lvlJc w:val="left"/>
      <w:pPr>
        <w:ind w:left="4320" w:hanging="360"/>
      </w:pPr>
      <w:rPr>
        <w:rFonts w:ascii="Wingdings" w:hAnsi="Wingdings" w:hint="default"/>
      </w:rPr>
    </w:lvl>
    <w:lvl w:ilvl="6" w:tplc="F36AE38E">
      <w:start w:val="1"/>
      <w:numFmt w:val="bullet"/>
      <w:lvlText w:val=""/>
      <w:lvlJc w:val="left"/>
      <w:pPr>
        <w:ind w:left="5040" w:hanging="360"/>
      </w:pPr>
      <w:rPr>
        <w:rFonts w:ascii="Symbol" w:hAnsi="Symbol" w:hint="default"/>
      </w:rPr>
    </w:lvl>
    <w:lvl w:ilvl="7" w:tplc="74623270">
      <w:start w:val="1"/>
      <w:numFmt w:val="bullet"/>
      <w:lvlText w:val="o"/>
      <w:lvlJc w:val="left"/>
      <w:pPr>
        <w:ind w:left="5760" w:hanging="360"/>
      </w:pPr>
      <w:rPr>
        <w:rFonts w:ascii="Courier New" w:hAnsi="Courier New" w:hint="default"/>
      </w:rPr>
    </w:lvl>
    <w:lvl w:ilvl="8" w:tplc="400EEF10">
      <w:start w:val="1"/>
      <w:numFmt w:val="bullet"/>
      <w:lvlText w:val=""/>
      <w:lvlJc w:val="left"/>
      <w:pPr>
        <w:ind w:left="6480" w:hanging="360"/>
      </w:pPr>
      <w:rPr>
        <w:rFonts w:ascii="Wingdings" w:hAnsi="Wingdings" w:hint="default"/>
      </w:rPr>
    </w:lvl>
  </w:abstractNum>
  <w:abstractNum w:abstractNumId="26" w15:restartNumberingAfterBreak="0">
    <w:nsid w:val="32676382"/>
    <w:multiLevelType w:val="hybridMultilevel"/>
    <w:tmpl w:val="7478B7DA"/>
    <w:lvl w:ilvl="0" w:tplc="18090001">
      <w:start w:val="1"/>
      <w:numFmt w:val="bullet"/>
      <w:lvlText w:val=""/>
      <w:lvlJc w:val="left"/>
      <w:pPr>
        <w:ind w:left="783" w:hanging="360"/>
      </w:pPr>
      <w:rPr>
        <w:rFonts w:ascii="Symbol" w:hAnsi="Symbol" w:hint="default"/>
      </w:rPr>
    </w:lvl>
    <w:lvl w:ilvl="1" w:tplc="18090003" w:tentative="1">
      <w:start w:val="1"/>
      <w:numFmt w:val="bullet"/>
      <w:lvlText w:val="o"/>
      <w:lvlJc w:val="left"/>
      <w:pPr>
        <w:ind w:left="1503" w:hanging="360"/>
      </w:pPr>
      <w:rPr>
        <w:rFonts w:ascii="Courier New" w:hAnsi="Courier New" w:cs="Courier New" w:hint="default"/>
      </w:rPr>
    </w:lvl>
    <w:lvl w:ilvl="2" w:tplc="18090005" w:tentative="1">
      <w:start w:val="1"/>
      <w:numFmt w:val="bullet"/>
      <w:lvlText w:val=""/>
      <w:lvlJc w:val="left"/>
      <w:pPr>
        <w:ind w:left="2223" w:hanging="360"/>
      </w:pPr>
      <w:rPr>
        <w:rFonts w:ascii="Wingdings" w:hAnsi="Wingdings" w:hint="default"/>
      </w:rPr>
    </w:lvl>
    <w:lvl w:ilvl="3" w:tplc="18090001" w:tentative="1">
      <w:start w:val="1"/>
      <w:numFmt w:val="bullet"/>
      <w:lvlText w:val=""/>
      <w:lvlJc w:val="left"/>
      <w:pPr>
        <w:ind w:left="2943" w:hanging="360"/>
      </w:pPr>
      <w:rPr>
        <w:rFonts w:ascii="Symbol" w:hAnsi="Symbol" w:hint="default"/>
      </w:rPr>
    </w:lvl>
    <w:lvl w:ilvl="4" w:tplc="18090003" w:tentative="1">
      <w:start w:val="1"/>
      <w:numFmt w:val="bullet"/>
      <w:lvlText w:val="o"/>
      <w:lvlJc w:val="left"/>
      <w:pPr>
        <w:ind w:left="3663" w:hanging="360"/>
      </w:pPr>
      <w:rPr>
        <w:rFonts w:ascii="Courier New" w:hAnsi="Courier New" w:cs="Courier New" w:hint="default"/>
      </w:rPr>
    </w:lvl>
    <w:lvl w:ilvl="5" w:tplc="18090005" w:tentative="1">
      <w:start w:val="1"/>
      <w:numFmt w:val="bullet"/>
      <w:lvlText w:val=""/>
      <w:lvlJc w:val="left"/>
      <w:pPr>
        <w:ind w:left="4383" w:hanging="360"/>
      </w:pPr>
      <w:rPr>
        <w:rFonts w:ascii="Wingdings" w:hAnsi="Wingdings" w:hint="default"/>
      </w:rPr>
    </w:lvl>
    <w:lvl w:ilvl="6" w:tplc="18090001" w:tentative="1">
      <w:start w:val="1"/>
      <w:numFmt w:val="bullet"/>
      <w:lvlText w:val=""/>
      <w:lvlJc w:val="left"/>
      <w:pPr>
        <w:ind w:left="5103" w:hanging="360"/>
      </w:pPr>
      <w:rPr>
        <w:rFonts w:ascii="Symbol" w:hAnsi="Symbol" w:hint="default"/>
      </w:rPr>
    </w:lvl>
    <w:lvl w:ilvl="7" w:tplc="18090003" w:tentative="1">
      <w:start w:val="1"/>
      <w:numFmt w:val="bullet"/>
      <w:lvlText w:val="o"/>
      <w:lvlJc w:val="left"/>
      <w:pPr>
        <w:ind w:left="5823" w:hanging="360"/>
      </w:pPr>
      <w:rPr>
        <w:rFonts w:ascii="Courier New" w:hAnsi="Courier New" w:cs="Courier New" w:hint="default"/>
      </w:rPr>
    </w:lvl>
    <w:lvl w:ilvl="8" w:tplc="18090005" w:tentative="1">
      <w:start w:val="1"/>
      <w:numFmt w:val="bullet"/>
      <w:lvlText w:val=""/>
      <w:lvlJc w:val="left"/>
      <w:pPr>
        <w:ind w:left="6543" w:hanging="360"/>
      </w:pPr>
      <w:rPr>
        <w:rFonts w:ascii="Wingdings" w:hAnsi="Wingdings" w:hint="default"/>
      </w:rPr>
    </w:lvl>
  </w:abstractNum>
  <w:abstractNum w:abstractNumId="27" w15:restartNumberingAfterBreak="0">
    <w:nsid w:val="32AC2495"/>
    <w:multiLevelType w:val="multilevel"/>
    <w:tmpl w:val="482AD95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2C2CFA7"/>
    <w:multiLevelType w:val="hybridMultilevel"/>
    <w:tmpl w:val="B6D2478A"/>
    <w:lvl w:ilvl="0" w:tplc="089EFA84">
      <w:numFmt w:val="none"/>
      <w:lvlText w:val=""/>
      <w:lvlJc w:val="left"/>
      <w:pPr>
        <w:tabs>
          <w:tab w:val="num" w:pos="360"/>
        </w:tabs>
      </w:pPr>
    </w:lvl>
    <w:lvl w:ilvl="1" w:tplc="3EBC1EBA">
      <w:start w:val="1"/>
      <w:numFmt w:val="lowerLetter"/>
      <w:lvlText w:val="%2."/>
      <w:lvlJc w:val="left"/>
      <w:pPr>
        <w:ind w:left="1440" w:hanging="360"/>
      </w:pPr>
    </w:lvl>
    <w:lvl w:ilvl="2" w:tplc="45BA56A8">
      <w:start w:val="1"/>
      <w:numFmt w:val="lowerRoman"/>
      <w:lvlText w:val="%3."/>
      <w:lvlJc w:val="right"/>
      <w:pPr>
        <w:ind w:left="2160" w:hanging="180"/>
      </w:pPr>
    </w:lvl>
    <w:lvl w:ilvl="3" w:tplc="D6BC877C">
      <w:start w:val="1"/>
      <w:numFmt w:val="decimal"/>
      <w:lvlText w:val="%4."/>
      <w:lvlJc w:val="left"/>
      <w:pPr>
        <w:ind w:left="2880" w:hanging="360"/>
      </w:pPr>
    </w:lvl>
    <w:lvl w:ilvl="4" w:tplc="1882851C">
      <w:start w:val="1"/>
      <w:numFmt w:val="lowerLetter"/>
      <w:lvlText w:val="%5."/>
      <w:lvlJc w:val="left"/>
      <w:pPr>
        <w:ind w:left="3600" w:hanging="360"/>
      </w:pPr>
    </w:lvl>
    <w:lvl w:ilvl="5" w:tplc="E9E0F31E">
      <w:start w:val="1"/>
      <w:numFmt w:val="lowerRoman"/>
      <w:lvlText w:val="%6."/>
      <w:lvlJc w:val="right"/>
      <w:pPr>
        <w:ind w:left="4320" w:hanging="180"/>
      </w:pPr>
    </w:lvl>
    <w:lvl w:ilvl="6" w:tplc="558AE584">
      <w:start w:val="1"/>
      <w:numFmt w:val="decimal"/>
      <w:lvlText w:val="%7."/>
      <w:lvlJc w:val="left"/>
      <w:pPr>
        <w:ind w:left="5040" w:hanging="360"/>
      </w:pPr>
    </w:lvl>
    <w:lvl w:ilvl="7" w:tplc="B5A85F60">
      <w:start w:val="1"/>
      <w:numFmt w:val="lowerLetter"/>
      <w:lvlText w:val="%8."/>
      <w:lvlJc w:val="left"/>
      <w:pPr>
        <w:ind w:left="5760" w:hanging="360"/>
      </w:pPr>
    </w:lvl>
    <w:lvl w:ilvl="8" w:tplc="542A356A">
      <w:start w:val="1"/>
      <w:numFmt w:val="lowerRoman"/>
      <w:lvlText w:val="%9."/>
      <w:lvlJc w:val="right"/>
      <w:pPr>
        <w:ind w:left="6480" w:hanging="180"/>
      </w:pPr>
    </w:lvl>
  </w:abstractNum>
  <w:abstractNum w:abstractNumId="29" w15:restartNumberingAfterBreak="0">
    <w:nsid w:val="38F979D2"/>
    <w:multiLevelType w:val="hybridMultilevel"/>
    <w:tmpl w:val="F516FFF8"/>
    <w:lvl w:ilvl="0" w:tplc="ABFA1B34">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0" w15:restartNumberingAfterBreak="0">
    <w:nsid w:val="393F6AE9"/>
    <w:multiLevelType w:val="hybridMultilevel"/>
    <w:tmpl w:val="8D4C26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A575005"/>
    <w:multiLevelType w:val="hybridMultilevel"/>
    <w:tmpl w:val="2D42A382"/>
    <w:lvl w:ilvl="0" w:tplc="4438861E">
      <w:start w:val="1"/>
      <w:numFmt w:val="decimal"/>
      <w:lvlText w:val="%1)"/>
      <w:lvlJc w:val="left"/>
      <w:pPr>
        <w:ind w:left="1020" w:hanging="360"/>
      </w:pPr>
    </w:lvl>
    <w:lvl w:ilvl="1" w:tplc="AC26A8EC">
      <w:start w:val="1"/>
      <w:numFmt w:val="decimal"/>
      <w:lvlText w:val="%2)"/>
      <w:lvlJc w:val="left"/>
      <w:pPr>
        <w:ind w:left="1020" w:hanging="360"/>
      </w:pPr>
    </w:lvl>
    <w:lvl w:ilvl="2" w:tplc="ED9E6C28">
      <w:start w:val="1"/>
      <w:numFmt w:val="decimal"/>
      <w:lvlText w:val="%3)"/>
      <w:lvlJc w:val="left"/>
      <w:pPr>
        <w:ind w:left="1020" w:hanging="360"/>
      </w:pPr>
    </w:lvl>
    <w:lvl w:ilvl="3" w:tplc="A11EA2EC">
      <w:start w:val="1"/>
      <w:numFmt w:val="decimal"/>
      <w:lvlText w:val="%4)"/>
      <w:lvlJc w:val="left"/>
      <w:pPr>
        <w:ind w:left="1020" w:hanging="360"/>
      </w:pPr>
    </w:lvl>
    <w:lvl w:ilvl="4" w:tplc="E468EF38">
      <w:start w:val="1"/>
      <w:numFmt w:val="decimal"/>
      <w:lvlText w:val="%5)"/>
      <w:lvlJc w:val="left"/>
      <w:pPr>
        <w:ind w:left="1020" w:hanging="360"/>
      </w:pPr>
    </w:lvl>
    <w:lvl w:ilvl="5" w:tplc="C5725190">
      <w:start w:val="1"/>
      <w:numFmt w:val="decimal"/>
      <w:lvlText w:val="%6)"/>
      <w:lvlJc w:val="left"/>
      <w:pPr>
        <w:ind w:left="1020" w:hanging="360"/>
      </w:pPr>
    </w:lvl>
    <w:lvl w:ilvl="6" w:tplc="7A104DF0">
      <w:start w:val="1"/>
      <w:numFmt w:val="decimal"/>
      <w:lvlText w:val="%7)"/>
      <w:lvlJc w:val="left"/>
      <w:pPr>
        <w:ind w:left="1020" w:hanging="360"/>
      </w:pPr>
    </w:lvl>
    <w:lvl w:ilvl="7" w:tplc="55368304">
      <w:start w:val="1"/>
      <w:numFmt w:val="decimal"/>
      <w:lvlText w:val="%8)"/>
      <w:lvlJc w:val="left"/>
      <w:pPr>
        <w:ind w:left="1020" w:hanging="360"/>
      </w:pPr>
    </w:lvl>
    <w:lvl w:ilvl="8" w:tplc="A1222F9C">
      <w:start w:val="1"/>
      <w:numFmt w:val="decimal"/>
      <w:lvlText w:val="%9)"/>
      <w:lvlJc w:val="left"/>
      <w:pPr>
        <w:ind w:left="1020" w:hanging="360"/>
      </w:pPr>
    </w:lvl>
  </w:abstractNum>
  <w:abstractNum w:abstractNumId="32" w15:restartNumberingAfterBreak="0">
    <w:nsid w:val="3B903B3C"/>
    <w:multiLevelType w:val="multilevel"/>
    <w:tmpl w:val="8B76AE02"/>
    <w:lvl w:ilvl="0">
      <w:start w:val="1"/>
      <w:numFmt w:val="decimal"/>
      <w:lvlText w:val="%1."/>
      <w:lvlJc w:val="left"/>
      <w:pPr>
        <w:ind w:left="560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BEE844A"/>
    <w:multiLevelType w:val="hybridMultilevel"/>
    <w:tmpl w:val="F530C7F2"/>
    <w:lvl w:ilvl="0" w:tplc="2812BFA8">
      <w:start w:val="1"/>
      <w:numFmt w:val="bullet"/>
      <w:lvlText w:val="-"/>
      <w:lvlJc w:val="left"/>
      <w:pPr>
        <w:ind w:left="720" w:hanging="360"/>
      </w:pPr>
      <w:rPr>
        <w:rFonts w:ascii="Calibri" w:hAnsi="Calibri" w:hint="default"/>
      </w:rPr>
    </w:lvl>
    <w:lvl w:ilvl="1" w:tplc="0E4CF494">
      <w:start w:val="1"/>
      <w:numFmt w:val="bullet"/>
      <w:lvlText w:val="o"/>
      <w:lvlJc w:val="left"/>
      <w:pPr>
        <w:ind w:left="1440" w:hanging="360"/>
      </w:pPr>
      <w:rPr>
        <w:rFonts w:ascii="Courier New" w:hAnsi="Courier New" w:hint="default"/>
      </w:rPr>
    </w:lvl>
    <w:lvl w:ilvl="2" w:tplc="918E89F2">
      <w:start w:val="1"/>
      <w:numFmt w:val="bullet"/>
      <w:lvlText w:val=""/>
      <w:lvlJc w:val="left"/>
      <w:pPr>
        <w:ind w:left="2160" w:hanging="360"/>
      </w:pPr>
      <w:rPr>
        <w:rFonts w:ascii="Wingdings" w:hAnsi="Wingdings" w:hint="default"/>
      </w:rPr>
    </w:lvl>
    <w:lvl w:ilvl="3" w:tplc="8DF0A1DC">
      <w:start w:val="1"/>
      <w:numFmt w:val="bullet"/>
      <w:lvlText w:val=""/>
      <w:lvlJc w:val="left"/>
      <w:pPr>
        <w:ind w:left="2880" w:hanging="360"/>
      </w:pPr>
      <w:rPr>
        <w:rFonts w:ascii="Symbol" w:hAnsi="Symbol" w:hint="default"/>
      </w:rPr>
    </w:lvl>
    <w:lvl w:ilvl="4" w:tplc="EF88BF76">
      <w:start w:val="1"/>
      <w:numFmt w:val="bullet"/>
      <w:lvlText w:val="o"/>
      <w:lvlJc w:val="left"/>
      <w:pPr>
        <w:ind w:left="3600" w:hanging="360"/>
      </w:pPr>
      <w:rPr>
        <w:rFonts w:ascii="Courier New" w:hAnsi="Courier New" w:hint="default"/>
      </w:rPr>
    </w:lvl>
    <w:lvl w:ilvl="5" w:tplc="872AE9D4">
      <w:start w:val="1"/>
      <w:numFmt w:val="bullet"/>
      <w:lvlText w:val=""/>
      <w:lvlJc w:val="left"/>
      <w:pPr>
        <w:ind w:left="4320" w:hanging="360"/>
      </w:pPr>
      <w:rPr>
        <w:rFonts w:ascii="Wingdings" w:hAnsi="Wingdings" w:hint="default"/>
      </w:rPr>
    </w:lvl>
    <w:lvl w:ilvl="6" w:tplc="E7C40BC8">
      <w:start w:val="1"/>
      <w:numFmt w:val="bullet"/>
      <w:lvlText w:val=""/>
      <w:lvlJc w:val="left"/>
      <w:pPr>
        <w:ind w:left="5040" w:hanging="360"/>
      </w:pPr>
      <w:rPr>
        <w:rFonts w:ascii="Symbol" w:hAnsi="Symbol" w:hint="default"/>
      </w:rPr>
    </w:lvl>
    <w:lvl w:ilvl="7" w:tplc="372852B6">
      <w:start w:val="1"/>
      <w:numFmt w:val="bullet"/>
      <w:lvlText w:val="o"/>
      <w:lvlJc w:val="left"/>
      <w:pPr>
        <w:ind w:left="5760" w:hanging="360"/>
      </w:pPr>
      <w:rPr>
        <w:rFonts w:ascii="Courier New" w:hAnsi="Courier New" w:hint="default"/>
      </w:rPr>
    </w:lvl>
    <w:lvl w:ilvl="8" w:tplc="A260CEB4">
      <w:start w:val="1"/>
      <w:numFmt w:val="bullet"/>
      <w:lvlText w:val=""/>
      <w:lvlJc w:val="left"/>
      <w:pPr>
        <w:ind w:left="6480" w:hanging="360"/>
      </w:pPr>
      <w:rPr>
        <w:rFonts w:ascii="Wingdings" w:hAnsi="Wingdings" w:hint="default"/>
      </w:rPr>
    </w:lvl>
  </w:abstractNum>
  <w:abstractNum w:abstractNumId="34" w15:restartNumberingAfterBreak="0">
    <w:nsid w:val="3BF3B791"/>
    <w:multiLevelType w:val="hybridMultilevel"/>
    <w:tmpl w:val="A22296AE"/>
    <w:lvl w:ilvl="0" w:tplc="3D42877A">
      <w:numFmt w:val="none"/>
      <w:lvlText w:val=""/>
      <w:lvlJc w:val="left"/>
      <w:pPr>
        <w:tabs>
          <w:tab w:val="num" w:pos="360"/>
        </w:tabs>
      </w:pPr>
    </w:lvl>
    <w:lvl w:ilvl="1" w:tplc="F0D2271A">
      <w:start w:val="1"/>
      <w:numFmt w:val="lowerLetter"/>
      <w:lvlText w:val="%2."/>
      <w:lvlJc w:val="left"/>
      <w:pPr>
        <w:ind w:left="1437" w:hanging="360"/>
      </w:pPr>
    </w:lvl>
    <w:lvl w:ilvl="2" w:tplc="843C6BF2">
      <w:start w:val="1"/>
      <w:numFmt w:val="lowerRoman"/>
      <w:lvlText w:val="%3."/>
      <w:lvlJc w:val="right"/>
      <w:pPr>
        <w:ind w:left="2157" w:hanging="180"/>
      </w:pPr>
    </w:lvl>
    <w:lvl w:ilvl="3" w:tplc="88D002B2">
      <w:start w:val="1"/>
      <w:numFmt w:val="decimal"/>
      <w:lvlText w:val="%4."/>
      <w:lvlJc w:val="left"/>
      <w:pPr>
        <w:ind w:left="2877" w:hanging="360"/>
      </w:pPr>
    </w:lvl>
    <w:lvl w:ilvl="4" w:tplc="BE8EF3D4">
      <w:start w:val="1"/>
      <w:numFmt w:val="lowerLetter"/>
      <w:lvlText w:val="%5."/>
      <w:lvlJc w:val="left"/>
      <w:pPr>
        <w:ind w:left="3597" w:hanging="360"/>
      </w:pPr>
    </w:lvl>
    <w:lvl w:ilvl="5" w:tplc="C17E8016">
      <w:start w:val="1"/>
      <w:numFmt w:val="lowerRoman"/>
      <w:lvlText w:val="%6."/>
      <w:lvlJc w:val="right"/>
      <w:pPr>
        <w:ind w:left="4317" w:hanging="180"/>
      </w:pPr>
    </w:lvl>
    <w:lvl w:ilvl="6" w:tplc="6EF07092">
      <w:start w:val="1"/>
      <w:numFmt w:val="decimal"/>
      <w:lvlText w:val="%7."/>
      <w:lvlJc w:val="left"/>
      <w:pPr>
        <w:ind w:left="5037" w:hanging="360"/>
      </w:pPr>
    </w:lvl>
    <w:lvl w:ilvl="7" w:tplc="0EB0BBF8">
      <w:start w:val="1"/>
      <w:numFmt w:val="lowerLetter"/>
      <w:lvlText w:val="%8."/>
      <w:lvlJc w:val="left"/>
      <w:pPr>
        <w:ind w:left="5757" w:hanging="360"/>
      </w:pPr>
    </w:lvl>
    <w:lvl w:ilvl="8" w:tplc="992CBADC">
      <w:start w:val="1"/>
      <w:numFmt w:val="lowerRoman"/>
      <w:lvlText w:val="%9."/>
      <w:lvlJc w:val="right"/>
      <w:pPr>
        <w:ind w:left="6477" w:hanging="180"/>
      </w:pPr>
    </w:lvl>
  </w:abstractNum>
  <w:abstractNum w:abstractNumId="35" w15:restartNumberingAfterBreak="0">
    <w:nsid w:val="3E14567B"/>
    <w:multiLevelType w:val="hybridMultilevel"/>
    <w:tmpl w:val="050292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3E18EA44"/>
    <w:multiLevelType w:val="hybridMultilevel"/>
    <w:tmpl w:val="921E2B90"/>
    <w:lvl w:ilvl="0" w:tplc="AEAA6272">
      <w:numFmt w:val="none"/>
      <w:lvlText w:val=""/>
      <w:lvlJc w:val="left"/>
      <w:pPr>
        <w:tabs>
          <w:tab w:val="num" w:pos="360"/>
        </w:tabs>
      </w:pPr>
    </w:lvl>
    <w:lvl w:ilvl="1" w:tplc="428C6A14">
      <w:start w:val="1"/>
      <w:numFmt w:val="lowerLetter"/>
      <w:lvlText w:val="%2."/>
      <w:lvlJc w:val="left"/>
      <w:pPr>
        <w:ind w:left="1440" w:hanging="360"/>
      </w:pPr>
    </w:lvl>
    <w:lvl w:ilvl="2" w:tplc="D74287DE">
      <w:start w:val="1"/>
      <w:numFmt w:val="lowerRoman"/>
      <w:lvlText w:val="%3."/>
      <w:lvlJc w:val="right"/>
      <w:pPr>
        <w:ind w:left="2160" w:hanging="180"/>
      </w:pPr>
    </w:lvl>
    <w:lvl w:ilvl="3" w:tplc="EE4680F0">
      <w:start w:val="1"/>
      <w:numFmt w:val="decimal"/>
      <w:lvlText w:val="%4."/>
      <w:lvlJc w:val="left"/>
      <w:pPr>
        <w:ind w:left="2880" w:hanging="360"/>
      </w:pPr>
    </w:lvl>
    <w:lvl w:ilvl="4" w:tplc="116CA952">
      <w:start w:val="1"/>
      <w:numFmt w:val="lowerLetter"/>
      <w:lvlText w:val="%5."/>
      <w:lvlJc w:val="left"/>
      <w:pPr>
        <w:ind w:left="3600" w:hanging="360"/>
      </w:pPr>
    </w:lvl>
    <w:lvl w:ilvl="5" w:tplc="5904843C">
      <w:start w:val="1"/>
      <w:numFmt w:val="lowerRoman"/>
      <w:lvlText w:val="%6."/>
      <w:lvlJc w:val="right"/>
      <w:pPr>
        <w:ind w:left="4320" w:hanging="180"/>
      </w:pPr>
    </w:lvl>
    <w:lvl w:ilvl="6" w:tplc="9C32DB8A">
      <w:start w:val="1"/>
      <w:numFmt w:val="decimal"/>
      <w:lvlText w:val="%7."/>
      <w:lvlJc w:val="left"/>
      <w:pPr>
        <w:ind w:left="5040" w:hanging="360"/>
      </w:pPr>
    </w:lvl>
    <w:lvl w:ilvl="7" w:tplc="F39A2082">
      <w:start w:val="1"/>
      <w:numFmt w:val="lowerLetter"/>
      <w:lvlText w:val="%8."/>
      <w:lvlJc w:val="left"/>
      <w:pPr>
        <w:ind w:left="5760" w:hanging="360"/>
      </w:pPr>
    </w:lvl>
    <w:lvl w:ilvl="8" w:tplc="68DE8660">
      <w:start w:val="1"/>
      <w:numFmt w:val="lowerRoman"/>
      <w:lvlText w:val="%9."/>
      <w:lvlJc w:val="right"/>
      <w:pPr>
        <w:ind w:left="6480" w:hanging="180"/>
      </w:pPr>
    </w:lvl>
  </w:abstractNum>
  <w:abstractNum w:abstractNumId="37" w15:restartNumberingAfterBreak="0">
    <w:nsid w:val="41C974EE"/>
    <w:multiLevelType w:val="hybridMultilevel"/>
    <w:tmpl w:val="68BC7AF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1D53C69"/>
    <w:multiLevelType w:val="multilevel"/>
    <w:tmpl w:val="482AD95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44E0A120"/>
    <w:multiLevelType w:val="hybridMultilevel"/>
    <w:tmpl w:val="70747BEC"/>
    <w:lvl w:ilvl="0" w:tplc="9CCCDB62">
      <w:start w:val="1"/>
      <w:numFmt w:val="bullet"/>
      <w:lvlText w:val=""/>
      <w:lvlJc w:val="left"/>
      <w:pPr>
        <w:ind w:left="720" w:hanging="360"/>
      </w:pPr>
      <w:rPr>
        <w:rFonts w:ascii="Symbol" w:hAnsi="Symbol" w:hint="default"/>
      </w:rPr>
    </w:lvl>
    <w:lvl w:ilvl="1" w:tplc="DACA3946">
      <w:start w:val="1"/>
      <w:numFmt w:val="bullet"/>
      <w:lvlText w:val="o"/>
      <w:lvlJc w:val="left"/>
      <w:pPr>
        <w:ind w:left="1440" w:hanging="360"/>
      </w:pPr>
      <w:rPr>
        <w:rFonts w:ascii="Courier New" w:hAnsi="Courier New" w:hint="default"/>
      </w:rPr>
    </w:lvl>
    <w:lvl w:ilvl="2" w:tplc="8FE2536E">
      <w:start w:val="1"/>
      <w:numFmt w:val="bullet"/>
      <w:lvlText w:val=""/>
      <w:lvlJc w:val="left"/>
      <w:pPr>
        <w:ind w:left="2160" w:hanging="360"/>
      </w:pPr>
      <w:rPr>
        <w:rFonts w:ascii="Wingdings" w:hAnsi="Wingdings" w:hint="default"/>
      </w:rPr>
    </w:lvl>
    <w:lvl w:ilvl="3" w:tplc="2A5A37C2">
      <w:start w:val="1"/>
      <w:numFmt w:val="bullet"/>
      <w:lvlText w:val=""/>
      <w:lvlJc w:val="left"/>
      <w:pPr>
        <w:ind w:left="2880" w:hanging="360"/>
      </w:pPr>
      <w:rPr>
        <w:rFonts w:ascii="Symbol" w:hAnsi="Symbol" w:hint="default"/>
      </w:rPr>
    </w:lvl>
    <w:lvl w:ilvl="4" w:tplc="86B8C17A">
      <w:start w:val="1"/>
      <w:numFmt w:val="bullet"/>
      <w:lvlText w:val="o"/>
      <w:lvlJc w:val="left"/>
      <w:pPr>
        <w:ind w:left="3600" w:hanging="360"/>
      </w:pPr>
      <w:rPr>
        <w:rFonts w:ascii="Courier New" w:hAnsi="Courier New" w:hint="default"/>
      </w:rPr>
    </w:lvl>
    <w:lvl w:ilvl="5" w:tplc="F9F6046C">
      <w:start w:val="1"/>
      <w:numFmt w:val="bullet"/>
      <w:lvlText w:val=""/>
      <w:lvlJc w:val="left"/>
      <w:pPr>
        <w:ind w:left="4320" w:hanging="360"/>
      </w:pPr>
      <w:rPr>
        <w:rFonts w:ascii="Wingdings" w:hAnsi="Wingdings" w:hint="default"/>
      </w:rPr>
    </w:lvl>
    <w:lvl w:ilvl="6" w:tplc="171A9994">
      <w:start w:val="1"/>
      <w:numFmt w:val="bullet"/>
      <w:lvlText w:val=""/>
      <w:lvlJc w:val="left"/>
      <w:pPr>
        <w:ind w:left="5040" w:hanging="360"/>
      </w:pPr>
      <w:rPr>
        <w:rFonts w:ascii="Symbol" w:hAnsi="Symbol" w:hint="default"/>
      </w:rPr>
    </w:lvl>
    <w:lvl w:ilvl="7" w:tplc="4DB22CCE">
      <w:start w:val="1"/>
      <w:numFmt w:val="bullet"/>
      <w:lvlText w:val="o"/>
      <w:lvlJc w:val="left"/>
      <w:pPr>
        <w:ind w:left="5760" w:hanging="360"/>
      </w:pPr>
      <w:rPr>
        <w:rFonts w:ascii="Courier New" w:hAnsi="Courier New" w:hint="default"/>
      </w:rPr>
    </w:lvl>
    <w:lvl w:ilvl="8" w:tplc="59ACAFBA">
      <w:start w:val="1"/>
      <w:numFmt w:val="bullet"/>
      <w:lvlText w:val=""/>
      <w:lvlJc w:val="left"/>
      <w:pPr>
        <w:ind w:left="6480" w:hanging="360"/>
      </w:pPr>
      <w:rPr>
        <w:rFonts w:ascii="Wingdings" w:hAnsi="Wingdings" w:hint="default"/>
      </w:rPr>
    </w:lvl>
  </w:abstractNum>
  <w:abstractNum w:abstractNumId="40" w15:restartNumberingAfterBreak="0">
    <w:nsid w:val="468A517D"/>
    <w:multiLevelType w:val="hybridMultilevel"/>
    <w:tmpl w:val="D21E6D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48A237AA"/>
    <w:multiLevelType w:val="multilevel"/>
    <w:tmpl w:val="482AD95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49F344F8"/>
    <w:multiLevelType w:val="hybridMultilevel"/>
    <w:tmpl w:val="38F6A57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A670E74"/>
    <w:multiLevelType w:val="multilevel"/>
    <w:tmpl w:val="ECB441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039736A"/>
    <w:multiLevelType w:val="hybridMultilevel"/>
    <w:tmpl w:val="0D3E7F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53AD6343"/>
    <w:multiLevelType w:val="hybridMultilevel"/>
    <w:tmpl w:val="836660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55ED3A74"/>
    <w:multiLevelType w:val="hybridMultilevel"/>
    <w:tmpl w:val="1A6AB2F6"/>
    <w:lvl w:ilvl="0" w:tplc="1988FB36">
      <w:start w:val="1"/>
      <w:numFmt w:val="bullet"/>
      <w:lvlText w:val=""/>
      <w:lvlJc w:val="left"/>
      <w:pPr>
        <w:ind w:left="720" w:hanging="360"/>
      </w:pPr>
      <w:rPr>
        <w:rFonts w:ascii="Symbol" w:hAnsi="Symbol" w:hint="default"/>
      </w:rPr>
    </w:lvl>
    <w:lvl w:ilvl="1" w:tplc="F6941D84">
      <w:start w:val="1"/>
      <w:numFmt w:val="bullet"/>
      <w:lvlText w:val="o"/>
      <w:lvlJc w:val="left"/>
      <w:pPr>
        <w:ind w:left="1440" w:hanging="360"/>
      </w:pPr>
      <w:rPr>
        <w:rFonts w:ascii="Courier New" w:hAnsi="Courier New" w:hint="default"/>
      </w:rPr>
    </w:lvl>
    <w:lvl w:ilvl="2" w:tplc="DB921DE0">
      <w:start w:val="1"/>
      <w:numFmt w:val="bullet"/>
      <w:lvlText w:val=""/>
      <w:lvlJc w:val="left"/>
      <w:pPr>
        <w:ind w:left="2160" w:hanging="360"/>
      </w:pPr>
      <w:rPr>
        <w:rFonts w:ascii="Wingdings" w:hAnsi="Wingdings" w:hint="default"/>
      </w:rPr>
    </w:lvl>
    <w:lvl w:ilvl="3" w:tplc="A504F8BC">
      <w:start w:val="1"/>
      <w:numFmt w:val="bullet"/>
      <w:lvlText w:val=""/>
      <w:lvlJc w:val="left"/>
      <w:pPr>
        <w:ind w:left="2880" w:hanging="360"/>
      </w:pPr>
      <w:rPr>
        <w:rFonts w:ascii="Symbol" w:hAnsi="Symbol" w:hint="default"/>
      </w:rPr>
    </w:lvl>
    <w:lvl w:ilvl="4" w:tplc="089A7798">
      <w:start w:val="1"/>
      <w:numFmt w:val="bullet"/>
      <w:lvlText w:val="o"/>
      <w:lvlJc w:val="left"/>
      <w:pPr>
        <w:ind w:left="3600" w:hanging="360"/>
      </w:pPr>
      <w:rPr>
        <w:rFonts w:ascii="Courier New" w:hAnsi="Courier New" w:hint="default"/>
      </w:rPr>
    </w:lvl>
    <w:lvl w:ilvl="5" w:tplc="7076F7E4">
      <w:start w:val="1"/>
      <w:numFmt w:val="bullet"/>
      <w:lvlText w:val=""/>
      <w:lvlJc w:val="left"/>
      <w:pPr>
        <w:ind w:left="4320" w:hanging="360"/>
      </w:pPr>
      <w:rPr>
        <w:rFonts w:ascii="Wingdings" w:hAnsi="Wingdings" w:hint="default"/>
      </w:rPr>
    </w:lvl>
    <w:lvl w:ilvl="6" w:tplc="A2F4158E">
      <w:start w:val="1"/>
      <w:numFmt w:val="bullet"/>
      <w:lvlText w:val=""/>
      <w:lvlJc w:val="left"/>
      <w:pPr>
        <w:ind w:left="5040" w:hanging="360"/>
      </w:pPr>
      <w:rPr>
        <w:rFonts w:ascii="Symbol" w:hAnsi="Symbol" w:hint="default"/>
      </w:rPr>
    </w:lvl>
    <w:lvl w:ilvl="7" w:tplc="56F6B282">
      <w:start w:val="1"/>
      <w:numFmt w:val="bullet"/>
      <w:lvlText w:val="o"/>
      <w:lvlJc w:val="left"/>
      <w:pPr>
        <w:ind w:left="5760" w:hanging="360"/>
      </w:pPr>
      <w:rPr>
        <w:rFonts w:ascii="Courier New" w:hAnsi="Courier New" w:hint="default"/>
      </w:rPr>
    </w:lvl>
    <w:lvl w:ilvl="8" w:tplc="91D66BA8">
      <w:start w:val="1"/>
      <w:numFmt w:val="bullet"/>
      <w:lvlText w:val=""/>
      <w:lvlJc w:val="left"/>
      <w:pPr>
        <w:ind w:left="6480" w:hanging="360"/>
      </w:pPr>
      <w:rPr>
        <w:rFonts w:ascii="Wingdings" w:hAnsi="Wingdings" w:hint="default"/>
      </w:rPr>
    </w:lvl>
  </w:abstractNum>
  <w:abstractNum w:abstractNumId="47" w15:restartNumberingAfterBreak="0">
    <w:nsid w:val="5B6F76CC"/>
    <w:multiLevelType w:val="multilevel"/>
    <w:tmpl w:val="8E583D90"/>
    <w:lvl w:ilvl="0">
      <w:start w:val="4"/>
      <w:numFmt w:val="decimal"/>
      <w:lvlText w:val="%1"/>
      <w:lvlJc w:val="left"/>
      <w:pPr>
        <w:ind w:left="465" w:hanging="465"/>
      </w:pPr>
      <w:rPr>
        <w:rFonts w:hint="default"/>
      </w:rPr>
    </w:lvl>
    <w:lvl w:ilvl="1">
      <w:start w:val="11"/>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8" w15:restartNumberingAfterBreak="0">
    <w:nsid w:val="5C8A3E06"/>
    <w:multiLevelType w:val="hybridMultilevel"/>
    <w:tmpl w:val="9990A774"/>
    <w:lvl w:ilvl="0" w:tplc="85522EC0">
      <w:start w:val="1"/>
      <w:numFmt w:val="bullet"/>
      <w:lvlText w:val=""/>
      <w:lvlJc w:val="left"/>
      <w:pPr>
        <w:ind w:left="720" w:hanging="360"/>
      </w:pPr>
      <w:rPr>
        <w:rFonts w:ascii="Symbol" w:hAnsi="Symbol" w:hint="default"/>
      </w:rPr>
    </w:lvl>
    <w:lvl w:ilvl="1" w:tplc="0AB07216">
      <w:start w:val="1"/>
      <w:numFmt w:val="bullet"/>
      <w:lvlText w:val="o"/>
      <w:lvlJc w:val="left"/>
      <w:pPr>
        <w:ind w:left="1440" w:hanging="360"/>
      </w:pPr>
      <w:rPr>
        <w:rFonts w:ascii="Courier New" w:hAnsi="Courier New" w:hint="default"/>
      </w:rPr>
    </w:lvl>
    <w:lvl w:ilvl="2" w:tplc="3050EABC">
      <w:start w:val="1"/>
      <w:numFmt w:val="bullet"/>
      <w:lvlText w:val=""/>
      <w:lvlJc w:val="left"/>
      <w:pPr>
        <w:ind w:left="2160" w:hanging="360"/>
      </w:pPr>
      <w:rPr>
        <w:rFonts w:ascii="Wingdings" w:hAnsi="Wingdings" w:hint="default"/>
      </w:rPr>
    </w:lvl>
    <w:lvl w:ilvl="3" w:tplc="C344A81A">
      <w:start w:val="1"/>
      <w:numFmt w:val="bullet"/>
      <w:lvlText w:val=""/>
      <w:lvlJc w:val="left"/>
      <w:pPr>
        <w:ind w:left="2880" w:hanging="360"/>
      </w:pPr>
      <w:rPr>
        <w:rFonts w:ascii="Symbol" w:hAnsi="Symbol" w:hint="default"/>
      </w:rPr>
    </w:lvl>
    <w:lvl w:ilvl="4" w:tplc="63A4FC6A">
      <w:start w:val="1"/>
      <w:numFmt w:val="bullet"/>
      <w:lvlText w:val="o"/>
      <w:lvlJc w:val="left"/>
      <w:pPr>
        <w:ind w:left="3600" w:hanging="360"/>
      </w:pPr>
      <w:rPr>
        <w:rFonts w:ascii="Courier New" w:hAnsi="Courier New" w:hint="default"/>
      </w:rPr>
    </w:lvl>
    <w:lvl w:ilvl="5" w:tplc="0A861B94">
      <w:start w:val="1"/>
      <w:numFmt w:val="bullet"/>
      <w:lvlText w:val=""/>
      <w:lvlJc w:val="left"/>
      <w:pPr>
        <w:ind w:left="4320" w:hanging="360"/>
      </w:pPr>
      <w:rPr>
        <w:rFonts w:ascii="Wingdings" w:hAnsi="Wingdings" w:hint="default"/>
      </w:rPr>
    </w:lvl>
    <w:lvl w:ilvl="6" w:tplc="72405BCC">
      <w:start w:val="1"/>
      <w:numFmt w:val="bullet"/>
      <w:lvlText w:val=""/>
      <w:lvlJc w:val="left"/>
      <w:pPr>
        <w:ind w:left="5040" w:hanging="360"/>
      </w:pPr>
      <w:rPr>
        <w:rFonts w:ascii="Symbol" w:hAnsi="Symbol" w:hint="default"/>
      </w:rPr>
    </w:lvl>
    <w:lvl w:ilvl="7" w:tplc="F744B188">
      <w:start w:val="1"/>
      <w:numFmt w:val="bullet"/>
      <w:lvlText w:val="o"/>
      <w:lvlJc w:val="left"/>
      <w:pPr>
        <w:ind w:left="5760" w:hanging="360"/>
      </w:pPr>
      <w:rPr>
        <w:rFonts w:ascii="Courier New" w:hAnsi="Courier New" w:hint="default"/>
      </w:rPr>
    </w:lvl>
    <w:lvl w:ilvl="8" w:tplc="30E87E3A">
      <w:start w:val="1"/>
      <w:numFmt w:val="bullet"/>
      <w:lvlText w:val=""/>
      <w:lvlJc w:val="left"/>
      <w:pPr>
        <w:ind w:left="6480" w:hanging="360"/>
      </w:pPr>
      <w:rPr>
        <w:rFonts w:ascii="Wingdings" w:hAnsi="Wingdings" w:hint="default"/>
      </w:rPr>
    </w:lvl>
  </w:abstractNum>
  <w:abstractNum w:abstractNumId="49" w15:restartNumberingAfterBreak="0">
    <w:nsid w:val="5D6F3C48"/>
    <w:multiLevelType w:val="hybridMultilevel"/>
    <w:tmpl w:val="CDBEAB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5D8E59BC"/>
    <w:multiLevelType w:val="hybridMultilevel"/>
    <w:tmpl w:val="C7F6AA48"/>
    <w:lvl w:ilvl="0" w:tplc="721C039C">
      <w:start w:val="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DA26A19"/>
    <w:multiLevelType w:val="multilevel"/>
    <w:tmpl w:val="FFE6B8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F4B0483"/>
    <w:multiLevelType w:val="multilevel"/>
    <w:tmpl w:val="8B76AE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03D457D"/>
    <w:multiLevelType w:val="hybridMultilevel"/>
    <w:tmpl w:val="1082CC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60D1E02B"/>
    <w:multiLevelType w:val="hybridMultilevel"/>
    <w:tmpl w:val="30267516"/>
    <w:lvl w:ilvl="0" w:tplc="41BAFE56">
      <w:start w:val="1"/>
      <w:numFmt w:val="bullet"/>
      <w:lvlText w:val="·"/>
      <w:lvlJc w:val="left"/>
      <w:pPr>
        <w:ind w:left="720" w:hanging="360"/>
      </w:pPr>
      <w:rPr>
        <w:rFonts w:ascii="Symbol" w:hAnsi="Symbol" w:hint="default"/>
      </w:rPr>
    </w:lvl>
    <w:lvl w:ilvl="1" w:tplc="B434DCFC">
      <w:start w:val="1"/>
      <w:numFmt w:val="bullet"/>
      <w:lvlText w:val="o"/>
      <w:lvlJc w:val="left"/>
      <w:pPr>
        <w:ind w:left="1440" w:hanging="360"/>
      </w:pPr>
      <w:rPr>
        <w:rFonts w:ascii="Courier New" w:hAnsi="Courier New" w:hint="default"/>
      </w:rPr>
    </w:lvl>
    <w:lvl w:ilvl="2" w:tplc="5142A43A">
      <w:start w:val="1"/>
      <w:numFmt w:val="bullet"/>
      <w:lvlText w:val=""/>
      <w:lvlJc w:val="left"/>
      <w:pPr>
        <w:ind w:left="2160" w:hanging="360"/>
      </w:pPr>
      <w:rPr>
        <w:rFonts w:ascii="Wingdings" w:hAnsi="Wingdings" w:hint="default"/>
      </w:rPr>
    </w:lvl>
    <w:lvl w:ilvl="3" w:tplc="EC229AEA">
      <w:start w:val="1"/>
      <w:numFmt w:val="bullet"/>
      <w:lvlText w:val=""/>
      <w:lvlJc w:val="left"/>
      <w:pPr>
        <w:ind w:left="2880" w:hanging="360"/>
      </w:pPr>
      <w:rPr>
        <w:rFonts w:ascii="Symbol" w:hAnsi="Symbol" w:hint="default"/>
      </w:rPr>
    </w:lvl>
    <w:lvl w:ilvl="4" w:tplc="9E827398">
      <w:start w:val="1"/>
      <w:numFmt w:val="bullet"/>
      <w:lvlText w:val="o"/>
      <w:lvlJc w:val="left"/>
      <w:pPr>
        <w:ind w:left="3600" w:hanging="360"/>
      </w:pPr>
      <w:rPr>
        <w:rFonts w:ascii="Courier New" w:hAnsi="Courier New" w:hint="default"/>
      </w:rPr>
    </w:lvl>
    <w:lvl w:ilvl="5" w:tplc="F1E4376C">
      <w:start w:val="1"/>
      <w:numFmt w:val="bullet"/>
      <w:lvlText w:val=""/>
      <w:lvlJc w:val="left"/>
      <w:pPr>
        <w:ind w:left="4320" w:hanging="360"/>
      </w:pPr>
      <w:rPr>
        <w:rFonts w:ascii="Wingdings" w:hAnsi="Wingdings" w:hint="default"/>
      </w:rPr>
    </w:lvl>
    <w:lvl w:ilvl="6" w:tplc="98405556">
      <w:start w:val="1"/>
      <w:numFmt w:val="bullet"/>
      <w:lvlText w:val=""/>
      <w:lvlJc w:val="left"/>
      <w:pPr>
        <w:ind w:left="5040" w:hanging="360"/>
      </w:pPr>
      <w:rPr>
        <w:rFonts w:ascii="Symbol" w:hAnsi="Symbol" w:hint="default"/>
      </w:rPr>
    </w:lvl>
    <w:lvl w:ilvl="7" w:tplc="3CB44896">
      <w:start w:val="1"/>
      <w:numFmt w:val="bullet"/>
      <w:lvlText w:val="o"/>
      <w:lvlJc w:val="left"/>
      <w:pPr>
        <w:ind w:left="5760" w:hanging="360"/>
      </w:pPr>
      <w:rPr>
        <w:rFonts w:ascii="Courier New" w:hAnsi="Courier New" w:hint="default"/>
      </w:rPr>
    </w:lvl>
    <w:lvl w:ilvl="8" w:tplc="272C4D58">
      <w:start w:val="1"/>
      <w:numFmt w:val="bullet"/>
      <w:lvlText w:val=""/>
      <w:lvlJc w:val="left"/>
      <w:pPr>
        <w:ind w:left="6480" w:hanging="360"/>
      </w:pPr>
      <w:rPr>
        <w:rFonts w:ascii="Wingdings" w:hAnsi="Wingdings" w:hint="default"/>
      </w:rPr>
    </w:lvl>
  </w:abstractNum>
  <w:abstractNum w:abstractNumId="55" w15:restartNumberingAfterBreak="0">
    <w:nsid w:val="6263411A"/>
    <w:multiLevelType w:val="hybridMultilevel"/>
    <w:tmpl w:val="9C862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65B8111B"/>
    <w:multiLevelType w:val="hybridMultilevel"/>
    <w:tmpl w:val="83165916"/>
    <w:lvl w:ilvl="0" w:tplc="874CDF42">
      <w:start w:val="1"/>
      <w:numFmt w:val="bullet"/>
      <w:lvlText w:val="-"/>
      <w:lvlJc w:val="left"/>
      <w:pPr>
        <w:ind w:left="1080" w:hanging="360"/>
      </w:pPr>
      <w:rPr>
        <w:rFonts w:ascii="Calibri" w:eastAsia="Calibri" w:hAnsi="Calibri" w:cs="Calibri"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57" w15:restartNumberingAfterBreak="0">
    <w:nsid w:val="67531A74"/>
    <w:multiLevelType w:val="hybridMultilevel"/>
    <w:tmpl w:val="3A1A65C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6D24832A"/>
    <w:multiLevelType w:val="hybridMultilevel"/>
    <w:tmpl w:val="FE0CC7BE"/>
    <w:lvl w:ilvl="0" w:tplc="368C05A8">
      <w:start w:val="1"/>
      <w:numFmt w:val="bullet"/>
      <w:lvlText w:val="·"/>
      <w:lvlJc w:val="left"/>
      <w:pPr>
        <w:ind w:left="720" w:hanging="360"/>
      </w:pPr>
      <w:rPr>
        <w:rFonts w:ascii="Symbol" w:hAnsi="Symbol" w:hint="default"/>
      </w:rPr>
    </w:lvl>
    <w:lvl w:ilvl="1" w:tplc="36CA6508">
      <w:start w:val="1"/>
      <w:numFmt w:val="bullet"/>
      <w:lvlText w:val="o"/>
      <w:lvlJc w:val="left"/>
      <w:pPr>
        <w:ind w:left="1440" w:hanging="360"/>
      </w:pPr>
      <w:rPr>
        <w:rFonts w:ascii="Courier New" w:hAnsi="Courier New" w:hint="default"/>
      </w:rPr>
    </w:lvl>
    <w:lvl w:ilvl="2" w:tplc="7FA67FB6">
      <w:start w:val="1"/>
      <w:numFmt w:val="bullet"/>
      <w:lvlText w:val=""/>
      <w:lvlJc w:val="left"/>
      <w:pPr>
        <w:ind w:left="2160" w:hanging="360"/>
      </w:pPr>
      <w:rPr>
        <w:rFonts w:ascii="Wingdings" w:hAnsi="Wingdings" w:hint="default"/>
      </w:rPr>
    </w:lvl>
    <w:lvl w:ilvl="3" w:tplc="0F02251A">
      <w:start w:val="1"/>
      <w:numFmt w:val="bullet"/>
      <w:lvlText w:val=""/>
      <w:lvlJc w:val="left"/>
      <w:pPr>
        <w:ind w:left="2880" w:hanging="360"/>
      </w:pPr>
      <w:rPr>
        <w:rFonts w:ascii="Symbol" w:hAnsi="Symbol" w:hint="default"/>
      </w:rPr>
    </w:lvl>
    <w:lvl w:ilvl="4" w:tplc="BEFAFE26">
      <w:start w:val="1"/>
      <w:numFmt w:val="bullet"/>
      <w:lvlText w:val="o"/>
      <w:lvlJc w:val="left"/>
      <w:pPr>
        <w:ind w:left="3600" w:hanging="360"/>
      </w:pPr>
      <w:rPr>
        <w:rFonts w:ascii="Courier New" w:hAnsi="Courier New" w:hint="default"/>
      </w:rPr>
    </w:lvl>
    <w:lvl w:ilvl="5" w:tplc="B3D46156">
      <w:start w:val="1"/>
      <w:numFmt w:val="bullet"/>
      <w:lvlText w:val=""/>
      <w:lvlJc w:val="left"/>
      <w:pPr>
        <w:ind w:left="4320" w:hanging="360"/>
      </w:pPr>
      <w:rPr>
        <w:rFonts w:ascii="Wingdings" w:hAnsi="Wingdings" w:hint="default"/>
      </w:rPr>
    </w:lvl>
    <w:lvl w:ilvl="6" w:tplc="BCB02586">
      <w:start w:val="1"/>
      <w:numFmt w:val="bullet"/>
      <w:lvlText w:val=""/>
      <w:lvlJc w:val="left"/>
      <w:pPr>
        <w:ind w:left="5040" w:hanging="360"/>
      </w:pPr>
      <w:rPr>
        <w:rFonts w:ascii="Symbol" w:hAnsi="Symbol" w:hint="default"/>
      </w:rPr>
    </w:lvl>
    <w:lvl w:ilvl="7" w:tplc="C9AC46D8">
      <w:start w:val="1"/>
      <w:numFmt w:val="bullet"/>
      <w:lvlText w:val="o"/>
      <w:lvlJc w:val="left"/>
      <w:pPr>
        <w:ind w:left="5760" w:hanging="360"/>
      </w:pPr>
      <w:rPr>
        <w:rFonts w:ascii="Courier New" w:hAnsi="Courier New" w:hint="default"/>
      </w:rPr>
    </w:lvl>
    <w:lvl w:ilvl="8" w:tplc="3160BB3C">
      <w:start w:val="1"/>
      <w:numFmt w:val="bullet"/>
      <w:lvlText w:val=""/>
      <w:lvlJc w:val="left"/>
      <w:pPr>
        <w:ind w:left="6480" w:hanging="360"/>
      </w:pPr>
      <w:rPr>
        <w:rFonts w:ascii="Wingdings" w:hAnsi="Wingdings" w:hint="default"/>
      </w:rPr>
    </w:lvl>
  </w:abstractNum>
  <w:abstractNum w:abstractNumId="59" w15:restartNumberingAfterBreak="0">
    <w:nsid w:val="6F852277"/>
    <w:multiLevelType w:val="hybridMultilevel"/>
    <w:tmpl w:val="89DC286C"/>
    <w:lvl w:ilvl="0" w:tplc="5B009D2E">
      <w:start w:val="2"/>
      <w:numFmt w:val="bullet"/>
      <w:lvlText w:val="-"/>
      <w:lvlJc w:val="left"/>
      <w:pPr>
        <w:ind w:left="1080" w:hanging="360"/>
      </w:pPr>
      <w:rPr>
        <w:rFonts w:ascii="Aptos" w:eastAsia="Aptos" w:hAnsi="Apto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0" w15:restartNumberingAfterBreak="0">
    <w:nsid w:val="7028C21A"/>
    <w:multiLevelType w:val="hybridMultilevel"/>
    <w:tmpl w:val="FAC4FDE8"/>
    <w:lvl w:ilvl="0" w:tplc="45B6C7D6">
      <w:start w:val="1"/>
      <w:numFmt w:val="bullet"/>
      <w:lvlText w:val=""/>
      <w:lvlJc w:val="left"/>
      <w:pPr>
        <w:ind w:left="720" w:hanging="360"/>
      </w:pPr>
      <w:rPr>
        <w:rFonts w:ascii="Symbol" w:hAnsi="Symbol" w:hint="default"/>
      </w:rPr>
    </w:lvl>
    <w:lvl w:ilvl="1" w:tplc="FF94556A">
      <w:start w:val="1"/>
      <w:numFmt w:val="bullet"/>
      <w:lvlText w:val="o"/>
      <w:lvlJc w:val="left"/>
      <w:pPr>
        <w:ind w:left="1440" w:hanging="360"/>
      </w:pPr>
      <w:rPr>
        <w:rFonts w:ascii="Courier New" w:hAnsi="Courier New" w:hint="default"/>
      </w:rPr>
    </w:lvl>
    <w:lvl w:ilvl="2" w:tplc="4B8C8BCE">
      <w:start w:val="1"/>
      <w:numFmt w:val="bullet"/>
      <w:lvlText w:val=""/>
      <w:lvlJc w:val="left"/>
      <w:pPr>
        <w:ind w:left="2160" w:hanging="360"/>
      </w:pPr>
      <w:rPr>
        <w:rFonts w:ascii="Wingdings" w:hAnsi="Wingdings" w:hint="default"/>
      </w:rPr>
    </w:lvl>
    <w:lvl w:ilvl="3" w:tplc="E076AA28">
      <w:start w:val="1"/>
      <w:numFmt w:val="bullet"/>
      <w:lvlText w:val=""/>
      <w:lvlJc w:val="left"/>
      <w:pPr>
        <w:ind w:left="2880" w:hanging="360"/>
      </w:pPr>
      <w:rPr>
        <w:rFonts w:ascii="Symbol" w:hAnsi="Symbol" w:hint="default"/>
      </w:rPr>
    </w:lvl>
    <w:lvl w:ilvl="4" w:tplc="53A4419A">
      <w:start w:val="1"/>
      <w:numFmt w:val="bullet"/>
      <w:lvlText w:val="o"/>
      <w:lvlJc w:val="left"/>
      <w:pPr>
        <w:ind w:left="3600" w:hanging="360"/>
      </w:pPr>
      <w:rPr>
        <w:rFonts w:ascii="Courier New" w:hAnsi="Courier New" w:hint="default"/>
      </w:rPr>
    </w:lvl>
    <w:lvl w:ilvl="5" w:tplc="FF74A136">
      <w:start w:val="1"/>
      <w:numFmt w:val="bullet"/>
      <w:lvlText w:val=""/>
      <w:lvlJc w:val="left"/>
      <w:pPr>
        <w:ind w:left="4320" w:hanging="360"/>
      </w:pPr>
      <w:rPr>
        <w:rFonts w:ascii="Wingdings" w:hAnsi="Wingdings" w:hint="default"/>
      </w:rPr>
    </w:lvl>
    <w:lvl w:ilvl="6" w:tplc="425C4E56">
      <w:start w:val="1"/>
      <w:numFmt w:val="bullet"/>
      <w:lvlText w:val=""/>
      <w:lvlJc w:val="left"/>
      <w:pPr>
        <w:ind w:left="5040" w:hanging="360"/>
      </w:pPr>
      <w:rPr>
        <w:rFonts w:ascii="Symbol" w:hAnsi="Symbol" w:hint="default"/>
      </w:rPr>
    </w:lvl>
    <w:lvl w:ilvl="7" w:tplc="ADAE900A">
      <w:start w:val="1"/>
      <w:numFmt w:val="bullet"/>
      <w:lvlText w:val="o"/>
      <w:lvlJc w:val="left"/>
      <w:pPr>
        <w:ind w:left="5760" w:hanging="360"/>
      </w:pPr>
      <w:rPr>
        <w:rFonts w:ascii="Courier New" w:hAnsi="Courier New" w:hint="default"/>
      </w:rPr>
    </w:lvl>
    <w:lvl w:ilvl="8" w:tplc="6016C9BC">
      <w:start w:val="1"/>
      <w:numFmt w:val="bullet"/>
      <w:lvlText w:val=""/>
      <w:lvlJc w:val="left"/>
      <w:pPr>
        <w:ind w:left="6480" w:hanging="360"/>
      </w:pPr>
      <w:rPr>
        <w:rFonts w:ascii="Wingdings" w:hAnsi="Wingdings" w:hint="default"/>
      </w:rPr>
    </w:lvl>
  </w:abstractNum>
  <w:abstractNum w:abstractNumId="61" w15:restartNumberingAfterBreak="0">
    <w:nsid w:val="74954C19"/>
    <w:multiLevelType w:val="multilevel"/>
    <w:tmpl w:val="482AD95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15:restartNumberingAfterBreak="0">
    <w:nsid w:val="76491D28"/>
    <w:multiLevelType w:val="hybridMultilevel"/>
    <w:tmpl w:val="82BE4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83132DF"/>
    <w:multiLevelType w:val="hybridMultilevel"/>
    <w:tmpl w:val="868C09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784D6D5D"/>
    <w:multiLevelType w:val="hybridMultilevel"/>
    <w:tmpl w:val="81761B32"/>
    <w:lvl w:ilvl="0" w:tplc="D38428A0">
      <w:numFmt w:val="none"/>
      <w:lvlText w:val=""/>
      <w:lvlJc w:val="left"/>
      <w:pPr>
        <w:tabs>
          <w:tab w:val="num" w:pos="360"/>
        </w:tabs>
      </w:pPr>
    </w:lvl>
    <w:lvl w:ilvl="1" w:tplc="D36460CC">
      <w:start w:val="1"/>
      <w:numFmt w:val="lowerLetter"/>
      <w:lvlText w:val="%2."/>
      <w:lvlJc w:val="left"/>
      <w:pPr>
        <w:ind w:left="1440" w:hanging="360"/>
      </w:pPr>
    </w:lvl>
    <w:lvl w:ilvl="2" w:tplc="00F876DA">
      <w:start w:val="1"/>
      <w:numFmt w:val="lowerRoman"/>
      <w:lvlText w:val="%3."/>
      <w:lvlJc w:val="right"/>
      <w:pPr>
        <w:ind w:left="2160" w:hanging="180"/>
      </w:pPr>
    </w:lvl>
    <w:lvl w:ilvl="3" w:tplc="F4A2A93C">
      <w:start w:val="1"/>
      <w:numFmt w:val="decimal"/>
      <w:lvlText w:val="%4."/>
      <w:lvlJc w:val="left"/>
      <w:pPr>
        <w:ind w:left="2880" w:hanging="360"/>
      </w:pPr>
    </w:lvl>
    <w:lvl w:ilvl="4" w:tplc="1366B08E">
      <w:start w:val="1"/>
      <w:numFmt w:val="lowerLetter"/>
      <w:lvlText w:val="%5."/>
      <w:lvlJc w:val="left"/>
      <w:pPr>
        <w:ind w:left="3600" w:hanging="360"/>
      </w:pPr>
    </w:lvl>
    <w:lvl w:ilvl="5" w:tplc="AD8ED516">
      <w:start w:val="1"/>
      <w:numFmt w:val="lowerRoman"/>
      <w:lvlText w:val="%6."/>
      <w:lvlJc w:val="right"/>
      <w:pPr>
        <w:ind w:left="4320" w:hanging="180"/>
      </w:pPr>
    </w:lvl>
    <w:lvl w:ilvl="6" w:tplc="306631F2">
      <w:start w:val="1"/>
      <w:numFmt w:val="decimal"/>
      <w:lvlText w:val="%7."/>
      <w:lvlJc w:val="left"/>
      <w:pPr>
        <w:ind w:left="5040" w:hanging="360"/>
      </w:pPr>
    </w:lvl>
    <w:lvl w:ilvl="7" w:tplc="64AEECD4">
      <w:start w:val="1"/>
      <w:numFmt w:val="lowerLetter"/>
      <w:lvlText w:val="%8."/>
      <w:lvlJc w:val="left"/>
      <w:pPr>
        <w:ind w:left="5760" w:hanging="360"/>
      </w:pPr>
    </w:lvl>
    <w:lvl w:ilvl="8" w:tplc="0186B208">
      <w:start w:val="1"/>
      <w:numFmt w:val="lowerRoman"/>
      <w:lvlText w:val="%9."/>
      <w:lvlJc w:val="right"/>
      <w:pPr>
        <w:ind w:left="6480" w:hanging="180"/>
      </w:pPr>
    </w:lvl>
  </w:abstractNum>
  <w:abstractNum w:abstractNumId="65" w15:restartNumberingAfterBreak="0">
    <w:nsid w:val="795D3ACD"/>
    <w:multiLevelType w:val="hybridMultilevel"/>
    <w:tmpl w:val="04AEC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6" w15:restartNumberingAfterBreak="0">
    <w:nsid w:val="79975DA1"/>
    <w:multiLevelType w:val="hybridMultilevel"/>
    <w:tmpl w:val="762E4276"/>
    <w:lvl w:ilvl="0" w:tplc="0902F4A6">
      <w:start w:val="1"/>
      <w:numFmt w:val="bullet"/>
      <w:lvlText w:val="·"/>
      <w:lvlJc w:val="left"/>
      <w:pPr>
        <w:ind w:left="720" w:hanging="360"/>
      </w:pPr>
      <w:rPr>
        <w:rFonts w:ascii="Symbol" w:hAnsi="Symbol" w:hint="default"/>
      </w:rPr>
    </w:lvl>
    <w:lvl w:ilvl="1" w:tplc="08F28374">
      <w:start w:val="1"/>
      <w:numFmt w:val="bullet"/>
      <w:lvlText w:val="o"/>
      <w:lvlJc w:val="left"/>
      <w:pPr>
        <w:ind w:left="1440" w:hanging="360"/>
      </w:pPr>
      <w:rPr>
        <w:rFonts w:ascii="Courier New" w:hAnsi="Courier New" w:hint="default"/>
      </w:rPr>
    </w:lvl>
    <w:lvl w:ilvl="2" w:tplc="89C485C2">
      <w:start w:val="1"/>
      <w:numFmt w:val="bullet"/>
      <w:lvlText w:val=""/>
      <w:lvlJc w:val="left"/>
      <w:pPr>
        <w:ind w:left="2160" w:hanging="360"/>
      </w:pPr>
      <w:rPr>
        <w:rFonts w:ascii="Wingdings" w:hAnsi="Wingdings" w:hint="default"/>
      </w:rPr>
    </w:lvl>
    <w:lvl w:ilvl="3" w:tplc="052EFBA2">
      <w:start w:val="1"/>
      <w:numFmt w:val="bullet"/>
      <w:lvlText w:val=""/>
      <w:lvlJc w:val="left"/>
      <w:pPr>
        <w:ind w:left="2880" w:hanging="360"/>
      </w:pPr>
      <w:rPr>
        <w:rFonts w:ascii="Symbol" w:hAnsi="Symbol" w:hint="default"/>
      </w:rPr>
    </w:lvl>
    <w:lvl w:ilvl="4" w:tplc="3216BBD0">
      <w:start w:val="1"/>
      <w:numFmt w:val="bullet"/>
      <w:lvlText w:val="o"/>
      <w:lvlJc w:val="left"/>
      <w:pPr>
        <w:ind w:left="3600" w:hanging="360"/>
      </w:pPr>
      <w:rPr>
        <w:rFonts w:ascii="Courier New" w:hAnsi="Courier New" w:hint="default"/>
      </w:rPr>
    </w:lvl>
    <w:lvl w:ilvl="5" w:tplc="A5E004B0">
      <w:start w:val="1"/>
      <w:numFmt w:val="bullet"/>
      <w:lvlText w:val=""/>
      <w:lvlJc w:val="left"/>
      <w:pPr>
        <w:ind w:left="4320" w:hanging="360"/>
      </w:pPr>
      <w:rPr>
        <w:rFonts w:ascii="Wingdings" w:hAnsi="Wingdings" w:hint="default"/>
      </w:rPr>
    </w:lvl>
    <w:lvl w:ilvl="6" w:tplc="1124D14A">
      <w:start w:val="1"/>
      <w:numFmt w:val="bullet"/>
      <w:lvlText w:val=""/>
      <w:lvlJc w:val="left"/>
      <w:pPr>
        <w:ind w:left="5040" w:hanging="360"/>
      </w:pPr>
      <w:rPr>
        <w:rFonts w:ascii="Symbol" w:hAnsi="Symbol" w:hint="default"/>
      </w:rPr>
    </w:lvl>
    <w:lvl w:ilvl="7" w:tplc="7B6EBEA4">
      <w:start w:val="1"/>
      <w:numFmt w:val="bullet"/>
      <w:lvlText w:val="o"/>
      <w:lvlJc w:val="left"/>
      <w:pPr>
        <w:ind w:left="5760" w:hanging="360"/>
      </w:pPr>
      <w:rPr>
        <w:rFonts w:ascii="Courier New" w:hAnsi="Courier New" w:hint="default"/>
      </w:rPr>
    </w:lvl>
    <w:lvl w:ilvl="8" w:tplc="2E76B868">
      <w:start w:val="1"/>
      <w:numFmt w:val="bullet"/>
      <w:lvlText w:val=""/>
      <w:lvlJc w:val="left"/>
      <w:pPr>
        <w:ind w:left="6480" w:hanging="360"/>
      </w:pPr>
      <w:rPr>
        <w:rFonts w:ascii="Wingdings" w:hAnsi="Wingdings" w:hint="default"/>
      </w:rPr>
    </w:lvl>
  </w:abstractNum>
  <w:abstractNum w:abstractNumId="67" w15:restartNumberingAfterBreak="0">
    <w:nsid w:val="7FFE0871"/>
    <w:multiLevelType w:val="hybridMultilevel"/>
    <w:tmpl w:val="077806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0"/>
  </w:num>
  <w:num w:numId="2">
    <w:abstractNumId w:val="15"/>
  </w:num>
  <w:num w:numId="3">
    <w:abstractNumId w:val="2"/>
  </w:num>
  <w:num w:numId="4">
    <w:abstractNumId w:val="48"/>
  </w:num>
  <w:num w:numId="5">
    <w:abstractNumId w:val="39"/>
  </w:num>
  <w:num w:numId="6">
    <w:abstractNumId w:val="13"/>
  </w:num>
  <w:num w:numId="7">
    <w:abstractNumId w:val="34"/>
  </w:num>
  <w:num w:numId="8">
    <w:abstractNumId w:val="16"/>
  </w:num>
  <w:num w:numId="9">
    <w:abstractNumId w:val="46"/>
  </w:num>
  <w:num w:numId="10">
    <w:abstractNumId w:val="36"/>
  </w:num>
  <w:num w:numId="11">
    <w:abstractNumId w:val="28"/>
  </w:num>
  <w:num w:numId="12">
    <w:abstractNumId w:val="66"/>
  </w:num>
  <w:num w:numId="13">
    <w:abstractNumId w:val="58"/>
  </w:num>
  <w:num w:numId="14">
    <w:abstractNumId w:val="22"/>
  </w:num>
  <w:num w:numId="15">
    <w:abstractNumId w:val="54"/>
  </w:num>
  <w:num w:numId="16">
    <w:abstractNumId w:val="1"/>
  </w:num>
  <w:num w:numId="17">
    <w:abstractNumId w:val="33"/>
  </w:num>
  <w:num w:numId="18">
    <w:abstractNumId w:val="4"/>
  </w:num>
  <w:num w:numId="19">
    <w:abstractNumId w:val="25"/>
  </w:num>
  <w:num w:numId="20">
    <w:abstractNumId w:val="11"/>
  </w:num>
  <w:num w:numId="21">
    <w:abstractNumId w:val="45"/>
  </w:num>
  <w:num w:numId="22">
    <w:abstractNumId w:val="52"/>
  </w:num>
  <w:num w:numId="23">
    <w:abstractNumId w:val="7"/>
  </w:num>
  <w:num w:numId="24">
    <w:abstractNumId w:val="8"/>
  </w:num>
  <w:num w:numId="25">
    <w:abstractNumId w:val="64"/>
  </w:num>
  <w:num w:numId="26">
    <w:abstractNumId w:val="65"/>
  </w:num>
  <w:num w:numId="27">
    <w:abstractNumId w:val="23"/>
  </w:num>
  <w:num w:numId="28">
    <w:abstractNumId w:val="20"/>
  </w:num>
  <w:num w:numId="29">
    <w:abstractNumId w:val="67"/>
  </w:num>
  <w:num w:numId="30">
    <w:abstractNumId w:val="44"/>
  </w:num>
  <w:num w:numId="31">
    <w:abstractNumId w:val="62"/>
  </w:num>
  <w:num w:numId="32">
    <w:abstractNumId w:val="9"/>
  </w:num>
  <w:num w:numId="33">
    <w:abstractNumId w:val="3"/>
  </w:num>
  <w:num w:numId="34">
    <w:abstractNumId w:val="42"/>
  </w:num>
  <w:num w:numId="35">
    <w:abstractNumId w:val="18"/>
  </w:num>
  <w:num w:numId="36">
    <w:abstractNumId w:val="17"/>
  </w:num>
  <w:num w:numId="37">
    <w:abstractNumId w:val="30"/>
  </w:num>
  <w:num w:numId="38">
    <w:abstractNumId w:val="10"/>
  </w:num>
  <w:num w:numId="39">
    <w:abstractNumId w:val="32"/>
  </w:num>
  <w:num w:numId="40">
    <w:abstractNumId w:val="61"/>
  </w:num>
  <w:num w:numId="41">
    <w:abstractNumId w:val="49"/>
  </w:num>
  <w:num w:numId="42">
    <w:abstractNumId w:val="26"/>
  </w:num>
  <w:num w:numId="43">
    <w:abstractNumId w:val="55"/>
  </w:num>
  <w:num w:numId="44">
    <w:abstractNumId w:val="35"/>
  </w:num>
  <w:num w:numId="45">
    <w:abstractNumId w:val="63"/>
  </w:num>
  <w:num w:numId="46">
    <w:abstractNumId w:val="51"/>
  </w:num>
  <w:num w:numId="47">
    <w:abstractNumId w:val="19"/>
  </w:num>
  <w:num w:numId="48">
    <w:abstractNumId w:val="38"/>
  </w:num>
  <w:num w:numId="49">
    <w:abstractNumId w:val="40"/>
  </w:num>
  <w:num w:numId="50">
    <w:abstractNumId w:val="50"/>
  </w:num>
  <w:num w:numId="51">
    <w:abstractNumId w:val="41"/>
  </w:num>
  <w:num w:numId="52">
    <w:abstractNumId w:val="27"/>
  </w:num>
  <w:num w:numId="53">
    <w:abstractNumId w:val="24"/>
  </w:num>
  <w:num w:numId="54">
    <w:abstractNumId w:val="14"/>
  </w:num>
  <w:num w:numId="55">
    <w:abstractNumId w:val="43"/>
  </w:num>
  <w:num w:numId="56">
    <w:abstractNumId w:val="12"/>
  </w:num>
  <w:num w:numId="57">
    <w:abstractNumId w:val="29"/>
  </w:num>
  <w:num w:numId="58">
    <w:abstractNumId w:val="37"/>
  </w:num>
  <w:num w:numId="59">
    <w:abstractNumId w:val="53"/>
  </w:num>
  <w:num w:numId="60">
    <w:abstractNumId w:val="56"/>
  </w:num>
  <w:num w:numId="61">
    <w:abstractNumId w:val="6"/>
  </w:num>
  <w:num w:numId="62">
    <w:abstractNumId w:val="0"/>
  </w:num>
  <w:num w:numId="63">
    <w:abstractNumId w:val="57"/>
  </w:num>
  <w:num w:numId="64">
    <w:abstractNumId w:val="31"/>
  </w:num>
  <w:num w:numId="65">
    <w:abstractNumId w:val="21"/>
  </w:num>
  <w:num w:numId="66">
    <w:abstractNumId w:val="47"/>
  </w:num>
  <w:num w:numId="67">
    <w:abstractNumId w:val="59"/>
  </w:num>
  <w:num w:numId="68">
    <w:abstractNumId w:val="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de-DE" w:vendorID="64" w:dllVersion="0" w:nlCheck="1" w:checkStyle="0"/>
  <w:activeWritingStyle w:appName="MSWord" w:lang="fr-BE" w:vendorID="64" w:dllVersion="0" w:nlCheck="1" w:checkStyle="0"/>
  <w:activeWritingStyle w:appName="MSWord" w:lang="fr-FR" w:vendorID="64" w:dllVersion="0" w:nlCheck="1" w:checkStyle="0"/>
  <w:activeWritingStyle w:appName="MSWord" w:lang="pt-PT" w:vendorID="64" w:dllVersion="0" w:nlCheck="1" w:checkStyle="0"/>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2"/>
  </w:compat>
  <w:docVars>
    <w:docVar w:name="DocStatus" w:val="Green"/>
    <w:docVar w:name="LW_CORRIGENDUM" w:val="&lt;UNUSED&gt;"/>
    <w:docVar w:name="LW_COVERPAGE_EXISTS" w:val="True"/>
    <w:docVar w:name="LW_COVERPAGE_GUID" w:val="31CD76A8-CB7A-432B-9130-4C16CFEF407C"/>
    <w:docVar w:name="LW_COVERPAGE_TYPE" w:val="1"/>
    <w:docVar w:name="LW_CROSSREFERENCE" w:val="&lt;UNUSED&gt;"/>
    <w:docVar w:name="LW_DocType" w:val="NORMAL"/>
    <w:docVar w:name="LW_EMISSION" w:val="21.4.2026"/>
    <w:docVar w:name="LW_EMISSION_ISODATE" w:val="2026-04-21"/>
    <w:docVar w:name="LW_EMISSION_LOCATION" w:val="BRX"/>
    <w:docVar w:name="LW_EMISSION_PREFIX" w:val="Bruxelas, "/>
    <w:docVar w:name="LW_EMISSION_SUFFIX" w:val=" "/>
    <w:docVar w:name="LW_ID_DOCTYPE_NONLW" w:val="CP-006"/>
    <w:docVar w:name="LW_LANGUE" w:val="PT"/>
    <w:docVar w:name="LW_LEVEL_OF_SENSITIVITY" w:val="Standard treatmen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26) 16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_x000b_sobre a aplicação e a execução do Acordo de Comércio e Cooperação entre a União Europeia e o Reino Unido da Grã-Bretanha e da Irlanda do Norte_x000b__x000b__x000b_1 de janeiro a 31 de dezembro de 2025"/>
    <w:docVar w:name="LW_TYPE.DOC.CP" w:val="RELATÓRIO DA COMISSÃO AO PARLAMENTO EUROPEU E AO CONSELHO"/>
    <w:docVar w:name="LwApiVersions" w:val="LW4CoDe 1.24.5.0; LW 9.2, Build 20251112"/>
  </w:docVars>
  <w:rsids>
    <w:rsidRoot w:val="00D54585"/>
    <w:rsid w:val="00000306"/>
    <w:rsid w:val="000007A4"/>
    <w:rsid w:val="0000104B"/>
    <w:rsid w:val="00001275"/>
    <w:rsid w:val="0000188D"/>
    <w:rsid w:val="00001891"/>
    <w:rsid w:val="00002647"/>
    <w:rsid w:val="00002B7E"/>
    <w:rsid w:val="000032CF"/>
    <w:rsid w:val="00003840"/>
    <w:rsid w:val="00003FCC"/>
    <w:rsid w:val="00004111"/>
    <w:rsid w:val="00004751"/>
    <w:rsid w:val="00004D10"/>
    <w:rsid w:val="00004D1D"/>
    <w:rsid w:val="00005207"/>
    <w:rsid w:val="00005308"/>
    <w:rsid w:val="00005C07"/>
    <w:rsid w:val="00005C6E"/>
    <w:rsid w:val="0000609D"/>
    <w:rsid w:val="000061F3"/>
    <w:rsid w:val="000065A9"/>
    <w:rsid w:val="00006788"/>
    <w:rsid w:val="00006C00"/>
    <w:rsid w:val="00006D0B"/>
    <w:rsid w:val="00007142"/>
    <w:rsid w:val="00007848"/>
    <w:rsid w:val="000079C2"/>
    <w:rsid w:val="00007E74"/>
    <w:rsid w:val="000104AB"/>
    <w:rsid w:val="00010783"/>
    <w:rsid w:val="00010BA6"/>
    <w:rsid w:val="00010E1E"/>
    <w:rsid w:val="00010E78"/>
    <w:rsid w:val="0001117E"/>
    <w:rsid w:val="00011335"/>
    <w:rsid w:val="000113C6"/>
    <w:rsid w:val="0001158A"/>
    <w:rsid w:val="000115DE"/>
    <w:rsid w:val="00011B9E"/>
    <w:rsid w:val="00012286"/>
    <w:rsid w:val="00012658"/>
    <w:rsid w:val="00012710"/>
    <w:rsid w:val="00012C9B"/>
    <w:rsid w:val="00012ECB"/>
    <w:rsid w:val="0001303C"/>
    <w:rsid w:val="0001325C"/>
    <w:rsid w:val="00013508"/>
    <w:rsid w:val="00013525"/>
    <w:rsid w:val="00013B49"/>
    <w:rsid w:val="000142C1"/>
    <w:rsid w:val="00014693"/>
    <w:rsid w:val="000146AB"/>
    <w:rsid w:val="0001481C"/>
    <w:rsid w:val="00014D1B"/>
    <w:rsid w:val="00014E06"/>
    <w:rsid w:val="00015337"/>
    <w:rsid w:val="000153A1"/>
    <w:rsid w:val="000153E0"/>
    <w:rsid w:val="000157FF"/>
    <w:rsid w:val="0001587D"/>
    <w:rsid w:val="00015F9B"/>
    <w:rsid w:val="00016550"/>
    <w:rsid w:val="000168BD"/>
    <w:rsid w:val="00016C53"/>
    <w:rsid w:val="00016EB0"/>
    <w:rsid w:val="000175C8"/>
    <w:rsid w:val="00017D6D"/>
    <w:rsid w:val="000200F1"/>
    <w:rsid w:val="000207EE"/>
    <w:rsid w:val="00020EC8"/>
    <w:rsid w:val="000216FD"/>
    <w:rsid w:val="000217E8"/>
    <w:rsid w:val="00021B26"/>
    <w:rsid w:val="00021CAA"/>
    <w:rsid w:val="00021D74"/>
    <w:rsid w:val="00021E9C"/>
    <w:rsid w:val="00021F00"/>
    <w:rsid w:val="000223BE"/>
    <w:rsid w:val="000225AE"/>
    <w:rsid w:val="00022783"/>
    <w:rsid w:val="00022A83"/>
    <w:rsid w:val="0002324A"/>
    <w:rsid w:val="00023CFA"/>
    <w:rsid w:val="0002423B"/>
    <w:rsid w:val="00024562"/>
    <w:rsid w:val="00024752"/>
    <w:rsid w:val="00024840"/>
    <w:rsid w:val="00024AB7"/>
    <w:rsid w:val="00024D39"/>
    <w:rsid w:val="0002515A"/>
    <w:rsid w:val="00025219"/>
    <w:rsid w:val="000252E0"/>
    <w:rsid w:val="000252ED"/>
    <w:rsid w:val="00025303"/>
    <w:rsid w:val="00025795"/>
    <w:rsid w:val="00025BB9"/>
    <w:rsid w:val="000260AA"/>
    <w:rsid w:val="000261D3"/>
    <w:rsid w:val="00026471"/>
    <w:rsid w:val="00026618"/>
    <w:rsid w:val="0002672F"/>
    <w:rsid w:val="00026E9E"/>
    <w:rsid w:val="00026F98"/>
    <w:rsid w:val="000271BF"/>
    <w:rsid w:val="000271C4"/>
    <w:rsid w:val="000276CC"/>
    <w:rsid w:val="00027CD9"/>
    <w:rsid w:val="00030013"/>
    <w:rsid w:val="000301EA"/>
    <w:rsid w:val="00030347"/>
    <w:rsid w:val="00030436"/>
    <w:rsid w:val="000306F0"/>
    <w:rsid w:val="00030988"/>
    <w:rsid w:val="00030E17"/>
    <w:rsid w:val="00031009"/>
    <w:rsid w:val="000310FD"/>
    <w:rsid w:val="00031464"/>
    <w:rsid w:val="00031830"/>
    <w:rsid w:val="00032120"/>
    <w:rsid w:val="000322C0"/>
    <w:rsid w:val="0003247B"/>
    <w:rsid w:val="000325EE"/>
    <w:rsid w:val="00033010"/>
    <w:rsid w:val="00033520"/>
    <w:rsid w:val="000335E7"/>
    <w:rsid w:val="000338D6"/>
    <w:rsid w:val="00033C0A"/>
    <w:rsid w:val="00033C13"/>
    <w:rsid w:val="0003427B"/>
    <w:rsid w:val="0003431F"/>
    <w:rsid w:val="00034447"/>
    <w:rsid w:val="000344EF"/>
    <w:rsid w:val="00034714"/>
    <w:rsid w:val="00034BAF"/>
    <w:rsid w:val="00034D82"/>
    <w:rsid w:val="000352A1"/>
    <w:rsid w:val="00035DDE"/>
    <w:rsid w:val="00035F8D"/>
    <w:rsid w:val="000361B5"/>
    <w:rsid w:val="00036505"/>
    <w:rsid w:val="000368B4"/>
    <w:rsid w:val="00036B14"/>
    <w:rsid w:val="00036B1B"/>
    <w:rsid w:val="00036B52"/>
    <w:rsid w:val="00037256"/>
    <w:rsid w:val="00037355"/>
    <w:rsid w:val="000379C6"/>
    <w:rsid w:val="00037D7B"/>
    <w:rsid w:val="00040337"/>
    <w:rsid w:val="000403C9"/>
    <w:rsid w:val="00040621"/>
    <w:rsid w:val="00040652"/>
    <w:rsid w:val="00040729"/>
    <w:rsid w:val="0004079B"/>
    <w:rsid w:val="00040810"/>
    <w:rsid w:val="0004094C"/>
    <w:rsid w:val="00040B22"/>
    <w:rsid w:val="0004105D"/>
    <w:rsid w:val="0004124E"/>
    <w:rsid w:val="0004141C"/>
    <w:rsid w:val="00041423"/>
    <w:rsid w:val="00041741"/>
    <w:rsid w:val="00041BE4"/>
    <w:rsid w:val="00041BEA"/>
    <w:rsid w:val="00041C04"/>
    <w:rsid w:val="00041C0E"/>
    <w:rsid w:val="00041C4F"/>
    <w:rsid w:val="00041CF6"/>
    <w:rsid w:val="00041EA1"/>
    <w:rsid w:val="00042229"/>
    <w:rsid w:val="00042251"/>
    <w:rsid w:val="00042371"/>
    <w:rsid w:val="000425F8"/>
    <w:rsid w:val="0004269C"/>
    <w:rsid w:val="000427B7"/>
    <w:rsid w:val="0004321E"/>
    <w:rsid w:val="000440CE"/>
    <w:rsid w:val="000446CA"/>
    <w:rsid w:val="00044B61"/>
    <w:rsid w:val="00044D30"/>
    <w:rsid w:val="00044D5B"/>
    <w:rsid w:val="00045096"/>
    <w:rsid w:val="000450A1"/>
    <w:rsid w:val="000452FC"/>
    <w:rsid w:val="0004588D"/>
    <w:rsid w:val="000458AD"/>
    <w:rsid w:val="000459F6"/>
    <w:rsid w:val="00045C33"/>
    <w:rsid w:val="0004609E"/>
    <w:rsid w:val="00046138"/>
    <w:rsid w:val="000463D3"/>
    <w:rsid w:val="000466FE"/>
    <w:rsid w:val="00046813"/>
    <w:rsid w:val="000468D3"/>
    <w:rsid w:val="00046AFE"/>
    <w:rsid w:val="00046BC6"/>
    <w:rsid w:val="000475FA"/>
    <w:rsid w:val="00047747"/>
    <w:rsid w:val="00047A42"/>
    <w:rsid w:val="00047C4B"/>
    <w:rsid w:val="00050116"/>
    <w:rsid w:val="00050F75"/>
    <w:rsid w:val="000510E5"/>
    <w:rsid w:val="00051418"/>
    <w:rsid w:val="00052618"/>
    <w:rsid w:val="000528AB"/>
    <w:rsid w:val="0005296D"/>
    <w:rsid w:val="00052993"/>
    <w:rsid w:val="000534CE"/>
    <w:rsid w:val="000537F7"/>
    <w:rsid w:val="00053B5A"/>
    <w:rsid w:val="00053D4D"/>
    <w:rsid w:val="00053E24"/>
    <w:rsid w:val="00053F5E"/>
    <w:rsid w:val="00054215"/>
    <w:rsid w:val="000543FB"/>
    <w:rsid w:val="00054488"/>
    <w:rsid w:val="0005453F"/>
    <w:rsid w:val="00054561"/>
    <w:rsid w:val="0005470B"/>
    <w:rsid w:val="0005493B"/>
    <w:rsid w:val="00054EE6"/>
    <w:rsid w:val="00055E8F"/>
    <w:rsid w:val="00055F72"/>
    <w:rsid w:val="00055FE8"/>
    <w:rsid w:val="00056C49"/>
    <w:rsid w:val="00056CAD"/>
    <w:rsid w:val="00056E2C"/>
    <w:rsid w:val="0005708D"/>
    <w:rsid w:val="0005718A"/>
    <w:rsid w:val="0005730C"/>
    <w:rsid w:val="00057FE1"/>
    <w:rsid w:val="0006000B"/>
    <w:rsid w:val="00060274"/>
    <w:rsid w:val="00060307"/>
    <w:rsid w:val="000603BC"/>
    <w:rsid w:val="0006063C"/>
    <w:rsid w:val="00060A22"/>
    <w:rsid w:val="00061246"/>
    <w:rsid w:val="000614F7"/>
    <w:rsid w:val="00061766"/>
    <w:rsid w:val="00061B7A"/>
    <w:rsid w:val="00061C6F"/>
    <w:rsid w:val="00061E77"/>
    <w:rsid w:val="00062591"/>
    <w:rsid w:val="000625F1"/>
    <w:rsid w:val="00062E29"/>
    <w:rsid w:val="00063633"/>
    <w:rsid w:val="00063F6C"/>
    <w:rsid w:val="000642DC"/>
    <w:rsid w:val="00064305"/>
    <w:rsid w:val="00064A64"/>
    <w:rsid w:val="00064FB9"/>
    <w:rsid w:val="000651DF"/>
    <w:rsid w:val="000656A6"/>
    <w:rsid w:val="000657BD"/>
    <w:rsid w:val="000659CC"/>
    <w:rsid w:val="00065E31"/>
    <w:rsid w:val="00065F22"/>
    <w:rsid w:val="00065FFE"/>
    <w:rsid w:val="00066658"/>
    <w:rsid w:val="00066724"/>
    <w:rsid w:val="0006721F"/>
    <w:rsid w:val="00067416"/>
    <w:rsid w:val="000700A0"/>
    <w:rsid w:val="00070C32"/>
    <w:rsid w:val="000712B5"/>
    <w:rsid w:val="00071555"/>
    <w:rsid w:val="0007178A"/>
    <w:rsid w:val="00071DC2"/>
    <w:rsid w:val="00071F9F"/>
    <w:rsid w:val="0007231C"/>
    <w:rsid w:val="00072891"/>
    <w:rsid w:val="00072CA9"/>
    <w:rsid w:val="00072E05"/>
    <w:rsid w:val="00073205"/>
    <w:rsid w:val="0007344F"/>
    <w:rsid w:val="0007361D"/>
    <w:rsid w:val="00073840"/>
    <w:rsid w:val="000739A6"/>
    <w:rsid w:val="000745BC"/>
    <w:rsid w:val="000747B9"/>
    <w:rsid w:val="00074B7C"/>
    <w:rsid w:val="00074BBB"/>
    <w:rsid w:val="00075370"/>
    <w:rsid w:val="000753EA"/>
    <w:rsid w:val="000754A6"/>
    <w:rsid w:val="0007551C"/>
    <w:rsid w:val="00075D85"/>
    <w:rsid w:val="00075EB1"/>
    <w:rsid w:val="000760FB"/>
    <w:rsid w:val="00076178"/>
    <w:rsid w:val="00076B08"/>
    <w:rsid w:val="00077421"/>
    <w:rsid w:val="000776F5"/>
    <w:rsid w:val="00077B8B"/>
    <w:rsid w:val="00077D94"/>
    <w:rsid w:val="00077EE7"/>
    <w:rsid w:val="000801B6"/>
    <w:rsid w:val="00080357"/>
    <w:rsid w:val="000803FE"/>
    <w:rsid w:val="00080483"/>
    <w:rsid w:val="000809CB"/>
    <w:rsid w:val="00080A48"/>
    <w:rsid w:val="00080A58"/>
    <w:rsid w:val="00080B1D"/>
    <w:rsid w:val="00081323"/>
    <w:rsid w:val="000813C2"/>
    <w:rsid w:val="0008161B"/>
    <w:rsid w:val="00081670"/>
    <w:rsid w:val="0008185F"/>
    <w:rsid w:val="00081C8C"/>
    <w:rsid w:val="00081E8C"/>
    <w:rsid w:val="00082071"/>
    <w:rsid w:val="000824AF"/>
    <w:rsid w:val="000824B8"/>
    <w:rsid w:val="0008255D"/>
    <w:rsid w:val="00083233"/>
    <w:rsid w:val="00083380"/>
    <w:rsid w:val="00083695"/>
    <w:rsid w:val="00083ABD"/>
    <w:rsid w:val="00083B96"/>
    <w:rsid w:val="00083F72"/>
    <w:rsid w:val="00084B11"/>
    <w:rsid w:val="00084CCD"/>
    <w:rsid w:val="00085204"/>
    <w:rsid w:val="000852AA"/>
    <w:rsid w:val="0008552E"/>
    <w:rsid w:val="00085596"/>
    <w:rsid w:val="00085676"/>
    <w:rsid w:val="00085C22"/>
    <w:rsid w:val="0008616A"/>
    <w:rsid w:val="000864EC"/>
    <w:rsid w:val="000869A5"/>
    <w:rsid w:val="00086A99"/>
    <w:rsid w:val="0008713D"/>
    <w:rsid w:val="000876F0"/>
    <w:rsid w:val="00087994"/>
    <w:rsid w:val="00087F49"/>
    <w:rsid w:val="0009001D"/>
    <w:rsid w:val="00090202"/>
    <w:rsid w:val="00090274"/>
    <w:rsid w:val="00090BFB"/>
    <w:rsid w:val="00091500"/>
    <w:rsid w:val="00091644"/>
    <w:rsid w:val="00092127"/>
    <w:rsid w:val="0009252B"/>
    <w:rsid w:val="000926C2"/>
    <w:rsid w:val="0009273D"/>
    <w:rsid w:val="00092957"/>
    <w:rsid w:val="00093055"/>
    <w:rsid w:val="000933D8"/>
    <w:rsid w:val="000935CA"/>
    <w:rsid w:val="000937D0"/>
    <w:rsid w:val="00093869"/>
    <w:rsid w:val="00093A9F"/>
    <w:rsid w:val="00093EEE"/>
    <w:rsid w:val="0009414C"/>
    <w:rsid w:val="000943A9"/>
    <w:rsid w:val="00094417"/>
    <w:rsid w:val="000948FB"/>
    <w:rsid w:val="00094901"/>
    <w:rsid w:val="0009501B"/>
    <w:rsid w:val="00095415"/>
    <w:rsid w:val="00095492"/>
    <w:rsid w:val="00095B61"/>
    <w:rsid w:val="00095DBD"/>
    <w:rsid w:val="00095ED2"/>
    <w:rsid w:val="00095FFB"/>
    <w:rsid w:val="0009657C"/>
    <w:rsid w:val="00096A6A"/>
    <w:rsid w:val="00097002"/>
    <w:rsid w:val="000972FB"/>
    <w:rsid w:val="0009743D"/>
    <w:rsid w:val="000A0397"/>
    <w:rsid w:val="000A05B3"/>
    <w:rsid w:val="000A109E"/>
    <w:rsid w:val="000A1126"/>
    <w:rsid w:val="000A1275"/>
    <w:rsid w:val="000A17C2"/>
    <w:rsid w:val="000A18C9"/>
    <w:rsid w:val="000A1D08"/>
    <w:rsid w:val="000A1D39"/>
    <w:rsid w:val="000A2113"/>
    <w:rsid w:val="000A217F"/>
    <w:rsid w:val="000A2575"/>
    <w:rsid w:val="000A25DA"/>
    <w:rsid w:val="000A2BC6"/>
    <w:rsid w:val="000A2C56"/>
    <w:rsid w:val="000A2F0B"/>
    <w:rsid w:val="000A312F"/>
    <w:rsid w:val="000A3281"/>
    <w:rsid w:val="000A3B2C"/>
    <w:rsid w:val="000A3BE6"/>
    <w:rsid w:val="000A3CCE"/>
    <w:rsid w:val="000A4312"/>
    <w:rsid w:val="000A48EB"/>
    <w:rsid w:val="000A4DA5"/>
    <w:rsid w:val="000A52FA"/>
    <w:rsid w:val="000A5313"/>
    <w:rsid w:val="000A5FE4"/>
    <w:rsid w:val="000A6097"/>
    <w:rsid w:val="000A642E"/>
    <w:rsid w:val="000A681D"/>
    <w:rsid w:val="000A695E"/>
    <w:rsid w:val="000A69A5"/>
    <w:rsid w:val="000A6ECD"/>
    <w:rsid w:val="000A6EFE"/>
    <w:rsid w:val="000A70E7"/>
    <w:rsid w:val="000A7239"/>
    <w:rsid w:val="000A778C"/>
    <w:rsid w:val="000A7D53"/>
    <w:rsid w:val="000B0172"/>
    <w:rsid w:val="000B026C"/>
    <w:rsid w:val="000B0C31"/>
    <w:rsid w:val="000B0D52"/>
    <w:rsid w:val="000B1449"/>
    <w:rsid w:val="000B1C34"/>
    <w:rsid w:val="000B2193"/>
    <w:rsid w:val="000B220A"/>
    <w:rsid w:val="000B2634"/>
    <w:rsid w:val="000B27A8"/>
    <w:rsid w:val="000B2D5E"/>
    <w:rsid w:val="000B356D"/>
    <w:rsid w:val="000B3592"/>
    <w:rsid w:val="000B39A8"/>
    <w:rsid w:val="000B3C86"/>
    <w:rsid w:val="000B3E46"/>
    <w:rsid w:val="000B3F3B"/>
    <w:rsid w:val="000B3F6B"/>
    <w:rsid w:val="000B4065"/>
    <w:rsid w:val="000B421A"/>
    <w:rsid w:val="000B4318"/>
    <w:rsid w:val="000B499E"/>
    <w:rsid w:val="000B49E2"/>
    <w:rsid w:val="000B4A15"/>
    <w:rsid w:val="000B4E0D"/>
    <w:rsid w:val="000B4FE4"/>
    <w:rsid w:val="000B5394"/>
    <w:rsid w:val="000B5489"/>
    <w:rsid w:val="000B5560"/>
    <w:rsid w:val="000B5B10"/>
    <w:rsid w:val="000B5D5D"/>
    <w:rsid w:val="000B5E5F"/>
    <w:rsid w:val="000B60FF"/>
    <w:rsid w:val="000B66B1"/>
    <w:rsid w:val="000B67DF"/>
    <w:rsid w:val="000B6DC1"/>
    <w:rsid w:val="000B6DDB"/>
    <w:rsid w:val="000B6E82"/>
    <w:rsid w:val="000B7200"/>
    <w:rsid w:val="000B79E7"/>
    <w:rsid w:val="000C00B9"/>
    <w:rsid w:val="000C084C"/>
    <w:rsid w:val="000C08C4"/>
    <w:rsid w:val="000C0AA4"/>
    <w:rsid w:val="000C0E09"/>
    <w:rsid w:val="000C0FA1"/>
    <w:rsid w:val="000C117A"/>
    <w:rsid w:val="000C1229"/>
    <w:rsid w:val="000C182E"/>
    <w:rsid w:val="000C1847"/>
    <w:rsid w:val="000C2118"/>
    <w:rsid w:val="000C23FF"/>
    <w:rsid w:val="000C2500"/>
    <w:rsid w:val="000C26EB"/>
    <w:rsid w:val="000C37CF"/>
    <w:rsid w:val="000C380D"/>
    <w:rsid w:val="000C3CF9"/>
    <w:rsid w:val="000C3FBD"/>
    <w:rsid w:val="000C4554"/>
    <w:rsid w:val="000C46FA"/>
    <w:rsid w:val="000C4776"/>
    <w:rsid w:val="000C4BF7"/>
    <w:rsid w:val="000C4F88"/>
    <w:rsid w:val="000C5317"/>
    <w:rsid w:val="000C543E"/>
    <w:rsid w:val="000C5741"/>
    <w:rsid w:val="000C576B"/>
    <w:rsid w:val="000C584A"/>
    <w:rsid w:val="000C61A9"/>
    <w:rsid w:val="000C665B"/>
    <w:rsid w:val="000C6787"/>
    <w:rsid w:val="000C68EF"/>
    <w:rsid w:val="000C753C"/>
    <w:rsid w:val="000C7834"/>
    <w:rsid w:val="000C7B30"/>
    <w:rsid w:val="000C7B8F"/>
    <w:rsid w:val="000C7DBA"/>
    <w:rsid w:val="000C7E5D"/>
    <w:rsid w:val="000D0590"/>
    <w:rsid w:val="000D0591"/>
    <w:rsid w:val="000D067B"/>
    <w:rsid w:val="000D0CBC"/>
    <w:rsid w:val="000D10E3"/>
    <w:rsid w:val="000D16CB"/>
    <w:rsid w:val="000D181D"/>
    <w:rsid w:val="000D1BCC"/>
    <w:rsid w:val="000D1FDC"/>
    <w:rsid w:val="000D22CE"/>
    <w:rsid w:val="000D230E"/>
    <w:rsid w:val="000D252F"/>
    <w:rsid w:val="000D2B25"/>
    <w:rsid w:val="000D36CA"/>
    <w:rsid w:val="000D3866"/>
    <w:rsid w:val="000D399F"/>
    <w:rsid w:val="000D3C77"/>
    <w:rsid w:val="000D4735"/>
    <w:rsid w:val="000D48BF"/>
    <w:rsid w:val="000D4AC2"/>
    <w:rsid w:val="000D4D0A"/>
    <w:rsid w:val="000D4D16"/>
    <w:rsid w:val="000D4D8F"/>
    <w:rsid w:val="000D4E03"/>
    <w:rsid w:val="000D4F2F"/>
    <w:rsid w:val="000D4FD0"/>
    <w:rsid w:val="000D4FD2"/>
    <w:rsid w:val="000D5254"/>
    <w:rsid w:val="000D53D6"/>
    <w:rsid w:val="000D5AE7"/>
    <w:rsid w:val="000D5B0E"/>
    <w:rsid w:val="000D5B2C"/>
    <w:rsid w:val="000D5CA6"/>
    <w:rsid w:val="000D5D1C"/>
    <w:rsid w:val="000D6265"/>
    <w:rsid w:val="000D6294"/>
    <w:rsid w:val="000D62C4"/>
    <w:rsid w:val="000D6458"/>
    <w:rsid w:val="000D659F"/>
    <w:rsid w:val="000D6C06"/>
    <w:rsid w:val="000D6C5B"/>
    <w:rsid w:val="000D6E6D"/>
    <w:rsid w:val="000D6F6A"/>
    <w:rsid w:val="000D6FCD"/>
    <w:rsid w:val="000D75C2"/>
    <w:rsid w:val="000D770C"/>
    <w:rsid w:val="000D7DA0"/>
    <w:rsid w:val="000D7E0E"/>
    <w:rsid w:val="000E00AE"/>
    <w:rsid w:val="000E059D"/>
    <w:rsid w:val="000E07D9"/>
    <w:rsid w:val="000E07E7"/>
    <w:rsid w:val="000E087B"/>
    <w:rsid w:val="000E0BA2"/>
    <w:rsid w:val="000E0F4C"/>
    <w:rsid w:val="000E103F"/>
    <w:rsid w:val="000E1060"/>
    <w:rsid w:val="000E1761"/>
    <w:rsid w:val="000E19D8"/>
    <w:rsid w:val="000E1B56"/>
    <w:rsid w:val="000E232D"/>
    <w:rsid w:val="000E2713"/>
    <w:rsid w:val="000E2C0D"/>
    <w:rsid w:val="000E2C32"/>
    <w:rsid w:val="000E2EE7"/>
    <w:rsid w:val="000E2F49"/>
    <w:rsid w:val="000E348C"/>
    <w:rsid w:val="000E4252"/>
    <w:rsid w:val="000E4365"/>
    <w:rsid w:val="000E4497"/>
    <w:rsid w:val="000E45C7"/>
    <w:rsid w:val="000E4C12"/>
    <w:rsid w:val="000E4DBB"/>
    <w:rsid w:val="000E540B"/>
    <w:rsid w:val="000E561C"/>
    <w:rsid w:val="000E57A7"/>
    <w:rsid w:val="000E5879"/>
    <w:rsid w:val="000E59C0"/>
    <w:rsid w:val="000E5D73"/>
    <w:rsid w:val="000E634D"/>
    <w:rsid w:val="000E6483"/>
    <w:rsid w:val="000E666C"/>
    <w:rsid w:val="000E66E3"/>
    <w:rsid w:val="000E692A"/>
    <w:rsid w:val="000E6A39"/>
    <w:rsid w:val="000E6D17"/>
    <w:rsid w:val="000E7215"/>
    <w:rsid w:val="000E7BB3"/>
    <w:rsid w:val="000F02F1"/>
    <w:rsid w:val="000F066D"/>
    <w:rsid w:val="000F0B07"/>
    <w:rsid w:val="000F0F22"/>
    <w:rsid w:val="000F10AD"/>
    <w:rsid w:val="000F11B6"/>
    <w:rsid w:val="000F11D5"/>
    <w:rsid w:val="000F123D"/>
    <w:rsid w:val="000F207C"/>
    <w:rsid w:val="000F2628"/>
    <w:rsid w:val="000F2954"/>
    <w:rsid w:val="000F2F21"/>
    <w:rsid w:val="000F309F"/>
    <w:rsid w:val="000F3284"/>
    <w:rsid w:val="000F3431"/>
    <w:rsid w:val="000F370C"/>
    <w:rsid w:val="000F4090"/>
    <w:rsid w:val="000F4487"/>
    <w:rsid w:val="000F47FF"/>
    <w:rsid w:val="000F4AD7"/>
    <w:rsid w:val="000F4B62"/>
    <w:rsid w:val="000F4C0B"/>
    <w:rsid w:val="000F4C4F"/>
    <w:rsid w:val="000F4E35"/>
    <w:rsid w:val="000F4FB7"/>
    <w:rsid w:val="000F52BD"/>
    <w:rsid w:val="000F5876"/>
    <w:rsid w:val="000F5D2D"/>
    <w:rsid w:val="000F5D51"/>
    <w:rsid w:val="000F6245"/>
    <w:rsid w:val="000F643C"/>
    <w:rsid w:val="000F64C5"/>
    <w:rsid w:val="000F7230"/>
    <w:rsid w:val="000F757A"/>
    <w:rsid w:val="000F7A1F"/>
    <w:rsid w:val="000F7BFF"/>
    <w:rsid w:val="0010013B"/>
    <w:rsid w:val="0010078B"/>
    <w:rsid w:val="001009B7"/>
    <w:rsid w:val="00100EF7"/>
    <w:rsid w:val="001011D8"/>
    <w:rsid w:val="00101518"/>
    <w:rsid w:val="001017A9"/>
    <w:rsid w:val="00101891"/>
    <w:rsid w:val="00101AA1"/>
    <w:rsid w:val="00101B27"/>
    <w:rsid w:val="00101BB1"/>
    <w:rsid w:val="00101E60"/>
    <w:rsid w:val="00102330"/>
    <w:rsid w:val="001026D8"/>
    <w:rsid w:val="001028A3"/>
    <w:rsid w:val="00102E35"/>
    <w:rsid w:val="00103136"/>
    <w:rsid w:val="0010376E"/>
    <w:rsid w:val="00103E5B"/>
    <w:rsid w:val="0010435A"/>
    <w:rsid w:val="001049D0"/>
    <w:rsid w:val="00104A73"/>
    <w:rsid w:val="00104ACE"/>
    <w:rsid w:val="00105957"/>
    <w:rsid w:val="00105FB9"/>
    <w:rsid w:val="00106318"/>
    <w:rsid w:val="00106863"/>
    <w:rsid w:val="001068F6"/>
    <w:rsid w:val="00106CFD"/>
    <w:rsid w:val="00106EF4"/>
    <w:rsid w:val="001070D3"/>
    <w:rsid w:val="00107172"/>
    <w:rsid w:val="00107623"/>
    <w:rsid w:val="00107B8E"/>
    <w:rsid w:val="00107D62"/>
    <w:rsid w:val="00107F30"/>
    <w:rsid w:val="001103D9"/>
    <w:rsid w:val="0011055D"/>
    <w:rsid w:val="00110844"/>
    <w:rsid w:val="001108D8"/>
    <w:rsid w:val="001110D5"/>
    <w:rsid w:val="0011174F"/>
    <w:rsid w:val="0011222B"/>
    <w:rsid w:val="00112239"/>
    <w:rsid w:val="00112273"/>
    <w:rsid w:val="00112393"/>
    <w:rsid w:val="001129BB"/>
    <w:rsid w:val="00112BD9"/>
    <w:rsid w:val="00112D7E"/>
    <w:rsid w:val="00113BBD"/>
    <w:rsid w:val="00114156"/>
    <w:rsid w:val="00114920"/>
    <w:rsid w:val="00114B94"/>
    <w:rsid w:val="00114BA9"/>
    <w:rsid w:val="00115706"/>
    <w:rsid w:val="00115A1B"/>
    <w:rsid w:val="00115D8A"/>
    <w:rsid w:val="001165CA"/>
    <w:rsid w:val="00117233"/>
    <w:rsid w:val="001172BB"/>
    <w:rsid w:val="0011746B"/>
    <w:rsid w:val="001178A2"/>
    <w:rsid w:val="0011792A"/>
    <w:rsid w:val="00117E26"/>
    <w:rsid w:val="0012006D"/>
    <w:rsid w:val="001202A5"/>
    <w:rsid w:val="001204AC"/>
    <w:rsid w:val="00120950"/>
    <w:rsid w:val="00120F8C"/>
    <w:rsid w:val="001210A7"/>
    <w:rsid w:val="001212CC"/>
    <w:rsid w:val="00121467"/>
    <w:rsid w:val="00121B0C"/>
    <w:rsid w:val="00121E35"/>
    <w:rsid w:val="00121E53"/>
    <w:rsid w:val="00122E2D"/>
    <w:rsid w:val="00122F7A"/>
    <w:rsid w:val="001234EC"/>
    <w:rsid w:val="001238B5"/>
    <w:rsid w:val="00123F45"/>
    <w:rsid w:val="00124041"/>
    <w:rsid w:val="001242E6"/>
    <w:rsid w:val="001245C1"/>
    <w:rsid w:val="00124E04"/>
    <w:rsid w:val="0012505F"/>
    <w:rsid w:val="00125408"/>
    <w:rsid w:val="001256C0"/>
    <w:rsid w:val="0012593C"/>
    <w:rsid w:val="00125C50"/>
    <w:rsid w:val="00125D36"/>
    <w:rsid w:val="001265A7"/>
    <w:rsid w:val="001268AD"/>
    <w:rsid w:val="00126970"/>
    <w:rsid w:val="00126A2D"/>
    <w:rsid w:val="001270BD"/>
    <w:rsid w:val="001273CB"/>
    <w:rsid w:val="0012763D"/>
    <w:rsid w:val="00127904"/>
    <w:rsid w:val="00127ADC"/>
    <w:rsid w:val="00127E8A"/>
    <w:rsid w:val="00130144"/>
    <w:rsid w:val="001301F8"/>
    <w:rsid w:val="001302B4"/>
    <w:rsid w:val="00130681"/>
    <w:rsid w:val="00130CFD"/>
    <w:rsid w:val="00130DA7"/>
    <w:rsid w:val="0013147C"/>
    <w:rsid w:val="001316B5"/>
    <w:rsid w:val="001316DA"/>
    <w:rsid w:val="00131868"/>
    <w:rsid w:val="0013189E"/>
    <w:rsid w:val="00131D08"/>
    <w:rsid w:val="0013267A"/>
    <w:rsid w:val="001326DB"/>
    <w:rsid w:val="00132F79"/>
    <w:rsid w:val="001331E3"/>
    <w:rsid w:val="0013328D"/>
    <w:rsid w:val="0013345F"/>
    <w:rsid w:val="0013364B"/>
    <w:rsid w:val="001339E6"/>
    <w:rsid w:val="00133E3D"/>
    <w:rsid w:val="00133F1E"/>
    <w:rsid w:val="00133FAF"/>
    <w:rsid w:val="00134138"/>
    <w:rsid w:val="001345B7"/>
    <w:rsid w:val="001345E4"/>
    <w:rsid w:val="00134B77"/>
    <w:rsid w:val="00134BEE"/>
    <w:rsid w:val="00134C85"/>
    <w:rsid w:val="00134FA5"/>
    <w:rsid w:val="00134FFB"/>
    <w:rsid w:val="001358BC"/>
    <w:rsid w:val="00135A51"/>
    <w:rsid w:val="00135D0E"/>
    <w:rsid w:val="00135F65"/>
    <w:rsid w:val="00135F79"/>
    <w:rsid w:val="00136009"/>
    <w:rsid w:val="00136729"/>
    <w:rsid w:val="00136A04"/>
    <w:rsid w:val="00136B2A"/>
    <w:rsid w:val="0013707E"/>
    <w:rsid w:val="00137354"/>
    <w:rsid w:val="0013747A"/>
    <w:rsid w:val="001374F4"/>
    <w:rsid w:val="001377C7"/>
    <w:rsid w:val="001377FA"/>
    <w:rsid w:val="00137A98"/>
    <w:rsid w:val="00137D4F"/>
    <w:rsid w:val="00140053"/>
    <w:rsid w:val="001404E5"/>
    <w:rsid w:val="00140564"/>
    <w:rsid w:val="00140835"/>
    <w:rsid w:val="00140875"/>
    <w:rsid w:val="00140A43"/>
    <w:rsid w:val="00140B3B"/>
    <w:rsid w:val="00140FC1"/>
    <w:rsid w:val="00141385"/>
    <w:rsid w:val="001413B3"/>
    <w:rsid w:val="001413F5"/>
    <w:rsid w:val="0014197A"/>
    <w:rsid w:val="00141E71"/>
    <w:rsid w:val="001424E2"/>
    <w:rsid w:val="001429B6"/>
    <w:rsid w:val="00142D1C"/>
    <w:rsid w:val="0014308A"/>
    <w:rsid w:val="0014312D"/>
    <w:rsid w:val="00143227"/>
    <w:rsid w:val="0014342D"/>
    <w:rsid w:val="00143AAA"/>
    <w:rsid w:val="00143B4F"/>
    <w:rsid w:val="00143CFE"/>
    <w:rsid w:val="00143E16"/>
    <w:rsid w:val="00144257"/>
    <w:rsid w:val="00144922"/>
    <w:rsid w:val="00144996"/>
    <w:rsid w:val="00144ABF"/>
    <w:rsid w:val="00144CF1"/>
    <w:rsid w:val="00144F8A"/>
    <w:rsid w:val="001450F6"/>
    <w:rsid w:val="0014551D"/>
    <w:rsid w:val="00145E28"/>
    <w:rsid w:val="00146101"/>
    <w:rsid w:val="001461C0"/>
    <w:rsid w:val="001461CA"/>
    <w:rsid w:val="001462D7"/>
    <w:rsid w:val="00146DA7"/>
    <w:rsid w:val="00146DE7"/>
    <w:rsid w:val="00146EB0"/>
    <w:rsid w:val="0014779D"/>
    <w:rsid w:val="00147953"/>
    <w:rsid w:val="00147DE5"/>
    <w:rsid w:val="00150335"/>
    <w:rsid w:val="00150664"/>
    <w:rsid w:val="00150790"/>
    <w:rsid w:val="00150CCD"/>
    <w:rsid w:val="00150EB5"/>
    <w:rsid w:val="0015122A"/>
    <w:rsid w:val="001518AE"/>
    <w:rsid w:val="00151A6D"/>
    <w:rsid w:val="00151C16"/>
    <w:rsid w:val="00151CF5"/>
    <w:rsid w:val="0015205A"/>
    <w:rsid w:val="00152115"/>
    <w:rsid w:val="0015276A"/>
    <w:rsid w:val="00152780"/>
    <w:rsid w:val="00152812"/>
    <w:rsid w:val="0015291C"/>
    <w:rsid w:val="001529C8"/>
    <w:rsid w:val="0015311B"/>
    <w:rsid w:val="0015331C"/>
    <w:rsid w:val="0015346D"/>
    <w:rsid w:val="001534CA"/>
    <w:rsid w:val="001535D8"/>
    <w:rsid w:val="00153963"/>
    <w:rsid w:val="00153F3B"/>
    <w:rsid w:val="00154048"/>
    <w:rsid w:val="00154492"/>
    <w:rsid w:val="001546A7"/>
    <w:rsid w:val="001548C0"/>
    <w:rsid w:val="0015491A"/>
    <w:rsid w:val="00154A9C"/>
    <w:rsid w:val="00154CF6"/>
    <w:rsid w:val="00154F62"/>
    <w:rsid w:val="0015519F"/>
    <w:rsid w:val="0015527F"/>
    <w:rsid w:val="00155310"/>
    <w:rsid w:val="001554BB"/>
    <w:rsid w:val="0015580C"/>
    <w:rsid w:val="00155877"/>
    <w:rsid w:val="00155C6E"/>
    <w:rsid w:val="00155E7B"/>
    <w:rsid w:val="0015640B"/>
    <w:rsid w:val="00156B5D"/>
    <w:rsid w:val="0015785B"/>
    <w:rsid w:val="00157A9F"/>
    <w:rsid w:val="00157B27"/>
    <w:rsid w:val="00157E89"/>
    <w:rsid w:val="00157ED4"/>
    <w:rsid w:val="001601E5"/>
    <w:rsid w:val="001605D6"/>
    <w:rsid w:val="00160BDC"/>
    <w:rsid w:val="00161AC1"/>
    <w:rsid w:val="00161C1F"/>
    <w:rsid w:val="00161CB5"/>
    <w:rsid w:val="00161CDF"/>
    <w:rsid w:val="00161E4F"/>
    <w:rsid w:val="001621DB"/>
    <w:rsid w:val="001629FA"/>
    <w:rsid w:val="00162C31"/>
    <w:rsid w:val="001630D1"/>
    <w:rsid w:val="0016319E"/>
    <w:rsid w:val="00163276"/>
    <w:rsid w:val="00163384"/>
    <w:rsid w:val="001634D6"/>
    <w:rsid w:val="0016353D"/>
    <w:rsid w:val="0016392A"/>
    <w:rsid w:val="00163A50"/>
    <w:rsid w:val="00163FF6"/>
    <w:rsid w:val="0016416B"/>
    <w:rsid w:val="00164436"/>
    <w:rsid w:val="00164E7B"/>
    <w:rsid w:val="00164FC8"/>
    <w:rsid w:val="001650BC"/>
    <w:rsid w:val="00165510"/>
    <w:rsid w:val="00165562"/>
    <w:rsid w:val="0016558F"/>
    <w:rsid w:val="001656BD"/>
    <w:rsid w:val="00165CAE"/>
    <w:rsid w:val="00165D89"/>
    <w:rsid w:val="0016646A"/>
    <w:rsid w:val="0016676D"/>
    <w:rsid w:val="001672C6"/>
    <w:rsid w:val="0016733A"/>
    <w:rsid w:val="00167699"/>
    <w:rsid w:val="00167A20"/>
    <w:rsid w:val="00167BB2"/>
    <w:rsid w:val="00167CAF"/>
    <w:rsid w:val="00167E5A"/>
    <w:rsid w:val="00170304"/>
    <w:rsid w:val="00170729"/>
    <w:rsid w:val="0017074A"/>
    <w:rsid w:val="00170893"/>
    <w:rsid w:val="001708E5"/>
    <w:rsid w:val="001719C8"/>
    <w:rsid w:val="00171B5E"/>
    <w:rsid w:val="00171CD7"/>
    <w:rsid w:val="00171D5C"/>
    <w:rsid w:val="001720BA"/>
    <w:rsid w:val="0017291A"/>
    <w:rsid w:val="0017297D"/>
    <w:rsid w:val="00172F5A"/>
    <w:rsid w:val="00172F6B"/>
    <w:rsid w:val="00173738"/>
    <w:rsid w:val="00173925"/>
    <w:rsid w:val="00173A62"/>
    <w:rsid w:val="00173D4B"/>
    <w:rsid w:val="00173DF2"/>
    <w:rsid w:val="00173E25"/>
    <w:rsid w:val="00173E80"/>
    <w:rsid w:val="00174375"/>
    <w:rsid w:val="001749D5"/>
    <w:rsid w:val="00174D4A"/>
    <w:rsid w:val="00175209"/>
    <w:rsid w:val="0017543C"/>
    <w:rsid w:val="00175499"/>
    <w:rsid w:val="0017570C"/>
    <w:rsid w:val="001757C1"/>
    <w:rsid w:val="001757EB"/>
    <w:rsid w:val="001760D5"/>
    <w:rsid w:val="0017632F"/>
    <w:rsid w:val="0017679F"/>
    <w:rsid w:val="001768BD"/>
    <w:rsid w:val="00176904"/>
    <w:rsid w:val="00176F54"/>
    <w:rsid w:val="00176FCA"/>
    <w:rsid w:val="00177041"/>
    <w:rsid w:val="0017720A"/>
    <w:rsid w:val="001772B0"/>
    <w:rsid w:val="00177638"/>
    <w:rsid w:val="0017778F"/>
    <w:rsid w:val="00177F5C"/>
    <w:rsid w:val="0017EF6E"/>
    <w:rsid w:val="00180096"/>
    <w:rsid w:val="0018017D"/>
    <w:rsid w:val="001804AC"/>
    <w:rsid w:val="001807FD"/>
    <w:rsid w:val="001809BC"/>
    <w:rsid w:val="001809FC"/>
    <w:rsid w:val="00180BFD"/>
    <w:rsid w:val="00180E77"/>
    <w:rsid w:val="00180E99"/>
    <w:rsid w:val="00180FEC"/>
    <w:rsid w:val="0018101A"/>
    <w:rsid w:val="0018144C"/>
    <w:rsid w:val="00181940"/>
    <w:rsid w:val="00181BB6"/>
    <w:rsid w:val="00181DE3"/>
    <w:rsid w:val="00181DEC"/>
    <w:rsid w:val="001820C2"/>
    <w:rsid w:val="001823EE"/>
    <w:rsid w:val="001825CF"/>
    <w:rsid w:val="001826B4"/>
    <w:rsid w:val="00182926"/>
    <w:rsid w:val="00182DCB"/>
    <w:rsid w:val="001831B0"/>
    <w:rsid w:val="001838DB"/>
    <w:rsid w:val="0018471F"/>
    <w:rsid w:val="00184BBA"/>
    <w:rsid w:val="00184CDE"/>
    <w:rsid w:val="00184D17"/>
    <w:rsid w:val="00184DC8"/>
    <w:rsid w:val="00185459"/>
    <w:rsid w:val="001858D4"/>
    <w:rsid w:val="0018614C"/>
    <w:rsid w:val="00186D96"/>
    <w:rsid w:val="0018706E"/>
    <w:rsid w:val="001875E4"/>
    <w:rsid w:val="00187805"/>
    <w:rsid w:val="00187945"/>
    <w:rsid w:val="001879F3"/>
    <w:rsid w:val="00187B41"/>
    <w:rsid w:val="00187CC2"/>
    <w:rsid w:val="0018964E"/>
    <w:rsid w:val="0018AAD9"/>
    <w:rsid w:val="00190024"/>
    <w:rsid w:val="00190A8F"/>
    <w:rsid w:val="00190DD0"/>
    <w:rsid w:val="00190F17"/>
    <w:rsid w:val="001910DD"/>
    <w:rsid w:val="00191251"/>
    <w:rsid w:val="00191278"/>
    <w:rsid w:val="001912B2"/>
    <w:rsid w:val="0019166C"/>
    <w:rsid w:val="001916D2"/>
    <w:rsid w:val="0019175F"/>
    <w:rsid w:val="001918B6"/>
    <w:rsid w:val="00191D78"/>
    <w:rsid w:val="00191EFB"/>
    <w:rsid w:val="00191F1D"/>
    <w:rsid w:val="00192413"/>
    <w:rsid w:val="0019262B"/>
    <w:rsid w:val="00192D49"/>
    <w:rsid w:val="00192EE0"/>
    <w:rsid w:val="00192F86"/>
    <w:rsid w:val="001932C9"/>
    <w:rsid w:val="001934BE"/>
    <w:rsid w:val="001937B8"/>
    <w:rsid w:val="00193ED2"/>
    <w:rsid w:val="00193FCD"/>
    <w:rsid w:val="001943A1"/>
    <w:rsid w:val="001948C0"/>
    <w:rsid w:val="00194A50"/>
    <w:rsid w:val="00194D0A"/>
    <w:rsid w:val="00194FF9"/>
    <w:rsid w:val="00195509"/>
    <w:rsid w:val="001962AF"/>
    <w:rsid w:val="001964CA"/>
    <w:rsid w:val="00196A86"/>
    <w:rsid w:val="00196B7F"/>
    <w:rsid w:val="00196F3D"/>
    <w:rsid w:val="0019775F"/>
    <w:rsid w:val="00197E14"/>
    <w:rsid w:val="001A045E"/>
    <w:rsid w:val="001A04AE"/>
    <w:rsid w:val="001A05AF"/>
    <w:rsid w:val="001A076C"/>
    <w:rsid w:val="001A0947"/>
    <w:rsid w:val="001A0AC7"/>
    <w:rsid w:val="001A0B0A"/>
    <w:rsid w:val="001A0D88"/>
    <w:rsid w:val="001A0DCB"/>
    <w:rsid w:val="001A0EB1"/>
    <w:rsid w:val="001A14C9"/>
    <w:rsid w:val="001A15B3"/>
    <w:rsid w:val="001A16A6"/>
    <w:rsid w:val="001A19D5"/>
    <w:rsid w:val="001A20DF"/>
    <w:rsid w:val="001A2810"/>
    <w:rsid w:val="001A2A13"/>
    <w:rsid w:val="001A2DBA"/>
    <w:rsid w:val="001A2F52"/>
    <w:rsid w:val="001A3855"/>
    <w:rsid w:val="001A3B9E"/>
    <w:rsid w:val="001A3CDB"/>
    <w:rsid w:val="001A412E"/>
    <w:rsid w:val="001A4881"/>
    <w:rsid w:val="001A4A55"/>
    <w:rsid w:val="001A4D1A"/>
    <w:rsid w:val="001A4FDA"/>
    <w:rsid w:val="001A57C7"/>
    <w:rsid w:val="001A5EFA"/>
    <w:rsid w:val="001A610B"/>
    <w:rsid w:val="001A6355"/>
    <w:rsid w:val="001A6482"/>
    <w:rsid w:val="001A64FB"/>
    <w:rsid w:val="001A66D3"/>
    <w:rsid w:val="001A69DF"/>
    <w:rsid w:val="001A72A0"/>
    <w:rsid w:val="001A730F"/>
    <w:rsid w:val="001A73DB"/>
    <w:rsid w:val="001A746A"/>
    <w:rsid w:val="001A7491"/>
    <w:rsid w:val="001A74E5"/>
    <w:rsid w:val="001A76E8"/>
    <w:rsid w:val="001A76F2"/>
    <w:rsid w:val="001A7C2C"/>
    <w:rsid w:val="001A7C69"/>
    <w:rsid w:val="001B01A7"/>
    <w:rsid w:val="001B023A"/>
    <w:rsid w:val="001B03BD"/>
    <w:rsid w:val="001B05E4"/>
    <w:rsid w:val="001B09F8"/>
    <w:rsid w:val="001B0A35"/>
    <w:rsid w:val="001B0D82"/>
    <w:rsid w:val="001B138A"/>
    <w:rsid w:val="001B1404"/>
    <w:rsid w:val="001B14B8"/>
    <w:rsid w:val="001B1514"/>
    <w:rsid w:val="001B16EC"/>
    <w:rsid w:val="001B170F"/>
    <w:rsid w:val="001B1C55"/>
    <w:rsid w:val="001B1D80"/>
    <w:rsid w:val="001B210C"/>
    <w:rsid w:val="001B2362"/>
    <w:rsid w:val="001B243A"/>
    <w:rsid w:val="001B24A8"/>
    <w:rsid w:val="001B2891"/>
    <w:rsid w:val="001B2B72"/>
    <w:rsid w:val="001B3050"/>
    <w:rsid w:val="001B38BA"/>
    <w:rsid w:val="001B39E9"/>
    <w:rsid w:val="001B39FC"/>
    <w:rsid w:val="001B3B48"/>
    <w:rsid w:val="001B4209"/>
    <w:rsid w:val="001B43AD"/>
    <w:rsid w:val="001B4578"/>
    <w:rsid w:val="001B4684"/>
    <w:rsid w:val="001B47A4"/>
    <w:rsid w:val="001B4B18"/>
    <w:rsid w:val="001B4C8F"/>
    <w:rsid w:val="001B4EF9"/>
    <w:rsid w:val="001B521E"/>
    <w:rsid w:val="001B5DD8"/>
    <w:rsid w:val="001B603A"/>
    <w:rsid w:val="001B606D"/>
    <w:rsid w:val="001B6AD6"/>
    <w:rsid w:val="001B6AEB"/>
    <w:rsid w:val="001B6BD1"/>
    <w:rsid w:val="001B6CF3"/>
    <w:rsid w:val="001B7B0D"/>
    <w:rsid w:val="001C01D6"/>
    <w:rsid w:val="001C0674"/>
    <w:rsid w:val="001C08BB"/>
    <w:rsid w:val="001C0C11"/>
    <w:rsid w:val="001C13CE"/>
    <w:rsid w:val="001C143D"/>
    <w:rsid w:val="001C15A6"/>
    <w:rsid w:val="001C189E"/>
    <w:rsid w:val="001C1AF7"/>
    <w:rsid w:val="001C1DBF"/>
    <w:rsid w:val="001C23BF"/>
    <w:rsid w:val="001C24E6"/>
    <w:rsid w:val="001C2CAE"/>
    <w:rsid w:val="001C33C0"/>
    <w:rsid w:val="001C36BB"/>
    <w:rsid w:val="001C37A3"/>
    <w:rsid w:val="001C3888"/>
    <w:rsid w:val="001C3A8A"/>
    <w:rsid w:val="001C3BAC"/>
    <w:rsid w:val="001C3CA6"/>
    <w:rsid w:val="001C3D74"/>
    <w:rsid w:val="001C4234"/>
    <w:rsid w:val="001C4AB3"/>
    <w:rsid w:val="001C4BE4"/>
    <w:rsid w:val="001C58E4"/>
    <w:rsid w:val="001C5B76"/>
    <w:rsid w:val="001C60E7"/>
    <w:rsid w:val="001C6170"/>
    <w:rsid w:val="001C682A"/>
    <w:rsid w:val="001C690C"/>
    <w:rsid w:val="001C69F7"/>
    <w:rsid w:val="001C6AA5"/>
    <w:rsid w:val="001C6C2A"/>
    <w:rsid w:val="001C6CAD"/>
    <w:rsid w:val="001C6D60"/>
    <w:rsid w:val="001C6DDF"/>
    <w:rsid w:val="001C6E1A"/>
    <w:rsid w:val="001C6EC8"/>
    <w:rsid w:val="001C7C60"/>
    <w:rsid w:val="001CBD9C"/>
    <w:rsid w:val="001D0177"/>
    <w:rsid w:val="001D04D2"/>
    <w:rsid w:val="001D0BC1"/>
    <w:rsid w:val="001D0CC6"/>
    <w:rsid w:val="001D0D67"/>
    <w:rsid w:val="001D0DF7"/>
    <w:rsid w:val="001D0FAB"/>
    <w:rsid w:val="001D1690"/>
    <w:rsid w:val="001D1746"/>
    <w:rsid w:val="001D197C"/>
    <w:rsid w:val="001D1D30"/>
    <w:rsid w:val="001D1E77"/>
    <w:rsid w:val="001D226E"/>
    <w:rsid w:val="001D2425"/>
    <w:rsid w:val="001D24A1"/>
    <w:rsid w:val="001D274B"/>
    <w:rsid w:val="001D2EEB"/>
    <w:rsid w:val="001D34C0"/>
    <w:rsid w:val="001D356D"/>
    <w:rsid w:val="001D3ABE"/>
    <w:rsid w:val="001D3E28"/>
    <w:rsid w:val="001D4065"/>
    <w:rsid w:val="001D416B"/>
    <w:rsid w:val="001D4308"/>
    <w:rsid w:val="001D43C8"/>
    <w:rsid w:val="001D459A"/>
    <w:rsid w:val="001D45F8"/>
    <w:rsid w:val="001D4719"/>
    <w:rsid w:val="001D494D"/>
    <w:rsid w:val="001D4B86"/>
    <w:rsid w:val="001D50DC"/>
    <w:rsid w:val="001D5581"/>
    <w:rsid w:val="001D5666"/>
    <w:rsid w:val="001D5778"/>
    <w:rsid w:val="001D5B2D"/>
    <w:rsid w:val="001D674C"/>
    <w:rsid w:val="001D6766"/>
    <w:rsid w:val="001D7079"/>
    <w:rsid w:val="001D725B"/>
    <w:rsid w:val="001D740B"/>
    <w:rsid w:val="001D7B3D"/>
    <w:rsid w:val="001E01AF"/>
    <w:rsid w:val="001E020B"/>
    <w:rsid w:val="001E0222"/>
    <w:rsid w:val="001E043D"/>
    <w:rsid w:val="001E04D9"/>
    <w:rsid w:val="001E0A65"/>
    <w:rsid w:val="001E1D65"/>
    <w:rsid w:val="001E1DED"/>
    <w:rsid w:val="001E1F98"/>
    <w:rsid w:val="001E2034"/>
    <w:rsid w:val="001E2057"/>
    <w:rsid w:val="001E264D"/>
    <w:rsid w:val="001E26D2"/>
    <w:rsid w:val="001E27CA"/>
    <w:rsid w:val="001E2A4B"/>
    <w:rsid w:val="001E2C32"/>
    <w:rsid w:val="001E2DC7"/>
    <w:rsid w:val="001E3109"/>
    <w:rsid w:val="001E31F9"/>
    <w:rsid w:val="001E39DA"/>
    <w:rsid w:val="001E45A7"/>
    <w:rsid w:val="001E4785"/>
    <w:rsid w:val="001E53C3"/>
    <w:rsid w:val="001E553E"/>
    <w:rsid w:val="001E5682"/>
    <w:rsid w:val="001E56A5"/>
    <w:rsid w:val="001E56AA"/>
    <w:rsid w:val="001E5ADE"/>
    <w:rsid w:val="001E5E23"/>
    <w:rsid w:val="001E5FC9"/>
    <w:rsid w:val="001E679D"/>
    <w:rsid w:val="001E6B6A"/>
    <w:rsid w:val="001E6B6F"/>
    <w:rsid w:val="001E6D3B"/>
    <w:rsid w:val="001E6DFE"/>
    <w:rsid w:val="001E6F0B"/>
    <w:rsid w:val="001E70DD"/>
    <w:rsid w:val="001E716C"/>
    <w:rsid w:val="001E73ED"/>
    <w:rsid w:val="001E74D4"/>
    <w:rsid w:val="001E7679"/>
    <w:rsid w:val="001E7691"/>
    <w:rsid w:val="001E7B95"/>
    <w:rsid w:val="001E7B99"/>
    <w:rsid w:val="001E7E00"/>
    <w:rsid w:val="001E7E06"/>
    <w:rsid w:val="001ECADF"/>
    <w:rsid w:val="001F00B8"/>
    <w:rsid w:val="001F096B"/>
    <w:rsid w:val="001F0B89"/>
    <w:rsid w:val="001F1272"/>
    <w:rsid w:val="001F13DF"/>
    <w:rsid w:val="001F1556"/>
    <w:rsid w:val="001F1A3A"/>
    <w:rsid w:val="001F1F20"/>
    <w:rsid w:val="001F1FC5"/>
    <w:rsid w:val="001F2302"/>
    <w:rsid w:val="001F2547"/>
    <w:rsid w:val="001F293D"/>
    <w:rsid w:val="001F2C03"/>
    <w:rsid w:val="001F2CD5"/>
    <w:rsid w:val="001F2DBC"/>
    <w:rsid w:val="001F3223"/>
    <w:rsid w:val="001F3B60"/>
    <w:rsid w:val="001F3BA2"/>
    <w:rsid w:val="001F3C8B"/>
    <w:rsid w:val="001F3CB4"/>
    <w:rsid w:val="001F3DD7"/>
    <w:rsid w:val="001F3E05"/>
    <w:rsid w:val="001F3F50"/>
    <w:rsid w:val="001F455E"/>
    <w:rsid w:val="001F4A0D"/>
    <w:rsid w:val="001F4B43"/>
    <w:rsid w:val="001F4CF6"/>
    <w:rsid w:val="001F4D13"/>
    <w:rsid w:val="001F4DEE"/>
    <w:rsid w:val="001F5499"/>
    <w:rsid w:val="001F574B"/>
    <w:rsid w:val="001F59E3"/>
    <w:rsid w:val="001F5FC7"/>
    <w:rsid w:val="001F6054"/>
    <w:rsid w:val="001F6130"/>
    <w:rsid w:val="001F6B18"/>
    <w:rsid w:val="001F6FDF"/>
    <w:rsid w:val="001F71AF"/>
    <w:rsid w:val="001F7271"/>
    <w:rsid w:val="001F7719"/>
    <w:rsid w:val="001F773A"/>
    <w:rsid w:val="001F77B4"/>
    <w:rsid w:val="001F77C8"/>
    <w:rsid w:val="001F77C9"/>
    <w:rsid w:val="001F79F7"/>
    <w:rsid w:val="001F7E0F"/>
    <w:rsid w:val="001F7E6A"/>
    <w:rsid w:val="001F7F65"/>
    <w:rsid w:val="00200139"/>
    <w:rsid w:val="00200468"/>
    <w:rsid w:val="002005D5"/>
    <w:rsid w:val="0020067E"/>
    <w:rsid w:val="00200A3D"/>
    <w:rsid w:val="00200B3F"/>
    <w:rsid w:val="00201810"/>
    <w:rsid w:val="00201C58"/>
    <w:rsid w:val="00201C5C"/>
    <w:rsid w:val="00201D57"/>
    <w:rsid w:val="00201DBE"/>
    <w:rsid w:val="00201E22"/>
    <w:rsid w:val="00202070"/>
    <w:rsid w:val="00202B3F"/>
    <w:rsid w:val="00202F94"/>
    <w:rsid w:val="00202F96"/>
    <w:rsid w:val="00203588"/>
    <w:rsid w:val="0020394C"/>
    <w:rsid w:val="00203A68"/>
    <w:rsid w:val="00203BD5"/>
    <w:rsid w:val="00204296"/>
    <w:rsid w:val="002050F8"/>
    <w:rsid w:val="00205669"/>
    <w:rsid w:val="002056B4"/>
    <w:rsid w:val="00205AF1"/>
    <w:rsid w:val="00205F1F"/>
    <w:rsid w:val="00206650"/>
    <w:rsid w:val="0020690A"/>
    <w:rsid w:val="00207045"/>
    <w:rsid w:val="002072E7"/>
    <w:rsid w:val="002074B9"/>
    <w:rsid w:val="00207564"/>
    <w:rsid w:val="0020769B"/>
    <w:rsid w:val="002076B0"/>
    <w:rsid w:val="0020782B"/>
    <w:rsid w:val="00207FB8"/>
    <w:rsid w:val="002101E1"/>
    <w:rsid w:val="00210393"/>
    <w:rsid w:val="002103AC"/>
    <w:rsid w:val="00210498"/>
    <w:rsid w:val="002109DA"/>
    <w:rsid w:val="00210E31"/>
    <w:rsid w:val="002113EF"/>
    <w:rsid w:val="00211BF5"/>
    <w:rsid w:val="00212267"/>
    <w:rsid w:val="00212950"/>
    <w:rsid w:val="00212C00"/>
    <w:rsid w:val="00212D2A"/>
    <w:rsid w:val="00212FCE"/>
    <w:rsid w:val="002132B6"/>
    <w:rsid w:val="0021364B"/>
    <w:rsid w:val="00213C54"/>
    <w:rsid w:val="00214397"/>
    <w:rsid w:val="00214714"/>
    <w:rsid w:val="00214844"/>
    <w:rsid w:val="002148E4"/>
    <w:rsid w:val="00214AD5"/>
    <w:rsid w:val="00215567"/>
    <w:rsid w:val="00215617"/>
    <w:rsid w:val="00215654"/>
    <w:rsid w:val="00215C02"/>
    <w:rsid w:val="002160E4"/>
    <w:rsid w:val="00216208"/>
    <w:rsid w:val="002162A3"/>
    <w:rsid w:val="002164A6"/>
    <w:rsid w:val="0021655C"/>
    <w:rsid w:val="00216592"/>
    <w:rsid w:val="002167B5"/>
    <w:rsid w:val="00216B4D"/>
    <w:rsid w:val="00216B6D"/>
    <w:rsid w:val="00216F4C"/>
    <w:rsid w:val="002172CD"/>
    <w:rsid w:val="00217870"/>
    <w:rsid w:val="00217DE2"/>
    <w:rsid w:val="00217E5D"/>
    <w:rsid w:val="002210D6"/>
    <w:rsid w:val="002215A5"/>
    <w:rsid w:val="0022190B"/>
    <w:rsid w:val="00221D4A"/>
    <w:rsid w:val="00222C98"/>
    <w:rsid w:val="00222CD0"/>
    <w:rsid w:val="00222DDC"/>
    <w:rsid w:val="0022353D"/>
    <w:rsid w:val="002237FC"/>
    <w:rsid w:val="002238B7"/>
    <w:rsid w:val="00223A21"/>
    <w:rsid w:val="00223E23"/>
    <w:rsid w:val="0022419E"/>
    <w:rsid w:val="002245C0"/>
    <w:rsid w:val="00224838"/>
    <w:rsid w:val="00224CEA"/>
    <w:rsid w:val="002254D2"/>
    <w:rsid w:val="0022565A"/>
    <w:rsid w:val="002259A9"/>
    <w:rsid w:val="00225BB2"/>
    <w:rsid w:val="00225FB1"/>
    <w:rsid w:val="002262A6"/>
    <w:rsid w:val="0022640D"/>
    <w:rsid w:val="002268BB"/>
    <w:rsid w:val="00226D41"/>
    <w:rsid w:val="00226DF3"/>
    <w:rsid w:val="00227084"/>
    <w:rsid w:val="00227386"/>
    <w:rsid w:val="00227810"/>
    <w:rsid w:val="00227B79"/>
    <w:rsid w:val="00230534"/>
    <w:rsid w:val="00230E9C"/>
    <w:rsid w:val="00231073"/>
    <w:rsid w:val="0023129F"/>
    <w:rsid w:val="00231808"/>
    <w:rsid w:val="002318B2"/>
    <w:rsid w:val="00232064"/>
    <w:rsid w:val="0023222D"/>
    <w:rsid w:val="00232B09"/>
    <w:rsid w:val="00232D02"/>
    <w:rsid w:val="00232DB8"/>
    <w:rsid w:val="002330BA"/>
    <w:rsid w:val="00233237"/>
    <w:rsid w:val="002336D1"/>
    <w:rsid w:val="00233D83"/>
    <w:rsid w:val="00233E60"/>
    <w:rsid w:val="00234103"/>
    <w:rsid w:val="00234340"/>
    <w:rsid w:val="00234471"/>
    <w:rsid w:val="0023461A"/>
    <w:rsid w:val="00234A1C"/>
    <w:rsid w:val="00234ABE"/>
    <w:rsid w:val="00234BA8"/>
    <w:rsid w:val="00234F22"/>
    <w:rsid w:val="00235231"/>
    <w:rsid w:val="002354BE"/>
    <w:rsid w:val="002354D5"/>
    <w:rsid w:val="0023554A"/>
    <w:rsid w:val="00235788"/>
    <w:rsid w:val="0023590E"/>
    <w:rsid w:val="0023655A"/>
    <w:rsid w:val="002366EF"/>
    <w:rsid w:val="00236901"/>
    <w:rsid w:val="00237096"/>
    <w:rsid w:val="00237774"/>
    <w:rsid w:val="00237A8C"/>
    <w:rsid w:val="00237AC6"/>
    <w:rsid w:val="00237D14"/>
    <w:rsid w:val="00237E0F"/>
    <w:rsid w:val="00237F99"/>
    <w:rsid w:val="0024002C"/>
    <w:rsid w:val="002400DB"/>
    <w:rsid w:val="0024015D"/>
    <w:rsid w:val="002407C1"/>
    <w:rsid w:val="00240C86"/>
    <w:rsid w:val="00240F37"/>
    <w:rsid w:val="0024124B"/>
    <w:rsid w:val="00241289"/>
    <w:rsid w:val="002415D1"/>
    <w:rsid w:val="002417C8"/>
    <w:rsid w:val="00241AAD"/>
    <w:rsid w:val="00241AEB"/>
    <w:rsid w:val="00241B4E"/>
    <w:rsid w:val="00241C0A"/>
    <w:rsid w:val="00241EF4"/>
    <w:rsid w:val="002426DA"/>
    <w:rsid w:val="00242AB6"/>
    <w:rsid w:val="00242D91"/>
    <w:rsid w:val="00242E30"/>
    <w:rsid w:val="00242E33"/>
    <w:rsid w:val="00243094"/>
    <w:rsid w:val="0024319C"/>
    <w:rsid w:val="00243785"/>
    <w:rsid w:val="00243C85"/>
    <w:rsid w:val="00244012"/>
    <w:rsid w:val="002440F0"/>
    <w:rsid w:val="0024431B"/>
    <w:rsid w:val="0024436A"/>
    <w:rsid w:val="00244461"/>
    <w:rsid w:val="0024451E"/>
    <w:rsid w:val="0024452A"/>
    <w:rsid w:val="002450AE"/>
    <w:rsid w:val="00245747"/>
    <w:rsid w:val="002457CF"/>
    <w:rsid w:val="00245905"/>
    <w:rsid w:val="00245B72"/>
    <w:rsid w:val="00245E5D"/>
    <w:rsid w:val="00246256"/>
    <w:rsid w:val="002462A4"/>
    <w:rsid w:val="002463D6"/>
    <w:rsid w:val="002469D3"/>
    <w:rsid w:val="00246B56"/>
    <w:rsid w:val="00246BF8"/>
    <w:rsid w:val="00246E4F"/>
    <w:rsid w:val="00246F60"/>
    <w:rsid w:val="00247768"/>
    <w:rsid w:val="00247C30"/>
    <w:rsid w:val="00247C3C"/>
    <w:rsid w:val="00250012"/>
    <w:rsid w:val="002500DC"/>
    <w:rsid w:val="0025038E"/>
    <w:rsid w:val="0025051E"/>
    <w:rsid w:val="00250E0E"/>
    <w:rsid w:val="00250E21"/>
    <w:rsid w:val="00250E78"/>
    <w:rsid w:val="00250F12"/>
    <w:rsid w:val="00250F70"/>
    <w:rsid w:val="0025151D"/>
    <w:rsid w:val="00251969"/>
    <w:rsid w:val="00251B7A"/>
    <w:rsid w:val="0025218D"/>
    <w:rsid w:val="002527AD"/>
    <w:rsid w:val="00252813"/>
    <w:rsid w:val="00252847"/>
    <w:rsid w:val="002530EB"/>
    <w:rsid w:val="0025310C"/>
    <w:rsid w:val="00253324"/>
    <w:rsid w:val="0025337A"/>
    <w:rsid w:val="00253963"/>
    <w:rsid w:val="00253B63"/>
    <w:rsid w:val="00253F2E"/>
    <w:rsid w:val="00254059"/>
    <w:rsid w:val="002542C8"/>
    <w:rsid w:val="002543E8"/>
    <w:rsid w:val="00254665"/>
    <w:rsid w:val="00254701"/>
    <w:rsid w:val="002548AE"/>
    <w:rsid w:val="00254973"/>
    <w:rsid w:val="00254C4C"/>
    <w:rsid w:val="002562E4"/>
    <w:rsid w:val="0025689B"/>
    <w:rsid w:val="00256FAA"/>
    <w:rsid w:val="00256FC4"/>
    <w:rsid w:val="0025720F"/>
    <w:rsid w:val="0025739E"/>
    <w:rsid w:val="00257434"/>
    <w:rsid w:val="002574E1"/>
    <w:rsid w:val="002577BC"/>
    <w:rsid w:val="00257823"/>
    <w:rsid w:val="002578C1"/>
    <w:rsid w:val="002601FF"/>
    <w:rsid w:val="0026029B"/>
    <w:rsid w:val="0026033D"/>
    <w:rsid w:val="002606EC"/>
    <w:rsid w:val="0026072E"/>
    <w:rsid w:val="002608D7"/>
    <w:rsid w:val="00260A0A"/>
    <w:rsid w:val="00260BEF"/>
    <w:rsid w:val="002611CF"/>
    <w:rsid w:val="0026171C"/>
    <w:rsid w:val="00261C49"/>
    <w:rsid w:val="00261C77"/>
    <w:rsid w:val="00262152"/>
    <w:rsid w:val="00262652"/>
    <w:rsid w:val="0026274C"/>
    <w:rsid w:val="00262A0B"/>
    <w:rsid w:val="00262DE9"/>
    <w:rsid w:val="00263372"/>
    <w:rsid w:val="00263471"/>
    <w:rsid w:val="0026347D"/>
    <w:rsid w:val="0026352E"/>
    <w:rsid w:val="002635CA"/>
    <w:rsid w:val="00263800"/>
    <w:rsid w:val="00263B12"/>
    <w:rsid w:val="00263FB1"/>
    <w:rsid w:val="00264937"/>
    <w:rsid w:val="0026540A"/>
    <w:rsid w:val="00265A82"/>
    <w:rsid w:val="002661B8"/>
    <w:rsid w:val="002661CF"/>
    <w:rsid w:val="00266238"/>
    <w:rsid w:val="002663C5"/>
    <w:rsid w:val="00266758"/>
    <w:rsid w:val="0026681E"/>
    <w:rsid w:val="00266A7B"/>
    <w:rsid w:val="00266EFB"/>
    <w:rsid w:val="0026737D"/>
    <w:rsid w:val="002673DB"/>
    <w:rsid w:val="00267658"/>
    <w:rsid w:val="00267671"/>
    <w:rsid w:val="00267F88"/>
    <w:rsid w:val="00270221"/>
    <w:rsid w:val="00270833"/>
    <w:rsid w:val="00270AEF"/>
    <w:rsid w:val="00270BA8"/>
    <w:rsid w:val="00270D47"/>
    <w:rsid w:val="00270FCE"/>
    <w:rsid w:val="00272124"/>
    <w:rsid w:val="00272210"/>
    <w:rsid w:val="002723C0"/>
    <w:rsid w:val="002726E1"/>
    <w:rsid w:val="0027276E"/>
    <w:rsid w:val="00272ED3"/>
    <w:rsid w:val="002736B3"/>
    <w:rsid w:val="002736F5"/>
    <w:rsid w:val="0027370F"/>
    <w:rsid w:val="0027383E"/>
    <w:rsid w:val="002739DA"/>
    <w:rsid w:val="00274057"/>
    <w:rsid w:val="002740C9"/>
    <w:rsid w:val="00274253"/>
    <w:rsid w:val="002743A1"/>
    <w:rsid w:val="002748EE"/>
    <w:rsid w:val="00274963"/>
    <w:rsid w:val="002749DD"/>
    <w:rsid w:val="00274BA9"/>
    <w:rsid w:val="00274E45"/>
    <w:rsid w:val="0027583D"/>
    <w:rsid w:val="00275F77"/>
    <w:rsid w:val="002761B6"/>
    <w:rsid w:val="00276F27"/>
    <w:rsid w:val="002777DF"/>
    <w:rsid w:val="00277A64"/>
    <w:rsid w:val="00277A8D"/>
    <w:rsid w:val="00280047"/>
    <w:rsid w:val="002810BC"/>
    <w:rsid w:val="002811A4"/>
    <w:rsid w:val="002816B4"/>
    <w:rsid w:val="00281768"/>
    <w:rsid w:val="00281BDE"/>
    <w:rsid w:val="00281ECC"/>
    <w:rsid w:val="002822A0"/>
    <w:rsid w:val="00282949"/>
    <w:rsid w:val="00282EDE"/>
    <w:rsid w:val="00283186"/>
    <w:rsid w:val="00283222"/>
    <w:rsid w:val="00283594"/>
    <w:rsid w:val="002838FC"/>
    <w:rsid w:val="0028392F"/>
    <w:rsid w:val="00283A12"/>
    <w:rsid w:val="00283A95"/>
    <w:rsid w:val="00283A9F"/>
    <w:rsid w:val="00283AB9"/>
    <w:rsid w:val="00284199"/>
    <w:rsid w:val="002844A5"/>
    <w:rsid w:val="002847F7"/>
    <w:rsid w:val="00284A39"/>
    <w:rsid w:val="00284EB0"/>
    <w:rsid w:val="00285299"/>
    <w:rsid w:val="0028563B"/>
    <w:rsid w:val="00285916"/>
    <w:rsid w:val="00286396"/>
    <w:rsid w:val="0028674C"/>
    <w:rsid w:val="002869E0"/>
    <w:rsid w:val="00286BE8"/>
    <w:rsid w:val="00286F43"/>
    <w:rsid w:val="00287221"/>
    <w:rsid w:val="0028745C"/>
    <w:rsid w:val="00287722"/>
    <w:rsid w:val="00287AB5"/>
    <w:rsid w:val="00287BCF"/>
    <w:rsid w:val="00287CFF"/>
    <w:rsid w:val="00287DC1"/>
    <w:rsid w:val="00290082"/>
    <w:rsid w:val="002903D9"/>
    <w:rsid w:val="00290AB1"/>
    <w:rsid w:val="00291267"/>
    <w:rsid w:val="002914AA"/>
    <w:rsid w:val="00291502"/>
    <w:rsid w:val="00291530"/>
    <w:rsid w:val="002918DF"/>
    <w:rsid w:val="00292300"/>
    <w:rsid w:val="002927BC"/>
    <w:rsid w:val="0029294F"/>
    <w:rsid w:val="00292B43"/>
    <w:rsid w:val="00292CD2"/>
    <w:rsid w:val="002933B5"/>
    <w:rsid w:val="002934E5"/>
    <w:rsid w:val="0029353E"/>
    <w:rsid w:val="0029358A"/>
    <w:rsid w:val="002937DB"/>
    <w:rsid w:val="00293901"/>
    <w:rsid w:val="00293EA7"/>
    <w:rsid w:val="00293F45"/>
    <w:rsid w:val="002943BB"/>
    <w:rsid w:val="00294671"/>
    <w:rsid w:val="00294AFD"/>
    <w:rsid w:val="002951F1"/>
    <w:rsid w:val="00296511"/>
    <w:rsid w:val="0029684C"/>
    <w:rsid w:val="0029684D"/>
    <w:rsid w:val="0029707D"/>
    <w:rsid w:val="00297631"/>
    <w:rsid w:val="002976F0"/>
    <w:rsid w:val="0029783B"/>
    <w:rsid w:val="00297F90"/>
    <w:rsid w:val="002A009C"/>
    <w:rsid w:val="002A0C6B"/>
    <w:rsid w:val="002A0CCA"/>
    <w:rsid w:val="002A0DEE"/>
    <w:rsid w:val="002A0EBC"/>
    <w:rsid w:val="002A1177"/>
    <w:rsid w:val="002A149A"/>
    <w:rsid w:val="002A1815"/>
    <w:rsid w:val="002A1BCA"/>
    <w:rsid w:val="002A1BD8"/>
    <w:rsid w:val="002A2401"/>
    <w:rsid w:val="002A2A57"/>
    <w:rsid w:val="002A3183"/>
    <w:rsid w:val="002A35A0"/>
    <w:rsid w:val="002A35E3"/>
    <w:rsid w:val="002A3762"/>
    <w:rsid w:val="002A3A29"/>
    <w:rsid w:val="002A4182"/>
    <w:rsid w:val="002A41E2"/>
    <w:rsid w:val="002A433E"/>
    <w:rsid w:val="002A44AE"/>
    <w:rsid w:val="002A46C0"/>
    <w:rsid w:val="002A4A34"/>
    <w:rsid w:val="002A4ECE"/>
    <w:rsid w:val="002A4EFB"/>
    <w:rsid w:val="002A5538"/>
    <w:rsid w:val="002A558B"/>
    <w:rsid w:val="002A5893"/>
    <w:rsid w:val="002A604E"/>
    <w:rsid w:val="002A6314"/>
    <w:rsid w:val="002A66AF"/>
    <w:rsid w:val="002A6771"/>
    <w:rsid w:val="002A6954"/>
    <w:rsid w:val="002A6FB6"/>
    <w:rsid w:val="002A7AAB"/>
    <w:rsid w:val="002A7E27"/>
    <w:rsid w:val="002B09A5"/>
    <w:rsid w:val="002B0B64"/>
    <w:rsid w:val="002B0C09"/>
    <w:rsid w:val="002B1607"/>
    <w:rsid w:val="002B1B12"/>
    <w:rsid w:val="002B1B87"/>
    <w:rsid w:val="002B2212"/>
    <w:rsid w:val="002B28B0"/>
    <w:rsid w:val="002B2CB8"/>
    <w:rsid w:val="002B3419"/>
    <w:rsid w:val="002B3518"/>
    <w:rsid w:val="002B3778"/>
    <w:rsid w:val="002B3F24"/>
    <w:rsid w:val="002B4230"/>
    <w:rsid w:val="002B4626"/>
    <w:rsid w:val="002B4B73"/>
    <w:rsid w:val="002B5016"/>
    <w:rsid w:val="002B53E6"/>
    <w:rsid w:val="002B5760"/>
    <w:rsid w:val="002B5891"/>
    <w:rsid w:val="002B65FA"/>
    <w:rsid w:val="002B6893"/>
    <w:rsid w:val="002B68E8"/>
    <w:rsid w:val="002B69D0"/>
    <w:rsid w:val="002B6E39"/>
    <w:rsid w:val="002B6FA6"/>
    <w:rsid w:val="002B7453"/>
    <w:rsid w:val="002B7D0B"/>
    <w:rsid w:val="002C00B9"/>
    <w:rsid w:val="002C0389"/>
    <w:rsid w:val="002C070E"/>
    <w:rsid w:val="002C0996"/>
    <w:rsid w:val="002C0A0E"/>
    <w:rsid w:val="002C0A29"/>
    <w:rsid w:val="002C0B00"/>
    <w:rsid w:val="002C0B8E"/>
    <w:rsid w:val="002C1160"/>
    <w:rsid w:val="002C12F3"/>
    <w:rsid w:val="002C13A0"/>
    <w:rsid w:val="002C14AF"/>
    <w:rsid w:val="002C14C6"/>
    <w:rsid w:val="002C17C4"/>
    <w:rsid w:val="002C1895"/>
    <w:rsid w:val="002C207C"/>
    <w:rsid w:val="002C21BC"/>
    <w:rsid w:val="002C2276"/>
    <w:rsid w:val="002C26D9"/>
    <w:rsid w:val="002C2723"/>
    <w:rsid w:val="002C2742"/>
    <w:rsid w:val="002C3814"/>
    <w:rsid w:val="002C3BC0"/>
    <w:rsid w:val="002C406F"/>
    <w:rsid w:val="002C4954"/>
    <w:rsid w:val="002C4CF4"/>
    <w:rsid w:val="002C4D27"/>
    <w:rsid w:val="002C4EF9"/>
    <w:rsid w:val="002C5711"/>
    <w:rsid w:val="002C5786"/>
    <w:rsid w:val="002C5A8B"/>
    <w:rsid w:val="002C5E64"/>
    <w:rsid w:val="002C68CD"/>
    <w:rsid w:val="002C70DB"/>
    <w:rsid w:val="002C70F3"/>
    <w:rsid w:val="002C78C8"/>
    <w:rsid w:val="002C7D9C"/>
    <w:rsid w:val="002C7EB2"/>
    <w:rsid w:val="002D01A6"/>
    <w:rsid w:val="002D036C"/>
    <w:rsid w:val="002D040F"/>
    <w:rsid w:val="002D050E"/>
    <w:rsid w:val="002D0533"/>
    <w:rsid w:val="002D0812"/>
    <w:rsid w:val="002D0CD9"/>
    <w:rsid w:val="002D11E2"/>
    <w:rsid w:val="002D1213"/>
    <w:rsid w:val="002D18B7"/>
    <w:rsid w:val="002D1DAF"/>
    <w:rsid w:val="002D2466"/>
    <w:rsid w:val="002D28A0"/>
    <w:rsid w:val="002D2B9F"/>
    <w:rsid w:val="002D2DA9"/>
    <w:rsid w:val="002D37F7"/>
    <w:rsid w:val="002D3E5F"/>
    <w:rsid w:val="002D3F2D"/>
    <w:rsid w:val="002D4169"/>
    <w:rsid w:val="002D4257"/>
    <w:rsid w:val="002D4600"/>
    <w:rsid w:val="002D4BBB"/>
    <w:rsid w:val="002D4BE8"/>
    <w:rsid w:val="002D5D6B"/>
    <w:rsid w:val="002D6121"/>
    <w:rsid w:val="002D6261"/>
    <w:rsid w:val="002D65BE"/>
    <w:rsid w:val="002D6A3C"/>
    <w:rsid w:val="002D6BF8"/>
    <w:rsid w:val="002D779E"/>
    <w:rsid w:val="002D77C1"/>
    <w:rsid w:val="002D7B09"/>
    <w:rsid w:val="002E031C"/>
    <w:rsid w:val="002E0658"/>
    <w:rsid w:val="002E0960"/>
    <w:rsid w:val="002E0FFD"/>
    <w:rsid w:val="002E105B"/>
    <w:rsid w:val="002E1078"/>
    <w:rsid w:val="002E10B6"/>
    <w:rsid w:val="002E18B7"/>
    <w:rsid w:val="002E1BE3"/>
    <w:rsid w:val="002E2B52"/>
    <w:rsid w:val="002E2E00"/>
    <w:rsid w:val="002E2FC3"/>
    <w:rsid w:val="002E32A4"/>
    <w:rsid w:val="002E32A5"/>
    <w:rsid w:val="002E393B"/>
    <w:rsid w:val="002E39AE"/>
    <w:rsid w:val="002E3DEA"/>
    <w:rsid w:val="002E40F1"/>
    <w:rsid w:val="002E4211"/>
    <w:rsid w:val="002E45A6"/>
    <w:rsid w:val="002E46D8"/>
    <w:rsid w:val="002E5017"/>
    <w:rsid w:val="002E5114"/>
    <w:rsid w:val="002E57F4"/>
    <w:rsid w:val="002E5F16"/>
    <w:rsid w:val="002E5F8C"/>
    <w:rsid w:val="002E6A94"/>
    <w:rsid w:val="002E6D46"/>
    <w:rsid w:val="002E6EE6"/>
    <w:rsid w:val="002E71AC"/>
    <w:rsid w:val="002E72E0"/>
    <w:rsid w:val="002E7684"/>
    <w:rsid w:val="002E783F"/>
    <w:rsid w:val="002E7AD8"/>
    <w:rsid w:val="002F014B"/>
    <w:rsid w:val="002F036E"/>
    <w:rsid w:val="002F064A"/>
    <w:rsid w:val="002F0947"/>
    <w:rsid w:val="002F0F4D"/>
    <w:rsid w:val="002F129F"/>
    <w:rsid w:val="002F1F64"/>
    <w:rsid w:val="002F1FC8"/>
    <w:rsid w:val="002F2668"/>
    <w:rsid w:val="002F2937"/>
    <w:rsid w:val="002F2D13"/>
    <w:rsid w:val="002F2DC4"/>
    <w:rsid w:val="002F31F1"/>
    <w:rsid w:val="002F3774"/>
    <w:rsid w:val="002F3B1D"/>
    <w:rsid w:val="002F3F60"/>
    <w:rsid w:val="002F4168"/>
    <w:rsid w:val="002F4234"/>
    <w:rsid w:val="002F4A03"/>
    <w:rsid w:val="002F4A4E"/>
    <w:rsid w:val="002F502D"/>
    <w:rsid w:val="002F54A1"/>
    <w:rsid w:val="002F5AFE"/>
    <w:rsid w:val="002F5B7C"/>
    <w:rsid w:val="002F5CD1"/>
    <w:rsid w:val="002F5EAD"/>
    <w:rsid w:val="002F5F74"/>
    <w:rsid w:val="002F61CE"/>
    <w:rsid w:val="003001C3"/>
    <w:rsid w:val="00300871"/>
    <w:rsid w:val="003008BF"/>
    <w:rsid w:val="00300F35"/>
    <w:rsid w:val="00301170"/>
    <w:rsid w:val="003013D6"/>
    <w:rsid w:val="00301715"/>
    <w:rsid w:val="00301785"/>
    <w:rsid w:val="00301A99"/>
    <w:rsid w:val="00301D6A"/>
    <w:rsid w:val="00302295"/>
    <w:rsid w:val="0030229D"/>
    <w:rsid w:val="003029C6"/>
    <w:rsid w:val="00303022"/>
    <w:rsid w:val="003035D7"/>
    <w:rsid w:val="003037AC"/>
    <w:rsid w:val="00303C60"/>
    <w:rsid w:val="00303C99"/>
    <w:rsid w:val="00303E69"/>
    <w:rsid w:val="00303EA6"/>
    <w:rsid w:val="0030405E"/>
    <w:rsid w:val="003042D0"/>
    <w:rsid w:val="003045C6"/>
    <w:rsid w:val="00304746"/>
    <w:rsid w:val="00304876"/>
    <w:rsid w:val="003048B2"/>
    <w:rsid w:val="0030498B"/>
    <w:rsid w:val="00304B25"/>
    <w:rsid w:val="00304B5C"/>
    <w:rsid w:val="00304DEC"/>
    <w:rsid w:val="00304E35"/>
    <w:rsid w:val="00305557"/>
    <w:rsid w:val="00305A8B"/>
    <w:rsid w:val="00305AC9"/>
    <w:rsid w:val="00306019"/>
    <w:rsid w:val="00306463"/>
    <w:rsid w:val="003066C9"/>
    <w:rsid w:val="00306A6A"/>
    <w:rsid w:val="00306B7A"/>
    <w:rsid w:val="003071B8"/>
    <w:rsid w:val="0030729C"/>
    <w:rsid w:val="00307907"/>
    <w:rsid w:val="00307914"/>
    <w:rsid w:val="00307924"/>
    <w:rsid w:val="00307944"/>
    <w:rsid w:val="003105AC"/>
    <w:rsid w:val="00310609"/>
    <w:rsid w:val="00310A67"/>
    <w:rsid w:val="00310AB4"/>
    <w:rsid w:val="00310E9E"/>
    <w:rsid w:val="00310FE5"/>
    <w:rsid w:val="003124EF"/>
    <w:rsid w:val="0031251A"/>
    <w:rsid w:val="0031268A"/>
    <w:rsid w:val="003126F8"/>
    <w:rsid w:val="00312A05"/>
    <w:rsid w:val="00312B2D"/>
    <w:rsid w:val="00312B84"/>
    <w:rsid w:val="00312D2C"/>
    <w:rsid w:val="00312DB4"/>
    <w:rsid w:val="00312F2F"/>
    <w:rsid w:val="0031306C"/>
    <w:rsid w:val="003130D7"/>
    <w:rsid w:val="00313611"/>
    <w:rsid w:val="003136BD"/>
    <w:rsid w:val="00313C28"/>
    <w:rsid w:val="00313FC9"/>
    <w:rsid w:val="00314F54"/>
    <w:rsid w:val="003163D4"/>
    <w:rsid w:val="00316508"/>
    <w:rsid w:val="00316718"/>
    <w:rsid w:val="00316C3A"/>
    <w:rsid w:val="00316C79"/>
    <w:rsid w:val="00316E7E"/>
    <w:rsid w:val="00316F29"/>
    <w:rsid w:val="00317BBC"/>
    <w:rsid w:val="00317BDA"/>
    <w:rsid w:val="00317F6A"/>
    <w:rsid w:val="003201DF"/>
    <w:rsid w:val="0032054E"/>
    <w:rsid w:val="003208BD"/>
    <w:rsid w:val="00320B25"/>
    <w:rsid w:val="00320B95"/>
    <w:rsid w:val="00320F04"/>
    <w:rsid w:val="00321301"/>
    <w:rsid w:val="00321508"/>
    <w:rsid w:val="00321E94"/>
    <w:rsid w:val="0032230B"/>
    <w:rsid w:val="00322611"/>
    <w:rsid w:val="00322838"/>
    <w:rsid w:val="003229C6"/>
    <w:rsid w:val="00322CFC"/>
    <w:rsid w:val="00322D20"/>
    <w:rsid w:val="003234B0"/>
    <w:rsid w:val="0032360A"/>
    <w:rsid w:val="00323983"/>
    <w:rsid w:val="00323B38"/>
    <w:rsid w:val="00323BB8"/>
    <w:rsid w:val="00323BEC"/>
    <w:rsid w:val="00323FE9"/>
    <w:rsid w:val="00324241"/>
    <w:rsid w:val="00324319"/>
    <w:rsid w:val="00324321"/>
    <w:rsid w:val="00324684"/>
    <w:rsid w:val="00324A27"/>
    <w:rsid w:val="00324C32"/>
    <w:rsid w:val="0032538F"/>
    <w:rsid w:val="0032546D"/>
    <w:rsid w:val="003255A5"/>
    <w:rsid w:val="003255EC"/>
    <w:rsid w:val="0032597E"/>
    <w:rsid w:val="00325EA9"/>
    <w:rsid w:val="00326477"/>
    <w:rsid w:val="00326930"/>
    <w:rsid w:val="00326E5B"/>
    <w:rsid w:val="003271BB"/>
    <w:rsid w:val="00327923"/>
    <w:rsid w:val="00327A16"/>
    <w:rsid w:val="00327D60"/>
    <w:rsid w:val="00327FA4"/>
    <w:rsid w:val="003301AC"/>
    <w:rsid w:val="00330389"/>
    <w:rsid w:val="00330803"/>
    <w:rsid w:val="0033095D"/>
    <w:rsid w:val="00330F43"/>
    <w:rsid w:val="00331045"/>
    <w:rsid w:val="003317B1"/>
    <w:rsid w:val="00331873"/>
    <w:rsid w:val="00331B74"/>
    <w:rsid w:val="00331D01"/>
    <w:rsid w:val="003324BA"/>
    <w:rsid w:val="00332A1D"/>
    <w:rsid w:val="00332AAE"/>
    <w:rsid w:val="003330A7"/>
    <w:rsid w:val="003332D8"/>
    <w:rsid w:val="0033373C"/>
    <w:rsid w:val="00333E30"/>
    <w:rsid w:val="00333EC3"/>
    <w:rsid w:val="0033468B"/>
    <w:rsid w:val="0033487D"/>
    <w:rsid w:val="003349BB"/>
    <w:rsid w:val="00334BF4"/>
    <w:rsid w:val="00334E9D"/>
    <w:rsid w:val="003352B9"/>
    <w:rsid w:val="00335360"/>
    <w:rsid w:val="0033588A"/>
    <w:rsid w:val="00335D9E"/>
    <w:rsid w:val="00335E6A"/>
    <w:rsid w:val="00335EFD"/>
    <w:rsid w:val="003360F5"/>
    <w:rsid w:val="00336494"/>
    <w:rsid w:val="0033669F"/>
    <w:rsid w:val="003367DC"/>
    <w:rsid w:val="0033691D"/>
    <w:rsid w:val="00336927"/>
    <w:rsid w:val="00336929"/>
    <w:rsid w:val="00336E3E"/>
    <w:rsid w:val="0033734E"/>
    <w:rsid w:val="00337C0E"/>
    <w:rsid w:val="003405AB"/>
    <w:rsid w:val="003407B9"/>
    <w:rsid w:val="00341E71"/>
    <w:rsid w:val="00341E77"/>
    <w:rsid w:val="00341F5D"/>
    <w:rsid w:val="0034253F"/>
    <w:rsid w:val="0034308C"/>
    <w:rsid w:val="0034345B"/>
    <w:rsid w:val="003435BA"/>
    <w:rsid w:val="0034361E"/>
    <w:rsid w:val="00343DAF"/>
    <w:rsid w:val="0034411B"/>
    <w:rsid w:val="003444BD"/>
    <w:rsid w:val="003447F5"/>
    <w:rsid w:val="0034484E"/>
    <w:rsid w:val="00344917"/>
    <w:rsid w:val="00344969"/>
    <w:rsid w:val="00344A3E"/>
    <w:rsid w:val="00344C60"/>
    <w:rsid w:val="00344E8C"/>
    <w:rsid w:val="00345569"/>
    <w:rsid w:val="00345843"/>
    <w:rsid w:val="00345974"/>
    <w:rsid w:val="00345AF9"/>
    <w:rsid w:val="003460D4"/>
    <w:rsid w:val="0034613B"/>
    <w:rsid w:val="003465C1"/>
    <w:rsid w:val="0034677B"/>
    <w:rsid w:val="00346B95"/>
    <w:rsid w:val="00346DC9"/>
    <w:rsid w:val="00346FE9"/>
    <w:rsid w:val="0034704D"/>
    <w:rsid w:val="003470A1"/>
    <w:rsid w:val="00347302"/>
    <w:rsid w:val="0034763C"/>
    <w:rsid w:val="0034785C"/>
    <w:rsid w:val="00347AC2"/>
    <w:rsid w:val="0034F39B"/>
    <w:rsid w:val="00350418"/>
    <w:rsid w:val="003504F6"/>
    <w:rsid w:val="00350883"/>
    <w:rsid w:val="00350889"/>
    <w:rsid w:val="003508D7"/>
    <w:rsid w:val="00350F5F"/>
    <w:rsid w:val="003511CE"/>
    <w:rsid w:val="00351585"/>
    <w:rsid w:val="00351657"/>
    <w:rsid w:val="00351CA0"/>
    <w:rsid w:val="00352091"/>
    <w:rsid w:val="003520B1"/>
    <w:rsid w:val="00352655"/>
    <w:rsid w:val="00352C54"/>
    <w:rsid w:val="00352E98"/>
    <w:rsid w:val="0035373E"/>
    <w:rsid w:val="0035386B"/>
    <w:rsid w:val="00353D56"/>
    <w:rsid w:val="003541AF"/>
    <w:rsid w:val="003541D5"/>
    <w:rsid w:val="00354E91"/>
    <w:rsid w:val="00355325"/>
    <w:rsid w:val="00355461"/>
    <w:rsid w:val="003554AD"/>
    <w:rsid w:val="0035626F"/>
    <w:rsid w:val="00356884"/>
    <w:rsid w:val="00356FAE"/>
    <w:rsid w:val="00357057"/>
    <w:rsid w:val="003573C2"/>
    <w:rsid w:val="003576F1"/>
    <w:rsid w:val="003579A8"/>
    <w:rsid w:val="00357C71"/>
    <w:rsid w:val="00357E32"/>
    <w:rsid w:val="00357EB1"/>
    <w:rsid w:val="00360031"/>
    <w:rsid w:val="003602A5"/>
    <w:rsid w:val="0036071D"/>
    <w:rsid w:val="00360B71"/>
    <w:rsid w:val="00360CFA"/>
    <w:rsid w:val="00361153"/>
    <w:rsid w:val="003615C2"/>
    <w:rsid w:val="00361C56"/>
    <w:rsid w:val="00361FCD"/>
    <w:rsid w:val="00362362"/>
    <w:rsid w:val="00362542"/>
    <w:rsid w:val="0036267D"/>
    <w:rsid w:val="0036279E"/>
    <w:rsid w:val="00362B6C"/>
    <w:rsid w:val="00363071"/>
    <w:rsid w:val="00363191"/>
    <w:rsid w:val="0036337D"/>
    <w:rsid w:val="00363579"/>
    <w:rsid w:val="0036372E"/>
    <w:rsid w:val="00363CFE"/>
    <w:rsid w:val="00363F01"/>
    <w:rsid w:val="00364308"/>
    <w:rsid w:val="003643F3"/>
    <w:rsid w:val="00364E2A"/>
    <w:rsid w:val="00364FEC"/>
    <w:rsid w:val="003653F9"/>
    <w:rsid w:val="00365BCF"/>
    <w:rsid w:val="00365D25"/>
    <w:rsid w:val="003664D7"/>
    <w:rsid w:val="00366B93"/>
    <w:rsid w:val="00366BDF"/>
    <w:rsid w:val="00366BF8"/>
    <w:rsid w:val="00366F14"/>
    <w:rsid w:val="003672D0"/>
    <w:rsid w:val="0036749F"/>
    <w:rsid w:val="003674D3"/>
    <w:rsid w:val="0036760B"/>
    <w:rsid w:val="00367A44"/>
    <w:rsid w:val="00367AE9"/>
    <w:rsid w:val="0037000C"/>
    <w:rsid w:val="00370213"/>
    <w:rsid w:val="00370348"/>
    <w:rsid w:val="0037059B"/>
    <w:rsid w:val="003705C4"/>
    <w:rsid w:val="00370BFF"/>
    <w:rsid w:val="00370C02"/>
    <w:rsid w:val="00371020"/>
    <w:rsid w:val="0037121F"/>
    <w:rsid w:val="00371517"/>
    <w:rsid w:val="003716B0"/>
    <w:rsid w:val="003716F3"/>
    <w:rsid w:val="003717C4"/>
    <w:rsid w:val="003717D7"/>
    <w:rsid w:val="00371FBC"/>
    <w:rsid w:val="00372159"/>
    <w:rsid w:val="0037249E"/>
    <w:rsid w:val="00372A3D"/>
    <w:rsid w:val="00372BB8"/>
    <w:rsid w:val="00372BF9"/>
    <w:rsid w:val="00373261"/>
    <w:rsid w:val="00373318"/>
    <w:rsid w:val="00373647"/>
    <w:rsid w:val="00373C14"/>
    <w:rsid w:val="00373DA3"/>
    <w:rsid w:val="00373E67"/>
    <w:rsid w:val="00373FD1"/>
    <w:rsid w:val="0037415D"/>
    <w:rsid w:val="0037417E"/>
    <w:rsid w:val="0037423F"/>
    <w:rsid w:val="00374602"/>
    <w:rsid w:val="00374681"/>
    <w:rsid w:val="00374B52"/>
    <w:rsid w:val="00374EB1"/>
    <w:rsid w:val="00374F99"/>
    <w:rsid w:val="003751A6"/>
    <w:rsid w:val="00375227"/>
    <w:rsid w:val="003754C9"/>
    <w:rsid w:val="003754F0"/>
    <w:rsid w:val="00375658"/>
    <w:rsid w:val="003756E6"/>
    <w:rsid w:val="003758D3"/>
    <w:rsid w:val="00375DD0"/>
    <w:rsid w:val="00375F0B"/>
    <w:rsid w:val="003765B2"/>
    <w:rsid w:val="0037661A"/>
    <w:rsid w:val="003767BB"/>
    <w:rsid w:val="00376943"/>
    <w:rsid w:val="00376A42"/>
    <w:rsid w:val="00376A99"/>
    <w:rsid w:val="00376AED"/>
    <w:rsid w:val="0037723A"/>
    <w:rsid w:val="003776BE"/>
    <w:rsid w:val="00377E24"/>
    <w:rsid w:val="00377EA7"/>
    <w:rsid w:val="00380242"/>
    <w:rsid w:val="00380A5D"/>
    <w:rsid w:val="00380ADE"/>
    <w:rsid w:val="00380BB4"/>
    <w:rsid w:val="00380C4B"/>
    <w:rsid w:val="00380D06"/>
    <w:rsid w:val="00380D80"/>
    <w:rsid w:val="00381396"/>
    <w:rsid w:val="0038170F"/>
    <w:rsid w:val="003818BC"/>
    <w:rsid w:val="00382231"/>
    <w:rsid w:val="003825AE"/>
    <w:rsid w:val="00382679"/>
    <w:rsid w:val="003828CD"/>
    <w:rsid w:val="0038290C"/>
    <w:rsid w:val="00382AED"/>
    <w:rsid w:val="00382CDF"/>
    <w:rsid w:val="00382EEF"/>
    <w:rsid w:val="0038310F"/>
    <w:rsid w:val="0038332C"/>
    <w:rsid w:val="0038333F"/>
    <w:rsid w:val="003834E0"/>
    <w:rsid w:val="00383DEE"/>
    <w:rsid w:val="003843E0"/>
    <w:rsid w:val="0038465B"/>
    <w:rsid w:val="00384B28"/>
    <w:rsid w:val="003852EF"/>
    <w:rsid w:val="003853CF"/>
    <w:rsid w:val="00385DD4"/>
    <w:rsid w:val="00385DF2"/>
    <w:rsid w:val="0038627A"/>
    <w:rsid w:val="00386880"/>
    <w:rsid w:val="00386B86"/>
    <w:rsid w:val="00386E1F"/>
    <w:rsid w:val="00386F61"/>
    <w:rsid w:val="003873E2"/>
    <w:rsid w:val="00387ACF"/>
    <w:rsid w:val="00387BBD"/>
    <w:rsid w:val="0039001E"/>
    <w:rsid w:val="00390232"/>
    <w:rsid w:val="00390596"/>
    <w:rsid w:val="0039118E"/>
    <w:rsid w:val="003913E7"/>
    <w:rsid w:val="00391595"/>
    <w:rsid w:val="00391928"/>
    <w:rsid w:val="0039198D"/>
    <w:rsid w:val="00391EFE"/>
    <w:rsid w:val="003926BB"/>
    <w:rsid w:val="00392793"/>
    <w:rsid w:val="00392AF2"/>
    <w:rsid w:val="0039305E"/>
    <w:rsid w:val="00393192"/>
    <w:rsid w:val="0039327F"/>
    <w:rsid w:val="00393B85"/>
    <w:rsid w:val="00393B9E"/>
    <w:rsid w:val="0039451E"/>
    <w:rsid w:val="00394595"/>
    <w:rsid w:val="003952B6"/>
    <w:rsid w:val="003959AB"/>
    <w:rsid w:val="00395CF1"/>
    <w:rsid w:val="003961D2"/>
    <w:rsid w:val="003967E9"/>
    <w:rsid w:val="00396A56"/>
    <w:rsid w:val="003978DC"/>
    <w:rsid w:val="003979FE"/>
    <w:rsid w:val="00397E7D"/>
    <w:rsid w:val="00397EE4"/>
    <w:rsid w:val="003A0036"/>
    <w:rsid w:val="003A0558"/>
    <w:rsid w:val="003A094E"/>
    <w:rsid w:val="003A0D8D"/>
    <w:rsid w:val="003A10C9"/>
    <w:rsid w:val="003A16A8"/>
    <w:rsid w:val="003A19D0"/>
    <w:rsid w:val="003A1F97"/>
    <w:rsid w:val="003A2396"/>
    <w:rsid w:val="003A272F"/>
    <w:rsid w:val="003A2914"/>
    <w:rsid w:val="003A2C95"/>
    <w:rsid w:val="003A30AF"/>
    <w:rsid w:val="003A3624"/>
    <w:rsid w:val="003A3904"/>
    <w:rsid w:val="003A40C4"/>
    <w:rsid w:val="003A45D4"/>
    <w:rsid w:val="003A4654"/>
    <w:rsid w:val="003A4C9F"/>
    <w:rsid w:val="003A4DE8"/>
    <w:rsid w:val="003A4E08"/>
    <w:rsid w:val="003A4F8A"/>
    <w:rsid w:val="003A4FFE"/>
    <w:rsid w:val="003A52D0"/>
    <w:rsid w:val="003A5397"/>
    <w:rsid w:val="003A58BC"/>
    <w:rsid w:val="003A5915"/>
    <w:rsid w:val="003A5F2D"/>
    <w:rsid w:val="003A5FCC"/>
    <w:rsid w:val="003A5FDD"/>
    <w:rsid w:val="003A629D"/>
    <w:rsid w:val="003A6351"/>
    <w:rsid w:val="003A64C9"/>
    <w:rsid w:val="003A6995"/>
    <w:rsid w:val="003A721A"/>
    <w:rsid w:val="003A75A0"/>
    <w:rsid w:val="003B0130"/>
    <w:rsid w:val="003B064C"/>
    <w:rsid w:val="003B06DD"/>
    <w:rsid w:val="003B07C1"/>
    <w:rsid w:val="003B08C1"/>
    <w:rsid w:val="003B0BF0"/>
    <w:rsid w:val="003B0CED"/>
    <w:rsid w:val="003B0DC8"/>
    <w:rsid w:val="003B0E80"/>
    <w:rsid w:val="003B12F4"/>
    <w:rsid w:val="003B1584"/>
    <w:rsid w:val="003B240A"/>
    <w:rsid w:val="003B2F6C"/>
    <w:rsid w:val="003B342C"/>
    <w:rsid w:val="003B3859"/>
    <w:rsid w:val="003B3C67"/>
    <w:rsid w:val="003B3D43"/>
    <w:rsid w:val="003B3D6C"/>
    <w:rsid w:val="003B3DC2"/>
    <w:rsid w:val="003B428E"/>
    <w:rsid w:val="003B4331"/>
    <w:rsid w:val="003B456B"/>
    <w:rsid w:val="003B4671"/>
    <w:rsid w:val="003B4FDC"/>
    <w:rsid w:val="003B5439"/>
    <w:rsid w:val="003B55E0"/>
    <w:rsid w:val="003B55F6"/>
    <w:rsid w:val="003B5C15"/>
    <w:rsid w:val="003B5EA8"/>
    <w:rsid w:val="003B6086"/>
    <w:rsid w:val="003B6737"/>
    <w:rsid w:val="003B6AF0"/>
    <w:rsid w:val="003B6C3A"/>
    <w:rsid w:val="003B70A2"/>
    <w:rsid w:val="003B76DE"/>
    <w:rsid w:val="003B7A27"/>
    <w:rsid w:val="003B7F19"/>
    <w:rsid w:val="003C00DD"/>
    <w:rsid w:val="003C012F"/>
    <w:rsid w:val="003C055C"/>
    <w:rsid w:val="003C0B25"/>
    <w:rsid w:val="003C1246"/>
    <w:rsid w:val="003C153C"/>
    <w:rsid w:val="003C168A"/>
    <w:rsid w:val="003C1809"/>
    <w:rsid w:val="003C1B4C"/>
    <w:rsid w:val="003C1BA9"/>
    <w:rsid w:val="003C1CD9"/>
    <w:rsid w:val="003C20E1"/>
    <w:rsid w:val="003C229A"/>
    <w:rsid w:val="003C2489"/>
    <w:rsid w:val="003C281E"/>
    <w:rsid w:val="003C2AD0"/>
    <w:rsid w:val="003C2C3C"/>
    <w:rsid w:val="003C2CBD"/>
    <w:rsid w:val="003C2EEE"/>
    <w:rsid w:val="003C2F44"/>
    <w:rsid w:val="003C30FE"/>
    <w:rsid w:val="003C3BFB"/>
    <w:rsid w:val="003C3E1D"/>
    <w:rsid w:val="003C3F35"/>
    <w:rsid w:val="003C405E"/>
    <w:rsid w:val="003C4970"/>
    <w:rsid w:val="003C58F9"/>
    <w:rsid w:val="003C5CCD"/>
    <w:rsid w:val="003C61FB"/>
    <w:rsid w:val="003C628B"/>
    <w:rsid w:val="003C64ED"/>
    <w:rsid w:val="003C669F"/>
    <w:rsid w:val="003C6719"/>
    <w:rsid w:val="003C67FD"/>
    <w:rsid w:val="003C6953"/>
    <w:rsid w:val="003C6C41"/>
    <w:rsid w:val="003C6D8D"/>
    <w:rsid w:val="003C701A"/>
    <w:rsid w:val="003C76AC"/>
    <w:rsid w:val="003C7933"/>
    <w:rsid w:val="003C7A20"/>
    <w:rsid w:val="003C7A72"/>
    <w:rsid w:val="003C7AB2"/>
    <w:rsid w:val="003C7B11"/>
    <w:rsid w:val="003C7C59"/>
    <w:rsid w:val="003D000F"/>
    <w:rsid w:val="003D043B"/>
    <w:rsid w:val="003D0691"/>
    <w:rsid w:val="003D07EA"/>
    <w:rsid w:val="003D0AAC"/>
    <w:rsid w:val="003D0EBD"/>
    <w:rsid w:val="003D1415"/>
    <w:rsid w:val="003D178F"/>
    <w:rsid w:val="003D1B7A"/>
    <w:rsid w:val="003D2642"/>
    <w:rsid w:val="003D27C2"/>
    <w:rsid w:val="003D2D67"/>
    <w:rsid w:val="003D3055"/>
    <w:rsid w:val="003D33B8"/>
    <w:rsid w:val="003D3514"/>
    <w:rsid w:val="003D395E"/>
    <w:rsid w:val="003D3A45"/>
    <w:rsid w:val="003D42D6"/>
    <w:rsid w:val="003D4475"/>
    <w:rsid w:val="003D44D4"/>
    <w:rsid w:val="003D44D5"/>
    <w:rsid w:val="003D4518"/>
    <w:rsid w:val="003D459A"/>
    <w:rsid w:val="003D46ED"/>
    <w:rsid w:val="003D4DF8"/>
    <w:rsid w:val="003D501C"/>
    <w:rsid w:val="003D59E5"/>
    <w:rsid w:val="003D5F9E"/>
    <w:rsid w:val="003D6027"/>
    <w:rsid w:val="003D6497"/>
    <w:rsid w:val="003D65A0"/>
    <w:rsid w:val="003D666C"/>
    <w:rsid w:val="003D6763"/>
    <w:rsid w:val="003D68BE"/>
    <w:rsid w:val="003D69D8"/>
    <w:rsid w:val="003D6C51"/>
    <w:rsid w:val="003D6F97"/>
    <w:rsid w:val="003D736C"/>
    <w:rsid w:val="003E0129"/>
    <w:rsid w:val="003E014A"/>
    <w:rsid w:val="003E048C"/>
    <w:rsid w:val="003E0518"/>
    <w:rsid w:val="003E0645"/>
    <w:rsid w:val="003E1510"/>
    <w:rsid w:val="003E1570"/>
    <w:rsid w:val="003E1848"/>
    <w:rsid w:val="003E18B3"/>
    <w:rsid w:val="003E1D87"/>
    <w:rsid w:val="003E1E57"/>
    <w:rsid w:val="003E2341"/>
    <w:rsid w:val="003E25E8"/>
    <w:rsid w:val="003E26B3"/>
    <w:rsid w:val="003E298C"/>
    <w:rsid w:val="003E2B07"/>
    <w:rsid w:val="003E301C"/>
    <w:rsid w:val="003E3085"/>
    <w:rsid w:val="003E31D3"/>
    <w:rsid w:val="003E395B"/>
    <w:rsid w:val="003E3E68"/>
    <w:rsid w:val="003E3FDA"/>
    <w:rsid w:val="003E4484"/>
    <w:rsid w:val="003E47FD"/>
    <w:rsid w:val="003E492E"/>
    <w:rsid w:val="003E4A84"/>
    <w:rsid w:val="003E4C25"/>
    <w:rsid w:val="003E4C9E"/>
    <w:rsid w:val="003E4D43"/>
    <w:rsid w:val="003E4E57"/>
    <w:rsid w:val="003E5009"/>
    <w:rsid w:val="003E5080"/>
    <w:rsid w:val="003E529E"/>
    <w:rsid w:val="003E554B"/>
    <w:rsid w:val="003E6630"/>
    <w:rsid w:val="003E68E9"/>
    <w:rsid w:val="003E6B02"/>
    <w:rsid w:val="003E6C71"/>
    <w:rsid w:val="003E6CF3"/>
    <w:rsid w:val="003E6FA5"/>
    <w:rsid w:val="003E6FC0"/>
    <w:rsid w:val="003E71D9"/>
    <w:rsid w:val="003E721A"/>
    <w:rsid w:val="003E7798"/>
    <w:rsid w:val="003E7A79"/>
    <w:rsid w:val="003E7EE7"/>
    <w:rsid w:val="003F02CF"/>
    <w:rsid w:val="003F0FD5"/>
    <w:rsid w:val="003F202C"/>
    <w:rsid w:val="003F2FC6"/>
    <w:rsid w:val="003F3623"/>
    <w:rsid w:val="003F3806"/>
    <w:rsid w:val="003F3871"/>
    <w:rsid w:val="003F3C1A"/>
    <w:rsid w:val="003F3CB0"/>
    <w:rsid w:val="003F42C1"/>
    <w:rsid w:val="003F4848"/>
    <w:rsid w:val="003F49AE"/>
    <w:rsid w:val="003F5A1C"/>
    <w:rsid w:val="003F5A53"/>
    <w:rsid w:val="003F5F71"/>
    <w:rsid w:val="003F604C"/>
    <w:rsid w:val="003F6324"/>
    <w:rsid w:val="003F6807"/>
    <w:rsid w:val="003F6ADA"/>
    <w:rsid w:val="003F6E10"/>
    <w:rsid w:val="003F7223"/>
    <w:rsid w:val="003F75AA"/>
    <w:rsid w:val="003F7DB7"/>
    <w:rsid w:val="003F7E76"/>
    <w:rsid w:val="00400494"/>
    <w:rsid w:val="004007F5"/>
    <w:rsid w:val="00400DD8"/>
    <w:rsid w:val="00401002"/>
    <w:rsid w:val="00401559"/>
    <w:rsid w:val="004015F9"/>
    <w:rsid w:val="00401673"/>
    <w:rsid w:val="004016D8"/>
    <w:rsid w:val="004018F2"/>
    <w:rsid w:val="00401D07"/>
    <w:rsid w:val="00401D7B"/>
    <w:rsid w:val="0040270C"/>
    <w:rsid w:val="0040299F"/>
    <w:rsid w:val="00402E7F"/>
    <w:rsid w:val="00403094"/>
    <w:rsid w:val="00403323"/>
    <w:rsid w:val="004035CE"/>
    <w:rsid w:val="00403ACA"/>
    <w:rsid w:val="00403CC7"/>
    <w:rsid w:val="00403DA7"/>
    <w:rsid w:val="00403EB6"/>
    <w:rsid w:val="00403F96"/>
    <w:rsid w:val="004041F7"/>
    <w:rsid w:val="004045A9"/>
    <w:rsid w:val="00404C9B"/>
    <w:rsid w:val="00404D98"/>
    <w:rsid w:val="00405889"/>
    <w:rsid w:val="00405C69"/>
    <w:rsid w:val="00405DFA"/>
    <w:rsid w:val="004060CD"/>
    <w:rsid w:val="004064DC"/>
    <w:rsid w:val="00406810"/>
    <w:rsid w:val="004068CB"/>
    <w:rsid w:val="00407143"/>
    <w:rsid w:val="0040735D"/>
    <w:rsid w:val="004074C0"/>
    <w:rsid w:val="004078F2"/>
    <w:rsid w:val="00407CEC"/>
    <w:rsid w:val="00407EF6"/>
    <w:rsid w:val="00410272"/>
    <w:rsid w:val="00410280"/>
    <w:rsid w:val="004107FA"/>
    <w:rsid w:val="0041099E"/>
    <w:rsid w:val="00410D32"/>
    <w:rsid w:val="00410D38"/>
    <w:rsid w:val="00411895"/>
    <w:rsid w:val="00412017"/>
    <w:rsid w:val="00412284"/>
    <w:rsid w:val="0041239C"/>
    <w:rsid w:val="004128F6"/>
    <w:rsid w:val="00412B44"/>
    <w:rsid w:val="004130C1"/>
    <w:rsid w:val="0041354F"/>
    <w:rsid w:val="00413925"/>
    <w:rsid w:val="00413A4E"/>
    <w:rsid w:val="00414180"/>
    <w:rsid w:val="0041447C"/>
    <w:rsid w:val="004144D8"/>
    <w:rsid w:val="00414550"/>
    <w:rsid w:val="004146D3"/>
    <w:rsid w:val="00415038"/>
    <w:rsid w:val="004152A1"/>
    <w:rsid w:val="004155BE"/>
    <w:rsid w:val="0041565A"/>
    <w:rsid w:val="00415B08"/>
    <w:rsid w:val="00415C02"/>
    <w:rsid w:val="00415D66"/>
    <w:rsid w:val="00415E84"/>
    <w:rsid w:val="00415FBC"/>
    <w:rsid w:val="00416471"/>
    <w:rsid w:val="00416601"/>
    <w:rsid w:val="0041667C"/>
    <w:rsid w:val="004168A1"/>
    <w:rsid w:val="004168CC"/>
    <w:rsid w:val="00416A31"/>
    <w:rsid w:val="0041719B"/>
    <w:rsid w:val="004174EF"/>
    <w:rsid w:val="00417967"/>
    <w:rsid w:val="00417E00"/>
    <w:rsid w:val="00417F6E"/>
    <w:rsid w:val="0042071B"/>
    <w:rsid w:val="00420C47"/>
    <w:rsid w:val="00420DF7"/>
    <w:rsid w:val="004212BB"/>
    <w:rsid w:val="00421678"/>
    <w:rsid w:val="00421869"/>
    <w:rsid w:val="0042187B"/>
    <w:rsid w:val="004218AC"/>
    <w:rsid w:val="00421E9E"/>
    <w:rsid w:val="00421FF9"/>
    <w:rsid w:val="004223EE"/>
    <w:rsid w:val="004226AE"/>
    <w:rsid w:val="004226BB"/>
    <w:rsid w:val="004226C6"/>
    <w:rsid w:val="00422C9F"/>
    <w:rsid w:val="00422F8B"/>
    <w:rsid w:val="004235F5"/>
    <w:rsid w:val="004236E6"/>
    <w:rsid w:val="0042384E"/>
    <w:rsid w:val="0042386E"/>
    <w:rsid w:val="00423EF4"/>
    <w:rsid w:val="0042412A"/>
    <w:rsid w:val="00424190"/>
    <w:rsid w:val="004241E6"/>
    <w:rsid w:val="004247D1"/>
    <w:rsid w:val="00424890"/>
    <w:rsid w:val="00424E09"/>
    <w:rsid w:val="00424E57"/>
    <w:rsid w:val="0042598F"/>
    <w:rsid w:val="004259E9"/>
    <w:rsid w:val="00425B22"/>
    <w:rsid w:val="00426057"/>
    <w:rsid w:val="00426202"/>
    <w:rsid w:val="0042662C"/>
    <w:rsid w:val="0042699B"/>
    <w:rsid w:val="00426ADE"/>
    <w:rsid w:val="00426F7C"/>
    <w:rsid w:val="004270D8"/>
    <w:rsid w:val="00427506"/>
    <w:rsid w:val="0042754D"/>
    <w:rsid w:val="00427584"/>
    <w:rsid w:val="00427708"/>
    <w:rsid w:val="004277DE"/>
    <w:rsid w:val="00427B56"/>
    <w:rsid w:val="00427E1E"/>
    <w:rsid w:val="004303AA"/>
    <w:rsid w:val="00430449"/>
    <w:rsid w:val="004304A1"/>
    <w:rsid w:val="00430537"/>
    <w:rsid w:val="00430601"/>
    <w:rsid w:val="00430609"/>
    <w:rsid w:val="00430AB1"/>
    <w:rsid w:val="00430CB1"/>
    <w:rsid w:val="00430F52"/>
    <w:rsid w:val="004311B6"/>
    <w:rsid w:val="004311FB"/>
    <w:rsid w:val="00431781"/>
    <w:rsid w:val="004318CE"/>
    <w:rsid w:val="00431EF6"/>
    <w:rsid w:val="00431F62"/>
    <w:rsid w:val="00432382"/>
    <w:rsid w:val="00432407"/>
    <w:rsid w:val="00432F75"/>
    <w:rsid w:val="0043315A"/>
    <w:rsid w:val="00433178"/>
    <w:rsid w:val="004331AC"/>
    <w:rsid w:val="004331E9"/>
    <w:rsid w:val="00433244"/>
    <w:rsid w:val="00433485"/>
    <w:rsid w:val="004334F4"/>
    <w:rsid w:val="004335A1"/>
    <w:rsid w:val="00433A37"/>
    <w:rsid w:val="00433FBC"/>
    <w:rsid w:val="00434115"/>
    <w:rsid w:val="00434D76"/>
    <w:rsid w:val="004350B3"/>
    <w:rsid w:val="0043511A"/>
    <w:rsid w:val="004351DB"/>
    <w:rsid w:val="004353E8"/>
    <w:rsid w:val="00435FB7"/>
    <w:rsid w:val="00436402"/>
    <w:rsid w:val="00436438"/>
    <w:rsid w:val="00436456"/>
    <w:rsid w:val="00436A29"/>
    <w:rsid w:val="00436A39"/>
    <w:rsid w:val="00436C20"/>
    <w:rsid w:val="00436D11"/>
    <w:rsid w:val="00436F39"/>
    <w:rsid w:val="0043727F"/>
    <w:rsid w:val="004372BE"/>
    <w:rsid w:val="00437483"/>
    <w:rsid w:val="00437C09"/>
    <w:rsid w:val="00437DD1"/>
    <w:rsid w:val="00437E60"/>
    <w:rsid w:val="00437EDD"/>
    <w:rsid w:val="0044002B"/>
    <w:rsid w:val="004401F9"/>
    <w:rsid w:val="004403A6"/>
    <w:rsid w:val="00440924"/>
    <w:rsid w:val="00440AFC"/>
    <w:rsid w:val="00440B1B"/>
    <w:rsid w:val="00440B78"/>
    <w:rsid w:val="00441A6C"/>
    <w:rsid w:val="00441AB1"/>
    <w:rsid w:val="00441B61"/>
    <w:rsid w:val="00441CA0"/>
    <w:rsid w:val="00441EA7"/>
    <w:rsid w:val="004423D0"/>
    <w:rsid w:val="0044244B"/>
    <w:rsid w:val="004428C0"/>
    <w:rsid w:val="00442B46"/>
    <w:rsid w:val="00442B92"/>
    <w:rsid w:val="00442BD7"/>
    <w:rsid w:val="00442E98"/>
    <w:rsid w:val="0044308E"/>
    <w:rsid w:val="00443119"/>
    <w:rsid w:val="004437A2"/>
    <w:rsid w:val="00443993"/>
    <w:rsid w:val="00443A47"/>
    <w:rsid w:val="00444015"/>
    <w:rsid w:val="00444300"/>
    <w:rsid w:val="00444394"/>
    <w:rsid w:val="004448A8"/>
    <w:rsid w:val="00444FC7"/>
    <w:rsid w:val="0044519B"/>
    <w:rsid w:val="00445C5B"/>
    <w:rsid w:val="00445EBE"/>
    <w:rsid w:val="004462D3"/>
    <w:rsid w:val="004466F3"/>
    <w:rsid w:val="004469D3"/>
    <w:rsid w:val="00446A57"/>
    <w:rsid w:val="00446FCC"/>
    <w:rsid w:val="00447AC7"/>
    <w:rsid w:val="00447E1D"/>
    <w:rsid w:val="00447E47"/>
    <w:rsid w:val="004504F6"/>
    <w:rsid w:val="0045051A"/>
    <w:rsid w:val="00450552"/>
    <w:rsid w:val="00450753"/>
    <w:rsid w:val="0045091F"/>
    <w:rsid w:val="00450B1E"/>
    <w:rsid w:val="004512BF"/>
    <w:rsid w:val="0045294F"/>
    <w:rsid w:val="004532D0"/>
    <w:rsid w:val="0045382D"/>
    <w:rsid w:val="00453A77"/>
    <w:rsid w:val="00453D3C"/>
    <w:rsid w:val="00453F94"/>
    <w:rsid w:val="004544E2"/>
    <w:rsid w:val="00454604"/>
    <w:rsid w:val="004547E3"/>
    <w:rsid w:val="004547F6"/>
    <w:rsid w:val="0045481A"/>
    <w:rsid w:val="004548D6"/>
    <w:rsid w:val="00454C0E"/>
    <w:rsid w:val="004550B2"/>
    <w:rsid w:val="00455189"/>
    <w:rsid w:val="00455693"/>
    <w:rsid w:val="00455944"/>
    <w:rsid w:val="00455A02"/>
    <w:rsid w:val="00456112"/>
    <w:rsid w:val="004569E8"/>
    <w:rsid w:val="00456B65"/>
    <w:rsid w:val="00456F23"/>
    <w:rsid w:val="00457002"/>
    <w:rsid w:val="0045732C"/>
    <w:rsid w:val="004575A2"/>
    <w:rsid w:val="00457769"/>
    <w:rsid w:val="0045783D"/>
    <w:rsid w:val="0045798F"/>
    <w:rsid w:val="00457AFE"/>
    <w:rsid w:val="0045C25A"/>
    <w:rsid w:val="0046011E"/>
    <w:rsid w:val="004601C5"/>
    <w:rsid w:val="0046028F"/>
    <w:rsid w:val="004603B8"/>
    <w:rsid w:val="004608C9"/>
    <w:rsid w:val="00460BBA"/>
    <w:rsid w:val="00460D7C"/>
    <w:rsid w:val="00460E8E"/>
    <w:rsid w:val="004611B1"/>
    <w:rsid w:val="0046147C"/>
    <w:rsid w:val="0046171E"/>
    <w:rsid w:val="00461FA7"/>
    <w:rsid w:val="00462036"/>
    <w:rsid w:val="0046207B"/>
    <w:rsid w:val="00462ADB"/>
    <w:rsid w:val="00462C96"/>
    <w:rsid w:val="00462D5F"/>
    <w:rsid w:val="00462F58"/>
    <w:rsid w:val="004630BC"/>
    <w:rsid w:val="004632FA"/>
    <w:rsid w:val="00463935"/>
    <w:rsid w:val="00463A07"/>
    <w:rsid w:val="00463CF4"/>
    <w:rsid w:val="00464A14"/>
    <w:rsid w:val="00464D6A"/>
    <w:rsid w:val="0046516F"/>
    <w:rsid w:val="00465F97"/>
    <w:rsid w:val="00466328"/>
    <w:rsid w:val="00467256"/>
    <w:rsid w:val="00467344"/>
    <w:rsid w:val="004673C9"/>
    <w:rsid w:val="004675C8"/>
    <w:rsid w:val="004675EF"/>
    <w:rsid w:val="004700FF"/>
    <w:rsid w:val="004701FE"/>
    <w:rsid w:val="0047049B"/>
    <w:rsid w:val="00470A6D"/>
    <w:rsid w:val="00470A71"/>
    <w:rsid w:val="00470DCB"/>
    <w:rsid w:val="004711FD"/>
    <w:rsid w:val="0047132B"/>
    <w:rsid w:val="00471E90"/>
    <w:rsid w:val="0047210A"/>
    <w:rsid w:val="00472669"/>
    <w:rsid w:val="00473400"/>
    <w:rsid w:val="00473667"/>
    <w:rsid w:val="004739AD"/>
    <w:rsid w:val="00473A9B"/>
    <w:rsid w:val="00473CA0"/>
    <w:rsid w:val="00473F05"/>
    <w:rsid w:val="0047404B"/>
    <w:rsid w:val="004744CD"/>
    <w:rsid w:val="00474D18"/>
    <w:rsid w:val="00475458"/>
    <w:rsid w:val="00475691"/>
    <w:rsid w:val="00476524"/>
    <w:rsid w:val="00476B40"/>
    <w:rsid w:val="00476D61"/>
    <w:rsid w:val="00476D6D"/>
    <w:rsid w:val="00476E0A"/>
    <w:rsid w:val="00476F0A"/>
    <w:rsid w:val="00477488"/>
    <w:rsid w:val="004774D0"/>
    <w:rsid w:val="0047779A"/>
    <w:rsid w:val="00480352"/>
    <w:rsid w:val="00480773"/>
    <w:rsid w:val="00480864"/>
    <w:rsid w:val="004808E4"/>
    <w:rsid w:val="00480BE5"/>
    <w:rsid w:val="00480F98"/>
    <w:rsid w:val="00481053"/>
    <w:rsid w:val="004811A9"/>
    <w:rsid w:val="00481607"/>
    <w:rsid w:val="00481FC0"/>
    <w:rsid w:val="0048225D"/>
    <w:rsid w:val="004825AE"/>
    <w:rsid w:val="00482609"/>
    <w:rsid w:val="00482802"/>
    <w:rsid w:val="00482B83"/>
    <w:rsid w:val="00483032"/>
    <w:rsid w:val="00483370"/>
    <w:rsid w:val="00483946"/>
    <w:rsid w:val="00483C0B"/>
    <w:rsid w:val="00483CC0"/>
    <w:rsid w:val="00483DD5"/>
    <w:rsid w:val="00484106"/>
    <w:rsid w:val="0048439A"/>
    <w:rsid w:val="0048519D"/>
    <w:rsid w:val="004857DC"/>
    <w:rsid w:val="00485DF3"/>
    <w:rsid w:val="00485EAE"/>
    <w:rsid w:val="004861DC"/>
    <w:rsid w:val="00486313"/>
    <w:rsid w:val="00486512"/>
    <w:rsid w:val="00486666"/>
    <w:rsid w:val="004868AA"/>
    <w:rsid w:val="00486EA2"/>
    <w:rsid w:val="00486FBD"/>
    <w:rsid w:val="0048710A"/>
    <w:rsid w:val="00487231"/>
    <w:rsid w:val="0048734B"/>
    <w:rsid w:val="00487616"/>
    <w:rsid w:val="0048768B"/>
    <w:rsid w:val="00487715"/>
    <w:rsid w:val="00487847"/>
    <w:rsid w:val="004878F8"/>
    <w:rsid w:val="0048797A"/>
    <w:rsid w:val="00487D62"/>
    <w:rsid w:val="00487E54"/>
    <w:rsid w:val="00490308"/>
    <w:rsid w:val="00490598"/>
    <w:rsid w:val="00490ABA"/>
    <w:rsid w:val="00490FDE"/>
    <w:rsid w:val="004917A8"/>
    <w:rsid w:val="00491D15"/>
    <w:rsid w:val="00491D81"/>
    <w:rsid w:val="00491FD2"/>
    <w:rsid w:val="00492092"/>
    <w:rsid w:val="00492A4E"/>
    <w:rsid w:val="00492EA6"/>
    <w:rsid w:val="004932AD"/>
    <w:rsid w:val="0049346B"/>
    <w:rsid w:val="00493954"/>
    <w:rsid w:val="00493B5A"/>
    <w:rsid w:val="00493BD0"/>
    <w:rsid w:val="00493D72"/>
    <w:rsid w:val="00493F58"/>
    <w:rsid w:val="00494091"/>
    <w:rsid w:val="00494438"/>
    <w:rsid w:val="0049458A"/>
    <w:rsid w:val="004946C5"/>
    <w:rsid w:val="00494CF8"/>
    <w:rsid w:val="00495002"/>
    <w:rsid w:val="0049529B"/>
    <w:rsid w:val="004963BD"/>
    <w:rsid w:val="00496819"/>
    <w:rsid w:val="00496BF9"/>
    <w:rsid w:val="00496DDB"/>
    <w:rsid w:val="00496FC3"/>
    <w:rsid w:val="0049733C"/>
    <w:rsid w:val="004977E0"/>
    <w:rsid w:val="00497DF4"/>
    <w:rsid w:val="004A01B1"/>
    <w:rsid w:val="004A0509"/>
    <w:rsid w:val="004A0FBB"/>
    <w:rsid w:val="004A10DD"/>
    <w:rsid w:val="004A117A"/>
    <w:rsid w:val="004A12AB"/>
    <w:rsid w:val="004A15DC"/>
    <w:rsid w:val="004A19F5"/>
    <w:rsid w:val="004A1B96"/>
    <w:rsid w:val="004A1C23"/>
    <w:rsid w:val="004A22F8"/>
    <w:rsid w:val="004A2556"/>
    <w:rsid w:val="004A2AAB"/>
    <w:rsid w:val="004A2BA7"/>
    <w:rsid w:val="004A382C"/>
    <w:rsid w:val="004A39D8"/>
    <w:rsid w:val="004A3C4D"/>
    <w:rsid w:val="004A3C70"/>
    <w:rsid w:val="004A44F7"/>
    <w:rsid w:val="004A4830"/>
    <w:rsid w:val="004A48AE"/>
    <w:rsid w:val="004A4904"/>
    <w:rsid w:val="004A4B4C"/>
    <w:rsid w:val="004A5230"/>
    <w:rsid w:val="004A532F"/>
    <w:rsid w:val="004A55C8"/>
    <w:rsid w:val="004A5606"/>
    <w:rsid w:val="004A5F2C"/>
    <w:rsid w:val="004A60E1"/>
    <w:rsid w:val="004A6468"/>
    <w:rsid w:val="004A686D"/>
    <w:rsid w:val="004A6AE9"/>
    <w:rsid w:val="004A6CB9"/>
    <w:rsid w:val="004A6CC4"/>
    <w:rsid w:val="004A6D4E"/>
    <w:rsid w:val="004A798C"/>
    <w:rsid w:val="004A7A54"/>
    <w:rsid w:val="004A7B0A"/>
    <w:rsid w:val="004A7B0B"/>
    <w:rsid w:val="004A7BA6"/>
    <w:rsid w:val="004B08C3"/>
    <w:rsid w:val="004B0A71"/>
    <w:rsid w:val="004B0ECA"/>
    <w:rsid w:val="004B15D8"/>
    <w:rsid w:val="004B1752"/>
    <w:rsid w:val="004B1A85"/>
    <w:rsid w:val="004B1ABA"/>
    <w:rsid w:val="004B1B5A"/>
    <w:rsid w:val="004B2404"/>
    <w:rsid w:val="004B2A4C"/>
    <w:rsid w:val="004B382E"/>
    <w:rsid w:val="004B3BAC"/>
    <w:rsid w:val="004B3E5D"/>
    <w:rsid w:val="004B44EE"/>
    <w:rsid w:val="004B452C"/>
    <w:rsid w:val="004B45EF"/>
    <w:rsid w:val="004B4869"/>
    <w:rsid w:val="004B4C7D"/>
    <w:rsid w:val="004B4D30"/>
    <w:rsid w:val="004B506F"/>
    <w:rsid w:val="004B5458"/>
    <w:rsid w:val="004B54F2"/>
    <w:rsid w:val="004B5619"/>
    <w:rsid w:val="004B568C"/>
    <w:rsid w:val="004B57DA"/>
    <w:rsid w:val="004B5965"/>
    <w:rsid w:val="004B5A0B"/>
    <w:rsid w:val="004B5A4F"/>
    <w:rsid w:val="004B5E25"/>
    <w:rsid w:val="004B5EF7"/>
    <w:rsid w:val="004B609F"/>
    <w:rsid w:val="004B63B0"/>
    <w:rsid w:val="004B6683"/>
    <w:rsid w:val="004B68CB"/>
    <w:rsid w:val="004B6CC0"/>
    <w:rsid w:val="004B70C8"/>
    <w:rsid w:val="004B742B"/>
    <w:rsid w:val="004B779F"/>
    <w:rsid w:val="004B7CB5"/>
    <w:rsid w:val="004B7EB9"/>
    <w:rsid w:val="004B7EDC"/>
    <w:rsid w:val="004C029B"/>
    <w:rsid w:val="004C079C"/>
    <w:rsid w:val="004C07C5"/>
    <w:rsid w:val="004C0A32"/>
    <w:rsid w:val="004C0A6D"/>
    <w:rsid w:val="004C0D38"/>
    <w:rsid w:val="004C0E61"/>
    <w:rsid w:val="004C1090"/>
    <w:rsid w:val="004C1136"/>
    <w:rsid w:val="004C12C8"/>
    <w:rsid w:val="004C139E"/>
    <w:rsid w:val="004C1537"/>
    <w:rsid w:val="004C16B6"/>
    <w:rsid w:val="004C16ED"/>
    <w:rsid w:val="004C1948"/>
    <w:rsid w:val="004C19B1"/>
    <w:rsid w:val="004C1A7E"/>
    <w:rsid w:val="004C23ED"/>
    <w:rsid w:val="004C2491"/>
    <w:rsid w:val="004C2AFD"/>
    <w:rsid w:val="004C32F3"/>
    <w:rsid w:val="004C35C6"/>
    <w:rsid w:val="004C37EE"/>
    <w:rsid w:val="004C3C3F"/>
    <w:rsid w:val="004C4154"/>
    <w:rsid w:val="004C41FD"/>
    <w:rsid w:val="004C4984"/>
    <w:rsid w:val="004C4FC9"/>
    <w:rsid w:val="004C547C"/>
    <w:rsid w:val="004C5F26"/>
    <w:rsid w:val="004C5FE6"/>
    <w:rsid w:val="004C6297"/>
    <w:rsid w:val="004C6DE5"/>
    <w:rsid w:val="004C7450"/>
    <w:rsid w:val="004C77CE"/>
    <w:rsid w:val="004C7BC4"/>
    <w:rsid w:val="004C7ED2"/>
    <w:rsid w:val="004D02E1"/>
    <w:rsid w:val="004D09E1"/>
    <w:rsid w:val="004D0C9F"/>
    <w:rsid w:val="004D0CE0"/>
    <w:rsid w:val="004D0EEA"/>
    <w:rsid w:val="004D0F1C"/>
    <w:rsid w:val="004D17EE"/>
    <w:rsid w:val="004D21D0"/>
    <w:rsid w:val="004D2540"/>
    <w:rsid w:val="004D2871"/>
    <w:rsid w:val="004D2A38"/>
    <w:rsid w:val="004D2C03"/>
    <w:rsid w:val="004D2CF9"/>
    <w:rsid w:val="004D2D21"/>
    <w:rsid w:val="004D3240"/>
    <w:rsid w:val="004D381A"/>
    <w:rsid w:val="004D3BC9"/>
    <w:rsid w:val="004D3F6C"/>
    <w:rsid w:val="004D42ED"/>
    <w:rsid w:val="004D43F2"/>
    <w:rsid w:val="004D465D"/>
    <w:rsid w:val="004D4966"/>
    <w:rsid w:val="004D4BF4"/>
    <w:rsid w:val="004D4CC6"/>
    <w:rsid w:val="004D5335"/>
    <w:rsid w:val="004D5393"/>
    <w:rsid w:val="004D552F"/>
    <w:rsid w:val="004D60CE"/>
    <w:rsid w:val="004D6B0A"/>
    <w:rsid w:val="004D6BA2"/>
    <w:rsid w:val="004D6F74"/>
    <w:rsid w:val="004D6FB1"/>
    <w:rsid w:val="004E02E6"/>
    <w:rsid w:val="004E0340"/>
    <w:rsid w:val="004E0649"/>
    <w:rsid w:val="004E06E8"/>
    <w:rsid w:val="004E0AAF"/>
    <w:rsid w:val="004E0C8A"/>
    <w:rsid w:val="004E1079"/>
    <w:rsid w:val="004E1101"/>
    <w:rsid w:val="004E111E"/>
    <w:rsid w:val="004E172D"/>
    <w:rsid w:val="004E1F33"/>
    <w:rsid w:val="004E2046"/>
    <w:rsid w:val="004E20AA"/>
    <w:rsid w:val="004E2554"/>
    <w:rsid w:val="004E285D"/>
    <w:rsid w:val="004E2B6B"/>
    <w:rsid w:val="004E2CE1"/>
    <w:rsid w:val="004E2D7C"/>
    <w:rsid w:val="004E3083"/>
    <w:rsid w:val="004E30BF"/>
    <w:rsid w:val="004E337B"/>
    <w:rsid w:val="004E36C6"/>
    <w:rsid w:val="004E37BD"/>
    <w:rsid w:val="004E38CD"/>
    <w:rsid w:val="004E39DF"/>
    <w:rsid w:val="004E3A27"/>
    <w:rsid w:val="004E3CB3"/>
    <w:rsid w:val="004E3DD5"/>
    <w:rsid w:val="004E3ECA"/>
    <w:rsid w:val="004E3FD8"/>
    <w:rsid w:val="004E41DD"/>
    <w:rsid w:val="004E4264"/>
    <w:rsid w:val="004E44BE"/>
    <w:rsid w:val="004E4511"/>
    <w:rsid w:val="004E4C41"/>
    <w:rsid w:val="004E5317"/>
    <w:rsid w:val="004E5320"/>
    <w:rsid w:val="004E571D"/>
    <w:rsid w:val="004E59D2"/>
    <w:rsid w:val="004E607C"/>
    <w:rsid w:val="004E6586"/>
    <w:rsid w:val="004E6722"/>
    <w:rsid w:val="004E689D"/>
    <w:rsid w:val="004E6FCB"/>
    <w:rsid w:val="004E7054"/>
    <w:rsid w:val="004E71C5"/>
    <w:rsid w:val="004E789C"/>
    <w:rsid w:val="004E796F"/>
    <w:rsid w:val="004E7991"/>
    <w:rsid w:val="004E7FBE"/>
    <w:rsid w:val="004F000A"/>
    <w:rsid w:val="004F03E8"/>
    <w:rsid w:val="004F1882"/>
    <w:rsid w:val="004F192D"/>
    <w:rsid w:val="004F20C6"/>
    <w:rsid w:val="004F21B5"/>
    <w:rsid w:val="004F27A3"/>
    <w:rsid w:val="004F29FC"/>
    <w:rsid w:val="004F2C5B"/>
    <w:rsid w:val="004F2C8B"/>
    <w:rsid w:val="004F2DC8"/>
    <w:rsid w:val="004F2E1F"/>
    <w:rsid w:val="004F2E71"/>
    <w:rsid w:val="004F3293"/>
    <w:rsid w:val="004F391F"/>
    <w:rsid w:val="004F394D"/>
    <w:rsid w:val="004F4138"/>
    <w:rsid w:val="004F4231"/>
    <w:rsid w:val="004F45C4"/>
    <w:rsid w:val="004F4755"/>
    <w:rsid w:val="004F4857"/>
    <w:rsid w:val="004F4DC0"/>
    <w:rsid w:val="004F50DB"/>
    <w:rsid w:val="004F5128"/>
    <w:rsid w:val="004F52AA"/>
    <w:rsid w:val="004F57A1"/>
    <w:rsid w:val="004F5A2F"/>
    <w:rsid w:val="004F5B99"/>
    <w:rsid w:val="004F6221"/>
    <w:rsid w:val="004F627B"/>
    <w:rsid w:val="004F62B3"/>
    <w:rsid w:val="004F6A69"/>
    <w:rsid w:val="004F6DFE"/>
    <w:rsid w:val="004F7173"/>
    <w:rsid w:val="004F7285"/>
    <w:rsid w:val="004F765E"/>
    <w:rsid w:val="004F7CCC"/>
    <w:rsid w:val="0050018F"/>
    <w:rsid w:val="0050029A"/>
    <w:rsid w:val="00500442"/>
    <w:rsid w:val="00500598"/>
    <w:rsid w:val="0050079B"/>
    <w:rsid w:val="005007DD"/>
    <w:rsid w:val="00500D0D"/>
    <w:rsid w:val="00500EDB"/>
    <w:rsid w:val="00500F30"/>
    <w:rsid w:val="00500F6A"/>
    <w:rsid w:val="00501203"/>
    <w:rsid w:val="0050124B"/>
    <w:rsid w:val="005019BC"/>
    <w:rsid w:val="00501BE1"/>
    <w:rsid w:val="00501CF1"/>
    <w:rsid w:val="0050215C"/>
    <w:rsid w:val="005027CA"/>
    <w:rsid w:val="00502933"/>
    <w:rsid w:val="00502EA6"/>
    <w:rsid w:val="0050341E"/>
    <w:rsid w:val="0050351D"/>
    <w:rsid w:val="005038E6"/>
    <w:rsid w:val="00503B3B"/>
    <w:rsid w:val="00503B4F"/>
    <w:rsid w:val="00503E98"/>
    <w:rsid w:val="00504035"/>
    <w:rsid w:val="00504267"/>
    <w:rsid w:val="00504B4C"/>
    <w:rsid w:val="00504BC7"/>
    <w:rsid w:val="00504E13"/>
    <w:rsid w:val="00504F28"/>
    <w:rsid w:val="00505967"/>
    <w:rsid w:val="00505AAE"/>
    <w:rsid w:val="00505ABD"/>
    <w:rsid w:val="00505DD8"/>
    <w:rsid w:val="00506904"/>
    <w:rsid w:val="00506A3B"/>
    <w:rsid w:val="00506C16"/>
    <w:rsid w:val="00507383"/>
    <w:rsid w:val="00507487"/>
    <w:rsid w:val="00507D59"/>
    <w:rsid w:val="00507E5D"/>
    <w:rsid w:val="00507F40"/>
    <w:rsid w:val="00507F90"/>
    <w:rsid w:val="00507FC4"/>
    <w:rsid w:val="00510785"/>
    <w:rsid w:val="005107A0"/>
    <w:rsid w:val="00510CA0"/>
    <w:rsid w:val="00510DE2"/>
    <w:rsid w:val="00510F8C"/>
    <w:rsid w:val="00511875"/>
    <w:rsid w:val="00512579"/>
    <w:rsid w:val="00512BB0"/>
    <w:rsid w:val="00512D90"/>
    <w:rsid w:val="00512E8E"/>
    <w:rsid w:val="00512F1F"/>
    <w:rsid w:val="005130D6"/>
    <w:rsid w:val="00513246"/>
    <w:rsid w:val="005139E6"/>
    <w:rsid w:val="005144BB"/>
    <w:rsid w:val="00514BEC"/>
    <w:rsid w:val="005153C6"/>
    <w:rsid w:val="00515E88"/>
    <w:rsid w:val="005167DC"/>
    <w:rsid w:val="005167DE"/>
    <w:rsid w:val="00516A09"/>
    <w:rsid w:val="00516B1D"/>
    <w:rsid w:val="00516C72"/>
    <w:rsid w:val="00516EAC"/>
    <w:rsid w:val="00516EC7"/>
    <w:rsid w:val="005170A9"/>
    <w:rsid w:val="00517165"/>
    <w:rsid w:val="0051754F"/>
    <w:rsid w:val="00517685"/>
    <w:rsid w:val="0051786A"/>
    <w:rsid w:val="005179B0"/>
    <w:rsid w:val="00517BF1"/>
    <w:rsid w:val="00517C87"/>
    <w:rsid w:val="00517D26"/>
    <w:rsid w:val="00517DDE"/>
    <w:rsid w:val="0052029C"/>
    <w:rsid w:val="00520400"/>
    <w:rsid w:val="0052046A"/>
    <w:rsid w:val="00520629"/>
    <w:rsid w:val="005206A4"/>
    <w:rsid w:val="0052079E"/>
    <w:rsid w:val="00520836"/>
    <w:rsid w:val="00520A7B"/>
    <w:rsid w:val="0052116F"/>
    <w:rsid w:val="005212E4"/>
    <w:rsid w:val="005216A4"/>
    <w:rsid w:val="00521D77"/>
    <w:rsid w:val="005227C1"/>
    <w:rsid w:val="00522A0E"/>
    <w:rsid w:val="00522A9A"/>
    <w:rsid w:val="00522DEA"/>
    <w:rsid w:val="00523290"/>
    <w:rsid w:val="00523579"/>
    <w:rsid w:val="005236D9"/>
    <w:rsid w:val="00524040"/>
    <w:rsid w:val="005241DD"/>
    <w:rsid w:val="005244C6"/>
    <w:rsid w:val="005245B7"/>
    <w:rsid w:val="0052465A"/>
    <w:rsid w:val="00524720"/>
    <w:rsid w:val="005248F8"/>
    <w:rsid w:val="005253B3"/>
    <w:rsid w:val="00525883"/>
    <w:rsid w:val="00525DB0"/>
    <w:rsid w:val="00525F66"/>
    <w:rsid w:val="0052622F"/>
    <w:rsid w:val="0052645D"/>
    <w:rsid w:val="00526F42"/>
    <w:rsid w:val="00527EE2"/>
    <w:rsid w:val="00530148"/>
    <w:rsid w:val="00530245"/>
    <w:rsid w:val="005303A3"/>
    <w:rsid w:val="0053044E"/>
    <w:rsid w:val="005305AB"/>
    <w:rsid w:val="00530F04"/>
    <w:rsid w:val="00530F73"/>
    <w:rsid w:val="005313C0"/>
    <w:rsid w:val="0053165F"/>
    <w:rsid w:val="00531776"/>
    <w:rsid w:val="005319E8"/>
    <w:rsid w:val="00531C43"/>
    <w:rsid w:val="00531E04"/>
    <w:rsid w:val="00531E79"/>
    <w:rsid w:val="00532308"/>
    <w:rsid w:val="0053230B"/>
    <w:rsid w:val="00532433"/>
    <w:rsid w:val="005325BA"/>
    <w:rsid w:val="0053286D"/>
    <w:rsid w:val="005328B9"/>
    <w:rsid w:val="00532B6C"/>
    <w:rsid w:val="00532F4B"/>
    <w:rsid w:val="005333D7"/>
    <w:rsid w:val="005335B3"/>
    <w:rsid w:val="005337AC"/>
    <w:rsid w:val="00533B0E"/>
    <w:rsid w:val="00533BEE"/>
    <w:rsid w:val="00533D41"/>
    <w:rsid w:val="00533D50"/>
    <w:rsid w:val="00533D62"/>
    <w:rsid w:val="00533E44"/>
    <w:rsid w:val="005342E2"/>
    <w:rsid w:val="0053476B"/>
    <w:rsid w:val="00534921"/>
    <w:rsid w:val="005353FC"/>
    <w:rsid w:val="0053550E"/>
    <w:rsid w:val="0053598F"/>
    <w:rsid w:val="005359F8"/>
    <w:rsid w:val="00535BBC"/>
    <w:rsid w:val="00535C84"/>
    <w:rsid w:val="005361A5"/>
    <w:rsid w:val="0053627D"/>
    <w:rsid w:val="00536325"/>
    <w:rsid w:val="005367CA"/>
    <w:rsid w:val="005368CB"/>
    <w:rsid w:val="00536DAB"/>
    <w:rsid w:val="00537043"/>
    <w:rsid w:val="005374CE"/>
    <w:rsid w:val="00537828"/>
    <w:rsid w:val="005379DB"/>
    <w:rsid w:val="00537B69"/>
    <w:rsid w:val="005406D1"/>
    <w:rsid w:val="00540752"/>
    <w:rsid w:val="005408CD"/>
    <w:rsid w:val="00540DF6"/>
    <w:rsid w:val="005416EE"/>
    <w:rsid w:val="00541D4A"/>
    <w:rsid w:val="00542456"/>
    <w:rsid w:val="0054264E"/>
    <w:rsid w:val="005428F6"/>
    <w:rsid w:val="00542914"/>
    <w:rsid w:val="00542BA1"/>
    <w:rsid w:val="00542D5F"/>
    <w:rsid w:val="00542F87"/>
    <w:rsid w:val="005431B7"/>
    <w:rsid w:val="0054337B"/>
    <w:rsid w:val="005435B4"/>
    <w:rsid w:val="0054380C"/>
    <w:rsid w:val="0054385E"/>
    <w:rsid w:val="005443EF"/>
    <w:rsid w:val="00544619"/>
    <w:rsid w:val="00544712"/>
    <w:rsid w:val="00544B49"/>
    <w:rsid w:val="00544CBE"/>
    <w:rsid w:val="0054570D"/>
    <w:rsid w:val="00545ACA"/>
    <w:rsid w:val="00545C11"/>
    <w:rsid w:val="0054605C"/>
    <w:rsid w:val="0054609A"/>
    <w:rsid w:val="00546AB0"/>
    <w:rsid w:val="00546F7C"/>
    <w:rsid w:val="0054756C"/>
    <w:rsid w:val="005478FC"/>
    <w:rsid w:val="0054C776"/>
    <w:rsid w:val="00550094"/>
    <w:rsid w:val="00550234"/>
    <w:rsid w:val="005508C2"/>
    <w:rsid w:val="00550BC2"/>
    <w:rsid w:val="00550F54"/>
    <w:rsid w:val="00551111"/>
    <w:rsid w:val="005519F8"/>
    <w:rsid w:val="00551CD0"/>
    <w:rsid w:val="0055216E"/>
    <w:rsid w:val="0055246F"/>
    <w:rsid w:val="00552727"/>
    <w:rsid w:val="00552A33"/>
    <w:rsid w:val="00552A95"/>
    <w:rsid w:val="00552F39"/>
    <w:rsid w:val="005531C8"/>
    <w:rsid w:val="005532BC"/>
    <w:rsid w:val="00553E16"/>
    <w:rsid w:val="00553E7C"/>
    <w:rsid w:val="005544FC"/>
    <w:rsid w:val="00554720"/>
    <w:rsid w:val="0055474C"/>
    <w:rsid w:val="00554FBD"/>
    <w:rsid w:val="00555325"/>
    <w:rsid w:val="00555565"/>
    <w:rsid w:val="0055570C"/>
    <w:rsid w:val="005557E3"/>
    <w:rsid w:val="00555B7E"/>
    <w:rsid w:val="00555C92"/>
    <w:rsid w:val="00556957"/>
    <w:rsid w:val="00556C38"/>
    <w:rsid w:val="00556EA8"/>
    <w:rsid w:val="00557237"/>
    <w:rsid w:val="00557322"/>
    <w:rsid w:val="005579E7"/>
    <w:rsid w:val="00557DF2"/>
    <w:rsid w:val="00557FD0"/>
    <w:rsid w:val="0056016B"/>
    <w:rsid w:val="005602EA"/>
    <w:rsid w:val="00560434"/>
    <w:rsid w:val="00560F04"/>
    <w:rsid w:val="005614CB"/>
    <w:rsid w:val="00561C70"/>
    <w:rsid w:val="00561D46"/>
    <w:rsid w:val="0056207F"/>
    <w:rsid w:val="005621A4"/>
    <w:rsid w:val="00562615"/>
    <w:rsid w:val="005626DD"/>
    <w:rsid w:val="00562B99"/>
    <w:rsid w:val="005636F6"/>
    <w:rsid w:val="00563830"/>
    <w:rsid w:val="005640DC"/>
    <w:rsid w:val="0056419F"/>
    <w:rsid w:val="00564A79"/>
    <w:rsid w:val="00565046"/>
    <w:rsid w:val="005650BD"/>
    <w:rsid w:val="005651AE"/>
    <w:rsid w:val="0056561F"/>
    <w:rsid w:val="00565FDC"/>
    <w:rsid w:val="00565FFC"/>
    <w:rsid w:val="005664CE"/>
    <w:rsid w:val="005668F1"/>
    <w:rsid w:val="00566921"/>
    <w:rsid w:val="00566AE1"/>
    <w:rsid w:val="005672E5"/>
    <w:rsid w:val="005673E4"/>
    <w:rsid w:val="005677DF"/>
    <w:rsid w:val="005679DC"/>
    <w:rsid w:val="00567C79"/>
    <w:rsid w:val="0057011E"/>
    <w:rsid w:val="00570293"/>
    <w:rsid w:val="005708CC"/>
    <w:rsid w:val="00570C61"/>
    <w:rsid w:val="00570E36"/>
    <w:rsid w:val="00571181"/>
    <w:rsid w:val="0057125A"/>
    <w:rsid w:val="0057126C"/>
    <w:rsid w:val="005715C2"/>
    <w:rsid w:val="0057172B"/>
    <w:rsid w:val="005717A5"/>
    <w:rsid w:val="00571806"/>
    <w:rsid w:val="0057185E"/>
    <w:rsid w:val="0057234C"/>
    <w:rsid w:val="0057302A"/>
    <w:rsid w:val="005730C2"/>
    <w:rsid w:val="00573317"/>
    <w:rsid w:val="0057336E"/>
    <w:rsid w:val="00573554"/>
    <w:rsid w:val="0057369D"/>
    <w:rsid w:val="00574791"/>
    <w:rsid w:val="005749B2"/>
    <w:rsid w:val="00574A0D"/>
    <w:rsid w:val="00574C56"/>
    <w:rsid w:val="00574CC5"/>
    <w:rsid w:val="00574EFC"/>
    <w:rsid w:val="0057526F"/>
    <w:rsid w:val="005759D3"/>
    <w:rsid w:val="0057607B"/>
    <w:rsid w:val="00576721"/>
    <w:rsid w:val="0057677E"/>
    <w:rsid w:val="0057688A"/>
    <w:rsid w:val="005769CE"/>
    <w:rsid w:val="00576B5A"/>
    <w:rsid w:val="00577458"/>
    <w:rsid w:val="00577600"/>
    <w:rsid w:val="00577A81"/>
    <w:rsid w:val="00577FAC"/>
    <w:rsid w:val="0058101D"/>
    <w:rsid w:val="00581105"/>
    <w:rsid w:val="0058115C"/>
    <w:rsid w:val="005813F9"/>
    <w:rsid w:val="00581506"/>
    <w:rsid w:val="00581724"/>
    <w:rsid w:val="0058199A"/>
    <w:rsid w:val="005819E2"/>
    <w:rsid w:val="00581B58"/>
    <w:rsid w:val="00581C91"/>
    <w:rsid w:val="00581E55"/>
    <w:rsid w:val="0058232F"/>
    <w:rsid w:val="00582B28"/>
    <w:rsid w:val="0058301B"/>
    <w:rsid w:val="005833A7"/>
    <w:rsid w:val="00583923"/>
    <w:rsid w:val="00583B32"/>
    <w:rsid w:val="00584B0B"/>
    <w:rsid w:val="00584EA1"/>
    <w:rsid w:val="00584FC5"/>
    <w:rsid w:val="00585047"/>
    <w:rsid w:val="00585964"/>
    <w:rsid w:val="00585AFA"/>
    <w:rsid w:val="00585CA2"/>
    <w:rsid w:val="00586931"/>
    <w:rsid w:val="00587467"/>
    <w:rsid w:val="005874CA"/>
    <w:rsid w:val="005879B8"/>
    <w:rsid w:val="00587AC0"/>
    <w:rsid w:val="00590292"/>
    <w:rsid w:val="00590594"/>
    <w:rsid w:val="00590B76"/>
    <w:rsid w:val="00590F5B"/>
    <w:rsid w:val="0059146D"/>
    <w:rsid w:val="005914A8"/>
    <w:rsid w:val="0059179D"/>
    <w:rsid w:val="005918DA"/>
    <w:rsid w:val="00591A57"/>
    <w:rsid w:val="005924E7"/>
    <w:rsid w:val="0059263A"/>
    <w:rsid w:val="00592778"/>
    <w:rsid w:val="005927E1"/>
    <w:rsid w:val="005929F1"/>
    <w:rsid w:val="00593206"/>
    <w:rsid w:val="0059354C"/>
    <w:rsid w:val="00593A0B"/>
    <w:rsid w:val="0059413A"/>
    <w:rsid w:val="005943E3"/>
    <w:rsid w:val="005945AB"/>
    <w:rsid w:val="0059477F"/>
    <w:rsid w:val="005948F0"/>
    <w:rsid w:val="00594917"/>
    <w:rsid w:val="00594AC6"/>
    <w:rsid w:val="00594E8E"/>
    <w:rsid w:val="0059525D"/>
    <w:rsid w:val="0059538A"/>
    <w:rsid w:val="005956D6"/>
    <w:rsid w:val="0059578D"/>
    <w:rsid w:val="00595C87"/>
    <w:rsid w:val="00595FF9"/>
    <w:rsid w:val="00596785"/>
    <w:rsid w:val="00596FFE"/>
    <w:rsid w:val="005970FD"/>
    <w:rsid w:val="005978A9"/>
    <w:rsid w:val="00597E3B"/>
    <w:rsid w:val="00597F94"/>
    <w:rsid w:val="00597FA1"/>
    <w:rsid w:val="005A0418"/>
    <w:rsid w:val="005A0688"/>
    <w:rsid w:val="005A06D1"/>
    <w:rsid w:val="005A081D"/>
    <w:rsid w:val="005A0879"/>
    <w:rsid w:val="005A08F6"/>
    <w:rsid w:val="005A0E08"/>
    <w:rsid w:val="005A10FA"/>
    <w:rsid w:val="005A115C"/>
    <w:rsid w:val="005A13E2"/>
    <w:rsid w:val="005A161E"/>
    <w:rsid w:val="005A181E"/>
    <w:rsid w:val="005A18B6"/>
    <w:rsid w:val="005A19A8"/>
    <w:rsid w:val="005A1E0E"/>
    <w:rsid w:val="005A21A8"/>
    <w:rsid w:val="005A2499"/>
    <w:rsid w:val="005A2A79"/>
    <w:rsid w:val="005A2BA7"/>
    <w:rsid w:val="005A2C75"/>
    <w:rsid w:val="005A3340"/>
    <w:rsid w:val="005A379D"/>
    <w:rsid w:val="005A3986"/>
    <w:rsid w:val="005A4E50"/>
    <w:rsid w:val="005A5B1D"/>
    <w:rsid w:val="005A5CA5"/>
    <w:rsid w:val="005A61E3"/>
    <w:rsid w:val="005A652E"/>
    <w:rsid w:val="005A6874"/>
    <w:rsid w:val="005A694C"/>
    <w:rsid w:val="005A69DC"/>
    <w:rsid w:val="005A6A36"/>
    <w:rsid w:val="005A6B12"/>
    <w:rsid w:val="005A729A"/>
    <w:rsid w:val="005A73B3"/>
    <w:rsid w:val="005A74B5"/>
    <w:rsid w:val="005A77C3"/>
    <w:rsid w:val="005A78AC"/>
    <w:rsid w:val="005A7977"/>
    <w:rsid w:val="005A7BC6"/>
    <w:rsid w:val="005A7E64"/>
    <w:rsid w:val="005AB887"/>
    <w:rsid w:val="005B0226"/>
    <w:rsid w:val="005B0455"/>
    <w:rsid w:val="005B04F6"/>
    <w:rsid w:val="005B0856"/>
    <w:rsid w:val="005B0FDA"/>
    <w:rsid w:val="005B102F"/>
    <w:rsid w:val="005B179B"/>
    <w:rsid w:val="005B1A15"/>
    <w:rsid w:val="005B2067"/>
    <w:rsid w:val="005B22B3"/>
    <w:rsid w:val="005B254F"/>
    <w:rsid w:val="005B2AB6"/>
    <w:rsid w:val="005B2C51"/>
    <w:rsid w:val="005B2EA1"/>
    <w:rsid w:val="005B2FEC"/>
    <w:rsid w:val="005B313B"/>
    <w:rsid w:val="005B35BB"/>
    <w:rsid w:val="005B376D"/>
    <w:rsid w:val="005B3FD5"/>
    <w:rsid w:val="005B42F1"/>
    <w:rsid w:val="005B4899"/>
    <w:rsid w:val="005B4C6F"/>
    <w:rsid w:val="005B4CE3"/>
    <w:rsid w:val="005B53FC"/>
    <w:rsid w:val="005B5A7C"/>
    <w:rsid w:val="005B651E"/>
    <w:rsid w:val="005B6667"/>
    <w:rsid w:val="005B6BDD"/>
    <w:rsid w:val="005B6C61"/>
    <w:rsid w:val="005B6CE2"/>
    <w:rsid w:val="005B72F5"/>
    <w:rsid w:val="005B7CA1"/>
    <w:rsid w:val="005C09DD"/>
    <w:rsid w:val="005C0AFC"/>
    <w:rsid w:val="005C0B93"/>
    <w:rsid w:val="005C0CCB"/>
    <w:rsid w:val="005C165D"/>
    <w:rsid w:val="005C1A1A"/>
    <w:rsid w:val="005C1ECB"/>
    <w:rsid w:val="005C1F34"/>
    <w:rsid w:val="005C208F"/>
    <w:rsid w:val="005C30C9"/>
    <w:rsid w:val="005C3148"/>
    <w:rsid w:val="005C321A"/>
    <w:rsid w:val="005C3442"/>
    <w:rsid w:val="005C344E"/>
    <w:rsid w:val="005C376C"/>
    <w:rsid w:val="005C3FA3"/>
    <w:rsid w:val="005C41E6"/>
    <w:rsid w:val="005C43AD"/>
    <w:rsid w:val="005C45CB"/>
    <w:rsid w:val="005C4F98"/>
    <w:rsid w:val="005C58DB"/>
    <w:rsid w:val="005C5A27"/>
    <w:rsid w:val="005C5B19"/>
    <w:rsid w:val="005C5BD7"/>
    <w:rsid w:val="005C5C98"/>
    <w:rsid w:val="005C5F50"/>
    <w:rsid w:val="005C6422"/>
    <w:rsid w:val="005C64C9"/>
    <w:rsid w:val="005C64CC"/>
    <w:rsid w:val="005C651E"/>
    <w:rsid w:val="005C66BA"/>
    <w:rsid w:val="005C6F8A"/>
    <w:rsid w:val="005C717B"/>
    <w:rsid w:val="005C7269"/>
    <w:rsid w:val="005C7520"/>
    <w:rsid w:val="005C77A9"/>
    <w:rsid w:val="005C7E0B"/>
    <w:rsid w:val="005C7F14"/>
    <w:rsid w:val="005D0884"/>
    <w:rsid w:val="005D0BD7"/>
    <w:rsid w:val="005D0DCA"/>
    <w:rsid w:val="005D0EC0"/>
    <w:rsid w:val="005D0F62"/>
    <w:rsid w:val="005D1439"/>
    <w:rsid w:val="005D1B81"/>
    <w:rsid w:val="005D1D00"/>
    <w:rsid w:val="005D1F46"/>
    <w:rsid w:val="005D1F87"/>
    <w:rsid w:val="005D2375"/>
    <w:rsid w:val="005D2503"/>
    <w:rsid w:val="005D2C1C"/>
    <w:rsid w:val="005D30C6"/>
    <w:rsid w:val="005D31C9"/>
    <w:rsid w:val="005D31F2"/>
    <w:rsid w:val="005D3742"/>
    <w:rsid w:val="005D3885"/>
    <w:rsid w:val="005D390B"/>
    <w:rsid w:val="005D3C33"/>
    <w:rsid w:val="005D4391"/>
    <w:rsid w:val="005D4856"/>
    <w:rsid w:val="005D4AF4"/>
    <w:rsid w:val="005D4EE4"/>
    <w:rsid w:val="005D5225"/>
    <w:rsid w:val="005D5C33"/>
    <w:rsid w:val="005D5ED9"/>
    <w:rsid w:val="005D6557"/>
    <w:rsid w:val="005D66F5"/>
    <w:rsid w:val="005D7032"/>
    <w:rsid w:val="005D716C"/>
    <w:rsid w:val="005D7456"/>
    <w:rsid w:val="005D7550"/>
    <w:rsid w:val="005D7567"/>
    <w:rsid w:val="005D760A"/>
    <w:rsid w:val="005E0290"/>
    <w:rsid w:val="005E09BB"/>
    <w:rsid w:val="005E136A"/>
    <w:rsid w:val="005E154E"/>
    <w:rsid w:val="005E17B1"/>
    <w:rsid w:val="005E25EE"/>
    <w:rsid w:val="005E28EF"/>
    <w:rsid w:val="005E2CB0"/>
    <w:rsid w:val="005E2D15"/>
    <w:rsid w:val="005E2F08"/>
    <w:rsid w:val="005E3A48"/>
    <w:rsid w:val="005E3ECD"/>
    <w:rsid w:val="005E451A"/>
    <w:rsid w:val="005E47B5"/>
    <w:rsid w:val="005E49D6"/>
    <w:rsid w:val="005E4C58"/>
    <w:rsid w:val="005E5479"/>
    <w:rsid w:val="005E5880"/>
    <w:rsid w:val="005E6592"/>
    <w:rsid w:val="005E69DF"/>
    <w:rsid w:val="005E70EF"/>
    <w:rsid w:val="005E725A"/>
    <w:rsid w:val="005E7324"/>
    <w:rsid w:val="005E764F"/>
    <w:rsid w:val="005E77F2"/>
    <w:rsid w:val="005E7AB2"/>
    <w:rsid w:val="005E7C85"/>
    <w:rsid w:val="005E7D0D"/>
    <w:rsid w:val="005E7EAD"/>
    <w:rsid w:val="005E7F1A"/>
    <w:rsid w:val="005F0220"/>
    <w:rsid w:val="005F093D"/>
    <w:rsid w:val="005F0A0B"/>
    <w:rsid w:val="005F0DF0"/>
    <w:rsid w:val="005F107C"/>
    <w:rsid w:val="005F1148"/>
    <w:rsid w:val="005F1471"/>
    <w:rsid w:val="005F15BB"/>
    <w:rsid w:val="005F1663"/>
    <w:rsid w:val="005F172B"/>
    <w:rsid w:val="005F19A3"/>
    <w:rsid w:val="005F1F16"/>
    <w:rsid w:val="005F229F"/>
    <w:rsid w:val="005F23C8"/>
    <w:rsid w:val="005F244D"/>
    <w:rsid w:val="005F26B6"/>
    <w:rsid w:val="005F2A13"/>
    <w:rsid w:val="005F2DB6"/>
    <w:rsid w:val="005F313A"/>
    <w:rsid w:val="005F321C"/>
    <w:rsid w:val="005F3254"/>
    <w:rsid w:val="005F32A4"/>
    <w:rsid w:val="005F3532"/>
    <w:rsid w:val="005F35F4"/>
    <w:rsid w:val="005F3766"/>
    <w:rsid w:val="005F3A12"/>
    <w:rsid w:val="005F3BCF"/>
    <w:rsid w:val="005F3D50"/>
    <w:rsid w:val="005F4073"/>
    <w:rsid w:val="005F40C6"/>
    <w:rsid w:val="005F4579"/>
    <w:rsid w:val="005F488C"/>
    <w:rsid w:val="005F48ED"/>
    <w:rsid w:val="005F4F39"/>
    <w:rsid w:val="005F535D"/>
    <w:rsid w:val="005F54B2"/>
    <w:rsid w:val="005F588D"/>
    <w:rsid w:val="005F5B5E"/>
    <w:rsid w:val="005F5C58"/>
    <w:rsid w:val="005F5D94"/>
    <w:rsid w:val="005F60BE"/>
    <w:rsid w:val="005F612F"/>
    <w:rsid w:val="005F63AE"/>
    <w:rsid w:val="005F63EB"/>
    <w:rsid w:val="005F64C0"/>
    <w:rsid w:val="005F6D6B"/>
    <w:rsid w:val="005F6E2D"/>
    <w:rsid w:val="005F6EF6"/>
    <w:rsid w:val="005F728B"/>
    <w:rsid w:val="005F76FB"/>
    <w:rsid w:val="005F7E1C"/>
    <w:rsid w:val="00600192"/>
    <w:rsid w:val="0060041D"/>
    <w:rsid w:val="006007B1"/>
    <w:rsid w:val="0060147F"/>
    <w:rsid w:val="006017D1"/>
    <w:rsid w:val="00601CE2"/>
    <w:rsid w:val="00601E06"/>
    <w:rsid w:val="00601E48"/>
    <w:rsid w:val="006020CC"/>
    <w:rsid w:val="00602621"/>
    <w:rsid w:val="00602E66"/>
    <w:rsid w:val="00603228"/>
    <w:rsid w:val="006032DB"/>
    <w:rsid w:val="0060356E"/>
    <w:rsid w:val="00603664"/>
    <w:rsid w:val="00603818"/>
    <w:rsid w:val="00604DD9"/>
    <w:rsid w:val="00604E91"/>
    <w:rsid w:val="0060507F"/>
    <w:rsid w:val="0060528B"/>
    <w:rsid w:val="0060613D"/>
    <w:rsid w:val="006061A6"/>
    <w:rsid w:val="006061E8"/>
    <w:rsid w:val="006062C5"/>
    <w:rsid w:val="00606A65"/>
    <w:rsid w:val="00606CB3"/>
    <w:rsid w:val="00606E81"/>
    <w:rsid w:val="00607D5D"/>
    <w:rsid w:val="00609785"/>
    <w:rsid w:val="0061057C"/>
    <w:rsid w:val="00610662"/>
    <w:rsid w:val="00610828"/>
    <w:rsid w:val="00610D4F"/>
    <w:rsid w:val="00610D5A"/>
    <w:rsid w:val="006111E0"/>
    <w:rsid w:val="0061146D"/>
    <w:rsid w:val="006114D5"/>
    <w:rsid w:val="00611579"/>
    <w:rsid w:val="0061179A"/>
    <w:rsid w:val="00611901"/>
    <w:rsid w:val="0061196F"/>
    <w:rsid w:val="00611A81"/>
    <w:rsid w:val="00611B7D"/>
    <w:rsid w:val="00611E6A"/>
    <w:rsid w:val="0061219A"/>
    <w:rsid w:val="006122D1"/>
    <w:rsid w:val="00612545"/>
    <w:rsid w:val="00612EE5"/>
    <w:rsid w:val="00613136"/>
    <w:rsid w:val="00613142"/>
    <w:rsid w:val="0061317C"/>
    <w:rsid w:val="0061328C"/>
    <w:rsid w:val="00613412"/>
    <w:rsid w:val="006138A4"/>
    <w:rsid w:val="006139F6"/>
    <w:rsid w:val="00613FC8"/>
    <w:rsid w:val="0061423E"/>
    <w:rsid w:val="006146F7"/>
    <w:rsid w:val="00614935"/>
    <w:rsid w:val="00614B20"/>
    <w:rsid w:val="00614EF9"/>
    <w:rsid w:val="00615040"/>
    <w:rsid w:val="006159B7"/>
    <w:rsid w:val="00615A99"/>
    <w:rsid w:val="00615D7F"/>
    <w:rsid w:val="00615FA7"/>
    <w:rsid w:val="0061626D"/>
    <w:rsid w:val="006175CD"/>
    <w:rsid w:val="006176BE"/>
    <w:rsid w:val="00617D5E"/>
    <w:rsid w:val="00617E21"/>
    <w:rsid w:val="0061ADBF"/>
    <w:rsid w:val="00620543"/>
    <w:rsid w:val="0062056D"/>
    <w:rsid w:val="006205B7"/>
    <w:rsid w:val="006206C7"/>
    <w:rsid w:val="00620A07"/>
    <w:rsid w:val="00620E54"/>
    <w:rsid w:val="0062112B"/>
    <w:rsid w:val="006212AD"/>
    <w:rsid w:val="006219C4"/>
    <w:rsid w:val="00621B2B"/>
    <w:rsid w:val="00621DFD"/>
    <w:rsid w:val="00621ECB"/>
    <w:rsid w:val="00622118"/>
    <w:rsid w:val="0062220B"/>
    <w:rsid w:val="0062225E"/>
    <w:rsid w:val="00622511"/>
    <w:rsid w:val="006228CD"/>
    <w:rsid w:val="00622A87"/>
    <w:rsid w:val="00622C44"/>
    <w:rsid w:val="00622C81"/>
    <w:rsid w:val="00622C8A"/>
    <w:rsid w:val="00622E9C"/>
    <w:rsid w:val="006236E3"/>
    <w:rsid w:val="0062387A"/>
    <w:rsid w:val="00623E23"/>
    <w:rsid w:val="006246D1"/>
    <w:rsid w:val="00624911"/>
    <w:rsid w:val="0062492F"/>
    <w:rsid w:val="0062506C"/>
    <w:rsid w:val="006255C1"/>
    <w:rsid w:val="0062560D"/>
    <w:rsid w:val="00625AF6"/>
    <w:rsid w:val="0062625B"/>
    <w:rsid w:val="0062684F"/>
    <w:rsid w:val="006269EB"/>
    <w:rsid w:val="00626B9C"/>
    <w:rsid w:val="00626FEC"/>
    <w:rsid w:val="006276F0"/>
    <w:rsid w:val="00627811"/>
    <w:rsid w:val="00627BBB"/>
    <w:rsid w:val="00627C30"/>
    <w:rsid w:val="0063055F"/>
    <w:rsid w:val="00630618"/>
    <w:rsid w:val="00630680"/>
    <w:rsid w:val="00630965"/>
    <w:rsid w:val="00630D4F"/>
    <w:rsid w:val="006312C2"/>
    <w:rsid w:val="00631361"/>
    <w:rsid w:val="00631E93"/>
    <w:rsid w:val="0063226C"/>
    <w:rsid w:val="0063238F"/>
    <w:rsid w:val="0063257F"/>
    <w:rsid w:val="00632623"/>
    <w:rsid w:val="00632A02"/>
    <w:rsid w:val="00632B79"/>
    <w:rsid w:val="00632CAE"/>
    <w:rsid w:val="00633015"/>
    <w:rsid w:val="006334CF"/>
    <w:rsid w:val="0063367F"/>
    <w:rsid w:val="006341CB"/>
    <w:rsid w:val="006346B1"/>
    <w:rsid w:val="00634C11"/>
    <w:rsid w:val="0063558E"/>
    <w:rsid w:val="00635CC6"/>
    <w:rsid w:val="00635D16"/>
    <w:rsid w:val="00635D99"/>
    <w:rsid w:val="006363DD"/>
    <w:rsid w:val="00636780"/>
    <w:rsid w:val="00637069"/>
    <w:rsid w:val="0063753A"/>
    <w:rsid w:val="00637D9E"/>
    <w:rsid w:val="00637F14"/>
    <w:rsid w:val="00640358"/>
    <w:rsid w:val="00640672"/>
    <w:rsid w:val="00640AD4"/>
    <w:rsid w:val="00640BC5"/>
    <w:rsid w:val="0064144A"/>
    <w:rsid w:val="0064168C"/>
    <w:rsid w:val="00641703"/>
    <w:rsid w:val="00641706"/>
    <w:rsid w:val="00641947"/>
    <w:rsid w:val="00641CE6"/>
    <w:rsid w:val="006421C5"/>
    <w:rsid w:val="006421FF"/>
    <w:rsid w:val="0064246C"/>
    <w:rsid w:val="0064261F"/>
    <w:rsid w:val="00642650"/>
    <w:rsid w:val="0064295E"/>
    <w:rsid w:val="00642B37"/>
    <w:rsid w:val="006430E6"/>
    <w:rsid w:val="00643462"/>
    <w:rsid w:val="00643630"/>
    <w:rsid w:val="006436FF"/>
    <w:rsid w:val="006437C3"/>
    <w:rsid w:val="00643A76"/>
    <w:rsid w:val="00644670"/>
    <w:rsid w:val="00644696"/>
    <w:rsid w:val="0064493E"/>
    <w:rsid w:val="00644DE8"/>
    <w:rsid w:val="0064510E"/>
    <w:rsid w:val="00645BE2"/>
    <w:rsid w:val="00645CFA"/>
    <w:rsid w:val="006470FC"/>
    <w:rsid w:val="00647469"/>
    <w:rsid w:val="006478E3"/>
    <w:rsid w:val="0064798A"/>
    <w:rsid w:val="00647A50"/>
    <w:rsid w:val="00650004"/>
    <w:rsid w:val="00650095"/>
    <w:rsid w:val="006502AF"/>
    <w:rsid w:val="006503BE"/>
    <w:rsid w:val="0065041A"/>
    <w:rsid w:val="00650C57"/>
    <w:rsid w:val="00650F3C"/>
    <w:rsid w:val="0065120F"/>
    <w:rsid w:val="0065129D"/>
    <w:rsid w:val="006512B6"/>
    <w:rsid w:val="00651A1B"/>
    <w:rsid w:val="00651DC0"/>
    <w:rsid w:val="0065255E"/>
    <w:rsid w:val="006525F6"/>
    <w:rsid w:val="0065297A"/>
    <w:rsid w:val="00652A91"/>
    <w:rsid w:val="00652E2B"/>
    <w:rsid w:val="00653120"/>
    <w:rsid w:val="00653397"/>
    <w:rsid w:val="006538B8"/>
    <w:rsid w:val="006542F4"/>
    <w:rsid w:val="0065494A"/>
    <w:rsid w:val="006549EF"/>
    <w:rsid w:val="00654A08"/>
    <w:rsid w:val="00654AFF"/>
    <w:rsid w:val="00654C9B"/>
    <w:rsid w:val="00654FB7"/>
    <w:rsid w:val="00655207"/>
    <w:rsid w:val="00655BCE"/>
    <w:rsid w:val="00656027"/>
    <w:rsid w:val="00656149"/>
    <w:rsid w:val="00656F37"/>
    <w:rsid w:val="00657A2E"/>
    <w:rsid w:val="00657C93"/>
    <w:rsid w:val="006605A4"/>
    <w:rsid w:val="00660A4F"/>
    <w:rsid w:val="00660B63"/>
    <w:rsid w:val="00660C4A"/>
    <w:rsid w:val="00660F17"/>
    <w:rsid w:val="0066120C"/>
    <w:rsid w:val="006627A0"/>
    <w:rsid w:val="0066338C"/>
    <w:rsid w:val="006635DD"/>
    <w:rsid w:val="0066367F"/>
    <w:rsid w:val="006636CD"/>
    <w:rsid w:val="0066382C"/>
    <w:rsid w:val="00663E77"/>
    <w:rsid w:val="006644D7"/>
    <w:rsid w:val="00664D0F"/>
    <w:rsid w:val="00664D3D"/>
    <w:rsid w:val="00664D87"/>
    <w:rsid w:val="0066529A"/>
    <w:rsid w:val="00665747"/>
    <w:rsid w:val="00666315"/>
    <w:rsid w:val="00667003"/>
    <w:rsid w:val="006673FF"/>
    <w:rsid w:val="00667479"/>
    <w:rsid w:val="006674D9"/>
    <w:rsid w:val="00667D78"/>
    <w:rsid w:val="0067072D"/>
    <w:rsid w:val="00670DDE"/>
    <w:rsid w:val="0067122E"/>
    <w:rsid w:val="00671294"/>
    <w:rsid w:val="006714F7"/>
    <w:rsid w:val="00671659"/>
    <w:rsid w:val="00671A30"/>
    <w:rsid w:val="00671C03"/>
    <w:rsid w:val="00671F30"/>
    <w:rsid w:val="006722F6"/>
    <w:rsid w:val="0067269F"/>
    <w:rsid w:val="00672E06"/>
    <w:rsid w:val="00672EA9"/>
    <w:rsid w:val="006730B3"/>
    <w:rsid w:val="00673527"/>
    <w:rsid w:val="00673707"/>
    <w:rsid w:val="00673AA6"/>
    <w:rsid w:val="00673CFA"/>
    <w:rsid w:val="0067436F"/>
    <w:rsid w:val="00674805"/>
    <w:rsid w:val="0067486A"/>
    <w:rsid w:val="00674916"/>
    <w:rsid w:val="006749E2"/>
    <w:rsid w:val="00674B7C"/>
    <w:rsid w:val="00674BDF"/>
    <w:rsid w:val="00674E0D"/>
    <w:rsid w:val="00674F90"/>
    <w:rsid w:val="006750C0"/>
    <w:rsid w:val="006757CD"/>
    <w:rsid w:val="00675AEA"/>
    <w:rsid w:val="00675EB1"/>
    <w:rsid w:val="0067638B"/>
    <w:rsid w:val="0067648B"/>
    <w:rsid w:val="0067674F"/>
    <w:rsid w:val="00676905"/>
    <w:rsid w:val="006769EA"/>
    <w:rsid w:val="00676DBF"/>
    <w:rsid w:val="00677346"/>
    <w:rsid w:val="00677651"/>
    <w:rsid w:val="00677CDC"/>
    <w:rsid w:val="00677CF0"/>
    <w:rsid w:val="00677EBB"/>
    <w:rsid w:val="00677F92"/>
    <w:rsid w:val="0068095E"/>
    <w:rsid w:val="00681CBA"/>
    <w:rsid w:val="00681D34"/>
    <w:rsid w:val="006820CC"/>
    <w:rsid w:val="006820F8"/>
    <w:rsid w:val="0068257E"/>
    <w:rsid w:val="00682719"/>
    <w:rsid w:val="00682892"/>
    <w:rsid w:val="00682B09"/>
    <w:rsid w:val="0068304F"/>
    <w:rsid w:val="00683408"/>
    <w:rsid w:val="00683453"/>
    <w:rsid w:val="006839E0"/>
    <w:rsid w:val="00683C68"/>
    <w:rsid w:val="00683CA1"/>
    <w:rsid w:val="00683E69"/>
    <w:rsid w:val="00684195"/>
    <w:rsid w:val="0068467B"/>
    <w:rsid w:val="00684C77"/>
    <w:rsid w:val="00684DE1"/>
    <w:rsid w:val="006854DA"/>
    <w:rsid w:val="00685786"/>
    <w:rsid w:val="00685B33"/>
    <w:rsid w:val="006864D8"/>
    <w:rsid w:val="00686911"/>
    <w:rsid w:val="006869D6"/>
    <w:rsid w:val="00686D3A"/>
    <w:rsid w:val="00686DC3"/>
    <w:rsid w:val="00687404"/>
    <w:rsid w:val="0068788A"/>
    <w:rsid w:val="00687A5C"/>
    <w:rsid w:val="00687F62"/>
    <w:rsid w:val="00687F93"/>
    <w:rsid w:val="0069013E"/>
    <w:rsid w:val="006901AB"/>
    <w:rsid w:val="0069027E"/>
    <w:rsid w:val="00690321"/>
    <w:rsid w:val="00690338"/>
    <w:rsid w:val="0069045D"/>
    <w:rsid w:val="0069073B"/>
    <w:rsid w:val="00690941"/>
    <w:rsid w:val="00691421"/>
    <w:rsid w:val="00692022"/>
    <w:rsid w:val="00693365"/>
    <w:rsid w:val="006934D4"/>
    <w:rsid w:val="0069368E"/>
    <w:rsid w:val="00693E0B"/>
    <w:rsid w:val="00693E1D"/>
    <w:rsid w:val="00693F81"/>
    <w:rsid w:val="006941D0"/>
    <w:rsid w:val="006943F8"/>
    <w:rsid w:val="00695518"/>
    <w:rsid w:val="0069568D"/>
    <w:rsid w:val="006959E1"/>
    <w:rsid w:val="00696708"/>
    <w:rsid w:val="00696B3A"/>
    <w:rsid w:val="00696D5A"/>
    <w:rsid w:val="0069714F"/>
    <w:rsid w:val="0069732E"/>
    <w:rsid w:val="00697D49"/>
    <w:rsid w:val="006A0308"/>
    <w:rsid w:val="006A0FFA"/>
    <w:rsid w:val="006A1235"/>
    <w:rsid w:val="006A1287"/>
    <w:rsid w:val="006A1351"/>
    <w:rsid w:val="006A1495"/>
    <w:rsid w:val="006A15EB"/>
    <w:rsid w:val="006A167A"/>
    <w:rsid w:val="006A181B"/>
    <w:rsid w:val="006A1897"/>
    <w:rsid w:val="006A1900"/>
    <w:rsid w:val="006A1A76"/>
    <w:rsid w:val="006A1CD1"/>
    <w:rsid w:val="006A1FD3"/>
    <w:rsid w:val="006A284A"/>
    <w:rsid w:val="006A31C2"/>
    <w:rsid w:val="006A34D0"/>
    <w:rsid w:val="006A4B20"/>
    <w:rsid w:val="006A4BE0"/>
    <w:rsid w:val="006A4C39"/>
    <w:rsid w:val="006A4CE7"/>
    <w:rsid w:val="006A508E"/>
    <w:rsid w:val="006A5290"/>
    <w:rsid w:val="006A531B"/>
    <w:rsid w:val="006A56C7"/>
    <w:rsid w:val="006A5854"/>
    <w:rsid w:val="006A5B71"/>
    <w:rsid w:val="006A5CB1"/>
    <w:rsid w:val="006A5E5F"/>
    <w:rsid w:val="006A6C6D"/>
    <w:rsid w:val="006A6E66"/>
    <w:rsid w:val="006A6E6A"/>
    <w:rsid w:val="006A6F05"/>
    <w:rsid w:val="006A7275"/>
    <w:rsid w:val="006A7308"/>
    <w:rsid w:val="006A7A4E"/>
    <w:rsid w:val="006A7D03"/>
    <w:rsid w:val="006B0529"/>
    <w:rsid w:val="006B0730"/>
    <w:rsid w:val="006B08B2"/>
    <w:rsid w:val="006B093A"/>
    <w:rsid w:val="006B0B8F"/>
    <w:rsid w:val="006B0C4F"/>
    <w:rsid w:val="006B0D92"/>
    <w:rsid w:val="006B148B"/>
    <w:rsid w:val="006B174D"/>
    <w:rsid w:val="006B1A4C"/>
    <w:rsid w:val="006B1E8A"/>
    <w:rsid w:val="006B1F89"/>
    <w:rsid w:val="006B21BD"/>
    <w:rsid w:val="006B236B"/>
    <w:rsid w:val="006B2E20"/>
    <w:rsid w:val="006B32F0"/>
    <w:rsid w:val="006B3680"/>
    <w:rsid w:val="006B36A4"/>
    <w:rsid w:val="006B39B9"/>
    <w:rsid w:val="006B3C1C"/>
    <w:rsid w:val="006B3D87"/>
    <w:rsid w:val="006B403F"/>
    <w:rsid w:val="006B40F3"/>
    <w:rsid w:val="006B4AF7"/>
    <w:rsid w:val="006B4B89"/>
    <w:rsid w:val="006B4E76"/>
    <w:rsid w:val="006B501E"/>
    <w:rsid w:val="006B5091"/>
    <w:rsid w:val="006B5279"/>
    <w:rsid w:val="006B530F"/>
    <w:rsid w:val="006B5672"/>
    <w:rsid w:val="006B57B2"/>
    <w:rsid w:val="006B5975"/>
    <w:rsid w:val="006B5AFA"/>
    <w:rsid w:val="006B5EFA"/>
    <w:rsid w:val="006B6108"/>
    <w:rsid w:val="006B61B8"/>
    <w:rsid w:val="006B645F"/>
    <w:rsid w:val="006B6D53"/>
    <w:rsid w:val="006B6E92"/>
    <w:rsid w:val="006B6F05"/>
    <w:rsid w:val="006B7626"/>
    <w:rsid w:val="006B765F"/>
    <w:rsid w:val="006B786B"/>
    <w:rsid w:val="006B7DCC"/>
    <w:rsid w:val="006B7E78"/>
    <w:rsid w:val="006C08AF"/>
    <w:rsid w:val="006C0C72"/>
    <w:rsid w:val="006C1267"/>
    <w:rsid w:val="006C1DA9"/>
    <w:rsid w:val="006C20F9"/>
    <w:rsid w:val="006C22D8"/>
    <w:rsid w:val="006C24C9"/>
    <w:rsid w:val="006C2641"/>
    <w:rsid w:val="006C272F"/>
    <w:rsid w:val="006C29B4"/>
    <w:rsid w:val="006C29D7"/>
    <w:rsid w:val="006C30ED"/>
    <w:rsid w:val="006C338B"/>
    <w:rsid w:val="006C3A29"/>
    <w:rsid w:val="006C3B87"/>
    <w:rsid w:val="006C4034"/>
    <w:rsid w:val="006C4748"/>
    <w:rsid w:val="006C4896"/>
    <w:rsid w:val="006C4C7E"/>
    <w:rsid w:val="006C4E7A"/>
    <w:rsid w:val="006C4EE4"/>
    <w:rsid w:val="006C4F09"/>
    <w:rsid w:val="006C5003"/>
    <w:rsid w:val="006C58A7"/>
    <w:rsid w:val="006C5BE3"/>
    <w:rsid w:val="006C5DBA"/>
    <w:rsid w:val="006C600C"/>
    <w:rsid w:val="006C6229"/>
    <w:rsid w:val="006C6691"/>
    <w:rsid w:val="006C6997"/>
    <w:rsid w:val="006C6B68"/>
    <w:rsid w:val="006C7A5E"/>
    <w:rsid w:val="006C7AEC"/>
    <w:rsid w:val="006C7D7C"/>
    <w:rsid w:val="006C7DA8"/>
    <w:rsid w:val="006CA05A"/>
    <w:rsid w:val="006D02FF"/>
    <w:rsid w:val="006D074E"/>
    <w:rsid w:val="006D0BE8"/>
    <w:rsid w:val="006D0FFF"/>
    <w:rsid w:val="006D1085"/>
    <w:rsid w:val="006D1404"/>
    <w:rsid w:val="006D1954"/>
    <w:rsid w:val="006D1CA6"/>
    <w:rsid w:val="006D1D1F"/>
    <w:rsid w:val="006D1E70"/>
    <w:rsid w:val="006D2528"/>
    <w:rsid w:val="006D26E1"/>
    <w:rsid w:val="006D2B16"/>
    <w:rsid w:val="006D2E01"/>
    <w:rsid w:val="006D2ED7"/>
    <w:rsid w:val="006D3538"/>
    <w:rsid w:val="006D3ADB"/>
    <w:rsid w:val="006D3C52"/>
    <w:rsid w:val="006D407A"/>
    <w:rsid w:val="006D4AA5"/>
    <w:rsid w:val="006D5146"/>
    <w:rsid w:val="006D5721"/>
    <w:rsid w:val="006D5799"/>
    <w:rsid w:val="006D5DDB"/>
    <w:rsid w:val="006D6646"/>
    <w:rsid w:val="006D6718"/>
    <w:rsid w:val="006D6758"/>
    <w:rsid w:val="006D6874"/>
    <w:rsid w:val="006D6A1D"/>
    <w:rsid w:val="006D6F03"/>
    <w:rsid w:val="006D76D6"/>
    <w:rsid w:val="006D7A58"/>
    <w:rsid w:val="006D7D1A"/>
    <w:rsid w:val="006E00C4"/>
    <w:rsid w:val="006E032B"/>
    <w:rsid w:val="006E038E"/>
    <w:rsid w:val="006E075B"/>
    <w:rsid w:val="006E08AB"/>
    <w:rsid w:val="006E08BD"/>
    <w:rsid w:val="006E0D1E"/>
    <w:rsid w:val="006E0DB9"/>
    <w:rsid w:val="006E0DCF"/>
    <w:rsid w:val="006E0DFD"/>
    <w:rsid w:val="006E0E16"/>
    <w:rsid w:val="006E1245"/>
    <w:rsid w:val="006E15DD"/>
    <w:rsid w:val="006E16E2"/>
    <w:rsid w:val="006E19E1"/>
    <w:rsid w:val="006E1B12"/>
    <w:rsid w:val="006E1CA7"/>
    <w:rsid w:val="006E2288"/>
    <w:rsid w:val="006E2656"/>
    <w:rsid w:val="006E2695"/>
    <w:rsid w:val="006E2725"/>
    <w:rsid w:val="006E282F"/>
    <w:rsid w:val="006E2A97"/>
    <w:rsid w:val="006E338B"/>
    <w:rsid w:val="006E3710"/>
    <w:rsid w:val="006E3A8B"/>
    <w:rsid w:val="006E3C7F"/>
    <w:rsid w:val="006E4287"/>
    <w:rsid w:val="006E452E"/>
    <w:rsid w:val="006E480C"/>
    <w:rsid w:val="006E510B"/>
    <w:rsid w:val="006E510F"/>
    <w:rsid w:val="006E57F1"/>
    <w:rsid w:val="006E5CC8"/>
    <w:rsid w:val="006E5D72"/>
    <w:rsid w:val="006E6079"/>
    <w:rsid w:val="006E63F6"/>
    <w:rsid w:val="006E6660"/>
    <w:rsid w:val="006E6788"/>
    <w:rsid w:val="006E6BE6"/>
    <w:rsid w:val="006E6D7D"/>
    <w:rsid w:val="006E6FB7"/>
    <w:rsid w:val="006E6FD7"/>
    <w:rsid w:val="006E74FD"/>
    <w:rsid w:val="006E7C45"/>
    <w:rsid w:val="006E7DD3"/>
    <w:rsid w:val="006E7FDD"/>
    <w:rsid w:val="006E9EE9"/>
    <w:rsid w:val="006F0271"/>
    <w:rsid w:val="006F14A8"/>
    <w:rsid w:val="006F15C9"/>
    <w:rsid w:val="006F1A21"/>
    <w:rsid w:val="006F1E79"/>
    <w:rsid w:val="006F20B5"/>
    <w:rsid w:val="006F253A"/>
    <w:rsid w:val="006F2932"/>
    <w:rsid w:val="006F2A5F"/>
    <w:rsid w:val="006F2BBC"/>
    <w:rsid w:val="006F2EE0"/>
    <w:rsid w:val="006F3484"/>
    <w:rsid w:val="006F39FD"/>
    <w:rsid w:val="006F3D13"/>
    <w:rsid w:val="006F43EC"/>
    <w:rsid w:val="006F4421"/>
    <w:rsid w:val="006F4898"/>
    <w:rsid w:val="006F491D"/>
    <w:rsid w:val="006F5302"/>
    <w:rsid w:val="006F5553"/>
    <w:rsid w:val="006F5658"/>
    <w:rsid w:val="006F5CBE"/>
    <w:rsid w:val="006F5DB1"/>
    <w:rsid w:val="006F6211"/>
    <w:rsid w:val="006F629F"/>
    <w:rsid w:val="006F6E76"/>
    <w:rsid w:val="006F6FEB"/>
    <w:rsid w:val="006F72A3"/>
    <w:rsid w:val="006F79BE"/>
    <w:rsid w:val="006F7A2A"/>
    <w:rsid w:val="00700283"/>
    <w:rsid w:val="00700461"/>
    <w:rsid w:val="007004B4"/>
    <w:rsid w:val="007005A0"/>
    <w:rsid w:val="0070084F"/>
    <w:rsid w:val="007009D0"/>
    <w:rsid w:val="0070114B"/>
    <w:rsid w:val="00701602"/>
    <w:rsid w:val="00701746"/>
    <w:rsid w:val="00701930"/>
    <w:rsid w:val="00701BCE"/>
    <w:rsid w:val="00702277"/>
    <w:rsid w:val="0070249B"/>
    <w:rsid w:val="0070272F"/>
    <w:rsid w:val="00702CBF"/>
    <w:rsid w:val="00702D90"/>
    <w:rsid w:val="00703714"/>
    <w:rsid w:val="007039BF"/>
    <w:rsid w:val="007049DB"/>
    <w:rsid w:val="007049FE"/>
    <w:rsid w:val="007053F4"/>
    <w:rsid w:val="0070576F"/>
    <w:rsid w:val="0070596F"/>
    <w:rsid w:val="00705C91"/>
    <w:rsid w:val="00705DD5"/>
    <w:rsid w:val="007060B4"/>
    <w:rsid w:val="00706221"/>
    <w:rsid w:val="007062BA"/>
    <w:rsid w:val="007062FB"/>
    <w:rsid w:val="00706641"/>
    <w:rsid w:val="007066CA"/>
    <w:rsid w:val="0070682B"/>
    <w:rsid w:val="00706870"/>
    <w:rsid w:val="007068CB"/>
    <w:rsid w:val="00706A6E"/>
    <w:rsid w:val="00706C2F"/>
    <w:rsid w:val="00706F4A"/>
    <w:rsid w:val="007071B9"/>
    <w:rsid w:val="0070751C"/>
    <w:rsid w:val="0070789C"/>
    <w:rsid w:val="00707A57"/>
    <w:rsid w:val="00707D11"/>
    <w:rsid w:val="007104F1"/>
    <w:rsid w:val="0071053F"/>
    <w:rsid w:val="007108D4"/>
    <w:rsid w:val="00710EAE"/>
    <w:rsid w:val="007111DB"/>
    <w:rsid w:val="00711854"/>
    <w:rsid w:val="007119B3"/>
    <w:rsid w:val="00711DCC"/>
    <w:rsid w:val="00712816"/>
    <w:rsid w:val="00712BE2"/>
    <w:rsid w:val="00712BE5"/>
    <w:rsid w:val="00713072"/>
    <w:rsid w:val="0071342F"/>
    <w:rsid w:val="007137A7"/>
    <w:rsid w:val="007137EE"/>
    <w:rsid w:val="00713E05"/>
    <w:rsid w:val="0071426A"/>
    <w:rsid w:val="0071447B"/>
    <w:rsid w:val="007146F5"/>
    <w:rsid w:val="00714FDE"/>
    <w:rsid w:val="00715110"/>
    <w:rsid w:val="007157E1"/>
    <w:rsid w:val="00715E05"/>
    <w:rsid w:val="0071638E"/>
    <w:rsid w:val="0071655E"/>
    <w:rsid w:val="00716920"/>
    <w:rsid w:val="00716B8B"/>
    <w:rsid w:val="00716FE4"/>
    <w:rsid w:val="00717454"/>
    <w:rsid w:val="007178E8"/>
    <w:rsid w:val="00717D5C"/>
    <w:rsid w:val="0072095E"/>
    <w:rsid w:val="007211E2"/>
    <w:rsid w:val="007218E5"/>
    <w:rsid w:val="00721C6F"/>
    <w:rsid w:val="00721DFB"/>
    <w:rsid w:val="00721F97"/>
    <w:rsid w:val="00722166"/>
    <w:rsid w:val="007221F7"/>
    <w:rsid w:val="00722410"/>
    <w:rsid w:val="00722861"/>
    <w:rsid w:val="007229E6"/>
    <w:rsid w:val="00722E06"/>
    <w:rsid w:val="0072303C"/>
    <w:rsid w:val="00723065"/>
    <w:rsid w:val="007235C4"/>
    <w:rsid w:val="00723655"/>
    <w:rsid w:val="00723FC0"/>
    <w:rsid w:val="0072432A"/>
    <w:rsid w:val="0072483D"/>
    <w:rsid w:val="007248DA"/>
    <w:rsid w:val="0072496B"/>
    <w:rsid w:val="00724C7E"/>
    <w:rsid w:val="00724CDC"/>
    <w:rsid w:val="00724D34"/>
    <w:rsid w:val="00724E4F"/>
    <w:rsid w:val="00725113"/>
    <w:rsid w:val="0072560E"/>
    <w:rsid w:val="007257B4"/>
    <w:rsid w:val="00725AD1"/>
    <w:rsid w:val="00725CE0"/>
    <w:rsid w:val="00725DD0"/>
    <w:rsid w:val="00725DF2"/>
    <w:rsid w:val="00725FDB"/>
    <w:rsid w:val="007260D8"/>
    <w:rsid w:val="007260DE"/>
    <w:rsid w:val="00726292"/>
    <w:rsid w:val="007265E7"/>
    <w:rsid w:val="00726635"/>
    <w:rsid w:val="007268B1"/>
    <w:rsid w:val="007269AA"/>
    <w:rsid w:val="00726D56"/>
    <w:rsid w:val="00726F42"/>
    <w:rsid w:val="00727047"/>
    <w:rsid w:val="007271D3"/>
    <w:rsid w:val="00727219"/>
    <w:rsid w:val="007273A9"/>
    <w:rsid w:val="007273CC"/>
    <w:rsid w:val="00727632"/>
    <w:rsid w:val="00727987"/>
    <w:rsid w:val="00727CBF"/>
    <w:rsid w:val="00727EE8"/>
    <w:rsid w:val="0073001C"/>
    <w:rsid w:val="0073054D"/>
    <w:rsid w:val="00731435"/>
    <w:rsid w:val="00731477"/>
    <w:rsid w:val="00731C3E"/>
    <w:rsid w:val="0073246A"/>
    <w:rsid w:val="007327BB"/>
    <w:rsid w:val="00732CB6"/>
    <w:rsid w:val="00733A2B"/>
    <w:rsid w:val="00733D14"/>
    <w:rsid w:val="00733DB3"/>
    <w:rsid w:val="0073405A"/>
    <w:rsid w:val="00734615"/>
    <w:rsid w:val="0073464B"/>
    <w:rsid w:val="00734B6B"/>
    <w:rsid w:val="00734BB2"/>
    <w:rsid w:val="00734F01"/>
    <w:rsid w:val="00735125"/>
    <w:rsid w:val="007353CE"/>
    <w:rsid w:val="00735580"/>
    <w:rsid w:val="007355D8"/>
    <w:rsid w:val="00735619"/>
    <w:rsid w:val="0073586E"/>
    <w:rsid w:val="007359FB"/>
    <w:rsid w:val="00735E9C"/>
    <w:rsid w:val="00735EAA"/>
    <w:rsid w:val="00735F57"/>
    <w:rsid w:val="0073610A"/>
    <w:rsid w:val="00736300"/>
    <w:rsid w:val="00736338"/>
    <w:rsid w:val="00736407"/>
    <w:rsid w:val="00736AFA"/>
    <w:rsid w:val="00736CD4"/>
    <w:rsid w:val="00737265"/>
    <w:rsid w:val="00737658"/>
    <w:rsid w:val="007376F0"/>
    <w:rsid w:val="007377D1"/>
    <w:rsid w:val="0073780D"/>
    <w:rsid w:val="00737D8B"/>
    <w:rsid w:val="00737F81"/>
    <w:rsid w:val="00737FE9"/>
    <w:rsid w:val="00740118"/>
    <w:rsid w:val="00740485"/>
    <w:rsid w:val="0074074A"/>
    <w:rsid w:val="00740775"/>
    <w:rsid w:val="00740987"/>
    <w:rsid w:val="00741359"/>
    <w:rsid w:val="0074177D"/>
    <w:rsid w:val="00741DBB"/>
    <w:rsid w:val="00742181"/>
    <w:rsid w:val="00742373"/>
    <w:rsid w:val="00742419"/>
    <w:rsid w:val="00742606"/>
    <w:rsid w:val="00742A28"/>
    <w:rsid w:val="00742A3D"/>
    <w:rsid w:val="00742B33"/>
    <w:rsid w:val="00742CC0"/>
    <w:rsid w:val="00742FF1"/>
    <w:rsid w:val="00743722"/>
    <w:rsid w:val="00743EBF"/>
    <w:rsid w:val="0074444C"/>
    <w:rsid w:val="007446BF"/>
    <w:rsid w:val="00744998"/>
    <w:rsid w:val="00744D92"/>
    <w:rsid w:val="00744EC0"/>
    <w:rsid w:val="00745526"/>
    <w:rsid w:val="00745A7D"/>
    <w:rsid w:val="00745ADD"/>
    <w:rsid w:val="00745CE9"/>
    <w:rsid w:val="00745D6B"/>
    <w:rsid w:val="00745DD3"/>
    <w:rsid w:val="00745E7C"/>
    <w:rsid w:val="00745FF4"/>
    <w:rsid w:val="00746093"/>
    <w:rsid w:val="00746AE5"/>
    <w:rsid w:val="00746C35"/>
    <w:rsid w:val="00746EB5"/>
    <w:rsid w:val="0074707C"/>
    <w:rsid w:val="00747351"/>
    <w:rsid w:val="007473D8"/>
    <w:rsid w:val="007475BA"/>
    <w:rsid w:val="00747AF4"/>
    <w:rsid w:val="00750A54"/>
    <w:rsid w:val="00750C92"/>
    <w:rsid w:val="00750CD5"/>
    <w:rsid w:val="00750DF6"/>
    <w:rsid w:val="00750F76"/>
    <w:rsid w:val="00750FD7"/>
    <w:rsid w:val="007510B8"/>
    <w:rsid w:val="007511E1"/>
    <w:rsid w:val="007512DD"/>
    <w:rsid w:val="00751647"/>
    <w:rsid w:val="00751741"/>
    <w:rsid w:val="00751AEC"/>
    <w:rsid w:val="00752326"/>
    <w:rsid w:val="0075245A"/>
    <w:rsid w:val="00752A0B"/>
    <w:rsid w:val="00752E9D"/>
    <w:rsid w:val="00753119"/>
    <w:rsid w:val="007531B4"/>
    <w:rsid w:val="0075333A"/>
    <w:rsid w:val="007538DE"/>
    <w:rsid w:val="00753D24"/>
    <w:rsid w:val="00753D6E"/>
    <w:rsid w:val="00753F68"/>
    <w:rsid w:val="00753FE7"/>
    <w:rsid w:val="0075405E"/>
    <w:rsid w:val="007541D0"/>
    <w:rsid w:val="00754374"/>
    <w:rsid w:val="0075483C"/>
    <w:rsid w:val="00754B9D"/>
    <w:rsid w:val="00754CA3"/>
    <w:rsid w:val="007552B5"/>
    <w:rsid w:val="007554A7"/>
    <w:rsid w:val="0075577D"/>
    <w:rsid w:val="007557FF"/>
    <w:rsid w:val="00755C7F"/>
    <w:rsid w:val="00755F64"/>
    <w:rsid w:val="00755FFA"/>
    <w:rsid w:val="00756161"/>
    <w:rsid w:val="00756186"/>
    <w:rsid w:val="007563B4"/>
    <w:rsid w:val="007566CE"/>
    <w:rsid w:val="00756743"/>
    <w:rsid w:val="00756BED"/>
    <w:rsid w:val="00757215"/>
    <w:rsid w:val="00757DEB"/>
    <w:rsid w:val="0076035C"/>
    <w:rsid w:val="0076070C"/>
    <w:rsid w:val="00760E18"/>
    <w:rsid w:val="00760FEF"/>
    <w:rsid w:val="0076111C"/>
    <w:rsid w:val="007613B9"/>
    <w:rsid w:val="007615B3"/>
    <w:rsid w:val="00761F8E"/>
    <w:rsid w:val="0076239C"/>
    <w:rsid w:val="00762881"/>
    <w:rsid w:val="00762D89"/>
    <w:rsid w:val="007633D6"/>
    <w:rsid w:val="00763508"/>
    <w:rsid w:val="00763561"/>
    <w:rsid w:val="007641E7"/>
    <w:rsid w:val="00764227"/>
    <w:rsid w:val="00764330"/>
    <w:rsid w:val="007648D8"/>
    <w:rsid w:val="00764D4D"/>
    <w:rsid w:val="00764E6C"/>
    <w:rsid w:val="0076581D"/>
    <w:rsid w:val="007658DB"/>
    <w:rsid w:val="00765B4C"/>
    <w:rsid w:val="00765E49"/>
    <w:rsid w:val="00765F4F"/>
    <w:rsid w:val="0076665E"/>
    <w:rsid w:val="007666C1"/>
    <w:rsid w:val="0076681F"/>
    <w:rsid w:val="0076687D"/>
    <w:rsid w:val="007668D6"/>
    <w:rsid w:val="0076690C"/>
    <w:rsid w:val="00766928"/>
    <w:rsid w:val="00766D77"/>
    <w:rsid w:val="00766EA3"/>
    <w:rsid w:val="00766F8D"/>
    <w:rsid w:val="00767145"/>
    <w:rsid w:val="007671C9"/>
    <w:rsid w:val="007674D5"/>
    <w:rsid w:val="0076758C"/>
    <w:rsid w:val="00770072"/>
    <w:rsid w:val="007700DF"/>
    <w:rsid w:val="0077012A"/>
    <w:rsid w:val="00770F8C"/>
    <w:rsid w:val="007710F6"/>
    <w:rsid w:val="007711BF"/>
    <w:rsid w:val="00771287"/>
    <w:rsid w:val="00771297"/>
    <w:rsid w:val="00771730"/>
    <w:rsid w:val="00771DC7"/>
    <w:rsid w:val="00771F68"/>
    <w:rsid w:val="007721EB"/>
    <w:rsid w:val="00772342"/>
    <w:rsid w:val="00772575"/>
    <w:rsid w:val="00772C7A"/>
    <w:rsid w:val="00773289"/>
    <w:rsid w:val="00773CD5"/>
    <w:rsid w:val="00773F37"/>
    <w:rsid w:val="007743BB"/>
    <w:rsid w:val="00774EDC"/>
    <w:rsid w:val="00774F99"/>
    <w:rsid w:val="00775116"/>
    <w:rsid w:val="00775657"/>
    <w:rsid w:val="007757DE"/>
    <w:rsid w:val="007757F2"/>
    <w:rsid w:val="00775A4E"/>
    <w:rsid w:val="00775ADB"/>
    <w:rsid w:val="00775C3E"/>
    <w:rsid w:val="00775E25"/>
    <w:rsid w:val="007767B4"/>
    <w:rsid w:val="00776823"/>
    <w:rsid w:val="007769FA"/>
    <w:rsid w:val="00776D63"/>
    <w:rsid w:val="00776FAA"/>
    <w:rsid w:val="0077717B"/>
    <w:rsid w:val="007771EB"/>
    <w:rsid w:val="00777571"/>
    <w:rsid w:val="00777BA6"/>
    <w:rsid w:val="00777EA4"/>
    <w:rsid w:val="0078026E"/>
    <w:rsid w:val="00780392"/>
    <w:rsid w:val="007803F7"/>
    <w:rsid w:val="0078057D"/>
    <w:rsid w:val="007805D8"/>
    <w:rsid w:val="00780804"/>
    <w:rsid w:val="00780B5B"/>
    <w:rsid w:val="00781026"/>
    <w:rsid w:val="00781556"/>
    <w:rsid w:val="007816BB"/>
    <w:rsid w:val="00781826"/>
    <w:rsid w:val="00781F55"/>
    <w:rsid w:val="007824D3"/>
    <w:rsid w:val="00782692"/>
    <w:rsid w:val="00782747"/>
    <w:rsid w:val="007827BE"/>
    <w:rsid w:val="00782993"/>
    <w:rsid w:val="0078313C"/>
    <w:rsid w:val="00783363"/>
    <w:rsid w:val="007837A1"/>
    <w:rsid w:val="007841D3"/>
    <w:rsid w:val="0078424E"/>
    <w:rsid w:val="007842A1"/>
    <w:rsid w:val="00784722"/>
    <w:rsid w:val="007847C5"/>
    <w:rsid w:val="00784FE0"/>
    <w:rsid w:val="00785715"/>
    <w:rsid w:val="00785862"/>
    <w:rsid w:val="00785896"/>
    <w:rsid w:val="00785B18"/>
    <w:rsid w:val="00785DD5"/>
    <w:rsid w:val="00786323"/>
    <w:rsid w:val="00786638"/>
    <w:rsid w:val="00786D3D"/>
    <w:rsid w:val="00786FAB"/>
    <w:rsid w:val="0078727D"/>
    <w:rsid w:val="007872D7"/>
    <w:rsid w:val="0078733B"/>
    <w:rsid w:val="00787773"/>
    <w:rsid w:val="00787866"/>
    <w:rsid w:val="00790022"/>
    <w:rsid w:val="00790836"/>
    <w:rsid w:val="00790CB1"/>
    <w:rsid w:val="00791163"/>
    <w:rsid w:val="0079149D"/>
    <w:rsid w:val="00791531"/>
    <w:rsid w:val="007919AE"/>
    <w:rsid w:val="007922B5"/>
    <w:rsid w:val="007922C5"/>
    <w:rsid w:val="007923EC"/>
    <w:rsid w:val="00792483"/>
    <w:rsid w:val="00792558"/>
    <w:rsid w:val="007926E6"/>
    <w:rsid w:val="0079289F"/>
    <w:rsid w:val="007929CD"/>
    <w:rsid w:val="00792ACE"/>
    <w:rsid w:val="00792D7F"/>
    <w:rsid w:val="00793374"/>
    <w:rsid w:val="007938B4"/>
    <w:rsid w:val="00793949"/>
    <w:rsid w:val="00794375"/>
    <w:rsid w:val="00794677"/>
    <w:rsid w:val="00794E86"/>
    <w:rsid w:val="00794F5F"/>
    <w:rsid w:val="00795201"/>
    <w:rsid w:val="00795990"/>
    <w:rsid w:val="007959A2"/>
    <w:rsid w:val="007959D4"/>
    <w:rsid w:val="007959DC"/>
    <w:rsid w:val="00795B61"/>
    <w:rsid w:val="00795FA8"/>
    <w:rsid w:val="00796293"/>
    <w:rsid w:val="00796354"/>
    <w:rsid w:val="007971BC"/>
    <w:rsid w:val="00797379"/>
    <w:rsid w:val="007974F5"/>
    <w:rsid w:val="007A01CD"/>
    <w:rsid w:val="007A0566"/>
    <w:rsid w:val="007A0CF5"/>
    <w:rsid w:val="007A1520"/>
    <w:rsid w:val="007A1DB0"/>
    <w:rsid w:val="007A1EE5"/>
    <w:rsid w:val="007A216A"/>
    <w:rsid w:val="007A22F5"/>
    <w:rsid w:val="007A2702"/>
    <w:rsid w:val="007A33AA"/>
    <w:rsid w:val="007A3515"/>
    <w:rsid w:val="007A36FD"/>
    <w:rsid w:val="007A3F6B"/>
    <w:rsid w:val="007A41A0"/>
    <w:rsid w:val="007A4306"/>
    <w:rsid w:val="007A4570"/>
    <w:rsid w:val="007A45CD"/>
    <w:rsid w:val="007A470E"/>
    <w:rsid w:val="007A474A"/>
    <w:rsid w:val="007A4A21"/>
    <w:rsid w:val="007A4B1C"/>
    <w:rsid w:val="007A5526"/>
    <w:rsid w:val="007A595D"/>
    <w:rsid w:val="007A5966"/>
    <w:rsid w:val="007A5CD8"/>
    <w:rsid w:val="007A625C"/>
    <w:rsid w:val="007A6C97"/>
    <w:rsid w:val="007A7209"/>
    <w:rsid w:val="007A7C05"/>
    <w:rsid w:val="007B01BD"/>
    <w:rsid w:val="007B06B2"/>
    <w:rsid w:val="007B0DD3"/>
    <w:rsid w:val="007B0F57"/>
    <w:rsid w:val="007B119C"/>
    <w:rsid w:val="007B162B"/>
    <w:rsid w:val="007B19DF"/>
    <w:rsid w:val="007B1A17"/>
    <w:rsid w:val="007B1F8E"/>
    <w:rsid w:val="007B23AB"/>
    <w:rsid w:val="007B278A"/>
    <w:rsid w:val="007B2ACC"/>
    <w:rsid w:val="007B2C77"/>
    <w:rsid w:val="007B2C8B"/>
    <w:rsid w:val="007B2DE5"/>
    <w:rsid w:val="007B2E90"/>
    <w:rsid w:val="007B2FBB"/>
    <w:rsid w:val="007B37B3"/>
    <w:rsid w:val="007B398C"/>
    <w:rsid w:val="007B410A"/>
    <w:rsid w:val="007B4990"/>
    <w:rsid w:val="007B4B8F"/>
    <w:rsid w:val="007B51C4"/>
    <w:rsid w:val="007B52DB"/>
    <w:rsid w:val="007B547B"/>
    <w:rsid w:val="007B573B"/>
    <w:rsid w:val="007B5793"/>
    <w:rsid w:val="007B5822"/>
    <w:rsid w:val="007B58DF"/>
    <w:rsid w:val="007B5AFB"/>
    <w:rsid w:val="007B67BF"/>
    <w:rsid w:val="007B6EFB"/>
    <w:rsid w:val="007B739A"/>
    <w:rsid w:val="007B7586"/>
    <w:rsid w:val="007B75BF"/>
    <w:rsid w:val="007B79F8"/>
    <w:rsid w:val="007B7A00"/>
    <w:rsid w:val="007C016D"/>
    <w:rsid w:val="007C0609"/>
    <w:rsid w:val="007C07E8"/>
    <w:rsid w:val="007C124A"/>
    <w:rsid w:val="007C1771"/>
    <w:rsid w:val="007C19A4"/>
    <w:rsid w:val="007C1BC5"/>
    <w:rsid w:val="007C1F26"/>
    <w:rsid w:val="007C2090"/>
    <w:rsid w:val="007C2209"/>
    <w:rsid w:val="007C2B4C"/>
    <w:rsid w:val="007C2DEF"/>
    <w:rsid w:val="007C2E56"/>
    <w:rsid w:val="007C3173"/>
    <w:rsid w:val="007C3D55"/>
    <w:rsid w:val="007C3E41"/>
    <w:rsid w:val="007C3FCE"/>
    <w:rsid w:val="007C49E3"/>
    <w:rsid w:val="007C4C5B"/>
    <w:rsid w:val="007C5570"/>
    <w:rsid w:val="007C607B"/>
    <w:rsid w:val="007C7A55"/>
    <w:rsid w:val="007C7C51"/>
    <w:rsid w:val="007C7CEA"/>
    <w:rsid w:val="007C7CEE"/>
    <w:rsid w:val="007C7E8B"/>
    <w:rsid w:val="007C7F97"/>
    <w:rsid w:val="007D021A"/>
    <w:rsid w:val="007D0382"/>
    <w:rsid w:val="007D053F"/>
    <w:rsid w:val="007D08D3"/>
    <w:rsid w:val="007D0D04"/>
    <w:rsid w:val="007D0D70"/>
    <w:rsid w:val="007D0F02"/>
    <w:rsid w:val="007D0F4E"/>
    <w:rsid w:val="007D0F6E"/>
    <w:rsid w:val="007D120A"/>
    <w:rsid w:val="007D1256"/>
    <w:rsid w:val="007D196D"/>
    <w:rsid w:val="007D21DB"/>
    <w:rsid w:val="007D2378"/>
    <w:rsid w:val="007D24AD"/>
    <w:rsid w:val="007D262D"/>
    <w:rsid w:val="007D2C68"/>
    <w:rsid w:val="007D3012"/>
    <w:rsid w:val="007D356B"/>
    <w:rsid w:val="007D3705"/>
    <w:rsid w:val="007D3844"/>
    <w:rsid w:val="007D469D"/>
    <w:rsid w:val="007D4720"/>
    <w:rsid w:val="007D475E"/>
    <w:rsid w:val="007D4AF7"/>
    <w:rsid w:val="007D4B03"/>
    <w:rsid w:val="007D4B95"/>
    <w:rsid w:val="007D514F"/>
    <w:rsid w:val="007D52D0"/>
    <w:rsid w:val="007D533D"/>
    <w:rsid w:val="007D59D3"/>
    <w:rsid w:val="007D5A61"/>
    <w:rsid w:val="007D5F7C"/>
    <w:rsid w:val="007D6100"/>
    <w:rsid w:val="007D63F8"/>
    <w:rsid w:val="007D6D7E"/>
    <w:rsid w:val="007D6E46"/>
    <w:rsid w:val="007D76EF"/>
    <w:rsid w:val="007D793B"/>
    <w:rsid w:val="007D7963"/>
    <w:rsid w:val="007D7E92"/>
    <w:rsid w:val="007D7FD4"/>
    <w:rsid w:val="007E032B"/>
    <w:rsid w:val="007E0391"/>
    <w:rsid w:val="007E03D0"/>
    <w:rsid w:val="007E0634"/>
    <w:rsid w:val="007E091A"/>
    <w:rsid w:val="007E0A11"/>
    <w:rsid w:val="007E0E03"/>
    <w:rsid w:val="007E12D9"/>
    <w:rsid w:val="007E13C6"/>
    <w:rsid w:val="007E1B15"/>
    <w:rsid w:val="007E1D53"/>
    <w:rsid w:val="007E2256"/>
    <w:rsid w:val="007E2AF9"/>
    <w:rsid w:val="007E2C66"/>
    <w:rsid w:val="007E2E4D"/>
    <w:rsid w:val="007E3427"/>
    <w:rsid w:val="007E35B7"/>
    <w:rsid w:val="007E37FB"/>
    <w:rsid w:val="007E3A37"/>
    <w:rsid w:val="007E3A99"/>
    <w:rsid w:val="007E3B5A"/>
    <w:rsid w:val="007E3D38"/>
    <w:rsid w:val="007E43A2"/>
    <w:rsid w:val="007E477D"/>
    <w:rsid w:val="007E47AE"/>
    <w:rsid w:val="007E4C9A"/>
    <w:rsid w:val="007E4D41"/>
    <w:rsid w:val="007E4F90"/>
    <w:rsid w:val="007E4FED"/>
    <w:rsid w:val="007E5071"/>
    <w:rsid w:val="007E5603"/>
    <w:rsid w:val="007E5645"/>
    <w:rsid w:val="007E5B4E"/>
    <w:rsid w:val="007E5CCD"/>
    <w:rsid w:val="007E5EFB"/>
    <w:rsid w:val="007E602B"/>
    <w:rsid w:val="007E64AB"/>
    <w:rsid w:val="007E66A9"/>
    <w:rsid w:val="007E6838"/>
    <w:rsid w:val="007E6C7F"/>
    <w:rsid w:val="007E7051"/>
    <w:rsid w:val="007E7C01"/>
    <w:rsid w:val="007F091F"/>
    <w:rsid w:val="007F0968"/>
    <w:rsid w:val="007F09AF"/>
    <w:rsid w:val="007F0B4C"/>
    <w:rsid w:val="007F1197"/>
    <w:rsid w:val="007F1330"/>
    <w:rsid w:val="007F1465"/>
    <w:rsid w:val="007F14DF"/>
    <w:rsid w:val="007F2089"/>
    <w:rsid w:val="007F26DF"/>
    <w:rsid w:val="007F2734"/>
    <w:rsid w:val="007F2AFB"/>
    <w:rsid w:val="007F2BA5"/>
    <w:rsid w:val="007F2E28"/>
    <w:rsid w:val="007F326C"/>
    <w:rsid w:val="007F348B"/>
    <w:rsid w:val="007F34DB"/>
    <w:rsid w:val="007F3572"/>
    <w:rsid w:val="007F3B04"/>
    <w:rsid w:val="007F3BCF"/>
    <w:rsid w:val="007F3DCF"/>
    <w:rsid w:val="007F4001"/>
    <w:rsid w:val="007F4032"/>
    <w:rsid w:val="007F408A"/>
    <w:rsid w:val="007F40A9"/>
    <w:rsid w:val="007F4364"/>
    <w:rsid w:val="007F44D1"/>
    <w:rsid w:val="007F48DC"/>
    <w:rsid w:val="007F4E8D"/>
    <w:rsid w:val="007F5115"/>
    <w:rsid w:val="007F53A9"/>
    <w:rsid w:val="007F5E6D"/>
    <w:rsid w:val="007F5EEE"/>
    <w:rsid w:val="007F601C"/>
    <w:rsid w:val="007F634C"/>
    <w:rsid w:val="007F639A"/>
    <w:rsid w:val="007F662D"/>
    <w:rsid w:val="007F683C"/>
    <w:rsid w:val="007F6940"/>
    <w:rsid w:val="007F6E5A"/>
    <w:rsid w:val="007F72BA"/>
    <w:rsid w:val="007F7326"/>
    <w:rsid w:val="007F7727"/>
    <w:rsid w:val="0080026D"/>
    <w:rsid w:val="00800A10"/>
    <w:rsid w:val="0080147B"/>
    <w:rsid w:val="00801550"/>
    <w:rsid w:val="0080188C"/>
    <w:rsid w:val="008018D4"/>
    <w:rsid w:val="0080197F"/>
    <w:rsid w:val="0080203D"/>
    <w:rsid w:val="0080227D"/>
    <w:rsid w:val="00802361"/>
    <w:rsid w:val="0080236C"/>
    <w:rsid w:val="00802A96"/>
    <w:rsid w:val="008030C5"/>
    <w:rsid w:val="00803285"/>
    <w:rsid w:val="008037D5"/>
    <w:rsid w:val="00803BED"/>
    <w:rsid w:val="00804EDF"/>
    <w:rsid w:val="008053AF"/>
    <w:rsid w:val="0080559B"/>
    <w:rsid w:val="008056E3"/>
    <w:rsid w:val="008059F9"/>
    <w:rsid w:val="00805BEC"/>
    <w:rsid w:val="00805CE4"/>
    <w:rsid w:val="008061B8"/>
    <w:rsid w:val="008062D0"/>
    <w:rsid w:val="008063B3"/>
    <w:rsid w:val="00806550"/>
    <w:rsid w:val="008067A2"/>
    <w:rsid w:val="00806BD5"/>
    <w:rsid w:val="00806D0C"/>
    <w:rsid w:val="00806FED"/>
    <w:rsid w:val="0080726B"/>
    <w:rsid w:val="0080752F"/>
    <w:rsid w:val="00807621"/>
    <w:rsid w:val="0080798B"/>
    <w:rsid w:val="00807D74"/>
    <w:rsid w:val="00807D79"/>
    <w:rsid w:val="0081117B"/>
    <w:rsid w:val="008116C0"/>
    <w:rsid w:val="008118CE"/>
    <w:rsid w:val="00811950"/>
    <w:rsid w:val="00811955"/>
    <w:rsid w:val="00811B06"/>
    <w:rsid w:val="00811C74"/>
    <w:rsid w:val="00811D30"/>
    <w:rsid w:val="00811D64"/>
    <w:rsid w:val="008120E1"/>
    <w:rsid w:val="0081218D"/>
    <w:rsid w:val="0081269D"/>
    <w:rsid w:val="0081303F"/>
    <w:rsid w:val="008131B4"/>
    <w:rsid w:val="008132C9"/>
    <w:rsid w:val="0081338D"/>
    <w:rsid w:val="008139A9"/>
    <w:rsid w:val="0081456D"/>
    <w:rsid w:val="008148F4"/>
    <w:rsid w:val="00814DB8"/>
    <w:rsid w:val="00814E02"/>
    <w:rsid w:val="00814E28"/>
    <w:rsid w:val="0081502E"/>
    <w:rsid w:val="00815153"/>
    <w:rsid w:val="008158BD"/>
    <w:rsid w:val="00816207"/>
    <w:rsid w:val="00816235"/>
    <w:rsid w:val="0081631D"/>
    <w:rsid w:val="00816363"/>
    <w:rsid w:val="00816982"/>
    <w:rsid w:val="00816C51"/>
    <w:rsid w:val="00817AE1"/>
    <w:rsid w:val="00817BA4"/>
    <w:rsid w:val="00817EF1"/>
    <w:rsid w:val="00820487"/>
    <w:rsid w:val="008204B5"/>
    <w:rsid w:val="008207D9"/>
    <w:rsid w:val="00820904"/>
    <w:rsid w:val="00820BAF"/>
    <w:rsid w:val="008210A5"/>
    <w:rsid w:val="0082199F"/>
    <w:rsid w:val="00821F14"/>
    <w:rsid w:val="0082249D"/>
    <w:rsid w:val="00822692"/>
    <w:rsid w:val="00822AC0"/>
    <w:rsid w:val="00822D4F"/>
    <w:rsid w:val="0082304E"/>
    <w:rsid w:val="008230B5"/>
    <w:rsid w:val="0082322B"/>
    <w:rsid w:val="00823252"/>
    <w:rsid w:val="00823285"/>
    <w:rsid w:val="008235FB"/>
    <w:rsid w:val="00823867"/>
    <w:rsid w:val="00823BCA"/>
    <w:rsid w:val="00823F5B"/>
    <w:rsid w:val="00824199"/>
    <w:rsid w:val="0082432E"/>
    <w:rsid w:val="008243F1"/>
    <w:rsid w:val="00824420"/>
    <w:rsid w:val="00824F2A"/>
    <w:rsid w:val="00824F77"/>
    <w:rsid w:val="008253A8"/>
    <w:rsid w:val="008254D6"/>
    <w:rsid w:val="008257AD"/>
    <w:rsid w:val="008257EC"/>
    <w:rsid w:val="00825C03"/>
    <w:rsid w:val="00825F8F"/>
    <w:rsid w:val="008261F9"/>
    <w:rsid w:val="008262F2"/>
    <w:rsid w:val="008263F0"/>
    <w:rsid w:val="008265EF"/>
    <w:rsid w:val="008266C1"/>
    <w:rsid w:val="00826B64"/>
    <w:rsid w:val="00826E1E"/>
    <w:rsid w:val="0082729C"/>
    <w:rsid w:val="008275A5"/>
    <w:rsid w:val="008275E1"/>
    <w:rsid w:val="0082768F"/>
    <w:rsid w:val="00827745"/>
    <w:rsid w:val="00827BD8"/>
    <w:rsid w:val="00827C54"/>
    <w:rsid w:val="00827D26"/>
    <w:rsid w:val="00827D4B"/>
    <w:rsid w:val="00827E3C"/>
    <w:rsid w:val="00827E69"/>
    <w:rsid w:val="00831115"/>
    <w:rsid w:val="008314FD"/>
    <w:rsid w:val="008318F0"/>
    <w:rsid w:val="00831F01"/>
    <w:rsid w:val="00831FA8"/>
    <w:rsid w:val="008321D9"/>
    <w:rsid w:val="008322F0"/>
    <w:rsid w:val="008327F9"/>
    <w:rsid w:val="00832E94"/>
    <w:rsid w:val="0083358E"/>
    <w:rsid w:val="00833777"/>
    <w:rsid w:val="00833DFB"/>
    <w:rsid w:val="008352A3"/>
    <w:rsid w:val="0083554E"/>
    <w:rsid w:val="00835689"/>
    <w:rsid w:val="00835C38"/>
    <w:rsid w:val="008360A8"/>
    <w:rsid w:val="0083639F"/>
    <w:rsid w:val="00836680"/>
    <w:rsid w:val="00836842"/>
    <w:rsid w:val="00836903"/>
    <w:rsid w:val="00836A86"/>
    <w:rsid w:val="00836BCC"/>
    <w:rsid w:val="00837020"/>
    <w:rsid w:val="0083786C"/>
    <w:rsid w:val="008402B2"/>
    <w:rsid w:val="0084039E"/>
    <w:rsid w:val="00841348"/>
    <w:rsid w:val="008417AD"/>
    <w:rsid w:val="00841AA8"/>
    <w:rsid w:val="00841FF4"/>
    <w:rsid w:val="00842675"/>
    <w:rsid w:val="00842753"/>
    <w:rsid w:val="00842CD6"/>
    <w:rsid w:val="00842FFC"/>
    <w:rsid w:val="008434FD"/>
    <w:rsid w:val="008436BE"/>
    <w:rsid w:val="00843ABD"/>
    <w:rsid w:val="00843C1A"/>
    <w:rsid w:val="00843DE7"/>
    <w:rsid w:val="0084414B"/>
    <w:rsid w:val="0084439E"/>
    <w:rsid w:val="00845B58"/>
    <w:rsid w:val="00845F1F"/>
    <w:rsid w:val="008464FC"/>
    <w:rsid w:val="008465F9"/>
    <w:rsid w:val="00846724"/>
    <w:rsid w:val="0084687F"/>
    <w:rsid w:val="0084697C"/>
    <w:rsid w:val="00846AF8"/>
    <w:rsid w:val="008471F2"/>
    <w:rsid w:val="00847219"/>
    <w:rsid w:val="00847478"/>
    <w:rsid w:val="00847680"/>
    <w:rsid w:val="00847C93"/>
    <w:rsid w:val="00847E33"/>
    <w:rsid w:val="00850125"/>
    <w:rsid w:val="008501A4"/>
    <w:rsid w:val="008501F4"/>
    <w:rsid w:val="008502D3"/>
    <w:rsid w:val="00850D3D"/>
    <w:rsid w:val="00850E32"/>
    <w:rsid w:val="00851326"/>
    <w:rsid w:val="00851872"/>
    <w:rsid w:val="0085192D"/>
    <w:rsid w:val="00851C92"/>
    <w:rsid w:val="00851DA5"/>
    <w:rsid w:val="0085249B"/>
    <w:rsid w:val="0085263D"/>
    <w:rsid w:val="00852C89"/>
    <w:rsid w:val="00852D55"/>
    <w:rsid w:val="00853176"/>
    <w:rsid w:val="00853323"/>
    <w:rsid w:val="008534C1"/>
    <w:rsid w:val="008534E2"/>
    <w:rsid w:val="00853E64"/>
    <w:rsid w:val="00853F5D"/>
    <w:rsid w:val="0085406D"/>
    <w:rsid w:val="0085406E"/>
    <w:rsid w:val="0085450C"/>
    <w:rsid w:val="00854585"/>
    <w:rsid w:val="008545C6"/>
    <w:rsid w:val="00854A4E"/>
    <w:rsid w:val="00854C25"/>
    <w:rsid w:val="00854D93"/>
    <w:rsid w:val="00854DD7"/>
    <w:rsid w:val="00854FF8"/>
    <w:rsid w:val="008550C6"/>
    <w:rsid w:val="00855163"/>
    <w:rsid w:val="008557F1"/>
    <w:rsid w:val="00855DA2"/>
    <w:rsid w:val="00855DF0"/>
    <w:rsid w:val="008560CE"/>
    <w:rsid w:val="008561A6"/>
    <w:rsid w:val="008564DA"/>
    <w:rsid w:val="00857044"/>
    <w:rsid w:val="008570D3"/>
    <w:rsid w:val="008579E3"/>
    <w:rsid w:val="00857B4D"/>
    <w:rsid w:val="00857C28"/>
    <w:rsid w:val="00860617"/>
    <w:rsid w:val="008606CC"/>
    <w:rsid w:val="0086076B"/>
    <w:rsid w:val="008607E1"/>
    <w:rsid w:val="00860B71"/>
    <w:rsid w:val="0086171C"/>
    <w:rsid w:val="00861883"/>
    <w:rsid w:val="008618CA"/>
    <w:rsid w:val="008619BC"/>
    <w:rsid w:val="00861DC9"/>
    <w:rsid w:val="008622E4"/>
    <w:rsid w:val="008623CA"/>
    <w:rsid w:val="008623FE"/>
    <w:rsid w:val="00862655"/>
    <w:rsid w:val="00862667"/>
    <w:rsid w:val="0086279B"/>
    <w:rsid w:val="00862FFA"/>
    <w:rsid w:val="00863AAB"/>
    <w:rsid w:val="00863BA0"/>
    <w:rsid w:val="00863DB4"/>
    <w:rsid w:val="00863E70"/>
    <w:rsid w:val="00863FE2"/>
    <w:rsid w:val="008641D0"/>
    <w:rsid w:val="00864286"/>
    <w:rsid w:val="00864461"/>
    <w:rsid w:val="00864859"/>
    <w:rsid w:val="00864879"/>
    <w:rsid w:val="00864E19"/>
    <w:rsid w:val="00864E47"/>
    <w:rsid w:val="00864F0F"/>
    <w:rsid w:val="00865100"/>
    <w:rsid w:val="00865445"/>
    <w:rsid w:val="00865483"/>
    <w:rsid w:val="008657AF"/>
    <w:rsid w:val="0086594F"/>
    <w:rsid w:val="0086599F"/>
    <w:rsid w:val="00865B87"/>
    <w:rsid w:val="00865BFD"/>
    <w:rsid w:val="00865E0A"/>
    <w:rsid w:val="00865F76"/>
    <w:rsid w:val="00866571"/>
    <w:rsid w:val="0086687A"/>
    <w:rsid w:val="00866A5C"/>
    <w:rsid w:val="00866B22"/>
    <w:rsid w:val="00866E49"/>
    <w:rsid w:val="00867217"/>
    <w:rsid w:val="00867B0F"/>
    <w:rsid w:val="00867FCB"/>
    <w:rsid w:val="00870847"/>
    <w:rsid w:val="0087089B"/>
    <w:rsid w:val="00870E07"/>
    <w:rsid w:val="00870F42"/>
    <w:rsid w:val="00870F54"/>
    <w:rsid w:val="00871092"/>
    <w:rsid w:val="00871236"/>
    <w:rsid w:val="0087143C"/>
    <w:rsid w:val="0087170F"/>
    <w:rsid w:val="00871817"/>
    <w:rsid w:val="00871D76"/>
    <w:rsid w:val="00872018"/>
    <w:rsid w:val="00872463"/>
    <w:rsid w:val="00872609"/>
    <w:rsid w:val="00872F79"/>
    <w:rsid w:val="00873031"/>
    <w:rsid w:val="008733C0"/>
    <w:rsid w:val="008734E2"/>
    <w:rsid w:val="00873950"/>
    <w:rsid w:val="00873AE6"/>
    <w:rsid w:val="00873EA9"/>
    <w:rsid w:val="00873F80"/>
    <w:rsid w:val="0087457D"/>
    <w:rsid w:val="0087491C"/>
    <w:rsid w:val="00874ABA"/>
    <w:rsid w:val="00874B03"/>
    <w:rsid w:val="00874B97"/>
    <w:rsid w:val="00874D9C"/>
    <w:rsid w:val="00874FBB"/>
    <w:rsid w:val="008756A8"/>
    <w:rsid w:val="008759F9"/>
    <w:rsid w:val="00875D2F"/>
    <w:rsid w:val="00876138"/>
    <w:rsid w:val="008765A7"/>
    <w:rsid w:val="00876EFD"/>
    <w:rsid w:val="00877050"/>
    <w:rsid w:val="00877382"/>
    <w:rsid w:val="008774A2"/>
    <w:rsid w:val="00877907"/>
    <w:rsid w:val="00877E1B"/>
    <w:rsid w:val="00877EEE"/>
    <w:rsid w:val="00877F26"/>
    <w:rsid w:val="00880030"/>
    <w:rsid w:val="00880373"/>
    <w:rsid w:val="008808E3"/>
    <w:rsid w:val="00880FF0"/>
    <w:rsid w:val="008810CD"/>
    <w:rsid w:val="008813D4"/>
    <w:rsid w:val="0088172E"/>
    <w:rsid w:val="00881A1B"/>
    <w:rsid w:val="00881D55"/>
    <w:rsid w:val="00881E11"/>
    <w:rsid w:val="0088221C"/>
    <w:rsid w:val="0088276A"/>
    <w:rsid w:val="00882F23"/>
    <w:rsid w:val="0088305E"/>
    <w:rsid w:val="00883797"/>
    <w:rsid w:val="008839E5"/>
    <w:rsid w:val="00884070"/>
    <w:rsid w:val="0088408C"/>
    <w:rsid w:val="008848D9"/>
    <w:rsid w:val="00884A1F"/>
    <w:rsid w:val="00884BDF"/>
    <w:rsid w:val="00885147"/>
    <w:rsid w:val="0088568D"/>
    <w:rsid w:val="008862A5"/>
    <w:rsid w:val="00886685"/>
    <w:rsid w:val="0088702C"/>
    <w:rsid w:val="008872BC"/>
    <w:rsid w:val="008873BF"/>
    <w:rsid w:val="0088742C"/>
    <w:rsid w:val="0088759A"/>
    <w:rsid w:val="00887B76"/>
    <w:rsid w:val="00887C39"/>
    <w:rsid w:val="0089015A"/>
    <w:rsid w:val="008905BE"/>
    <w:rsid w:val="008906F4"/>
    <w:rsid w:val="008906FE"/>
    <w:rsid w:val="00891255"/>
    <w:rsid w:val="00891488"/>
    <w:rsid w:val="0089151B"/>
    <w:rsid w:val="00891676"/>
    <w:rsid w:val="00891B28"/>
    <w:rsid w:val="00891DFD"/>
    <w:rsid w:val="00892105"/>
    <w:rsid w:val="008922A8"/>
    <w:rsid w:val="008928FF"/>
    <w:rsid w:val="00892E7C"/>
    <w:rsid w:val="00893265"/>
    <w:rsid w:val="008937D7"/>
    <w:rsid w:val="008937E9"/>
    <w:rsid w:val="00893D3B"/>
    <w:rsid w:val="0089405F"/>
    <w:rsid w:val="008944EF"/>
    <w:rsid w:val="00894508"/>
    <w:rsid w:val="00894540"/>
    <w:rsid w:val="00895196"/>
    <w:rsid w:val="008959A0"/>
    <w:rsid w:val="00896129"/>
    <w:rsid w:val="00896461"/>
    <w:rsid w:val="008968A0"/>
    <w:rsid w:val="00896ADA"/>
    <w:rsid w:val="00896F7F"/>
    <w:rsid w:val="008973DB"/>
    <w:rsid w:val="00897686"/>
    <w:rsid w:val="00897B6C"/>
    <w:rsid w:val="008A0434"/>
    <w:rsid w:val="008A0A85"/>
    <w:rsid w:val="008A0B92"/>
    <w:rsid w:val="008A128A"/>
    <w:rsid w:val="008A1665"/>
    <w:rsid w:val="008A18C5"/>
    <w:rsid w:val="008A1D86"/>
    <w:rsid w:val="008A24B7"/>
    <w:rsid w:val="008A25CD"/>
    <w:rsid w:val="008A2630"/>
    <w:rsid w:val="008A2C35"/>
    <w:rsid w:val="008A2D03"/>
    <w:rsid w:val="008A3022"/>
    <w:rsid w:val="008A3181"/>
    <w:rsid w:val="008A37D5"/>
    <w:rsid w:val="008A3AB4"/>
    <w:rsid w:val="008A3D2D"/>
    <w:rsid w:val="008A419C"/>
    <w:rsid w:val="008A4359"/>
    <w:rsid w:val="008A465F"/>
    <w:rsid w:val="008A4774"/>
    <w:rsid w:val="008A4911"/>
    <w:rsid w:val="008A4D52"/>
    <w:rsid w:val="008A531D"/>
    <w:rsid w:val="008A58AB"/>
    <w:rsid w:val="008A6970"/>
    <w:rsid w:val="008A6E84"/>
    <w:rsid w:val="008A6F9C"/>
    <w:rsid w:val="008A716B"/>
    <w:rsid w:val="008A73FA"/>
    <w:rsid w:val="008A76ED"/>
    <w:rsid w:val="008A79ED"/>
    <w:rsid w:val="008A7AE3"/>
    <w:rsid w:val="008B0150"/>
    <w:rsid w:val="008B0319"/>
    <w:rsid w:val="008B0374"/>
    <w:rsid w:val="008B03E0"/>
    <w:rsid w:val="008B0638"/>
    <w:rsid w:val="008B083D"/>
    <w:rsid w:val="008B090B"/>
    <w:rsid w:val="008B1616"/>
    <w:rsid w:val="008B1629"/>
    <w:rsid w:val="008B169D"/>
    <w:rsid w:val="008B16CA"/>
    <w:rsid w:val="008B1FB8"/>
    <w:rsid w:val="008B240D"/>
    <w:rsid w:val="008B263A"/>
    <w:rsid w:val="008B26F2"/>
    <w:rsid w:val="008B2A00"/>
    <w:rsid w:val="008B2ADA"/>
    <w:rsid w:val="008B2CC7"/>
    <w:rsid w:val="008B2E2F"/>
    <w:rsid w:val="008B3E8D"/>
    <w:rsid w:val="008B3F05"/>
    <w:rsid w:val="008B4029"/>
    <w:rsid w:val="008B42CA"/>
    <w:rsid w:val="008B4A47"/>
    <w:rsid w:val="008B4A74"/>
    <w:rsid w:val="008B51D6"/>
    <w:rsid w:val="008B524F"/>
    <w:rsid w:val="008B5E01"/>
    <w:rsid w:val="008B5E61"/>
    <w:rsid w:val="008B5E70"/>
    <w:rsid w:val="008B6077"/>
    <w:rsid w:val="008B648B"/>
    <w:rsid w:val="008B65DD"/>
    <w:rsid w:val="008B678B"/>
    <w:rsid w:val="008B6E1D"/>
    <w:rsid w:val="008B6F20"/>
    <w:rsid w:val="008B745F"/>
    <w:rsid w:val="008B74D9"/>
    <w:rsid w:val="008B7526"/>
    <w:rsid w:val="008B7F3E"/>
    <w:rsid w:val="008C00CC"/>
    <w:rsid w:val="008C01C6"/>
    <w:rsid w:val="008C027D"/>
    <w:rsid w:val="008C070D"/>
    <w:rsid w:val="008C0E21"/>
    <w:rsid w:val="008C0FA2"/>
    <w:rsid w:val="008C0FF0"/>
    <w:rsid w:val="008C1315"/>
    <w:rsid w:val="008C1469"/>
    <w:rsid w:val="008C1764"/>
    <w:rsid w:val="008C1840"/>
    <w:rsid w:val="008C1C1D"/>
    <w:rsid w:val="008C1FC7"/>
    <w:rsid w:val="008C1FF1"/>
    <w:rsid w:val="008C21A7"/>
    <w:rsid w:val="008C2B04"/>
    <w:rsid w:val="008C2C98"/>
    <w:rsid w:val="008C3080"/>
    <w:rsid w:val="008C310E"/>
    <w:rsid w:val="008C324A"/>
    <w:rsid w:val="008C3927"/>
    <w:rsid w:val="008C3AE5"/>
    <w:rsid w:val="008C3D91"/>
    <w:rsid w:val="008C3E08"/>
    <w:rsid w:val="008C43A9"/>
    <w:rsid w:val="008C4508"/>
    <w:rsid w:val="008C4565"/>
    <w:rsid w:val="008C4633"/>
    <w:rsid w:val="008C47FD"/>
    <w:rsid w:val="008C4C69"/>
    <w:rsid w:val="008C4CE4"/>
    <w:rsid w:val="008C507F"/>
    <w:rsid w:val="008C53DD"/>
    <w:rsid w:val="008C57A7"/>
    <w:rsid w:val="008C57BE"/>
    <w:rsid w:val="008C5B49"/>
    <w:rsid w:val="008C5B6F"/>
    <w:rsid w:val="008C5E17"/>
    <w:rsid w:val="008C6483"/>
    <w:rsid w:val="008C69B6"/>
    <w:rsid w:val="008C6A5E"/>
    <w:rsid w:val="008C6A79"/>
    <w:rsid w:val="008C6F83"/>
    <w:rsid w:val="008C70B6"/>
    <w:rsid w:val="008C778A"/>
    <w:rsid w:val="008C7803"/>
    <w:rsid w:val="008C78D2"/>
    <w:rsid w:val="008C7A34"/>
    <w:rsid w:val="008C7A6F"/>
    <w:rsid w:val="008C7B23"/>
    <w:rsid w:val="008CFDB2"/>
    <w:rsid w:val="008D0283"/>
    <w:rsid w:val="008D0660"/>
    <w:rsid w:val="008D0A97"/>
    <w:rsid w:val="008D11F9"/>
    <w:rsid w:val="008D13C0"/>
    <w:rsid w:val="008D1636"/>
    <w:rsid w:val="008D1BCD"/>
    <w:rsid w:val="008D24D1"/>
    <w:rsid w:val="008D29AD"/>
    <w:rsid w:val="008D29C0"/>
    <w:rsid w:val="008D2E3A"/>
    <w:rsid w:val="008D30E2"/>
    <w:rsid w:val="008D34AD"/>
    <w:rsid w:val="008D35E4"/>
    <w:rsid w:val="008D3710"/>
    <w:rsid w:val="008D397C"/>
    <w:rsid w:val="008D3A33"/>
    <w:rsid w:val="008D3A5F"/>
    <w:rsid w:val="008D3FF3"/>
    <w:rsid w:val="008D4044"/>
    <w:rsid w:val="008D48C4"/>
    <w:rsid w:val="008D4A62"/>
    <w:rsid w:val="008D4E18"/>
    <w:rsid w:val="008D4F9B"/>
    <w:rsid w:val="008D5BA8"/>
    <w:rsid w:val="008D5E12"/>
    <w:rsid w:val="008D5E56"/>
    <w:rsid w:val="008D5EF4"/>
    <w:rsid w:val="008D5F08"/>
    <w:rsid w:val="008D6096"/>
    <w:rsid w:val="008D6203"/>
    <w:rsid w:val="008D6DB9"/>
    <w:rsid w:val="008D703E"/>
    <w:rsid w:val="008D7052"/>
    <w:rsid w:val="008D74DF"/>
    <w:rsid w:val="008D75F7"/>
    <w:rsid w:val="008D77C8"/>
    <w:rsid w:val="008D7959"/>
    <w:rsid w:val="008D7C47"/>
    <w:rsid w:val="008D7D9E"/>
    <w:rsid w:val="008E017B"/>
    <w:rsid w:val="008E01AB"/>
    <w:rsid w:val="008E0385"/>
    <w:rsid w:val="008E0437"/>
    <w:rsid w:val="008E04ED"/>
    <w:rsid w:val="008E071F"/>
    <w:rsid w:val="008E09B7"/>
    <w:rsid w:val="008E0B68"/>
    <w:rsid w:val="008E0F46"/>
    <w:rsid w:val="008E0FF8"/>
    <w:rsid w:val="008E1054"/>
    <w:rsid w:val="008E1204"/>
    <w:rsid w:val="008E19DE"/>
    <w:rsid w:val="008E1A13"/>
    <w:rsid w:val="008E1CD5"/>
    <w:rsid w:val="008E267C"/>
    <w:rsid w:val="008E2AEF"/>
    <w:rsid w:val="008E2BE8"/>
    <w:rsid w:val="008E30AB"/>
    <w:rsid w:val="008E329C"/>
    <w:rsid w:val="008E3433"/>
    <w:rsid w:val="008E3721"/>
    <w:rsid w:val="008E3843"/>
    <w:rsid w:val="008E388A"/>
    <w:rsid w:val="008E38F2"/>
    <w:rsid w:val="008E3E06"/>
    <w:rsid w:val="008E3EB1"/>
    <w:rsid w:val="008E45A0"/>
    <w:rsid w:val="008E4B02"/>
    <w:rsid w:val="008E5154"/>
    <w:rsid w:val="008E5574"/>
    <w:rsid w:val="008E5939"/>
    <w:rsid w:val="008E606F"/>
    <w:rsid w:val="008E66C8"/>
    <w:rsid w:val="008E6A82"/>
    <w:rsid w:val="008E6AE8"/>
    <w:rsid w:val="008E6C03"/>
    <w:rsid w:val="008E707B"/>
    <w:rsid w:val="008E70AF"/>
    <w:rsid w:val="008E71B9"/>
    <w:rsid w:val="008E7570"/>
    <w:rsid w:val="008E76E7"/>
    <w:rsid w:val="008E7855"/>
    <w:rsid w:val="008E7C70"/>
    <w:rsid w:val="008F0248"/>
    <w:rsid w:val="008F027D"/>
    <w:rsid w:val="008F02B5"/>
    <w:rsid w:val="008F05F4"/>
    <w:rsid w:val="008F0CFB"/>
    <w:rsid w:val="008F0D2E"/>
    <w:rsid w:val="008F0DB6"/>
    <w:rsid w:val="008F0DEF"/>
    <w:rsid w:val="008F0EF3"/>
    <w:rsid w:val="008F0EF4"/>
    <w:rsid w:val="008F11FE"/>
    <w:rsid w:val="008F1BAB"/>
    <w:rsid w:val="008F21D1"/>
    <w:rsid w:val="008F23E8"/>
    <w:rsid w:val="008F241A"/>
    <w:rsid w:val="008F2456"/>
    <w:rsid w:val="008F2631"/>
    <w:rsid w:val="008F2672"/>
    <w:rsid w:val="008F2F1A"/>
    <w:rsid w:val="008F333B"/>
    <w:rsid w:val="008F3616"/>
    <w:rsid w:val="008F3A8C"/>
    <w:rsid w:val="008F3DDF"/>
    <w:rsid w:val="008F4676"/>
    <w:rsid w:val="008F4A25"/>
    <w:rsid w:val="008F4C47"/>
    <w:rsid w:val="008F4D8A"/>
    <w:rsid w:val="008F4EC6"/>
    <w:rsid w:val="008F503F"/>
    <w:rsid w:val="008F569D"/>
    <w:rsid w:val="008F57BE"/>
    <w:rsid w:val="008F5F97"/>
    <w:rsid w:val="008F6433"/>
    <w:rsid w:val="008F67A8"/>
    <w:rsid w:val="008F6810"/>
    <w:rsid w:val="008F6966"/>
    <w:rsid w:val="008F6995"/>
    <w:rsid w:val="008F6B1D"/>
    <w:rsid w:val="008F6B6E"/>
    <w:rsid w:val="008F6BDB"/>
    <w:rsid w:val="008F6D32"/>
    <w:rsid w:val="008F766D"/>
    <w:rsid w:val="008F7702"/>
    <w:rsid w:val="008F7D33"/>
    <w:rsid w:val="009000F2"/>
    <w:rsid w:val="009002BE"/>
    <w:rsid w:val="0090052B"/>
    <w:rsid w:val="0090085E"/>
    <w:rsid w:val="009008D8"/>
    <w:rsid w:val="00900B58"/>
    <w:rsid w:val="00900C46"/>
    <w:rsid w:val="0090132D"/>
    <w:rsid w:val="009018F3"/>
    <w:rsid w:val="009019E6"/>
    <w:rsid w:val="00901DFB"/>
    <w:rsid w:val="00901F4C"/>
    <w:rsid w:val="00902543"/>
    <w:rsid w:val="0090282A"/>
    <w:rsid w:val="009028A5"/>
    <w:rsid w:val="009028D8"/>
    <w:rsid w:val="00902E4D"/>
    <w:rsid w:val="009030F0"/>
    <w:rsid w:val="00903450"/>
    <w:rsid w:val="00903A0D"/>
    <w:rsid w:val="00903B6A"/>
    <w:rsid w:val="00903CE3"/>
    <w:rsid w:val="00903E42"/>
    <w:rsid w:val="00904096"/>
    <w:rsid w:val="009044C8"/>
    <w:rsid w:val="00904937"/>
    <w:rsid w:val="00904A0A"/>
    <w:rsid w:val="00904C4C"/>
    <w:rsid w:val="00905222"/>
    <w:rsid w:val="009059A0"/>
    <w:rsid w:val="00905AA7"/>
    <w:rsid w:val="00905D4C"/>
    <w:rsid w:val="00905F78"/>
    <w:rsid w:val="009060DD"/>
    <w:rsid w:val="0090658A"/>
    <w:rsid w:val="00906700"/>
    <w:rsid w:val="00906757"/>
    <w:rsid w:val="0090697E"/>
    <w:rsid w:val="00906AC0"/>
    <w:rsid w:val="00906B5C"/>
    <w:rsid w:val="00906BF0"/>
    <w:rsid w:val="009074C6"/>
    <w:rsid w:val="00907767"/>
    <w:rsid w:val="00907843"/>
    <w:rsid w:val="009079D4"/>
    <w:rsid w:val="0091031D"/>
    <w:rsid w:val="0091056F"/>
    <w:rsid w:val="00910597"/>
    <w:rsid w:val="0091069E"/>
    <w:rsid w:val="00910CDD"/>
    <w:rsid w:val="0091101B"/>
    <w:rsid w:val="009111D6"/>
    <w:rsid w:val="0091163F"/>
    <w:rsid w:val="00911E43"/>
    <w:rsid w:val="0091231B"/>
    <w:rsid w:val="009126A3"/>
    <w:rsid w:val="0091285B"/>
    <w:rsid w:val="00912B0F"/>
    <w:rsid w:val="009130F5"/>
    <w:rsid w:val="00913124"/>
    <w:rsid w:val="009133CB"/>
    <w:rsid w:val="00913540"/>
    <w:rsid w:val="00913724"/>
    <w:rsid w:val="00913C7A"/>
    <w:rsid w:val="00913DF6"/>
    <w:rsid w:val="00913ECD"/>
    <w:rsid w:val="009145AA"/>
    <w:rsid w:val="00914B9D"/>
    <w:rsid w:val="00914CE0"/>
    <w:rsid w:val="00914DC5"/>
    <w:rsid w:val="0091506C"/>
    <w:rsid w:val="00915A5C"/>
    <w:rsid w:val="00915BB6"/>
    <w:rsid w:val="00915E1E"/>
    <w:rsid w:val="00915F0F"/>
    <w:rsid w:val="009161BE"/>
    <w:rsid w:val="009161EA"/>
    <w:rsid w:val="009164B7"/>
    <w:rsid w:val="00916C39"/>
    <w:rsid w:val="009173DC"/>
    <w:rsid w:val="00917564"/>
    <w:rsid w:val="00917C15"/>
    <w:rsid w:val="00917ED4"/>
    <w:rsid w:val="0092027B"/>
    <w:rsid w:val="00920C7B"/>
    <w:rsid w:val="00920EEA"/>
    <w:rsid w:val="00920F18"/>
    <w:rsid w:val="009214CA"/>
    <w:rsid w:val="00921907"/>
    <w:rsid w:val="00922A70"/>
    <w:rsid w:val="00922B7D"/>
    <w:rsid w:val="00922DEC"/>
    <w:rsid w:val="00922E06"/>
    <w:rsid w:val="0092356B"/>
    <w:rsid w:val="00923E08"/>
    <w:rsid w:val="009240E8"/>
    <w:rsid w:val="00924757"/>
    <w:rsid w:val="00924DE7"/>
    <w:rsid w:val="0092558C"/>
    <w:rsid w:val="0092568F"/>
    <w:rsid w:val="009257EA"/>
    <w:rsid w:val="0092597A"/>
    <w:rsid w:val="00925AD5"/>
    <w:rsid w:val="00925E2C"/>
    <w:rsid w:val="00926031"/>
    <w:rsid w:val="00926371"/>
    <w:rsid w:val="009269F6"/>
    <w:rsid w:val="00926B86"/>
    <w:rsid w:val="00926BDA"/>
    <w:rsid w:val="00926D64"/>
    <w:rsid w:val="00926ED3"/>
    <w:rsid w:val="00926F4D"/>
    <w:rsid w:val="00926FFE"/>
    <w:rsid w:val="009277F4"/>
    <w:rsid w:val="00927911"/>
    <w:rsid w:val="00927E46"/>
    <w:rsid w:val="0093036F"/>
    <w:rsid w:val="00930678"/>
    <w:rsid w:val="00930736"/>
    <w:rsid w:val="009309FA"/>
    <w:rsid w:val="009311CF"/>
    <w:rsid w:val="0093138B"/>
    <w:rsid w:val="00931466"/>
    <w:rsid w:val="0093194F"/>
    <w:rsid w:val="00931E05"/>
    <w:rsid w:val="00931F0C"/>
    <w:rsid w:val="009321FF"/>
    <w:rsid w:val="009322FB"/>
    <w:rsid w:val="0093233E"/>
    <w:rsid w:val="00932608"/>
    <w:rsid w:val="00932A10"/>
    <w:rsid w:val="00932CD7"/>
    <w:rsid w:val="009331E0"/>
    <w:rsid w:val="0093331D"/>
    <w:rsid w:val="009348EE"/>
    <w:rsid w:val="00934CD3"/>
    <w:rsid w:val="00934D96"/>
    <w:rsid w:val="00934DF7"/>
    <w:rsid w:val="00935E66"/>
    <w:rsid w:val="009360E3"/>
    <w:rsid w:val="0093622D"/>
    <w:rsid w:val="009364BC"/>
    <w:rsid w:val="00936614"/>
    <w:rsid w:val="00936726"/>
    <w:rsid w:val="00936851"/>
    <w:rsid w:val="00936D32"/>
    <w:rsid w:val="00937458"/>
    <w:rsid w:val="0093764C"/>
    <w:rsid w:val="00937751"/>
    <w:rsid w:val="00937860"/>
    <w:rsid w:val="00937C29"/>
    <w:rsid w:val="00937DEE"/>
    <w:rsid w:val="00937FC4"/>
    <w:rsid w:val="0094097E"/>
    <w:rsid w:val="00941206"/>
    <w:rsid w:val="00941746"/>
    <w:rsid w:val="0094175F"/>
    <w:rsid w:val="00941AC0"/>
    <w:rsid w:val="00941B0F"/>
    <w:rsid w:val="00941C48"/>
    <w:rsid w:val="00941E91"/>
    <w:rsid w:val="00941F10"/>
    <w:rsid w:val="00941F9C"/>
    <w:rsid w:val="00942895"/>
    <w:rsid w:val="00942EBA"/>
    <w:rsid w:val="00943068"/>
    <w:rsid w:val="009438A6"/>
    <w:rsid w:val="0094390B"/>
    <w:rsid w:val="00943F97"/>
    <w:rsid w:val="009443F0"/>
    <w:rsid w:val="00944518"/>
    <w:rsid w:val="009445AC"/>
    <w:rsid w:val="00944779"/>
    <w:rsid w:val="00944947"/>
    <w:rsid w:val="00944C12"/>
    <w:rsid w:val="00944D7D"/>
    <w:rsid w:val="00944F5D"/>
    <w:rsid w:val="009450C2"/>
    <w:rsid w:val="0094519E"/>
    <w:rsid w:val="00945223"/>
    <w:rsid w:val="009453A1"/>
    <w:rsid w:val="0094554F"/>
    <w:rsid w:val="0094564D"/>
    <w:rsid w:val="00945770"/>
    <w:rsid w:val="009459F0"/>
    <w:rsid w:val="00945F9A"/>
    <w:rsid w:val="00946289"/>
    <w:rsid w:val="009464D9"/>
    <w:rsid w:val="00946A0A"/>
    <w:rsid w:val="00946C2A"/>
    <w:rsid w:val="00946F8E"/>
    <w:rsid w:val="009475FF"/>
    <w:rsid w:val="00950167"/>
    <w:rsid w:val="009501CB"/>
    <w:rsid w:val="00950208"/>
    <w:rsid w:val="009505F8"/>
    <w:rsid w:val="00950705"/>
    <w:rsid w:val="00950C74"/>
    <w:rsid w:val="00950F82"/>
    <w:rsid w:val="00950F85"/>
    <w:rsid w:val="00951675"/>
    <w:rsid w:val="00951B4E"/>
    <w:rsid w:val="00951C35"/>
    <w:rsid w:val="00951DBA"/>
    <w:rsid w:val="00952139"/>
    <w:rsid w:val="009523D0"/>
    <w:rsid w:val="00952661"/>
    <w:rsid w:val="00952864"/>
    <w:rsid w:val="009528D6"/>
    <w:rsid w:val="009529F6"/>
    <w:rsid w:val="00952FB8"/>
    <w:rsid w:val="00953065"/>
    <w:rsid w:val="00953228"/>
    <w:rsid w:val="00953621"/>
    <w:rsid w:val="00953C2C"/>
    <w:rsid w:val="00953D72"/>
    <w:rsid w:val="00954029"/>
    <w:rsid w:val="009547FF"/>
    <w:rsid w:val="00954F0B"/>
    <w:rsid w:val="00955402"/>
    <w:rsid w:val="009555D5"/>
    <w:rsid w:val="00955C32"/>
    <w:rsid w:val="0095620A"/>
    <w:rsid w:val="00956899"/>
    <w:rsid w:val="00956B46"/>
    <w:rsid w:val="00956C95"/>
    <w:rsid w:val="009570F1"/>
    <w:rsid w:val="0095713E"/>
    <w:rsid w:val="009574AC"/>
    <w:rsid w:val="00957540"/>
    <w:rsid w:val="00957ACF"/>
    <w:rsid w:val="00957C7B"/>
    <w:rsid w:val="009602BF"/>
    <w:rsid w:val="00960330"/>
    <w:rsid w:val="009605A1"/>
    <w:rsid w:val="009609C9"/>
    <w:rsid w:val="00960B12"/>
    <w:rsid w:val="00960CD7"/>
    <w:rsid w:val="00960D51"/>
    <w:rsid w:val="0096132A"/>
    <w:rsid w:val="00961529"/>
    <w:rsid w:val="009616FB"/>
    <w:rsid w:val="00961891"/>
    <w:rsid w:val="009618B3"/>
    <w:rsid w:val="00961A65"/>
    <w:rsid w:val="00961DC0"/>
    <w:rsid w:val="00961E04"/>
    <w:rsid w:val="0096230A"/>
    <w:rsid w:val="009624BF"/>
    <w:rsid w:val="009630C9"/>
    <w:rsid w:val="00963119"/>
    <w:rsid w:val="00963346"/>
    <w:rsid w:val="009634D1"/>
    <w:rsid w:val="00963A11"/>
    <w:rsid w:val="00963E57"/>
    <w:rsid w:val="00964239"/>
    <w:rsid w:val="009644A7"/>
    <w:rsid w:val="00964B5B"/>
    <w:rsid w:val="00964B81"/>
    <w:rsid w:val="00964BBB"/>
    <w:rsid w:val="00964EB5"/>
    <w:rsid w:val="00965216"/>
    <w:rsid w:val="00965895"/>
    <w:rsid w:val="00965F1F"/>
    <w:rsid w:val="00966204"/>
    <w:rsid w:val="009662F0"/>
    <w:rsid w:val="009668F7"/>
    <w:rsid w:val="0096756C"/>
    <w:rsid w:val="0096757D"/>
    <w:rsid w:val="009677B7"/>
    <w:rsid w:val="0096788C"/>
    <w:rsid w:val="00967FE2"/>
    <w:rsid w:val="0097031C"/>
    <w:rsid w:val="00970379"/>
    <w:rsid w:val="009705E3"/>
    <w:rsid w:val="0097073C"/>
    <w:rsid w:val="00970786"/>
    <w:rsid w:val="00970897"/>
    <w:rsid w:val="00970BC8"/>
    <w:rsid w:val="00970E45"/>
    <w:rsid w:val="0097127C"/>
    <w:rsid w:val="009717F8"/>
    <w:rsid w:val="00971AE8"/>
    <w:rsid w:val="00971D4E"/>
    <w:rsid w:val="00971D99"/>
    <w:rsid w:val="00971EBD"/>
    <w:rsid w:val="0097215C"/>
    <w:rsid w:val="00972A91"/>
    <w:rsid w:val="0097321D"/>
    <w:rsid w:val="009734E2"/>
    <w:rsid w:val="009737D4"/>
    <w:rsid w:val="00973BBD"/>
    <w:rsid w:val="00973BF2"/>
    <w:rsid w:val="00973CDA"/>
    <w:rsid w:val="00973E21"/>
    <w:rsid w:val="00973E65"/>
    <w:rsid w:val="00973EA7"/>
    <w:rsid w:val="009742EA"/>
    <w:rsid w:val="00974573"/>
    <w:rsid w:val="00974614"/>
    <w:rsid w:val="00974858"/>
    <w:rsid w:val="009759BA"/>
    <w:rsid w:val="00975D00"/>
    <w:rsid w:val="00975EE3"/>
    <w:rsid w:val="00976203"/>
    <w:rsid w:val="009762F8"/>
    <w:rsid w:val="00976434"/>
    <w:rsid w:val="009764EF"/>
    <w:rsid w:val="0097671F"/>
    <w:rsid w:val="00976AB2"/>
    <w:rsid w:val="00976FF1"/>
    <w:rsid w:val="00977079"/>
    <w:rsid w:val="0097711D"/>
    <w:rsid w:val="00977543"/>
    <w:rsid w:val="00977A1C"/>
    <w:rsid w:val="00977E8F"/>
    <w:rsid w:val="00980161"/>
    <w:rsid w:val="0098036D"/>
    <w:rsid w:val="00981223"/>
    <w:rsid w:val="009814D5"/>
    <w:rsid w:val="009816FF"/>
    <w:rsid w:val="0098205D"/>
    <w:rsid w:val="009824C4"/>
    <w:rsid w:val="00982621"/>
    <w:rsid w:val="00982743"/>
    <w:rsid w:val="0098292E"/>
    <w:rsid w:val="00982CA2"/>
    <w:rsid w:val="0098308E"/>
    <w:rsid w:val="00983215"/>
    <w:rsid w:val="009832F9"/>
    <w:rsid w:val="00983814"/>
    <w:rsid w:val="00983C6C"/>
    <w:rsid w:val="009840FB"/>
    <w:rsid w:val="00984590"/>
    <w:rsid w:val="00984D22"/>
    <w:rsid w:val="00984E78"/>
    <w:rsid w:val="00984F3B"/>
    <w:rsid w:val="00985163"/>
    <w:rsid w:val="0098552B"/>
    <w:rsid w:val="0098558D"/>
    <w:rsid w:val="0098564A"/>
    <w:rsid w:val="0098576B"/>
    <w:rsid w:val="00985780"/>
    <w:rsid w:val="00985EF6"/>
    <w:rsid w:val="00986056"/>
    <w:rsid w:val="00986381"/>
    <w:rsid w:val="00986541"/>
    <w:rsid w:val="00986684"/>
    <w:rsid w:val="00986965"/>
    <w:rsid w:val="00986AD5"/>
    <w:rsid w:val="009875B4"/>
    <w:rsid w:val="009878D7"/>
    <w:rsid w:val="00987D88"/>
    <w:rsid w:val="009907E5"/>
    <w:rsid w:val="009916E4"/>
    <w:rsid w:val="0099197A"/>
    <w:rsid w:val="00991A30"/>
    <w:rsid w:val="00991D4B"/>
    <w:rsid w:val="00991EAF"/>
    <w:rsid w:val="0099292A"/>
    <w:rsid w:val="009929B5"/>
    <w:rsid w:val="00992A12"/>
    <w:rsid w:val="00992D41"/>
    <w:rsid w:val="009931C6"/>
    <w:rsid w:val="009939E2"/>
    <w:rsid w:val="00993A93"/>
    <w:rsid w:val="00993B45"/>
    <w:rsid w:val="009942DB"/>
    <w:rsid w:val="0099432C"/>
    <w:rsid w:val="00994410"/>
    <w:rsid w:val="009947AE"/>
    <w:rsid w:val="0099510E"/>
    <w:rsid w:val="009953A2"/>
    <w:rsid w:val="00995795"/>
    <w:rsid w:val="00995E7C"/>
    <w:rsid w:val="00995ECC"/>
    <w:rsid w:val="00995F44"/>
    <w:rsid w:val="00995FC7"/>
    <w:rsid w:val="009960AB"/>
    <w:rsid w:val="00996338"/>
    <w:rsid w:val="0099662B"/>
    <w:rsid w:val="00996A04"/>
    <w:rsid w:val="00997509"/>
    <w:rsid w:val="00997806"/>
    <w:rsid w:val="00997D5E"/>
    <w:rsid w:val="009A05A4"/>
    <w:rsid w:val="009A0679"/>
    <w:rsid w:val="009A082B"/>
    <w:rsid w:val="009A0EC2"/>
    <w:rsid w:val="009A1055"/>
    <w:rsid w:val="009A18BB"/>
    <w:rsid w:val="009A1A2B"/>
    <w:rsid w:val="009A1D0F"/>
    <w:rsid w:val="009A24F5"/>
    <w:rsid w:val="009A27F8"/>
    <w:rsid w:val="009A2D99"/>
    <w:rsid w:val="009A2E32"/>
    <w:rsid w:val="009A37A1"/>
    <w:rsid w:val="009A3A0C"/>
    <w:rsid w:val="009A3D95"/>
    <w:rsid w:val="009A3DB4"/>
    <w:rsid w:val="009A40F3"/>
    <w:rsid w:val="009A41CE"/>
    <w:rsid w:val="009A44EE"/>
    <w:rsid w:val="009A465C"/>
    <w:rsid w:val="009A468A"/>
    <w:rsid w:val="009A4823"/>
    <w:rsid w:val="009A4A9C"/>
    <w:rsid w:val="009A55A8"/>
    <w:rsid w:val="009A59C9"/>
    <w:rsid w:val="009A5C42"/>
    <w:rsid w:val="009A5FEF"/>
    <w:rsid w:val="009A649C"/>
    <w:rsid w:val="009A6B6F"/>
    <w:rsid w:val="009A6BA6"/>
    <w:rsid w:val="009A701E"/>
    <w:rsid w:val="009A7149"/>
    <w:rsid w:val="009A72B5"/>
    <w:rsid w:val="009A74D7"/>
    <w:rsid w:val="009A757B"/>
    <w:rsid w:val="009A76F9"/>
    <w:rsid w:val="009A7998"/>
    <w:rsid w:val="009A7A4C"/>
    <w:rsid w:val="009A7CAA"/>
    <w:rsid w:val="009B0207"/>
    <w:rsid w:val="009B0DBC"/>
    <w:rsid w:val="009B0DCC"/>
    <w:rsid w:val="009B1650"/>
    <w:rsid w:val="009B17F7"/>
    <w:rsid w:val="009B1FEE"/>
    <w:rsid w:val="009B21CD"/>
    <w:rsid w:val="009B229C"/>
    <w:rsid w:val="009B22A3"/>
    <w:rsid w:val="009B2827"/>
    <w:rsid w:val="009B2A34"/>
    <w:rsid w:val="009B2B3E"/>
    <w:rsid w:val="009B2B70"/>
    <w:rsid w:val="009B2C8F"/>
    <w:rsid w:val="009B2DFE"/>
    <w:rsid w:val="009B2F2B"/>
    <w:rsid w:val="009B3925"/>
    <w:rsid w:val="009B3C19"/>
    <w:rsid w:val="009B3E59"/>
    <w:rsid w:val="009B3FC5"/>
    <w:rsid w:val="009B4217"/>
    <w:rsid w:val="009B436E"/>
    <w:rsid w:val="009B4559"/>
    <w:rsid w:val="009B498D"/>
    <w:rsid w:val="009B4B8A"/>
    <w:rsid w:val="009B4BE0"/>
    <w:rsid w:val="009B4F58"/>
    <w:rsid w:val="009B527C"/>
    <w:rsid w:val="009B53E9"/>
    <w:rsid w:val="009B553C"/>
    <w:rsid w:val="009B582E"/>
    <w:rsid w:val="009B600C"/>
    <w:rsid w:val="009B6194"/>
    <w:rsid w:val="009B623C"/>
    <w:rsid w:val="009B6346"/>
    <w:rsid w:val="009B6664"/>
    <w:rsid w:val="009B6AF7"/>
    <w:rsid w:val="009B70E9"/>
    <w:rsid w:val="009B728C"/>
    <w:rsid w:val="009B7993"/>
    <w:rsid w:val="009C025A"/>
    <w:rsid w:val="009C0AE8"/>
    <w:rsid w:val="009C0C6B"/>
    <w:rsid w:val="009C0D93"/>
    <w:rsid w:val="009C11B1"/>
    <w:rsid w:val="009C1329"/>
    <w:rsid w:val="009C14B1"/>
    <w:rsid w:val="009C1520"/>
    <w:rsid w:val="009C1677"/>
    <w:rsid w:val="009C1B15"/>
    <w:rsid w:val="009C1E63"/>
    <w:rsid w:val="009C1F34"/>
    <w:rsid w:val="009C241E"/>
    <w:rsid w:val="009C24DE"/>
    <w:rsid w:val="009C268D"/>
    <w:rsid w:val="009C2CD2"/>
    <w:rsid w:val="009C317C"/>
    <w:rsid w:val="009C3EB4"/>
    <w:rsid w:val="009C46B7"/>
    <w:rsid w:val="009C4B94"/>
    <w:rsid w:val="009C4EB8"/>
    <w:rsid w:val="009C4EFF"/>
    <w:rsid w:val="009C4F1C"/>
    <w:rsid w:val="009C50C5"/>
    <w:rsid w:val="009C56DE"/>
    <w:rsid w:val="009C56F3"/>
    <w:rsid w:val="009C5BE8"/>
    <w:rsid w:val="009C5F5C"/>
    <w:rsid w:val="009C6D83"/>
    <w:rsid w:val="009C6E03"/>
    <w:rsid w:val="009C704C"/>
    <w:rsid w:val="009C70A7"/>
    <w:rsid w:val="009C717F"/>
    <w:rsid w:val="009C76CF"/>
    <w:rsid w:val="009C77AA"/>
    <w:rsid w:val="009C785B"/>
    <w:rsid w:val="009C7D1E"/>
    <w:rsid w:val="009D02A7"/>
    <w:rsid w:val="009D03B1"/>
    <w:rsid w:val="009D1187"/>
    <w:rsid w:val="009D118B"/>
    <w:rsid w:val="009D1386"/>
    <w:rsid w:val="009D15A8"/>
    <w:rsid w:val="009D20B4"/>
    <w:rsid w:val="009D20B8"/>
    <w:rsid w:val="009D2138"/>
    <w:rsid w:val="009D227E"/>
    <w:rsid w:val="009D29BD"/>
    <w:rsid w:val="009D3528"/>
    <w:rsid w:val="009D3A6B"/>
    <w:rsid w:val="009D3AF6"/>
    <w:rsid w:val="009D3B0E"/>
    <w:rsid w:val="009D3B94"/>
    <w:rsid w:val="009D4121"/>
    <w:rsid w:val="009D44B7"/>
    <w:rsid w:val="009D486D"/>
    <w:rsid w:val="009D495C"/>
    <w:rsid w:val="009D4B79"/>
    <w:rsid w:val="009D4BEB"/>
    <w:rsid w:val="009D54C3"/>
    <w:rsid w:val="009D5762"/>
    <w:rsid w:val="009D5799"/>
    <w:rsid w:val="009D5809"/>
    <w:rsid w:val="009D5980"/>
    <w:rsid w:val="009D59DB"/>
    <w:rsid w:val="009D5B67"/>
    <w:rsid w:val="009D5DD7"/>
    <w:rsid w:val="009D5F7F"/>
    <w:rsid w:val="009D6517"/>
    <w:rsid w:val="009D6587"/>
    <w:rsid w:val="009D6AF3"/>
    <w:rsid w:val="009D73A2"/>
    <w:rsid w:val="009D74C2"/>
    <w:rsid w:val="009D75B3"/>
    <w:rsid w:val="009D79E3"/>
    <w:rsid w:val="009D7BDA"/>
    <w:rsid w:val="009D7C3F"/>
    <w:rsid w:val="009D7CE1"/>
    <w:rsid w:val="009D7D53"/>
    <w:rsid w:val="009D7E9F"/>
    <w:rsid w:val="009E033A"/>
    <w:rsid w:val="009E0666"/>
    <w:rsid w:val="009E0A22"/>
    <w:rsid w:val="009E0EE4"/>
    <w:rsid w:val="009E1244"/>
    <w:rsid w:val="009E13AA"/>
    <w:rsid w:val="009E1649"/>
    <w:rsid w:val="009E16EB"/>
    <w:rsid w:val="009E170B"/>
    <w:rsid w:val="009E1796"/>
    <w:rsid w:val="009E1BEB"/>
    <w:rsid w:val="009E2095"/>
    <w:rsid w:val="009E2360"/>
    <w:rsid w:val="009E2CEF"/>
    <w:rsid w:val="009E2D54"/>
    <w:rsid w:val="009E30C3"/>
    <w:rsid w:val="009E316B"/>
    <w:rsid w:val="009E397A"/>
    <w:rsid w:val="009E3BDA"/>
    <w:rsid w:val="009E3C5C"/>
    <w:rsid w:val="009E3F57"/>
    <w:rsid w:val="009E4059"/>
    <w:rsid w:val="009E42DD"/>
    <w:rsid w:val="009E4642"/>
    <w:rsid w:val="009E48CA"/>
    <w:rsid w:val="009E4D0E"/>
    <w:rsid w:val="009E4F6C"/>
    <w:rsid w:val="009E50AC"/>
    <w:rsid w:val="009E51EB"/>
    <w:rsid w:val="009E5550"/>
    <w:rsid w:val="009E56AD"/>
    <w:rsid w:val="009E5887"/>
    <w:rsid w:val="009E59AC"/>
    <w:rsid w:val="009E6084"/>
    <w:rsid w:val="009E63F3"/>
    <w:rsid w:val="009E68B7"/>
    <w:rsid w:val="009E6B5D"/>
    <w:rsid w:val="009E7D30"/>
    <w:rsid w:val="009F00D9"/>
    <w:rsid w:val="009F01E5"/>
    <w:rsid w:val="009F04CA"/>
    <w:rsid w:val="009F04E8"/>
    <w:rsid w:val="009F0716"/>
    <w:rsid w:val="009F0EFC"/>
    <w:rsid w:val="009F11C7"/>
    <w:rsid w:val="009F1394"/>
    <w:rsid w:val="009F2128"/>
    <w:rsid w:val="009F2152"/>
    <w:rsid w:val="009F24B1"/>
    <w:rsid w:val="009F2586"/>
    <w:rsid w:val="009F2B88"/>
    <w:rsid w:val="009F31B4"/>
    <w:rsid w:val="009F338D"/>
    <w:rsid w:val="009F33FB"/>
    <w:rsid w:val="009F364B"/>
    <w:rsid w:val="009F39EB"/>
    <w:rsid w:val="009F3D74"/>
    <w:rsid w:val="009F41EF"/>
    <w:rsid w:val="009F4239"/>
    <w:rsid w:val="009F49AB"/>
    <w:rsid w:val="009F4AE0"/>
    <w:rsid w:val="009F4CD6"/>
    <w:rsid w:val="009F50C2"/>
    <w:rsid w:val="009F5466"/>
    <w:rsid w:val="009F5491"/>
    <w:rsid w:val="009F5C34"/>
    <w:rsid w:val="009F5F66"/>
    <w:rsid w:val="009F63A7"/>
    <w:rsid w:val="009F6468"/>
    <w:rsid w:val="009F64F9"/>
    <w:rsid w:val="009F6A94"/>
    <w:rsid w:val="009F6B1D"/>
    <w:rsid w:val="009F6C56"/>
    <w:rsid w:val="009F6CE5"/>
    <w:rsid w:val="009F6F4D"/>
    <w:rsid w:val="009F7070"/>
    <w:rsid w:val="009F7092"/>
    <w:rsid w:val="009F7404"/>
    <w:rsid w:val="009F76CF"/>
    <w:rsid w:val="009F79E9"/>
    <w:rsid w:val="009F7A32"/>
    <w:rsid w:val="009F7C5F"/>
    <w:rsid w:val="009FCC30"/>
    <w:rsid w:val="00A0016F"/>
    <w:rsid w:val="00A00930"/>
    <w:rsid w:val="00A017F5"/>
    <w:rsid w:val="00A01CD9"/>
    <w:rsid w:val="00A01D32"/>
    <w:rsid w:val="00A01EC0"/>
    <w:rsid w:val="00A02464"/>
    <w:rsid w:val="00A025CB"/>
    <w:rsid w:val="00A02945"/>
    <w:rsid w:val="00A02DAE"/>
    <w:rsid w:val="00A03222"/>
    <w:rsid w:val="00A033F6"/>
    <w:rsid w:val="00A03476"/>
    <w:rsid w:val="00A03645"/>
    <w:rsid w:val="00A03B8C"/>
    <w:rsid w:val="00A03F85"/>
    <w:rsid w:val="00A04AAC"/>
    <w:rsid w:val="00A04C08"/>
    <w:rsid w:val="00A04D91"/>
    <w:rsid w:val="00A04E05"/>
    <w:rsid w:val="00A0506E"/>
    <w:rsid w:val="00A050CA"/>
    <w:rsid w:val="00A05668"/>
    <w:rsid w:val="00A05734"/>
    <w:rsid w:val="00A05AF5"/>
    <w:rsid w:val="00A05B8D"/>
    <w:rsid w:val="00A0625C"/>
    <w:rsid w:val="00A06376"/>
    <w:rsid w:val="00A063D8"/>
    <w:rsid w:val="00A066F2"/>
    <w:rsid w:val="00A0688A"/>
    <w:rsid w:val="00A06B03"/>
    <w:rsid w:val="00A06B13"/>
    <w:rsid w:val="00A06BEF"/>
    <w:rsid w:val="00A06BF1"/>
    <w:rsid w:val="00A100A0"/>
    <w:rsid w:val="00A106CD"/>
    <w:rsid w:val="00A107F4"/>
    <w:rsid w:val="00A10D75"/>
    <w:rsid w:val="00A111C0"/>
    <w:rsid w:val="00A11311"/>
    <w:rsid w:val="00A114C4"/>
    <w:rsid w:val="00A12605"/>
    <w:rsid w:val="00A12C48"/>
    <w:rsid w:val="00A12C8A"/>
    <w:rsid w:val="00A12E2F"/>
    <w:rsid w:val="00A12E5F"/>
    <w:rsid w:val="00A13028"/>
    <w:rsid w:val="00A13137"/>
    <w:rsid w:val="00A13185"/>
    <w:rsid w:val="00A1358F"/>
    <w:rsid w:val="00A1359A"/>
    <w:rsid w:val="00A13945"/>
    <w:rsid w:val="00A13AFA"/>
    <w:rsid w:val="00A13C5C"/>
    <w:rsid w:val="00A14079"/>
    <w:rsid w:val="00A142C7"/>
    <w:rsid w:val="00A14447"/>
    <w:rsid w:val="00A14452"/>
    <w:rsid w:val="00A146C1"/>
    <w:rsid w:val="00A14B88"/>
    <w:rsid w:val="00A15265"/>
    <w:rsid w:val="00A15D67"/>
    <w:rsid w:val="00A15EA7"/>
    <w:rsid w:val="00A1625C"/>
    <w:rsid w:val="00A1657D"/>
    <w:rsid w:val="00A16708"/>
    <w:rsid w:val="00A16AF4"/>
    <w:rsid w:val="00A16BA5"/>
    <w:rsid w:val="00A172BA"/>
    <w:rsid w:val="00A173E5"/>
    <w:rsid w:val="00A1788A"/>
    <w:rsid w:val="00A17C06"/>
    <w:rsid w:val="00A17C3E"/>
    <w:rsid w:val="00A20187"/>
    <w:rsid w:val="00A206BC"/>
    <w:rsid w:val="00A20A6F"/>
    <w:rsid w:val="00A20B29"/>
    <w:rsid w:val="00A20BB3"/>
    <w:rsid w:val="00A20FE0"/>
    <w:rsid w:val="00A212D2"/>
    <w:rsid w:val="00A212FD"/>
    <w:rsid w:val="00A215A7"/>
    <w:rsid w:val="00A2161E"/>
    <w:rsid w:val="00A218BE"/>
    <w:rsid w:val="00A21987"/>
    <w:rsid w:val="00A2285B"/>
    <w:rsid w:val="00A228F6"/>
    <w:rsid w:val="00A229CF"/>
    <w:rsid w:val="00A22A72"/>
    <w:rsid w:val="00A22B0E"/>
    <w:rsid w:val="00A22C1C"/>
    <w:rsid w:val="00A22D84"/>
    <w:rsid w:val="00A22F77"/>
    <w:rsid w:val="00A23369"/>
    <w:rsid w:val="00A2343D"/>
    <w:rsid w:val="00A23454"/>
    <w:rsid w:val="00A238DC"/>
    <w:rsid w:val="00A23CC9"/>
    <w:rsid w:val="00A23ED2"/>
    <w:rsid w:val="00A247A4"/>
    <w:rsid w:val="00A247F2"/>
    <w:rsid w:val="00A24A95"/>
    <w:rsid w:val="00A24B7E"/>
    <w:rsid w:val="00A24E42"/>
    <w:rsid w:val="00A2517F"/>
    <w:rsid w:val="00A25410"/>
    <w:rsid w:val="00A25754"/>
    <w:rsid w:val="00A25A5A"/>
    <w:rsid w:val="00A25AAF"/>
    <w:rsid w:val="00A25AF5"/>
    <w:rsid w:val="00A25DA1"/>
    <w:rsid w:val="00A2601A"/>
    <w:rsid w:val="00A2602E"/>
    <w:rsid w:val="00A265A1"/>
    <w:rsid w:val="00A26A93"/>
    <w:rsid w:val="00A26B8E"/>
    <w:rsid w:val="00A27182"/>
    <w:rsid w:val="00A27296"/>
    <w:rsid w:val="00A272A0"/>
    <w:rsid w:val="00A272CE"/>
    <w:rsid w:val="00A2735B"/>
    <w:rsid w:val="00A2741E"/>
    <w:rsid w:val="00A274B0"/>
    <w:rsid w:val="00A27787"/>
    <w:rsid w:val="00A27798"/>
    <w:rsid w:val="00A2799B"/>
    <w:rsid w:val="00A27C48"/>
    <w:rsid w:val="00A27C97"/>
    <w:rsid w:val="00A27FD0"/>
    <w:rsid w:val="00A300AE"/>
    <w:rsid w:val="00A3049F"/>
    <w:rsid w:val="00A30573"/>
    <w:rsid w:val="00A305E1"/>
    <w:rsid w:val="00A309FC"/>
    <w:rsid w:val="00A30A01"/>
    <w:rsid w:val="00A30DD6"/>
    <w:rsid w:val="00A30E1D"/>
    <w:rsid w:val="00A30ECE"/>
    <w:rsid w:val="00A310B5"/>
    <w:rsid w:val="00A3147A"/>
    <w:rsid w:val="00A31820"/>
    <w:rsid w:val="00A31A57"/>
    <w:rsid w:val="00A31E4B"/>
    <w:rsid w:val="00A3245F"/>
    <w:rsid w:val="00A32924"/>
    <w:rsid w:val="00A32D1B"/>
    <w:rsid w:val="00A33162"/>
    <w:rsid w:val="00A33449"/>
    <w:rsid w:val="00A336A7"/>
    <w:rsid w:val="00A337BE"/>
    <w:rsid w:val="00A337D4"/>
    <w:rsid w:val="00A33BD3"/>
    <w:rsid w:val="00A33C8A"/>
    <w:rsid w:val="00A33DAF"/>
    <w:rsid w:val="00A344C3"/>
    <w:rsid w:val="00A348A7"/>
    <w:rsid w:val="00A35D5C"/>
    <w:rsid w:val="00A35D72"/>
    <w:rsid w:val="00A3616E"/>
    <w:rsid w:val="00A3618A"/>
    <w:rsid w:val="00A36283"/>
    <w:rsid w:val="00A36451"/>
    <w:rsid w:val="00A36A55"/>
    <w:rsid w:val="00A36FDF"/>
    <w:rsid w:val="00A37FD1"/>
    <w:rsid w:val="00A405D8"/>
    <w:rsid w:val="00A4082D"/>
    <w:rsid w:val="00A40D1E"/>
    <w:rsid w:val="00A41B4F"/>
    <w:rsid w:val="00A41E7C"/>
    <w:rsid w:val="00A42C4C"/>
    <w:rsid w:val="00A42D1A"/>
    <w:rsid w:val="00A42D66"/>
    <w:rsid w:val="00A42DF3"/>
    <w:rsid w:val="00A4326E"/>
    <w:rsid w:val="00A434B6"/>
    <w:rsid w:val="00A438E3"/>
    <w:rsid w:val="00A43E48"/>
    <w:rsid w:val="00A43E9E"/>
    <w:rsid w:val="00A43EFD"/>
    <w:rsid w:val="00A44084"/>
    <w:rsid w:val="00A441F6"/>
    <w:rsid w:val="00A44579"/>
    <w:rsid w:val="00A44F41"/>
    <w:rsid w:val="00A44F53"/>
    <w:rsid w:val="00A450AF"/>
    <w:rsid w:val="00A4510A"/>
    <w:rsid w:val="00A455AC"/>
    <w:rsid w:val="00A45737"/>
    <w:rsid w:val="00A4574E"/>
    <w:rsid w:val="00A45D2F"/>
    <w:rsid w:val="00A45D49"/>
    <w:rsid w:val="00A46322"/>
    <w:rsid w:val="00A46878"/>
    <w:rsid w:val="00A46C7B"/>
    <w:rsid w:val="00A46CEF"/>
    <w:rsid w:val="00A46D0D"/>
    <w:rsid w:val="00A46E2F"/>
    <w:rsid w:val="00A472DE"/>
    <w:rsid w:val="00A473AF"/>
    <w:rsid w:val="00A474E1"/>
    <w:rsid w:val="00A47BA9"/>
    <w:rsid w:val="00A47C35"/>
    <w:rsid w:val="00A47CF8"/>
    <w:rsid w:val="00A47F63"/>
    <w:rsid w:val="00A502EA"/>
    <w:rsid w:val="00A50352"/>
    <w:rsid w:val="00A503C9"/>
    <w:rsid w:val="00A5045C"/>
    <w:rsid w:val="00A5081B"/>
    <w:rsid w:val="00A50D3C"/>
    <w:rsid w:val="00A510F2"/>
    <w:rsid w:val="00A51464"/>
    <w:rsid w:val="00A5180F"/>
    <w:rsid w:val="00A51B76"/>
    <w:rsid w:val="00A5287A"/>
    <w:rsid w:val="00A528E8"/>
    <w:rsid w:val="00A52969"/>
    <w:rsid w:val="00A52AE0"/>
    <w:rsid w:val="00A52AEC"/>
    <w:rsid w:val="00A52C84"/>
    <w:rsid w:val="00A52EDF"/>
    <w:rsid w:val="00A541D7"/>
    <w:rsid w:val="00A54272"/>
    <w:rsid w:val="00A5467A"/>
    <w:rsid w:val="00A5477E"/>
    <w:rsid w:val="00A54FC3"/>
    <w:rsid w:val="00A55091"/>
    <w:rsid w:val="00A55EB2"/>
    <w:rsid w:val="00A55FC7"/>
    <w:rsid w:val="00A561CB"/>
    <w:rsid w:val="00A567B5"/>
    <w:rsid w:val="00A567D4"/>
    <w:rsid w:val="00A5680D"/>
    <w:rsid w:val="00A56D8F"/>
    <w:rsid w:val="00A56F50"/>
    <w:rsid w:val="00A57A2B"/>
    <w:rsid w:val="00A57B15"/>
    <w:rsid w:val="00A57BAC"/>
    <w:rsid w:val="00A57C30"/>
    <w:rsid w:val="00A57E8D"/>
    <w:rsid w:val="00A6042D"/>
    <w:rsid w:val="00A60712"/>
    <w:rsid w:val="00A60811"/>
    <w:rsid w:val="00A61056"/>
    <w:rsid w:val="00A6126C"/>
    <w:rsid w:val="00A61472"/>
    <w:rsid w:val="00A61476"/>
    <w:rsid w:val="00A6217A"/>
    <w:rsid w:val="00A62185"/>
    <w:rsid w:val="00A621C2"/>
    <w:rsid w:val="00A62363"/>
    <w:rsid w:val="00A62526"/>
    <w:rsid w:val="00A62818"/>
    <w:rsid w:val="00A62F4F"/>
    <w:rsid w:val="00A639D7"/>
    <w:rsid w:val="00A63A1F"/>
    <w:rsid w:val="00A63EBA"/>
    <w:rsid w:val="00A64553"/>
    <w:rsid w:val="00A645C2"/>
    <w:rsid w:val="00A64B5A"/>
    <w:rsid w:val="00A64F29"/>
    <w:rsid w:val="00A65113"/>
    <w:rsid w:val="00A65A65"/>
    <w:rsid w:val="00A65C20"/>
    <w:rsid w:val="00A65D9C"/>
    <w:rsid w:val="00A65E5C"/>
    <w:rsid w:val="00A666B9"/>
    <w:rsid w:val="00A666E7"/>
    <w:rsid w:val="00A66797"/>
    <w:rsid w:val="00A66911"/>
    <w:rsid w:val="00A66C41"/>
    <w:rsid w:val="00A66DB9"/>
    <w:rsid w:val="00A66E4A"/>
    <w:rsid w:val="00A67057"/>
    <w:rsid w:val="00A671BC"/>
    <w:rsid w:val="00A6777D"/>
    <w:rsid w:val="00A679E8"/>
    <w:rsid w:val="00A70604"/>
    <w:rsid w:val="00A70E98"/>
    <w:rsid w:val="00A70FE7"/>
    <w:rsid w:val="00A711A6"/>
    <w:rsid w:val="00A716CB"/>
    <w:rsid w:val="00A71B22"/>
    <w:rsid w:val="00A725A9"/>
    <w:rsid w:val="00A727E1"/>
    <w:rsid w:val="00A72840"/>
    <w:rsid w:val="00A72ADA"/>
    <w:rsid w:val="00A72B43"/>
    <w:rsid w:val="00A72CB5"/>
    <w:rsid w:val="00A7353A"/>
    <w:rsid w:val="00A73774"/>
    <w:rsid w:val="00A7396E"/>
    <w:rsid w:val="00A73CF1"/>
    <w:rsid w:val="00A73D63"/>
    <w:rsid w:val="00A7416D"/>
    <w:rsid w:val="00A741CB"/>
    <w:rsid w:val="00A74235"/>
    <w:rsid w:val="00A74313"/>
    <w:rsid w:val="00A74C34"/>
    <w:rsid w:val="00A75162"/>
    <w:rsid w:val="00A75372"/>
    <w:rsid w:val="00A7584F"/>
    <w:rsid w:val="00A758A0"/>
    <w:rsid w:val="00A75AAD"/>
    <w:rsid w:val="00A762C8"/>
    <w:rsid w:val="00A7665A"/>
    <w:rsid w:val="00A768F1"/>
    <w:rsid w:val="00A76969"/>
    <w:rsid w:val="00A76DF7"/>
    <w:rsid w:val="00A76F48"/>
    <w:rsid w:val="00A77157"/>
    <w:rsid w:val="00A77296"/>
    <w:rsid w:val="00A772B7"/>
    <w:rsid w:val="00A77C19"/>
    <w:rsid w:val="00A77D37"/>
    <w:rsid w:val="00A77FCD"/>
    <w:rsid w:val="00A80027"/>
    <w:rsid w:val="00A81241"/>
    <w:rsid w:val="00A81522"/>
    <w:rsid w:val="00A81537"/>
    <w:rsid w:val="00A8157E"/>
    <w:rsid w:val="00A815C2"/>
    <w:rsid w:val="00A8171A"/>
    <w:rsid w:val="00A82150"/>
    <w:rsid w:val="00A82579"/>
    <w:rsid w:val="00A8279A"/>
    <w:rsid w:val="00A82D31"/>
    <w:rsid w:val="00A8324B"/>
    <w:rsid w:val="00A8346B"/>
    <w:rsid w:val="00A8352A"/>
    <w:rsid w:val="00A83770"/>
    <w:rsid w:val="00A83F31"/>
    <w:rsid w:val="00A840DA"/>
    <w:rsid w:val="00A846F9"/>
    <w:rsid w:val="00A84856"/>
    <w:rsid w:val="00A8491D"/>
    <w:rsid w:val="00A84EFC"/>
    <w:rsid w:val="00A85363"/>
    <w:rsid w:val="00A85427"/>
    <w:rsid w:val="00A855EE"/>
    <w:rsid w:val="00A856B7"/>
    <w:rsid w:val="00A85A9B"/>
    <w:rsid w:val="00A865FF"/>
    <w:rsid w:val="00A8690C"/>
    <w:rsid w:val="00A871A3"/>
    <w:rsid w:val="00A87377"/>
    <w:rsid w:val="00A87720"/>
    <w:rsid w:val="00A87B75"/>
    <w:rsid w:val="00A87ED0"/>
    <w:rsid w:val="00A900E4"/>
    <w:rsid w:val="00A90103"/>
    <w:rsid w:val="00A901BE"/>
    <w:rsid w:val="00A90868"/>
    <w:rsid w:val="00A908CF"/>
    <w:rsid w:val="00A90B06"/>
    <w:rsid w:val="00A90BB6"/>
    <w:rsid w:val="00A90DBE"/>
    <w:rsid w:val="00A90EA3"/>
    <w:rsid w:val="00A90EDC"/>
    <w:rsid w:val="00A90F54"/>
    <w:rsid w:val="00A9100D"/>
    <w:rsid w:val="00A91309"/>
    <w:rsid w:val="00A91481"/>
    <w:rsid w:val="00A91561"/>
    <w:rsid w:val="00A91FFC"/>
    <w:rsid w:val="00A923B8"/>
    <w:rsid w:val="00A92BD7"/>
    <w:rsid w:val="00A93389"/>
    <w:rsid w:val="00A936E1"/>
    <w:rsid w:val="00A93ABF"/>
    <w:rsid w:val="00A93EA6"/>
    <w:rsid w:val="00A93ED4"/>
    <w:rsid w:val="00A948F2"/>
    <w:rsid w:val="00A94F20"/>
    <w:rsid w:val="00A95357"/>
    <w:rsid w:val="00A954F5"/>
    <w:rsid w:val="00A955FD"/>
    <w:rsid w:val="00A959D0"/>
    <w:rsid w:val="00A95A6E"/>
    <w:rsid w:val="00A95ABF"/>
    <w:rsid w:val="00A95C7F"/>
    <w:rsid w:val="00A95D19"/>
    <w:rsid w:val="00A95DA2"/>
    <w:rsid w:val="00A9650E"/>
    <w:rsid w:val="00A9693C"/>
    <w:rsid w:val="00A969F0"/>
    <w:rsid w:val="00A96AEE"/>
    <w:rsid w:val="00A96EBD"/>
    <w:rsid w:val="00AA061F"/>
    <w:rsid w:val="00AA076A"/>
    <w:rsid w:val="00AA1154"/>
    <w:rsid w:val="00AA122D"/>
    <w:rsid w:val="00AA1468"/>
    <w:rsid w:val="00AA155E"/>
    <w:rsid w:val="00AA1FE3"/>
    <w:rsid w:val="00AA24A2"/>
    <w:rsid w:val="00AA2E13"/>
    <w:rsid w:val="00AA2E34"/>
    <w:rsid w:val="00AA3015"/>
    <w:rsid w:val="00AA3359"/>
    <w:rsid w:val="00AA3478"/>
    <w:rsid w:val="00AA34D8"/>
    <w:rsid w:val="00AA3501"/>
    <w:rsid w:val="00AA3512"/>
    <w:rsid w:val="00AA356C"/>
    <w:rsid w:val="00AA3D57"/>
    <w:rsid w:val="00AA3F9D"/>
    <w:rsid w:val="00AA41BA"/>
    <w:rsid w:val="00AA4389"/>
    <w:rsid w:val="00AA484A"/>
    <w:rsid w:val="00AA4C84"/>
    <w:rsid w:val="00AA515C"/>
    <w:rsid w:val="00AA534C"/>
    <w:rsid w:val="00AA54A3"/>
    <w:rsid w:val="00AA54EC"/>
    <w:rsid w:val="00AA64F8"/>
    <w:rsid w:val="00AA6734"/>
    <w:rsid w:val="00AA6CAF"/>
    <w:rsid w:val="00AA780E"/>
    <w:rsid w:val="00AA7968"/>
    <w:rsid w:val="00AA7EEF"/>
    <w:rsid w:val="00AB01E2"/>
    <w:rsid w:val="00AB08F4"/>
    <w:rsid w:val="00AB1315"/>
    <w:rsid w:val="00AB1332"/>
    <w:rsid w:val="00AB140A"/>
    <w:rsid w:val="00AB1672"/>
    <w:rsid w:val="00AB1745"/>
    <w:rsid w:val="00AB180D"/>
    <w:rsid w:val="00AB1EBA"/>
    <w:rsid w:val="00AB25D9"/>
    <w:rsid w:val="00AB2707"/>
    <w:rsid w:val="00AB2C98"/>
    <w:rsid w:val="00AB2E46"/>
    <w:rsid w:val="00AB332D"/>
    <w:rsid w:val="00AB3548"/>
    <w:rsid w:val="00AB3781"/>
    <w:rsid w:val="00AB3840"/>
    <w:rsid w:val="00AB3AED"/>
    <w:rsid w:val="00AB3D6A"/>
    <w:rsid w:val="00AB3FEC"/>
    <w:rsid w:val="00AB427D"/>
    <w:rsid w:val="00AB453D"/>
    <w:rsid w:val="00AB45A4"/>
    <w:rsid w:val="00AB4903"/>
    <w:rsid w:val="00AB4A86"/>
    <w:rsid w:val="00AB4D4B"/>
    <w:rsid w:val="00AB50D1"/>
    <w:rsid w:val="00AB535F"/>
    <w:rsid w:val="00AB5440"/>
    <w:rsid w:val="00AB5A7C"/>
    <w:rsid w:val="00AB5B48"/>
    <w:rsid w:val="00AB5C7B"/>
    <w:rsid w:val="00AB6397"/>
    <w:rsid w:val="00AB64D1"/>
    <w:rsid w:val="00AB6992"/>
    <w:rsid w:val="00AB6D36"/>
    <w:rsid w:val="00AB78F9"/>
    <w:rsid w:val="00AB7AD2"/>
    <w:rsid w:val="00AB7C7E"/>
    <w:rsid w:val="00AC01F6"/>
    <w:rsid w:val="00AC0401"/>
    <w:rsid w:val="00AC0614"/>
    <w:rsid w:val="00AC08A2"/>
    <w:rsid w:val="00AC0C31"/>
    <w:rsid w:val="00AC0CFD"/>
    <w:rsid w:val="00AC0DCE"/>
    <w:rsid w:val="00AC1027"/>
    <w:rsid w:val="00AC1237"/>
    <w:rsid w:val="00AC175D"/>
    <w:rsid w:val="00AC17CB"/>
    <w:rsid w:val="00AC1915"/>
    <w:rsid w:val="00AC19B2"/>
    <w:rsid w:val="00AC1A5B"/>
    <w:rsid w:val="00AC20DC"/>
    <w:rsid w:val="00AC262A"/>
    <w:rsid w:val="00AC273F"/>
    <w:rsid w:val="00AC2789"/>
    <w:rsid w:val="00AC318F"/>
    <w:rsid w:val="00AC31E0"/>
    <w:rsid w:val="00AC39AC"/>
    <w:rsid w:val="00AC3D2E"/>
    <w:rsid w:val="00AC3D73"/>
    <w:rsid w:val="00AC3EAE"/>
    <w:rsid w:val="00AC4239"/>
    <w:rsid w:val="00AC42AD"/>
    <w:rsid w:val="00AC42D6"/>
    <w:rsid w:val="00AC4B30"/>
    <w:rsid w:val="00AC4B99"/>
    <w:rsid w:val="00AC4D0C"/>
    <w:rsid w:val="00AC4EBA"/>
    <w:rsid w:val="00AC50D4"/>
    <w:rsid w:val="00AC5325"/>
    <w:rsid w:val="00AC5537"/>
    <w:rsid w:val="00AC567A"/>
    <w:rsid w:val="00AC5974"/>
    <w:rsid w:val="00AC5AC4"/>
    <w:rsid w:val="00AC5D60"/>
    <w:rsid w:val="00AC5D9B"/>
    <w:rsid w:val="00AC607F"/>
    <w:rsid w:val="00AC6439"/>
    <w:rsid w:val="00AC6D27"/>
    <w:rsid w:val="00AC7024"/>
    <w:rsid w:val="00AC7059"/>
    <w:rsid w:val="00AC71A9"/>
    <w:rsid w:val="00AC7484"/>
    <w:rsid w:val="00AC74C0"/>
    <w:rsid w:val="00AC7530"/>
    <w:rsid w:val="00AC76B7"/>
    <w:rsid w:val="00AC79A5"/>
    <w:rsid w:val="00AC7DC9"/>
    <w:rsid w:val="00AD084F"/>
    <w:rsid w:val="00AD0AD2"/>
    <w:rsid w:val="00AD0F10"/>
    <w:rsid w:val="00AD1170"/>
    <w:rsid w:val="00AD151F"/>
    <w:rsid w:val="00AD18C1"/>
    <w:rsid w:val="00AD1A71"/>
    <w:rsid w:val="00AD2070"/>
    <w:rsid w:val="00AD2BE2"/>
    <w:rsid w:val="00AD2DE1"/>
    <w:rsid w:val="00AD2F6D"/>
    <w:rsid w:val="00AD2F8C"/>
    <w:rsid w:val="00AD38A5"/>
    <w:rsid w:val="00AD3E11"/>
    <w:rsid w:val="00AD3E35"/>
    <w:rsid w:val="00AD403A"/>
    <w:rsid w:val="00AD43E0"/>
    <w:rsid w:val="00AD4543"/>
    <w:rsid w:val="00AD4656"/>
    <w:rsid w:val="00AD487A"/>
    <w:rsid w:val="00AD4B15"/>
    <w:rsid w:val="00AD57F6"/>
    <w:rsid w:val="00AD585B"/>
    <w:rsid w:val="00AD5B07"/>
    <w:rsid w:val="00AD5B3C"/>
    <w:rsid w:val="00AD5B59"/>
    <w:rsid w:val="00AD6148"/>
    <w:rsid w:val="00AD618B"/>
    <w:rsid w:val="00AD66F9"/>
    <w:rsid w:val="00AD6939"/>
    <w:rsid w:val="00AD6B56"/>
    <w:rsid w:val="00AD6E5C"/>
    <w:rsid w:val="00AD7173"/>
    <w:rsid w:val="00AD79F1"/>
    <w:rsid w:val="00AD7CCA"/>
    <w:rsid w:val="00AD7CF5"/>
    <w:rsid w:val="00AE02AF"/>
    <w:rsid w:val="00AE0402"/>
    <w:rsid w:val="00AE07A6"/>
    <w:rsid w:val="00AE07C8"/>
    <w:rsid w:val="00AE091F"/>
    <w:rsid w:val="00AE0EC0"/>
    <w:rsid w:val="00AE104A"/>
    <w:rsid w:val="00AE111C"/>
    <w:rsid w:val="00AE1ED4"/>
    <w:rsid w:val="00AE2473"/>
    <w:rsid w:val="00AE24C6"/>
    <w:rsid w:val="00AE2565"/>
    <w:rsid w:val="00AE2A3A"/>
    <w:rsid w:val="00AE2B68"/>
    <w:rsid w:val="00AE2C1A"/>
    <w:rsid w:val="00AE3379"/>
    <w:rsid w:val="00AE3500"/>
    <w:rsid w:val="00AE3952"/>
    <w:rsid w:val="00AE3C9B"/>
    <w:rsid w:val="00AE3EE8"/>
    <w:rsid w:val="00AE402D"/>
    <w:rsid w:val="00AE43B2"/>
    <w:rsid w:val="00AE490E"/>
    <w:rsid w:val="00AE4C0A"/>
    <w:rsid w:val="00AE4EE2"/>
    <w:rsid w:val="00AE5380"/>
    <w:rsid w:val="00AE5517"/>
    <w:rsid w:val="00AE5535"/>
    <w:rsid w:val="00AE5561"/>
    <w:rsid w:val="00AE57BE"/>
    <w:rsid w:val="00AE5E90"/>
    <w:rsid w:val="00AE6511"/>
    <w:rsid w:val="00AE6552"/>
    <w:rsid w:val="00AE65B1"/>
    <w:rsid w:val="00AE6A25"/>
    <w:rsid w:val="00AE6ACF"/>
    <w:rsid w:val="00AE6AD8"/>
    <w:rsid w:val="00AE7026"/>
    <w:rsid w:val="00AE70FF"/>
    <w:rsid w:val="00AE71E8"/>
    <w:rsid w:val="00AE72AD"/>
    <w:rsid w:val="00AE72DA"/>
    <w:rsid w:val="00AE7589"/>
    <w:rsid w:val="00AE77C5"/>
    <w:rsid w:val="00AE77F9"/>
    <w:rsid w:val="00AE7D20"/>
    <w:rsid w:val="00AE7E27"/>
    <w:rsid w:val="00AE7EC0"/>
    <w:rsid w:val="00AF05B1"/>
    <w:rsid w:val="00AF07B1"/>
    <w:rsid w:val="00AF0A68"/>
    <w:rsid w:val="00AF0B1E"/>
    <w:rsid w:val="00AF0E5E"/>
    <w:rsid w:val="00AF0EB4"/>
    <w:rsid w:val="00AF1873"/>
    <w:rsid w:val="00AF1B1E"/>
    <w:rsid w:val="00AF1FE6"/>
    <w:rsid w:val="00AF24CE"/>
    <w:rsid w:val="00AF24D0"/>
    <w:rsid w:val="00AF375D"/>
    <w:rsid w:val="00AF387D"/>
    <w:rsid w:val="00AF3F81"/>
    <w:rsid w:val="00AF40EB"/>
    <w:rsid w:val="00AF48A7"/>
    <w:rsid w:val="00AF4A18"/>
    <w:rsid w:val="00AF5045"/>
    <w:rsid w:val="00AF515F"/>
    <w:rsid w:val="00AF58C1"/>
    <w:rsid w:val="00AF5A2A"/>
    <w:rsid w:val="00AF5CC2"/>
    <w:rsid w:val="00AF63C9"/>
    <w:rsid w:val="00AF64D9"/>
    <w:rsid w:val="00AF68CC"/>
    <w:rsid w:val="00AF6D83"/>
    <w:rsid w:val="00AF7197"/>
    <w:rsid w:val="00AF732E"/>
    <w:rsid w:val="00AF7531"/>
    <w:rsid w:val="00AF7535"/>
    <w:rsid w:val="00AF759F"/>
    <w:rsid w:val="00AF7925"/>
    <w:rsid w:val="00AF7E6B"/>
    <w:rsid w:val="00B004C3"/>
    <w:rsid w:val="00B004FD"/>
    <w:rsid w:val="00B00893"/>
    <w:rsid w:val="00B00923"/>
    <w:rsid w:val="00B009D0"/>
    <w:rsid w:val="00B00A11"/>
    <w:rsid w:val="00B00B82"/>
    <w:rsid w:val="00B00C68"/>
    <w:rsid w:val="00B011C2"/>
    <w:rsid w:val="00B0121D"/>
    <w:rsid w:val="00B01545"/>
    <w:rsid w:val="00B017A7"/>
    <w:rsid w:val="00B01BC6"/>
    <w:rsid w:val="00B01C4E"/>
    <w:rsid w:val="00B01D9B"/>
    <w:rsid w:val="00B02DC1"/>
    <w:rsid w:val="00B03810"/>
    <w:rsid w:val="00B0494F"/>
    <w:rsid w:val="00B05C9A"/>
    <w:rsid w:val="00B05CE3"/>
    <w:rsid w:val="00B05E88"/>
    <w:rsid w:val="00B065D7"/>
    <w:rsid w:val="00B06663"/>
    <w:rsid w:val="00B06819"/>
    <w:rsid w:val="00B06961"/>
    <w:rsid w:val="00B06A63"/>
    <w:rsid w:val="00B06BD4"/>
    <w:rsid w:val="00B06DF2"/>
    <w:rsid w:val="00B07541"/>
    <w:rsid w:val="00B075BD"/>
    <w:rsid w:val="00B0768E"/>
    <w:rsid w:val="00B07955"/>
    <w:rsid w:val="00B10035"/>
    <w:rsid w:val="00B10E3F"/>
    <w:rsid w:val="00B10FE2"/>
    <w:rsid w:val="00B110A0"/>
    <w:rsid w:val="00B11E7E"/>
    <w:rsid w:val="00B12115"/>
    <w:rsid w:val="00B12147"/>
    <w:rsid w:val="00B125E1"/>
    <w:rsid w:val="00B1274A"/>
    <w:rsid w:val="00B127EC"/>
    <w:rsid w:val="00B12A13"/>
    <w:rsid w:val="00B12E68"/>
    <w:rsid w:val="00B1320B"/>
    <w:rsid w:val="00B134A1"/>
    <w:rsid w:val="00B1350C"/>
    <w:rsid w:val="00B13797"/>
    <w:rsid w:val="00B137A2"/>
    <w:rsid w:val="00B13A64"/>
    <w:rsid w:val="00B14839"/>
    <w:rsid w:val="00B14E2E"/>
    <w:rsid w:val="00B14EF2"/>
    <w:rsid w:val="00B1507D"/>
    <w:rsid w:val="00B15128"/>
    <w:rsid w:val="00B151BB"/>
    <w:rsid w:val="00B15224"/>
    <w:rsid w:val="00B152C9"/>
    <w:rsid w:val="00B16039"/>
    <w:rsid w:val="00B164EC"/>
    <w:rsid w:val="00B1670D"/>
    <w:rsid w:val="00B16938"/>
    <w:rsid w:val="00B1708D"/>
    <w:rsid w:val="00B177C3"/>
    <w:rsid w:val="00B1794B"/>
    <w:rsid w:val="00B17D02"/>
    <w:rsid w:val="00B17D5E"/>
    <w:rsid w:val="00B17FDA"/>
    <w:rsid w:val="00B20186"/>
    <w:rsid w:val="00B20523"/>
    <w:rsid w:val="00B207E8"/>
    <w:rsid w:val="00B20AEF"/>
    <w:rsid w:val="00B20E71"/>
    <w:rsid w:val="00B21627"/>
    <w:rsid w:val="00B2173C"/>
    <w:rsid w:val="00B2188A"/>
    <w:rsid w:val="00B21CE1"/>
    <w:rsid w:val="00B22023"/>
    <w:rsid w:val="00B22180"/>
    <w:rsid w:val="00B22462"/>
    <w:rsid w:val="00B22D31"/>
    <w:rsid w:val="00B23235"/>
    <w:rsid w:val="00B23283"/>
    <w:rsid w:val="00B233B6"/>
    <w:rsid w:val="00B233C1"/>
    <w:rsid w:val="00B24348"/>
    <w:rsid w:val="00B24474"/>
    <w:rsid w:val="00B2461A"/>
    <w:rsid w:val="00B24863"/>
    <w:rsid w:val="00B24967"/>
    <w:rsid w:val="00B24BF0"/>
    <w:rsid w:val="00B2504D"/>
    <w:rsid w:val="00B2506F"/>
    <w:rsid w:val="00B25320"/>
    <w:rsid w:val="00B25B38"/>
    <w:rsid w:val="00B260AE"/>
    <w:rsid w:val="00B262AE"/>
    <w:rsid w:val="00B264BD"/>
    <w:rsid w:val="00B265C8"/>
    <w:rsid w:val="00B26A19"/>
    <w:rsid w:val="00B26CB4"/>
    <w:rsid w:val="00B26CF6"/>
    <w:rsid w:val="00B27057"/>
    <w:rsid w:val="00B2708B"/>
    <w:rsid w:val="00B27C89"/>
    <w:rsid w:val="00B300B6"/>
    <w:rsid w:val="00B30A19"/>
    <w:rsid w:val="00B31243"/>
    <w:rsid w:val="00B3128B"/>
    <w:rsid w:val="00B31358"/>
    <w:rsid w:val="00B314A3"/>
    <w:rsid w:val="00B31720"/>
    <w:rsid w:val="00B31987"/>
    <w:rsid w:val="00B32526"/>
    <w:rsid w:val="00B32E81"/>
    <w:rsid w:val="00B332AA"/>
    <w:rsid w:val="00B332DD"/>
    <w:rsid w:val="00B3331B"/>
    <w:rsid w:val="00B33353"/>
    <w:rsid w:val="00B33415"/>
    <w:rsid w:val="00B33744"/>
    <w:rsid w:val="00B33843"/>
    <w:rsid w:val="00B3397B"/>
    <w:rsid w:val="00B33CC4"/>
    <w:rsid w:val="00B33FCE"/>
    <w:rsid w:val="00B34234"/>
    <w:rsid w:val="00B3453A"/>
    <w:rsid w:val="00B3464B"/>
    <w:rsid w:val="00B34722"/>
    <w:rsid w:val="00B34B70"/>
    <w:rsid w:val="00B34F41"/>
    <w:rsid w:val="00B35123"/>
    <w:rsid w:val="00B352E7"/>
    <w:rsid w:val="00B356EC"/>
    <w:rsid w:val="00B35BD7"/>
    <w:rsid w:val="00B35D4F"/>
    <w:rsid w:val="00B36205"/>
    <w:rsid w:val="00B36239"/>
    <w:rsid w:val="00B36563"/>
    <w:rsid w:val="00B36808"/>
    <w:rsid w:val="00B36C6B"/>
    <w:rsid w:val="00B37109"/>
    <w:rsid w:val="00B37237"/>
    <w:rsid w:val="00B3793B"/>
    <w:rsid w:val="00B4028D"/>
    <w:rsid w:val="00B402EF"/>
    <w:rsid w:val="00B4181E"/>
    <w:rsid w:val="00B41B4C"/>
    <w:rsid w:val="00B41BAB"/>
    <w:rsid w:val="00B421B9"/>
    <w:rsid w:val="00B42256"/>
    <w:rsid w:val="00B42476"/>
    <w:rsid w:val="00B428C0"/>
    <w:rsid w:val="00B4292B"/>
    <w:rsid w:val="00B42A46"/>
    <w:rsid w:val="00B43026"/>
    <w:rsid w:val="00B43294"/>
    <w:rsid w:val="00B4357B"/>
    <w:rsid w:val="00B438C6"/>
    <w:rsid w:val="00B43AF4"/>
    <w:rsid w:val="00B43FE6"/>
    <w:rsid w:val="00B4401D"/>
    <w:rsid w:val="00B442B0"/>
    <w:rsid w:val="00B44325"/>
    <w:rsid w:val="00B4439F"/>
    <w:rsid w:val="00B44708"/>
    <w:rsid w:val="00B45125"/>
    <w:rsid w:val="00B4570D"/>
    <w:rsid w:val="00B45818"/>
    <w:rsid w:val="00B4591D"/>
    <w:rsid w:val="00B45C29"/>
    <w:rsid w:val="00B45FD8"/>
    <w:rsid w:val="00B460E8"/>
    <w:rsid w:val="00B46144"/>
    <w:rsid w:val="00B4648B"/>
    <w:rsid w:val="00B46868"/>
    <w:rsid w:val="00B468FF"/>
    <w:rsid w:val="00B46972"/>
    <w:rsid w:val="00B469CD"/>
    <w:rsid w:val="00B46A26"/>
    <w:rsid w:val="00B46C7A"/>
    <w:rsid w:val="00B46C81"/>
    <w:rsid w:val="00B470A0"/>
    <w:rsid w:val="00B47284"/>
    <w:rsid w:val="00B4749D"/>
    <w:rsid w:val="00B475E4"/>
    <w:rsid w:val="00B47642"/>
    <w:rsid w:val="00B47CFB"/>
    <w:rsid w:val="00B50206"/>
    <w:rsid w:val="00B510F5"/>
    <w:rsid w:val="00B511B4"/>
    <w:rsid w:val="00B51317"/>
    <w:rsid w:val="00B51668"/>
    <w:rsid w:val="00B51A4C"/>
    <w:rsid w:val="00B51BD6"/>
    <w:rsid w:val="00B51DC4"/>
    <w:rsid w:val="00B52055"/>
    <w:rsid w:val="00B521C0"/>
    <w:rsid w:val="00B52289"/>
    <w:rsid w:val="00B52B9B"/>
    <w:rsid w:val="00B52D7B"/>
    <w:rsid w:val="00B52EE4"/>
    <w:rsid w:val="00B5399E"/>
    <w:rsid w:val="00B53B8F"/>
    <w:rsid w:val="00B53FC5"/>
    <w:rsid w:val="00B543DB"/>
    <w:rsid w:val="00B54644"/>
    <w:rsid w:val="00B54651"/>
    <w:rsid w:val="00B547D9"/>
    <w:rsid w:val="00B547E8"/>
    <w:rsid w:val="00B548EF"/>
    <w:rsid w:val="00B54BBC"/>
    <w:rsid w:val="00B54BC0"/>
    <w:rsid w:val="00B54E4C"/>
    <w:rsid w:val="00B559A1"/>
    <w:rsid w:val="00B55D64"/>
    <w:rsid w:val="00B55E6F"/>
    <w:rsid w:val="00B55EE9"/>
    <w:rsid w:val="00B5609B"/>
    <w:rsid w:val="00B56389"/>
    <w:rsid w:val="00B56888"/>
    <w:rsid w:val="00B568AF"/>
    <w:rsid w:val="00B56E57"/>
    <w:rsid w:val="00B572A6"/>
    <w:rsid w:val="00B57448"/>
    <w:rsid w:val="00B57610"/>
    <w:rsid w:val="00B579CC"/>
    <w:rsid w:val="00B57C24"/>
    <w:rsid w:val="00B57C2D"/>
    <w:rsid w:val="00B57EC6"/>
    <w:rsid w:val="00B60124"/>
    <w:rsid w:val="00B60434"/>
    <w:rsid w:val="00B605DB"/>
    <w:rsid w:val="00B60852"/>
    <w:rsid w:val="00B60AA0"/>
    <w:rsid w:val="00B60E70"/>
    <w:rsid w:val="00B60E7C"/>
    <w:rsid w:val="00B60ECA"/>
    <w:rsid w:val="00B61006"/>
    <w:rsid w:val="00B61388"/>
    <w:rsid w:val="00B617FB"/>
    <w:rsid w:val="00B61B28"/>
    <w:rsid w:val="00B61B32"/>
    <w:rsid w:val="00B61BA2"/>
    <w:rsid w:val="00B61FBA"/>
    <w:rsid w:val="00B62032"/>
    <w:rsid w:val="00B62319"/>
    <w:rsid w:val="00B6293B"/>
    <w:rsid w:val="00B62C1B"/>
    <w:rsid w:val="00B63212"/>
    <w:rsid w:val="00B63767"/>
    <w:rsid w:val="00B63CCD"/>
    <w:rsid w:val="00B63E34"/>
    <w:rsid w:val="00B63F46"/>
    <w:rsid w:val="00B64BEC"/>
    <w:rsid w:val="00B64C90"/>
    <w:rsid w:val="00B64DFF"/>
    <w:rsid w:val="00B64E6C"/>
    <w:rsid w:val="00B64E8D"/>
    <w:rsid w:val="00B64FF4"/>
    <w:rsid w:val="00B653DF"/>
    <w:rsid w:val="00B656FA"/>
    <w:rsid w:val="00B65CF9"/>
    <w:rsid w:val="00B66A92"/>
    <w:rsid w:val="00B66EB8"/>
    <w:rsid w:val="00B66F0C"/>
    <w:rsid w:val="00B66F60"/>
    <w:rsid w:val="00B67206"/>
    <w:rsid w:val="00B672B4"/>
    <w:rsid w:val="00B676EA"/>
    <w:rsid w:val="00B67876"/>
    <w:rsid w:val="00B67AA1"/>
    <w:rsid w:val="00B67E70"/>
    <w:rsid w:val="00B67F99"/>
    <w:rsid w:val="00B70046"/>
    <w:rsid w:val="00B7027A"/>
    <w:rsid w:val="00B70735"/>
    <w:rsid w:val="00B70B2E"/>
    <w:rsid w:val="00B70FD3"/>
    <w:rsid w:val="00B7137D"/>
    <w:rsid w:val="00B7140E"/>
    <w:rsid w:val="00B71852"/>
    <w:rsid w:val="00B7194E"/>
    <w:rsid w:val="00B71E29"/>
    <w:rsid w:val="00B72147"/>
    <w:rsid w:val="00B724D8"/>
    <w:rsid w:val="00B725C5"/>
    <w:rsid w:val="00B72A87"/>
    <w:rsid w:val="00B72CA4"/>
    <w:rsid w:val="00B72D7A"/>
    <w:rsid w:val="00B7366F"/>
    <w:rsid w:val="00B73F36"/>
    <w:rsid w:val="00B7416D"/>
    <w:rsid w:val="00B741FB"/>
    <w:rsid w:val="00B74332"/>
    <w:rsid w:val="00B7465B"/>
    <w:rsid w:val="00B74759"/>
    <w:rsid w:val="00B74A56"/>
    <w:rsid w:val="00B74EEE"/>
    <w:rsid w:val="00B751D9"/>
    <w:rsid w:val="00B75239"/>
    <w:rsid w:val="00B75AA0"/>
    <w:rsid w:val="00B75CF4"/>
    <w:rsid w:val="00B76248"/>
    <w:rsid w:val="00B762ED"/>
    <w:rsid w:val="00B76360"/>
    <w:rsid w:val="00B765B6"/>
    <w:rsid w:val="00B767C2"/>
    <w:rsid w:val="00B768C9"/>
    <w:rsid w:val="00B7693F"/>
    <w:rsid w:val="00B76C9C"/>
    <w:rsid w:val="00B76E74"/>
    <w:rsid w:val="00B775D3"/>
    <w:rsid w:val="00B779D5"/>
    <w:rsid w:val="00B77A3B"/>
    <w:rsid w:val="00B77B40"/>
    <w:rsid w:val="00B77E48"/>
    <w:rsid w:val="00B8004E"/>
    <w:rsid w:val="00B80B5D"/>
    <w:rsid w:val="00B80FBA"/>
    <w:rsid w:val="00B815D1"/>
    <w:rsid w:val="00B816BB"/>
    <w:rsid w:val="00B816FA"/>
    <w:rsid w:val="00B8171E"/>
    <w:rsid w:val="00B81738"/>
    <w:rsid w:val="00B819A5"/>
    <w:rsid w:val="00B81B31"/>
    <w:rsid w:val="00B82815"/>
    <w:rsid w:val="00B82840"/>
    <w:rsid w:val="00B82DFA"/>
    <w:rsid w:val="00B8321C"/>
    <w:rsid w:val="00B83346"/>
    <w:rsid w:val="00B83591"/>
    <w:rsid w:val="00B8386D"/>
    <w:rsid w:val="00B83A14"/>
    <w:rsid w:val="00B8400F"/>
    <w:rsid w:val="00B84500"/>
    <w:rsid w:val="00B847DF"/>
    <w:rsid w:val="00B84871"/>
    <w:rsid w:val="00B8488F"/>
    <w:rsid w:val="00B84BEB"/>
    <w:rsid w:val="00B84D24"/>
    <w:rsid w:val="00B85037"/>
    <w:rsid w:val="00B8510B"/>
    <w:rsid w:val="00B859A3"/>
    <w:rsid w:val="00B860FE"/>
    <w:rsid w:val="00B8656D"/>
    <w:rsid w:val="00B86607"/>
    <w:rsid w:val="00B8673F"/>
    <w:rsid w:val="00B87671"/>
    <w:rsid w:val="00B878EF"/>
    <w:rsid w:val="00B87C79"/>
    <w:rsid w:val="00B87D5D"/>
    <w:rsid w:val="00B90542"/>
    <w:rsid w:val="00B908B1"/>
    <w:rsid w:val="00B908B6"/>
    <w:rsid w:val="00B90A7B"/>
    <w:rsid w:val="00B90AEF"/>
    <w:rsid w:val="00B9127E"/>
    <w:rsid w:val="00B91471"/>
    <w:rsid w:val="00B915BE"/>
    <w:rsid w:val="00B91A70"/>
    <w:rsid w:val="00B91ACA"/>
    <w:rsid w:val="00B91B65"/>
    <w:rsid w:val="00B91D63"/>
    <w:rsid w:val="00B91DA0"/>
    <w:rsid w:val="00B923D8"/>
    <w:rsid w:val="00B929AA"/>
    <w:rsid w:val="00B92A2E"/>
    <w:rsid w:val="00B932AD"/>
    <w:rsid w:val="00B93C8C"/>
    <w:rsid w:val="00B93F19"/>
    <w:rsid w:val="00B93FF7"/>
    <w:rsid w:val="00B940CF"/>
    <w:rsid w:val="00B94B31"/>
    <w:rsid w:val="00B94E15"/>
    <w:rsid w:val="00B955AA"/>
    <w:rsid w:val="00B95CB2"/>
    <w:rsid w:val="00B95DF2"/>
    <w:rsid w:val="00B9649B"/>
    <w:rsid w:val="00B96BE9"/>
    <w:rsid w:val="00B96EA0"/>
    <w:rsid w:val="00B9739D"/>
    <w:rsid w:val="00B97930"/>
    <w:rsid w:val="00B9794B"/>
    <w:rsid w:val="00B97D8A"/>
    <w:rsid w:val="00BA00D7"/>
    <w:rsid w:val="00BA05B1"/>
    <w:rsid w:val="00BA0698"/>
    <w:rsid w:val="00BA0A0E"/>
    <w:rsid w:val="00BA1562"/>
    <w:rsid w:val="00BA1638"/>
    <w:rsid w:val="00BA22A2"/>
    <w:rsid w:val="00BA24C8"/>
    <w:rsid w:val="00BA2AE7"/>
    <w:rsid w:val="00BA2BD5"/>
    <w:rsid w:val="00BA2E1E"/>
    <w:rsid w:val="00BA3201"/>
    <w:rsid w:val="00BA32D9"/>
    <w:rsid w:val="00BA3400"/>
    <w:rsid w:val="00BA3DCC"/>
    <w:rsid w:val="00BA41AC"/>
    <w:rsid w:val="00BA44FF"/>
    <w:rsid w:val="00BA4A07"/>
    <w:rsid w:val="00BA4BCB"/>
    <w:rsid w:val="00BA4E5E"/>
    <w:rsid w:val="00BA51D4"/>
    <w:rsid w:val="00BA5528"/>
    <w:rsid w:val="00BA5625"/>
    <w:rsid w:val="00BA66BB"/>
    <w:rsid w:val="00BA6A0D"/>
    <w:rsid w:val="00BA6C37"/>
    <w:rsid w:val="00BA6E24"/>
    <w:rsid w:val="00BA6EAC"/>
    <w:rsid w:val="00BA7581"/>
    <w:rsid w:val="00BA75DA"/>
    <w:rsid w:val="00BA7760"/>
    <w:rsid w:val="00BA7794"/>
    <w:rsid w:val="00BA7884"/>
    <w:rsid w:val="00BA7A8E"/>
    <w:rsid w:val="00BB0717"/>
    <w:rsid w:val="00BB089E"/>
    <w:rsid w:val="00BB0AC5"/>
    <w:rsid w:val="00BB0D84"/>
    <w:rsid w:val="00BB0F1F"/>
    <w:rsid w:val="00BB1152"/>
    <w:rsid w:val="00BB129A"/>
    <w:rsid w:val="00BB1A48"/>
    <w:rsid w:val="00BB1D1B"/>
    <w:rsid w:val="00BB2726"/>
    <w:rsid w:val="00BB278B"/>
    <w:rsid w:val="00BB2A95"/>
    <w:rsid w:val="00BB2C3A"/>
    <w:rsid w:val="00BB314C"/>
    <w:rsid w:val="00BB33A5"/>
    <w:rsid w:val="00BB346F"/>
    <w:rsid w:val="00BB3C30"/>
    <w:rsid w:val="00BB3C36"/>
    <w:rsid w:val="00BB3F0D"/>
    <w:rsid w:val="00BB40D7"/>
    <w:rsid w:val="00BB438F"/>
    <w:rsid w:val="00BB517D"/>
    <w:rsid w:val="00BB532C"/>
    <w:rsid w:val="00BB5833"/>
    <w:rsid w:val="00BB5B5A"/>
    <w:rsid w:val="00BB5BFB"/>
    <w:rsid w:val="00BB5F7E"/>
    <w:rsid w:val="00BB6BD4"/>
    <w:rsid w:val="00BB6BFE"/>
    <w:rsid w:val="00BB7027"/>
    <w:rsid w:val="00BB75F0"/>
    <w:rsid w:val="00BB7BFC"/>
    <w:rsid w:val="00BB7C1E"/>
    <w:rsid w:val="00BC01FA"/>
    <w:rsid w:val="00BC09DE"/>
    <w:rsid w:val="00BC0A7F"/>
    <w:rsid w:val="00BC0C1A"/>
    <w:rsid w:val="00BC0C38"/>
    <w:rsid w:val="00BC0D56"/>
    <w:rsid w:val="00BC0D5A"/>
    <w:rsid w:val="00BC0D7A"/>
    <w:rsid w:val="00BC2072"/>
    <w:rsid w:val="00BC2215"/>
    <w:rsid w:val="00BC2397"/>
    <w:rsid w:val="00BC28F3"/>
    <w:rsid w:val="00BC2DE6"/>
    <w:rsid w:val="00BC3359"/>
    <w:rsid w:val="00BC375B"/>
    <w:rsid w:val="00BC3979"/>
    <w:rsid w:val="00BC3E75"/>
    <w:rsid w:val="00BC42F5"/>
    <w:rsid w:val="00BC48B4"/>
    <w:rsid w:val="00BC4E3F"/>
    <w:rsid w:val="00BC544A"/>
    <w:rsid w:val="00BC5989"/>
    <w:rsid w:val="00BC5A4C"/>
    <w:rsid w:val="00BC5B41"/>
    <w:rsid w:val="00BC6393"/>
    <w:rsid w:val="00BC6446"/>
    <w:rsid w:val="00BC64F4"/>
    <w:rsid w:val="00BC71F5"/>
    <w:rsid w:val="00BC728D"/>
    <w:rsid w:val="00BC7303"/>
    <w:rsid w:val="00BC7362"/>
    <w:rsid w:val="00BC7BEF"/>
    <w:rsid w:val="00BC7C8C"/>
    <w:rsid w:val="00BD0680"/>
    <w:rsid w:val="00BD0720"/>
    <w:rsid w:val="00BD0AE9"/>
    <w:rsid w:val="00BD0B57"/>
    <w:rsid w:val="00BD1179"/>
    <w:rsid w:val="00BD1259"/>
    <w:rsid w:val="00BD12E6"/>
    <w:rsid w:val="00BD1686"/>
    <w:rsid w:val="00BD1949"/>
    <w:rsid w:val="00BD1AC9"/>
    <w:rsid w:val="00BD1F6E"/>
    <w:rsid w:val="00BD1FE8"/>
    <w:rsid w:val="00BD205F"/>
    <w:rsid w:val="00BD20BE"/>
    <w:rsid w:val="00BD2956"/>
    <w:rsid w:val="00BD2ED4"/>
    <w:rsid w:val="00BD35E2"/>
    <w:rsid w:val="00BD3631"/>
    <w:rsid w:val="00BD370D"/>
    <w:rsid w:val="00BD3AD7"/>
    <w:rsid w:val="00BD3C85"/>
    <w:rsid w:val="00BD3CCF"/>
    <w:rsid w:val="00BD44A1"/>
    <w:rsid w:val="00BD4D55"/>
    <w:rsid w:val="00BD4D96"/>
    <w:rsid w:val="00BD4DEC"/>
    <w:rsid w:val="00BD5782"/>
    <w:rsid w:val="00BD5B2C"/>
    <w:rsid w:val="00BD614A"/>
    <w:rsid w:val="00BD63E0"/>
    <w:rsid w:val="00BD6658"/>
    <w:rsid w:val="00BD6870"/>
    <w:rsid w:val="00BD6FD9"/>
    <w:rsid w:val="00BD7327"/>
    <w:rsid w:val="00BD74B3"/>
    <w:rsid w:val="00BD75F7"/>
    <w:rsid w:val="00BD7988"/>
    <w:rsid w:val="00BD7E8A"/>
    <w:rsid w:val="00BE01F5"/>
    <w:rsid w:val="00BE0264"/>
    <w:rsid w:val="00BE0CAE"/>
    <w:rsid w:val="00BE0D32"/>
    <w:rsid w:val="00BE1689"/>
    <w:rsid w:val="00BE1824"/>
    <w:rsid w:val="00BE1892"/>
    <w:rsid w:val="00BE1C81"/>
    <w:rsid w:val="00BE203F"/>
    <w:rsid w:val="00BE2483"/>
    <w:rsid w:val="00BE2758"/>
    <w:rsid w:val="00BE28B9"/>
    <w:rsid w:val="00BE2917"/>
    <w:rsid w:val="00BE29B7"/>
    <w:rsid w:val="00BE2C12"/>
    <w:rsid w:val="00BE2C45"/>
    <w:rsid w:val="00BE2F3E"/>
    <w:rsid w:val="00BE3084"/>
    <w:rsid w:val="00BE324E"/>
    <w:rsid w:val="00BE33FF"/>
    <w:rsid w:val="00BE35E1"/>
    <w:rsid w:val="00BE373A"/>
    <w:rsid w:val="00BE38A9"/>
    <w:rsid w:val="00BE3E1C"/>
    <w:rsid w:val="00BE46DE"/>
    <w:rsid w:val="00BE4BF1"/>
    <w:rsid w:val="00BE56E5"/>
    <w:rsid w:val="00BE5AC3"/>
    <w:rsid w:val="00BE5FD0"/>
    <w:rsid w:val="00BE6160"/>
    <w:rsid w:val="00BE6326"/>
    <w:rsid w:val="00BE6500"/>
    <w:rsid w:val="00BE68F3"/>
    <w:rsid w:val="00BE6BC4"/>
    <w:rsid w:val="00BE6DA5"/>
    <w:rsid w:val="00BE7764"/>
    <w:rsid w:val="00BE7A19"/>
    <w:rsid w:val="00BE7B8E"/>
    <w:rsid w:val="00BE7CDE"/>
    <w:rsid w:val="00BF00E4"/>
    <w:rsid w:val="00BF03E7"/>
    <w:rsid w:val="00BF0CDD"/>
    <w:rsid w:val="00BF0D1A"/>
    <w:rsid w:val="00BF0E66"/>
    <w:rsid w:val="00BF15FB"/>
    <w:rsid w:val="00BF17FA"/>
    <w:rsid w:val="00BF27B9"/>
    <w:rsid w:val="00BF2CB6"/>
    <w:rsid w:val="00BF3C74"/>
    <w:rsid w:val="00BF3C89"/>
    <w:rsid w:val="00BF3D04"/>
    <w:rsid w:val="00BF43FD"/>
    <w:rsid w:val="00BF440B"/>
    <w:rsid w:val="00BF443B"/>
    <w:rsid w:val="00BF4618"/>
    <w:rsid w:val="00BF500C"/>
    <w:rsid w:val="00BF5760"/>
    <w:rsid w:val="00BF65A3"/>
    <w:rsid w:val="00BF66EE"/>
    <w:rsid w:val="00BF68D6"/>
    <w:rsid w:val="00BF6DA4"/>
    <w:rsid w:val="00BF7223"/>
    <w:rsid w:val="00BF72B0"/>
    <w:rsid w:val="00BF72B1"/>
    <w:rsid w:val="00BF793F"/>
    <w:rsid w:val="00BF7CBB"/>
    <w:rsid w:val="00C0049A"/>
    <w:rsid w:val="00C00802"/>
    <w:rsid w:val="00C0083D"/>
    <w:rsid w:val="00C00CA4"/>
    <w:rsid w:val="00C00D2D"/>
    <w:rsid w:val="00C00DAB"/>
    <w:rsid w:val="00C011D3"/>
    <w:rsid w:val="00C0278A"/>
    <w:rsid w:val="00C027AE"/>
    <w:rsid w:val="00C02E6F"/>
    <w:rsid w:val="00C03A3F"/>
    <w:rsid w:val="00C03C74"/>
    <w:rsid w:val="00C03D39"/>
    <w:rsid w:val="00C03E26"/>
    <w:rsid w:val="00C03F85"/>
    <w:rsid w:val="00C0460B"/>
    <w:rsid w:val="00C04E99"/>
    <w:rsid w:val="00C04FED"/>
    <w:rsid w:val="00C0532B"/>
    <w:rsid w:val="00C056B0"/>
    <w:rsid w:val="00C05989"/>
    <w:rsid w:val="00C05B7A"/>
    <w:rsid w:val="00C05D1A"/>
    <w:rsid w:val="00C061E8"/>
    <w:rsid w:val="00C06858"/>
    <w:rsid w:val="00C06AD4"/>
    <w:rsid w:val="00C06B6A"/>
    <w:rsid w:val="00C06C58"/>
    <w:rsid w:val="00C075D7"/>
    <w:rsid w:val="00C10034"/>
    <w:rsid w:val="00C104C4"/>
    <w:rsid w:val="00C10773"/>
    <w:rsid w:val="00C10AFB"/>
    <w:rsid w:val="00C1101F"/>
    <w:rsid w:val="00C113EE"/>
    <w:rsid w:val="00C11440"/>
    <w:rsid w:val="00C11640"/>
    <w:rsid w:val="00C11953"/>
    <w:rsid w:val="00C11A34"/>
    <w:rsid w:val="00C11E67"/>
    <w:rsid w:val="00C126C4"/>
    <w:rsid w:val="00C129B9"/>
    <w:rsid w:val="00C12E8E"/>
    <w:rsid w:val="00C13202"/>
    <w:rsid w:val="00C1352D"/>
    <w:rsid w:val="00C136FF"/>
    <w:rsid w:val="00C13BB0"/>
    <w:rsid w:val="00C13C87"/>
    <w:rsid w:val="00C13E1F"/>
    <w:rsid w:val="00C13EF7"/>
    <w:rsid w:val="00C142B9"/>
    <w:rsid w:val="00C1440B"/>
    <w:rsid w:val="00C14555"/>
    <w:rsid w:val="00C14877"/>
    <w:rsid w:val="00C148D6"/>
    <w:rsid w:val="00C14F63"/>
    <w:rsid w:val="00C15058"/>
    <w:rsid w:val="00C156DB"/>
    <w:rsid w:val="00C157DD"/>
    <w:rsid w:val="00C1595E"/>
    <w:rsid w:val="00C15DC1"/>
    <w:rsid w:val="00C16229"/>
    <w:rsid w:val="00C1648A"/>
    <w:rsid w:val="00C16B09"/>
    <w:rsid w:val="00C16C05"/>
    <w:rsid w:val="00C1707A"/>
    <w:rsid w:val="00C1733B"/>
    <w:rsid w:val="00C17887"/>
    <w:rsid w:val="00C179FF"/>
    <w:rsid w:val="00C17D21"/>
    <w:rsid w:val="00C17EDB"/>
    <w:rsid w:val="00C20883"/>
    <w:rsid w:val="00C209BB"/>
    <w:rsid w:val="00C212EA"/>
    <w:rsid w:val="00C213E5"/>
    <w:rsid w:val="00C214C5"/>
    <w:rsid w:val="00C219C8"/>
    <w:rsid w:val="00C21E15"/>
    <w:rsid w:val="00C21EE2"/>
    <w:rsid w:val="00C22091"/>
    <w:rsid w:val="00C22202"/>
    <w:rsid w:val="00C22408"/>
    <w:rsid w:val="00C2246A"/>
    <w:rsid w:val="00C2256B"/>
    <w:rsid w:val="00C229A5"/>
    <w:rsid w:val="00C231DD"/>
    <w:rsid w:val="00C23351"/>
    <w:rsid w:val="00C235F9"/>
    <w:rsid w:val="00C238F0"/>
    <w:rsid w:val="00C23B45"/>
    <w:rsid w:val="00C243BD"/>
    <w:rsid w:val="00C2474A"/>
    <w:rsid w:val="00C248A8"/>
    <w:rsid w:val="00C24F43"/>
    <w:rsid w:val="00C256BA"/>
    <w:rsid w:val="00C25A98"/>
    <w:rsid w:val="00C25DB6"/>
    <w:rsid w:val="00C262B3"/>
    <w:rsid w:val="00C26B02"/>
    <w:rsid w:val="00C26BDC"/>
    <w:rsid w:val="00C26C31"/>
    <w:rsid w:val="00C27000"/>
    <w:rsid w:val="00C27197"/>
    <w:rsid w:val="00C27407"/>
    <w:rsid w:val="00C2758B"/>
    <w:rsid w:val="00C27BAC"/>
    <w:rsid w:val="00C27E5A"/>
    <w:rsid w:val="00C30127"/>
    <w:rsid w:val="00C301E2"/>
    <w:rsid w:val="00C30502"/>
    <w:rsid w:val="00C3076F"/>
    <w:rsid w:val="00C30860"/>
    <w:rsid w:val="00C30CBA"/>
    <w:rsid w:val="00C30F16"/>
    <w:rsid w:val="00C310C5"/>
    <w:rsid w:val="00C31195"/>
    <w:rsid w:val="00C31234"/>
    <w:rsid w:val="00C31485"/>
    <w:rsid w:val="00C317A2"/>
    <w:rsid w:val="00C321AD"/>
    <w:rsid w:val="00C328D6"/>
    <w:rsid w:val="00C32B07"/>
    <w:rsid w:val="00C32D57"/>
    <w:rsid w:val="00C32E98"/>
    <w:rsid w:val="00C32FA4"/>
    <w:rsid w:val="00C3319E"/>
    <w:rsid w:val="00C33428"/>
    <w:rsid w:val="00C3342A"/>
    <w:rsid w:val="00C3342D"/>
    <w:rsid w:val="00C33AC8"/>
    <w:rsid w:val="00C33B4E"/>
    <w:rsid w:val="00C33ECD"/>
    <w:rsid w:val="00C33F17"/>
    <w:rsid w:val="00C34135"/>
    <w:rsid w:val="00C342CA"/>
    <w:rsid w:val="00C34302"/>
    <w:rsid w:val="00C3439D"/>
    <w:rsid w:val="00C34B35"/>
    <w:rsid w:val="00C353E8"/>
    <w:rsid w:val="00C358D8"/>
    <w:rsid w:val="00C35B4A"/>
    <w:rsid w:val="00C36118"/>
    <w:rsid w:val="00C3643E"/>
    <w:rsid w:val="00C3666E"/>
    <w:rsid w:val="00C36688"/>
    <w:rsid w:val="00C36779"/>
    <w:rsid w:val="00C3684F"/>
    <w:rsid w:val="00C36FC6"/>
    <w:rsid w:val="00C3706B"/>
    <w:rsid w:val="00C37509"/>
    <w:rsid w:val="00C37B09"/>
    <w:rsid w:val="00C37C99"/>
    <w:rsid w:val="00C37E69"/>
    <w:rsid w:val="00C40633"/>
    <w:rsid w:val="00C41148"/>
    <w:rsid w:val="00C411A7"/>
    <w:rsid w:val="00C413D9"/>
    <w:rsid w:val="00C414CB"/>
    <w:rsid w:val="00C4158B"/>
    <w:rsid w:val="00C42733"/>
    <w:rsid w:val="00C427F6"/>
    <w:rsid w:val="00C42C4D"/>
    <w:rsid w:val="00C42EF1"/>
    <w:rsid w:val="00C43682"/>
    <w:rsid w:val="00C4382B"/>
    <w:rsid w:val="00C43B65"/>
    <w:rsid w:val="00C43F94"/>
    <w:rsid w:val="00C44004"/>
    <w:rsid w:val="00C441DE"/>
    <w:rsid w:val="00C44408"/>
    <w:rsid w:val="00C44B34"/>
    <w:rsid w:val="00C44DD5"/>
    <w:rsid w:val="00C45486"/>
    <w:rsid w:val="00C45991"/>
    <w:rsid w:val="00C464A7"/>
    <w:rsid w:val="00C464F7"/>
    <w:rsid w:val="00C465CC"/>
    <w:rsid w:val="00C46761"/>
    <w:rsid w:val="00C46F9A"/>
    <w:rsid w:val="00C47158"/>
    <w:rsid w:val="00C47348"/>
    <w:rsid w:val="00C4758D"/>
    <w:rsid w:val="00C4779F"/>
    <w:rsid w:val="00C47A2D"/>
    <w:rsid w:val="00C47DCC"/>
    <w:rsid w:val="00C47FEC"/>
    <w:rsid w:val="00C4ED86"/>
    <w:rsid w:val="00C50500"/>
    <w:rsid w:val="00C505A5"/>
    <w:rsid w:val="00C506CC"/>
    <w:rsid w:val="00C50816"/>
    <w:rsid w:val="00C5089C"/>
    <w:rsid w:val="00C50B26"/>
    <w:rsid w:val="00C50E81"/>
    <w:rsid w:val="00C50F36"/>
    <w:rsid w:val="00C50F5B"/>
    <w:rsid w:val="00C510F5"/>
    <w:rsid w:val="00C512BF"/>
    <w:rsid w:val="00C51721"/>
    <w:rsid w:val="00C518EC"/>
    <w:rsid w:val="00C52739"/>
    <w:rsid w:val="00C52ACE"/>
    <w:rsid w:val="00C52D5E"/>
    <w:rsid w:val="00C536A4"/>
    <w:rsid w:val="00C537CE"/>
    <w:rsid w:val="00C539FA"/>
    <w:rsid w:val="00C53BAB"/>
    <w:rsid w:val="00C53D0C"/>
    <w:rsid w:val="00C53DC3"/>
    <w:rsid w:val="00C53FC6"/>
    <w:rsid w:val="00C541A4"/>
    <w:rsid w:val="00C54519"/>
    <w:rsid w:val="00C54B6D"/>
    <w:rsid w:val="00C54B75"/>
    <w:rsid w:val="00C54CBE"/>
    <w:rsid w:val="00C54D2D"/>
    <w:rsid w:val="00C54E90"/>
    <w:rsid w:val="00C5508E"/>
    <w:rsid w:val="00C554DB"/>
    <w:rsid w:val="00C554F9"/>
    <w:rsid w:val="00C55893"/>
    <w:rsid w:val="00C55D24"/>
    <w:rsid w:val="00C55EC9"/>
    <w:rsid w:val="00C55F24"/>
    <w:rsid w:val="00C56036"/>
    <w:rsid w:val="00C5618F"/>
    <w:rsid w:val="00C56317"/>
    <w:rsid w:val="00C57471"/>
    <w:rsid w:val="00C574D1"/>
    <w:rsid w:val="00C57912"/>
    <w:rsid w:val="00C57A74"/>
    <w:rsid w:val="00C57CF9"/>
    <w:rsid w:val="00C60324"/>
    <w:rsid w:val="00C60690"/>
    <w:rsid w:val="00C60DEA"/>
    <w:rsid w:val="00C616F3"/>
    <w:rsid w:val="00C616F9"/>
    <w:rsid w:val="00C61A9F"/>
    <w:rsid w:val="00C61ABF"/>
    <w:rsid w:val="00C61D60"/>
    <w:rsid w:val="00C61D69"/>
    <w:rsid w:val="00C6212D"/>
    <w:rsid w:val="00C6219C"/>
    <w:rsid w:val="00C62212"/>
    <w:rsid w:val="00C624F5"/>
    <w:rsid w:val="00C62515"/>
    <w:rsid w:val="00C6267E"/>
    <w:rsid w:val="00C628C7"/>
    <w:rsid w:val="00C628DD"/>
    <w:rsid w:val="00C629FA"/>
    <w:rsid w:val="00C62FF3"/>
    <w:rsid w:val="00C630CA"/>
    <w:rsid w:val="00C63343"/>
    <w:rsid w:val="00C635B5"/>
    <w:rsid w:val="00C63BD8"/>
    <w:rsid w:val="00C63E1B"/>
    <w:rsid w:val="00C64486"/>
    <w:rsid w:val="00C64498"/>
    <w:rsid w:val="00C64F39"/>
    <w:rsid w:val="00C654FC"/>
    <w:rsid w:val="00C65D14"/>
    <w:rsid w:val="00C66150"/>
    <w:rsid w:val="00C664DF"/>
    <w:rsid w:val="00C66542"/>
    <w:rsid w:val="00C669F8"/>
    <w:rsid w:val="00C66C9B"/>
    <w:rsid w:val="00C66FA4"/>
    <w:rsid w:val="00C66FC1"/>
    <w:rsid w:val="00C67872"/>
    <w:rsid w:val="00C67BFC"/>
    <w:rsid w:val="00C67CFF"/>
    <w:rsid w:val="00C67EC4"/>
    <w:rsid w:val="00C67F3A"/>
    <w:rsid w:val="00C70228"/>
    <w:rsid w:val="00C70674"/>
    <w:rsid w:val="00C707A1"/>
    <w:rsid w:val="00C707F6"/>
    <w:rsid w:val="00C70AE6"/>
    <w:rsid w:val="00C70D54"/>
    <w:rsid w:val="00C70E8C"/>
    <w:rsid w:val="00C70F7A"/>
    <w:rsid w:val="00C7102C"/>
    <w:rsid w:val="00C710E5"/>
    <w:rsid w:val="00C71692"/>
    <w:rsid w:val="00C71787"/>
    <w:rsid w:val="00C71CBB"/>
    <w:rsid w:val="00C7233D"/>
    <w:rsid w:val="00C723A7"/>
    <w:rsid w:val="00C723C2"/>
    <w:rsid w:val="00C72843"/>
    <w:rsid w:val="00C73492"/>
    <w:rsid w:val="00C73634"/>
    <w:rsid w:val="00C7368B"/>
    <w:rsid w:val="00C736C2"/>
    <w:rsid w:val="00C73B5F"/>
    <w:rsid w:val="00C73D55"/>
    <w:rsid w:val="00C73DB0"/>
    <w:rsid w:val="00C74139"/>
    <w:rsid w:val="00C741CD"/>
    <w:rsid w:val="00C74293"/>
    <w:rsid w:val="00C74358"/>
    <w:rsid w:val="00C74A75"/>
    <w:rsid w:val="00C74B05"/>
    <w:rsid w:val="00C7507F"/>
    <w:rsid w:val="00C75A90"/>
    <w:rsid w:val="00C75ACA"/>
    <w:rsid w:val="00C75D6E"/>
    <w:rsid w:val="00C7612C"/>
    <w:rsid w:val="00C76159"/>
    <w:rsid w:val="00C76304"/>
    <w:rsid w:val="00C76B39"/>
    <w:rsid w:val="00C76DBF"/>
    <w:rsid w:val="00C76E5B"/>
    <w:rsid w:val="00C771D1"/>
    <w:rsid w:val="00C771D5"/>
    <w:rsid w:val="00C77753"/>
    <w:rsid w:val="00C7779F"/>
    <w:rsid w:val="00C778BA"/>
    <w:rsid w:val="00C80494"/>
    <w:rsid w:val="00C8092F"/>
    <w:rsid w:val="00C80C28"/>
    <w:rsid w:val="00C80DC5"/>
    <w:rsid w:val="00C80FBD"/>
    <w:rsid w:val="00C81378"/>
    <w:rsid w:val="00C816F0"/>
    <w:rsid w:val="00C825FB"/>
    <w:rsid w:val="00C82BA7"/>
    <w:rsid w:val="00C82E53"/>
    <w:rsid w:val="00C83022"/>
    <w:rsid w:val="00C8420E"/>
    <w:rsid w:val="00C84E3B"/>
    <w:rsid w:val="00C8500C"/>
    <w:rsid w:val="00C85B13"/>
    <w:rsid w:val="00C85D98"/>
    <w:rsid w:val="00C865BE"/>
    <w:rsid w:val="00C87140"/>
    <w:rsid w:val="00C871B3"/>
    <w:rsid w:val="00C8747D"/>
    <w:rsid w:val="00C875B4"/>
    <w:rsid w:val="00C875E7"/>
    <w:rsid w:val="00C87C3A"/>
    <w:rsid w:val="00C87C4C"/>
    <w:rsid w:val="00C87C66"/>
    <w:rsid w:val="00C87D32"/>
    <w:rsid w:val="00C90344"/>
    <w:rsid w:val="00C90550"/>
    <w:rsid w:val="00C91664"/>
    <w:rsid w:val="00C91CE7"/>
    <w:rsid w:val="00C92066"/>
    <w:rsid w:val="00C9206A"/>
    <w:rsid w:val="00C921E3"/>
    <w:rsid w:val="00C92252"/>
    <w:rsid w:val="00C92786"/>
    <w:rsid w:val="00C92BB9"/>
    <w:rsid w:val="00C92D61"/>
    <w:rsid w:val="00C93348"/>
    <w:rsid w:val="00C93B4C"/>
    <w:rsid w:val="00C93D94"/>
    <w:rsid w:val="00C93ED5"/>
    <w:rsid w:val="00C93FF0"/>
    <w:rsid w:val="00C941AF"/>
    <w:rsid w:val="00C944C8"/>
    <w:rsid w:val="00C948C8"/>
    <w:rsid w:val="00C94A8F"/>
    <w:rsid w:val="00C94EB3"/>
    <w:rsid w:val="00C94F55"/>
    <w:rsid w:val="00C94FFA"/>
    <w:rsid w:val="00C954BB"/>
    <w:rsid w:val="00C95534"/>
    <w:rsid w:val="00C955BF"/>
    <w:rsid w:val="00C956C7"/>
    <w:rsid w:val="00C9578A"/>
    <w:rsid w:val="00C9578D"/>
    <w:rsid w:val="00C959C4"/>
    <w:rsid w:val="00C95A11"/>
    <w:rsid w:val="00C95D06"/>
    <w:rsid w:val="00C962B6"/>
    <w:rsid w:val="00C96502"/>
    <w:rsid w:val="00C967DB"/>
    <w:rsid w:val="00C96B4C"/>
    <w:rsid w:val="00C96B53"/>
    <w:rsid w:val="00C96D46"/>
    <w:rsid w:val="00C9714D"/>
    <w:rsid w:val="00C971FC"/>
    <w:rsid w:val="00C9763B"/>
    <w:rsid w:val="00C976FE"/>
    <w:rsid w:val="00C978DF"/>
    <w:rsid w:val="00C97B64"/>
    <w:rsid w:val="00C97CB3"/>
    <w:rsid w:val="00C97CC0"/>
    <w:rsid w:val="00CA0133"/>
    <w:rsid w:val="00CA03C3"/>
    <w:rsid w:val="00CA05CB"/>
    <w:rsid w:val="00CA0602"/>
    <w:rsid w:val="00CA061D"/>
    <w:rsid w:val="00CA06F9"/>
    <w:rsid w:val="00CA0E6E"/>
    <w:rsid w:val="00CA12F6"/>
    <w:rsid w:val="00CA142E"/>
    <w:rsid w:val="00CA1BAC"/>
    <w:rsid w:val="00CA1D2A"/>
    <w:rsid w:val="00CA1F34"/>
    <w:rsid w:val="00CA20EE"/>
    <w:rsid w:val="00CA24AB"/>
    <w:rsid w:val="00CA2C36"/>
    <w:rsid w:val="00CA2DC7"/>
    <w:rsid w:val="00CA2E25"/>
    <w:rsid w:val="00CA31E8"/>
    <w:rsid w:val="00CA32CB"/>
    <w:rsid w:val="00CA3B8D"/>
    <w:rsid w:val="00CA3BCA"/>
    <w:rsid w:val="00CA4231"/>
    <w:rsid w:val="00CA4350"/>
    <w:rsid w:val="00CA4446"/>
    <w:rsid w:val="00CA4531"/>
    <w:rsid w:val="00CA4628"/>
    <w:rsid w:val="00CA46B6"/>
    <w:rsid w:val="00CA4AA0"/>
    <w:rsid w:val="00CA527B"/>
    <w:rsid w:val="00CA57F7"/>
    <w:rsid w:val="00CA5D73"/>
    <w:rsid w:val="00CA5D9C"/>
    <w:rsid w:val="00CA5D9D"/>
    <w:rsid w:val="00CA5FFE"/>
    <w:rsid w:val="00CA62B1"/>
    <w:rsid w:val="00CA6740"/>
    <w:rsid w:val="00CA683C"/>
    <w:rsid w:val="00CA68E8"/>
    <w:rsid w:val="00CA692D"/>
    <w:rsid w:val="00CA70C1"/>
    <w:rsid w:val="00CA71C0"/>
    <w:rsid w:val="00CA7380"/>
    <w:rsid w:val="00CA73FB"/>
    <w:rsid w:val="00CA78A6"/>
    <w:rsid w:val="00CA7BC5"/>
    <w:rsid w:val="00CA7D85"/>
    <w:rsid w:val="00CB0697"/>
    <w:rsid w:val="00CB07F7"/>
    <w:rsid w:val="00CB0908"/>
    <w:rsid w:val="00CB09A9"/>
    <w:rsid w:val="00CB1142"/>
    <w:rsid w:val="00CB1906"/>
    <w:rsid w:val="00CB1911"/>
    <w:rsid w:val="00CB1A9E"/>
    <w:rsid w:val="00CB1B72"/>
    <w:rsid w:val="00CB249E"/>
    <w:rsid w:val="00CB249F"/>
    <w:rsid w:val="00CB24FD"/>
    <w:rsid w:val="00CB2675"/>
    <w:rsid w:val="00CB27A3"/>
    <w:rsid w:val="00CB29E2"/>
    <w:rsid w:val="00CB2C23"/>
    <w:rsid w:val="00CB2FA3"/>
    <w:rsid w:val="00CB391A"/>
    <w:rsid w:val="00CB3C61"/>
    <w:rsid w:val="00CB3E8C"/>
    <w:rsid w:val="00CB41FF"/>
    <w:rsid w:val="00CB45C7"/>
    <w:rsid w:val="00CB45D8"/>
    <w:rsid w:val="00CB46FD"/>
    <w:rsid w:val="00CB4DFB"/>
    <w:rsid w:val="00CB5099"/>
    <w:rsid w:val="00CB5226"/>
    <w:rsid w:val="00CB531E"/>
    <w:rsid w:val="00CB579D"/>
    <w:rsid w:val="00CB5C9B"/>
    <w:rsid w:val="00CB5CC1"/>
    <w:rsid w:val="00CB5E03"/>
    <w:rsid w:val="00CB6044"/>
    <w:rsid w:val="00CB6099"/>
    <w:rsid w:val="00CB60BC"/>
    <w:rsid w:val="00CB6201"/>
    <w:rsid w:val="00CB6439"/>
    <w:rsid w:val="00CB6687"/>
    <w:rsid w:val="00CB6821"/>
    <w:rsid w:val="00CB6B52"/>
    <w:rsid w:val="00CB6D0F"/>
    <w:rsid w:val="00CB7137"/>
    <w:rsid w:val="00CB73E5"/>
    <w:rsid w:val="00CB7427"/>
    <w:rsid w:val="00CC022D"/>
    <w:rsid w:val="00CC06D1"/>
    <w:rsid w:val="00CC085C"/>
    <w:rsid w:val="00CC0961"/>
    <w:rsid w:val="00CC0CE2"/>
    <w:rsid w:val="00CC0DA2"/>
    <w:rsid w:val="00CC179E"/>
    <w:rsid w:val="00CC18B9"/>
    <w:rsid w:val="00CC1FAF"/>
    <w:rsid w:val="00CC22BC"/>
    <w:rsid w:val="00CC232A"/>
    <w:rsid w:val="00CC372D"/>
    <w:rsid w:val="00CC3859"/>
    <w:rsid w:val="00CC4225"/>
    <w:rsid w:val="00CC4AB9"/>
    <w:rsid w:val="00CC532E"/>
    <w:rsid w:val="00CC5961"/>
    <w:rsid w:val="00CC5DE6"/>
    <w:rsid w:val="00CC6D9D"/>
    <w:rsid w:val="00CC6FE6"/>
    <w:rsid w:val="00CC7354"/>
    <w:rsid w:val="00CC7444"/>
    <w:rsid w:val="00CC7D07"/>
    <w:rsid w:val="00CC7E48"/>
    <w:rsid w:val="00CC7F57"/>
    <w:rsid w:val="00CD02B8"/>
    <w:rsid w:val="00CD02F0"/>
    <w:rsid w:val="00CD044D"/>
    <w:rsid w:val="00CD12A7"/>
    <w:rsid w:val="00CD13AE"/>
    <w:rsid w:val="00CD15A0"/>
    <w:rsid w:val="00CD1E93"/>
    <w:rsid w:val="00CD277E"/>
    <w:rsid w:val="00CD279B"/>
    <w:rsid w:val="00CD2873"/>
    <w:rsid w:val="00CD3449"/>
    <w:rsid w:val="00CD3535"/>
    <w:rsid w:val="00CD36EC"/>
    <w:rsid w:val="00CD4121"/>
    <w:rsid w:val="00CD424E"/>
    <w:rsid w:val="00CD42A9"/>
    <w:rsid w:val="00CD4334"/>
    <w:rsid w:val="00CD4936"/>
    <w:rsid w:val="00CD4F20"/>
    <w:rsid w:val="00CD4FDF"/>
    <w:rsid w:val="00CD562D"/>
    <w:rsid w:val="00CD5832"/>
    <w:rsid w:val="00CD5927"/>
    <w:rsid w:val="00CD5960"/>
    <w:rsid w:val="00CD5A7E"/>
    <w:rsid w:val="00CD5D85"/>
    <w:rsid w:val="00CD619A"/>
    <w:rsid w:val="00CD620E"/>
    <w:rsid w:val="00CD62B5"/>
    <w:rsid w:val="00CD6B5F"/>
    <w:rsid w:val="00CD76C5"/>
    <w:rsid w:val="00CD7778"/>
    <w:rsid w:val="00CD77FF"/>
    <w:rsid w:val="00CD7B5D"/>
    <w:rsid w:val="00CD7BEE"/>
    <w:rsid w:val="00CE0029"/>
    <w:rsid w:val="00CE0049"/>
    <w:rsid w:val="00CE052D"/>
    <w:rsid w:val="00CE057F"/>
    <w:rsid w:val="00CE085D"/>
    <w:rsid w:val="00CE08BD"/>
    <w:rsid w:val="00CE0BC6"/>
    <w:rsid w:val="00CE0E2D"/>
    <w:rsid w:val="00CE12CF"/>
    <w:rsid w:val="00CE15A4"/>
    <w:rsid w:val="00CE18F1"/>
    <w:rsid w:val="00CE26E1"/>
    <w:rsid w:val="00CE356D"/>
    <w:rsid w:val="00CE3769"/>
    <w:rsid w:val="00CE4010"/>
    <w:rsid w:val="00CE50AD"/>
    <w:rsid w:val="00CE562C"/>
    <w:rsid w:val="00CE57A3"/>
    <w:rsid w:val="00CE5A00"/>
    <w:rsid w:val="00CE5C84"/>
    <w:rsid w:val="00CE5D08"/>
    <w:rsid w:val="00CE5E1F"/>
    <w:rsid w:val="00CE6408"/>
    <w:rsid w:val="00CE68F2"/>
    <w:rsid w:val="00CE6D35"/>
    <w:rsid w:val="00CE72B3"/>
    <w:rsid w:val="00CE7386"/>
    <w:rsid w:val="00CE7923"/>
    <w:rsid w:val="00CE7BFB"/>
    <w:rsid w:val="00CE7C51"/>
    <w:rsid w:val="00CE7DC6"/>
    <w:rsid w:val="00CF0238"/>
    <w:rsid w:val="00CF0345"/>
    <w:rsid w:val="00CF0A63"/>
    <w:rsid w:val="00CF0CD8"/>
    <w:rsid w:val="00CF1251"/>
    <w:rsid w:val="00CF1503"/>
    <w:rsid w:val="00CF1637"/>
    <w:rsid w:val="00CF16A2"/>
    <w:rsid w:val="00CF17E9"/>
    <w:rsid w:val="00CF21AE"/>
    <w:rsid w:val="00CF240A"/>
    <w:rsid w:val="00CF2581"/>
    <w:rsid w:val="00CF28FF"/>
    <w:rsid w:val="00CF3313"/>
    <w:rsid w:val="00CF3620"/>
    <w:rsid w:val="00CF3C7A"/>
    <w:rsid w:val="00CF3DED"/>
    <w:rsid w:val="00CF3EF5"/>
    <w:rsid w:val="00CF4291"/>
    <w:rsid w:val="00CF4713"/>
    <w:rsid w:val="00CF4CCB"/>
    <w:rsid w:val="00CF5045"/>
    <w:rsid w:val="00CF5208"/>
    <w:rsid w:val="00CF526D"/>
    <w:rsid w:val="00CF5A54"/>
    <w:rsid w:val="00CF6064"/>
    <w:rsid w:val="00CF6291"/>
    <w:rsid w:val="00CF67FA"/>
    <w:rsid w:val="00CF6A9B"/>
    <w:rsid w:val="00CF6F7B"/>
    <w:rsid w:val="00CF7441"/>
    <w:rsid w:val="00CF75B1"/>
    <w:rsid w:val="00CF75F5"/>
    <w:rsid w:val="00CF76F5"/>
    <w:rsid w:val="00CF771A"/>
    <w:rsid w:val="00CF77B7"/>
    <w:rsid w:val="00D0016C"/>
    <w:rsid w:val="00D0026C"/>
    <w:rsid w:val="00D007D9"/>
    <w:rsid w:val="00D00E82"/>
    <w:rsid w:val="00D0136D"/>
    <w:rsid w:val="00D0181D"/>
    <w:rsid w:val="00D01978"/>
    <w:rsid w:val="00D019C5"/>
    <w:rsid w:val="00D01B5A"/>
    <w:rsid w:val="00D02335"/>
    <w:rsid w:val="00D0254C"/>
    <w:rsid w:val="00D029D1"/>
    <w:rsid w:val="00D02B28"/>
    <w:rsid w:val="00D02DED"/>
    <w:rsid w:val="00D02E7B"/>
    <w:rsid w:val="00D03014"/>
    <w:rsid w:val="00D0308D"/>
    <w:rsid w:val="00D030CC"/>
    <w:rsid w:val="00D031B1"/>
    <w:rsid w:val="00D039E5"/>
    <w:rsid w:val="00D03B41"/>
    <w:rsid w:val="00D03B72"/>
    <w:rsid w:val="00D03CCA"/>
    <w:rsid w:val="00D04052"/>
    <w:rsid w:val="00D0447E"/>
    <w:rsid w:val="00D049F2"/>
    <w:rsid w:val="00D04B52"/>
    <w:rsid w:val="00D04BEE"/>
    <w:rsid w:val="00D04DDC"/>
    <w:rsid w:val="00D051CF"/>
    <w:rsid w:val="00D05279"/>
    <w:rsid w:val="00D054F6"/>
    <w:rsid w:val="00D05895"/>
    <w:rsid w:val="00D05956"/>
    <w:rsid w:val="00D0606C"/>
    <w:rsid w:val="00D062D6"/>
    <w:rsid w:val="00D066F3"/>
    <w:rsid w:val="00D06800"/>
    <w:rsid w:val="00D068AA"/>
    <w:rsid w:val="00D068FF"/>
    <w:rsid w:val="00D06D16"/>
    <w:rsid w:val="00D07460"/>
    <w:rsid w:val="00D077E8"/>
    <w:rsid w:val="00D078CD"/>
    <w:rsid w:val="00D07A37"/>
    <w:rsid w:val="00D07FB8"/>
    <w:rsid w:val="00D1000F"/>
    <w:rsid w:val="00D1006B"/>
    <w:rsid w:val="00D1037B"/>
    <w:rsid w:val="00D104A2"/>
    <w:rsid w:val="00D113D9"/>
    <w:rsid w:val="00D113F1"/>
    <w:rsid w:val="00D115E1"/>
    <w:rsid w:val="00D1193B"/>
    <w:rsid w:val="00D119BD"/>
    <w:rsid w:val="00D11EAC"/>
    <w:rsid w:val="00D1200C"/>
    <w:rsid w:val="00D12375"/>
    <w:rsid w:val="00D12538"/>
    <w:rsid w:val="00D12BAF"/>
    <w:rsid w:val="00D13AA1"/>
    <w:rsid w:val="00D13CD5"/>
    <w:rsid w:val="00D1435D"/>
    <w:rsid w:val="00D146AF"/>
    <w:rsid w:val="00D1522A"/>
    <w:rsid w:val="00D153C7"/>
    <w:rsid w:val="00D1572C"/>
    <w:rsid w:val="00D15812"/>
    <w:rsid w:val="00D15C6E"/>
    <w:rsid w:val="00D1607D"/>
    <w:rsid w:val="00D16239"/>
    <w:rsid w:val="00D16389"/>
    <w:rsid w:val="00D165B6"/>
    <w:rsid w:val="00D165D0"/>
    <w:rsid w:val="00D169D7"/>
    <w:rsid w:val="00D169E1"/>
    <w:rsid w:val="00D16DF5"/>
    <w:rsid w:val="00D1710D"/>
    <w:rsid w:val="00D17AE0"/>
    <w:rsid w:val="00D17C5D"/>
    <w:rsid w:val="00D20190"/>
    <w:rsid w:val="00D20567"/>
    <w:rsid w:val="00D20674"/>
    <w:rsid w:val="00D20786"/>
    <w:rsid w:val="00D208C5"/>
    <w:rsid w:val="00D20ABD"/>
    <w:rsid w:val="00D20BC9"/>
    <w:rsid w:val="00D2146E"/>
    <w:rsid w:val="00D214EC"/>
    <w:rsid w:val="00D21D6D"/>
    <w:rsid w:val="00D22018"/>
    <w:rsid w:val="00D2204E"/>
    <w:rsid w:val="00D22431"/>
    <w:rsid w:val="00D228FE"/>
    <w:rsid w:val="00D229FF"/>
    <w:rsid w:val="00D2335D"/>
    <w:rsid w:val="00D23648"/>
    <w:rsid w:val="00D2367A"/>
    <w:rsid w:val="00D23688"/>
    <w:rsid w:val="00D23704"/>
    <w:rsid w:val="00D238EF"/>
    <w:rsid w:val="00D23AC4"/>
    <w:rsid w:val="00D23F09"/>
    <w:rsid w:val="00D23F94"/>
    <w:rsid w:val="00D24248"/>
    <w:rsid w:val="00D24297"/>
    <w:rsid w:val="00D242F8"/>
    <w:rsid w:val="00D24438"/>
    <w:rsid w:val="00D24756"/>
    <w:rsid w:val="00D247A8"/>
    <w:rsid w:val="00D250F0"/>
    <w:rsid w:val="00D25113"/>
    <w:rsid w:val="00D252FC"/>
    <w:rsid w:val="00D255AF"/>
    <w:rsid w:val="00D255EE"/>
    <w:rsid w:val="00D2586B"/>
    <w:rsid w:val="00D25BC4"/>
    <w:rsid w:val="00D2610C"/>
    <w:rsid w:val="00D26234"/>
    <w:rsid w:val="00D26B88"/>
    <w:rsid w:val="00D26BFD"/>
    <w:rsid w:val="00D26C04"/>
    <w:rsid w:val="00D270E6"/>
    <w:rsid w:val="00D27434"/>
    <w:rsid w:val="00D30541"/>
    <w:rsid w:val="00D305DB"/>
    <w:rsid w:val="00D30A94"/>
    <w:rsid w:val="00D314C1"/>
    <w:rsid w:val="00D318A9"/>
    <w:rsid w:val="00D31922"/>
    <w:rsid w:val="00D319CA"/>
    <w:rsid w:val="00D3239C"/>
    <w:rsid w:val="00D3252E"/>
    <w:rsid w:val="00D325D0"/>
    <w:rsid w:val="00D3298D"/>
    <w:rsid w:val="00D32FD7"/>
    <w:rsid w:val="00D331A7"/>
    <w:rsid w:val="00D336B2"/>
    <w:rsid w:val="00D3372F"/>
    <w:rsid w:val="00D34017"/>
    <w:rsid w:val="00D34886"/>
    <w:rsid w:val="00D35132"/>
    <w:rsid w:val="00D353CA"/>
    <w:rsid w:val="00D355ED"/>
    <w:rsid w:val="00D3563F"/>
    <w:rsid w:val="00D35BAC"/>
    <w:rsid w:val="00D35F06"/>
    <w:rsid w:val="00D36071"/>
    <w:rsid w:val="00D36247"/>
    <w:rsid w:val="00D36437"/>
    <w:rsid w:val="00D36466"/>
    <w:rsid w:val="00D36E3E"/>
    <w:rsid w:val="00D36FA6"/>
    <w:rsid w:val="00D37245"/>
    <w:rsid w:val="00D374A2"/>
    <w:rsid w:val="00D374DB"/>
    <w:rsid w:val="00D37AB1"/>
    <w:rsid w:val="00D4069C"/>
    <w:rsid w:val="00D4080F"/>
    <w:rsid w:val="00D40A8D"/>
    <w:rsid w:val="00D40FE2"/>
    <w:rsid w:val="00D41B0D"/>
    <w:rsid w:val="00D41C3B"/>
    <w:rsid w:val="00D41D0C"/>
    <w:rsid w:val="00D422AE"/>
    <w:rsid w:val="00D42A86"/>
    <w:rsid w:val="00D42D9D"/>
    <w:rsid w:val="00D431BC"/>
    <w:rsid w:val="00D434E9"/>
    <w:rsid w:val="00D43A19"/>
    <w:rsid w:val="00D43E99"/>
    <w:rsid w:val="00D44870"/>
    <w:rsid w:val="00D44D25"/>
    <w:rsid w:val="00D44D26"/>
    <w:rsid w:val="00D44FAD"/>
    <w:rsid w:val="00D45242"/>
    <w:rsid w:val="00D452C4"/>
    <w:rsid w:val="00D454EC"/>
    <w:rsid w:val="00D455C1"/>
    <w:rsid w:val="00D45A46"/>
    <w:rsid w:val="00D45B55"/>
    <w:rsid w:val="00D46038"/>
    <w:rsid w:val="00D460AF"/>
    <w:rsid w:val="00D4672A"/>
    <w:rsid w:val="00D469ED"/>
    <w:rsid w:val="00D46E7A"/>
    <w:rsid w:val="00D47356"/>
    <w:rsid w:val="00D477C7"/>
    <w:rsid w:val="00D478E6"/>
    <w:rsid w:val="00D47A4E"/>
    <w:rsid w:val="00D47B3B"/>
    <w:rsid w:val="00D47C3C"/>
    <w:rsid w:val="00D5062F"/>
    <w:rsid w:val="00D5089F"/>
    <w:rsid w:val="00D509C3"/>
    <w:rsid w:val="00D509C5"/>
    <w:rsid w:val="00D50B6F"/>
    <w:rsid w:val="00D50B7B"/>
    <w:rsid w:val="00D50FF1"/>
    <w:rsid w:val="00D511F2"/>
    <w:rsid w:val="00D51BA9"/>
    <w:rsid w:val="00D51D0A"/>
    <w:rsid w:val="00D51F72"/>
    <w:rsid w:val="00D5201E"/>
    <w:rsid w:val="00D5286F"/>
    <w:rsid w:val="00D52DE2"/>
    <w:rsid w:val="00D52E01"/>
    <w:rsid w:val="00D5306B"/>
    <w:rsid w:val="00D5309D"/>
    <w:rsid w:val="00D53699"/>
    <w:rsid w:val="00D539F7"/>
    <w:rsid w:val="00D53A8C"/>
    <w:rsid w:val="00D53FC7"/>
    <w:rsid w:val="00D54585"/>
    <w:rsid w:val="00D555B4"/>
    <w:rsid w:val="00D5592C"/>
    <w:rsid w:val="00D55D25"/>
    <w:rsid w:val="00D566AA"/>
    <w:rsid w:val="00D56A98"/>
    <w:rsid w:val="00D57470"/>
    <w:rsid w:val="00D574F7"/>
    <w:rsid w:val="00D5752B"/>
    <w:rsid w:val="00D57652"/>
    <w:rsid w:val="00D57DAC"/>
    <w:rsid w:val="00D60E26"/>
    <w:rsid w:val="00D60FDC"/>
    <w:rsid w:val="00D6169C"/>
    <w:rsid w:val="00D61C77"/>
    <w:rsid w:val="00D61CE8"/>
    <w:rsid w:val="00D61CF0"/>
    <w:rsid w:val="00D61D2C"/>
    <w:rsid w:val="00D61E38"/>
    <w:rsid w:val="00D61F4B"/>
    <w:rsid w:val="00D62585"/>
    <w:rsid w:val="00D62EE5"/>
    <w:rsid w:val="00D63568"/>
    <w:rsid w:val="00D640D5"/>
    <w:rsid w:val="00D6414F"/>
    <w:rsid w:val="00D64445"/>
    <w:rsid w:val="00D64824"/>
    <w:rsid w:val="00D64A95"/>
    <w:rsid w:val="00D64ACF"/>
    <w:rsid w:val="00D64CD9"/>
    <w:rsid w:val="00D64D97"/>
    <w:rsid w:val="00D65038"/>
    <w:rsid w:val="00D65275"/>
    <w:rsid w:val="00D657F7"/>
    <w:rsid w:val="00D65F2C"/>
    <w:rsid w:val="00D65F71"/>
    <w:rsid w:val="00D661DA"/>
    <w:rsid w:val="00D662BA"/>
    <w:rsid w:val="00D6641E"/>
    <w:rsid w:val="00D66DAC"/>
    <w:rsid w:val="00D673CA"/>
    <w:rsid w:val="00D6740D"/>
    <w:rsid w:val="00D67CE4"/>
    <w:rsid w:val="00D67D0C"/>
    <w:rsid w:val="00D67E9C"/>
    <w:rsid w:val="00D70C05"/>
    <w:rsid w:val="00D70FD2"/>
    <w:rsid w:val="00D7158D"/>
    <w:rsid w:val="00D716B7"/>
    <w:rsid w:val="00D71848"/>
    <w:rsid w:val="00D7185B"/>
    <w:rsid w:val="00D71A49"/>
    <w:rsid w:val="00D71A5F"/>
    <w:rsid w:val="00D71C78"/>
    <w:rsid w:val="00D72382"/>
    <w:rsid w:val="00D7263B"/>
    <w:rsid w:val="00D72648"/>
    <w:rsid w:val="00D7285E"/>
    <w:rsid w:val="00D72AC6"/>
    <w:rsid w:val="00D72F38"/>
    <w:rsid w:val="00D73240"/>
    <w:rsid w:val="00D734FF"/>
    <w:rsid w:val="00D74006"/>
    <w:rsid w:val="00D740C9"/>
    <w:rsid w:val="00D742E6"/>
    <w:rsid w:val="00D74544"/>
    <w:rsid w:val="00D7454A"/>
    <w:rsid w:val="00D7460A"/>
    <w:rsid w:val="00D749CD"/>
    <w:rsid w:val="00D74A9B"/>
    <w:rsid w:val="00D74BA6"/>
    <w:rsid w:val="00D74E1C"/>
    <w:rsid w:val="00D7504A"/>
    <w:rsid w:val="00D75637"/>
    <w:rsid w:val="00D75785"/>
    <w:rsid w:val="00D75B59"/>
    <w:rsid w:val="00D75C2D"/>
    <w:rsid w:val="00D75DB2"/>
    <w:rsid w:val="00D75DD3"/>
    <w:rsid w:val="00D7608A"/>
    <w:rsid w:val="00D761EF"/>
    <w:rsid w:val="00D76800"/>
    <w:rsid w:val="00D768C9"/>
    <w:rsid w:val="00D7693E"/>
    <w:rsid w:val="00D76DA6"/>
    <w:rsid w:val="00D76F97"/>
    <w:rsid w:val="00D772B8"/>
    <w:rsid w:val="00D7736E"/>
    <w:rsid w:val="00D776A8"/>
    <w:rsid w:val="00D7770F"/>
    <w:rsid w:val="00D7784E"/>
    <w:rsid w:val="00D77C7A"/>
    <w:rsid w:val="00D77D1B"/>
    <w:rsid w:val="00D77E86"/>
    <w:rsid w:val="00D77EE3"/>
    <w:rsid w:val="00D80617"/>
    <w:rsid w:val="00D8087A"/>
    <w:rsid w:val="00D80A75"/>
    <w:rsid w:val="00D80CBC"/>
    <w:rsid w:val="00D80EA7"/>
    <w:rsid w:val="00D80FFB"/>
    <w:rsid w:val="00D814C6"/>
    <w:rsid w:val="00D81568"/>
    <w:rsid w:val="00D81919"/>
    <w:rsid w:val="00D81A2F"/>
    <w:rsid w:val="00D821CA"/>
    <w:rsid w:val="00D822AB"/>
    <w:rsid w:val="00D828D3"/>
    <w:rsid w:val="00D8292C"/>
    <w:rsid w:val="00D82B23"/>
    <w:rsid w:val="00D82FFB"/>
    <w:rsid w:val="00D83564"/>
    <w:rsid w:val="00D83BF7"/>
    <w:rsid w:val="00D84212"/>
    <w:rsid w:val="00D8421D"/>
    <w:rsid w:val="00D8473B"/>
    <w:rsid w:val="00D8493C"/>
    <w:rsid w:val="00D8501D"/>
    <w:rsid w:val="00D853C9"/>
    <w:rsid w:val="00D85755"/>
    <w:rsid w:val="00D8594A"/>
    <w:rsid w:val="00D859C4"/>
    <w:rsid w:val="00D85C87"/>
    <w:rsid w:val="00D85FDB"/>
    <w:rsid w:val="00D861C2"/>
    <w:rsid w:val="00D86343"/>
    <w:rsid w:val="00D873D1"/>
    <w:rsid w:val="00D87A7A"/>
    <w:rsid w:val="00D87F68"/>
    <w:rsid w:val="00D90387"/>
    <w:rsid w:val="00D9038E"/>
    <w:rsid w:val="00D903D9"/>
    <w:rsid w:val="00D90451"/>
    <w:rsid w:val="00D906CB"/>
    <w:rsid w:val="00D907A0"/>
    <w:rsid w:val="00D907D1"/>
    <w:rsid w:val="00D90846"/>
    <w:rsid w:val="00D91334"/>
    <w:rsid w:val="00D9134A"/>
    <w:rsid w:val="00D9159A"/>
    <w:rsid w:val="00D9173E"/>
    <w:rsid w:val="00D917D3"/>
    <w:rsid w:val="00D917D4"/>
    <w:rsid w:val="00D91A49"/>
    <w:rsid w:val="00D91B3A"/>
    <w:rsid w:val="00D91F72"/>
    <w:rsid w:val="00D92EC0"/>
    <w:rsid w:val="00D92F4E"/>
    <w:rsid w:val="00D93AAF"/>
    <w:rsid w:val="00D93D43"/>
    <w:rsid w:val="00D941FD"/>
    <w:rsid w:val="00D94348"/>
    <w:rsid w:val="00D945CD"/>
    <w:rsid w:val="00D9462F"/>
    <w:rsid w:val="00D948EB"/>
    <w:rsid w:val="00D94914"/>
    <w:rsid w:val="00D95574"/>
    <w:rsid w:val="00D956EE"/>
    <w:rsid w:val="00D957E2"/>
    <w:rsid w:val="00D95A90"/>
    <w:rsid w:val="00D95B3A"/>
    <w:rsid w:val="00D95C59"/>
    <w:rsid w:val="00D96018"/>
    <w:rsid w:val="00D960AA"/>
    <w:rsid w:val="00D96748"/>
    <w:rsid w:val="00D969F7"/>
    <w:rsid w:val="00D96A5F"/>
    <w:rsid w:val="00D96ACC"/>
    <w:rsid w:val="00D96BA6"/>
    <w:rsid w:val="00D96C9E"/>
    <w:rsid w:val="00D96E25"/>
    <w:rsid w:val="00D97027"/>
    <w:rsid w:val="00D97240"/>
    <w:rsid w:val="00D97A2C"/>
    <w:rsid w:val="00D97FD0"/>
    <w:rsid w:val="00DA0023"/>
    <w:rsid w:val="00DA0063"/>
    <w:rsid w:val="00DA0202"/>
    <w:rsid w:val="00DA0354"/>
    <w:rsid w:val="00DA070C"/>
    <w:rsid w:val="00DA0927"/>
    <w:rsid w:val="00DA0E68"/>
    <w:rsid w:val="00DA0FAC"/>
    <w:rsid w:val="00DA1516"/>
    <w:rsid w:val="00DA16C4"/>
    <w:rsid w:val="00DA177B"/>
    <w:rsid w:val="00DA1ABA"/>
    <w:rsid w:val="00DA1DF4"/>
    <w:rsid w:val="00DA2331"/>
    <w:rsid w:val="00DA2638"/>
    <w:rsid w:val="00DA26FF"/>
    <w:rsid w:val="00DA2A8D"/>
    <w:rsid w:val="00DA2B68"/>
    <w:rsid w:val="00DA2DE9"/>
    <w:rsid w:val="00DA2F25"/>
    <w:rsid w:val="00DA3278"/>
    <w:rsid w:val="00DA3541"/>
    <w:rsid w:val="00DA3705"/>
    <w:rsid w:val="00DA3878"/>
    <w:rsid w:val="00DA3AC9"/>
    <w:rsid w:val="00DA3B9C"/>
    <w:rsid w:val="00DA404F"/>
    <w:rsid w:val="00DA4727"/>
    <w:rsid w:val="00DA48C1"/>
    <w:rsid w:val="00DA4B5D"/>
    <w:rsid w:val="00DA55EB"/>
    <w:rsid w:val="00DA56FB"/>
    <w:rsid w:val="00DA572E"/>
    <w:rsid w:val="00DA5774"/>
    <w:rsid w:val="00DA5B9F"/>
    <w:rsid w:val="00DA600A"/>
    <w:rsid w:val="00DA6744"/>
    <w:rsid w:val="00DA6E90"/>
    <w:rsid w:val="00DA6EB2"/>
    <w:rsid w:val="00DA6F01"/>
    <w:rsid w:val="00DA7049"/>
    <w:rsid w:val="00DA75AB"/>
    <w:rsid w:val="00DA77E6"/>
    <w:rsid w:val="00DA7821"/>
    <w:rsid w:val="00DB0117"/>
    <w:rsid w:val="00DB01B1"/>
    <w:rsid w:val="00DB0710"/>
    <w:rsid w:val="00DB0A94"/>
    <w:rsid w:val="00DB106B"/>
    <w:rsid w:val="00DB1391"/>
    <w:rsid w:val="00DB15DF"/>
    <w:rsid w:val="00DB16FB"/>
    <w:rsid w:val="00DB1C6C"/>
    <w:rsid w:val="00DB1D5F"/>
    <w:rsid w:val="00DB1DCC"/>
    <w:rsid w:val="00DB2394"/>
    <w:rsid w:val="00DB2614"/>
    <w:rsid w:val="00DB27ED"/>
    <w:rsid w:val="00DB27FD"/>
    <w:rsid w:val="00DB292E"/>
    <w:rsid w:val="00DB2E57"/>
    <w:rsid w:val="00DB2F0D"/>
    <w:rsid w:val="00DB328A"/>
    <w:rsid w:val="00DB35D7"/>
    <w:rsid w:val="00DB384D"/>
    <w:rsid w:val="00DB3915"/>
    <w:rsid w:val="00DB3DE3"/>
    <w:rsid w:val="00DB4046"/>
    <w:rsid w:val="00DB4747"/>
    <w:rsid w:val="00DB4978"/>
    <w:rsid w:val="00DB4BC0"/>
    <w:rsid w:val="00DB4C4E"/>
    <w:rsid w:val="00DB4DB1"/>
    <w:rsid w:val="00DB4EAA"/>
    <w:rsid w:val="00DB4F6C"/>
    <w:rsid w:val="00DB51A6"/>
    <w:rsid w:val="00DB5380"/>
    <w:rsid w:val="00DB5485"/>
    <w:rsid w:val="00DB5952"/>
    <w:rsid w:val="00DB5BB9"/>
    <w:rsid w:val="00DB5BC0"/>
    <w:rsid w:val="00DB5FDA"/>
    <w:rsid w:val="00DB5FDD"/>
    <w:rsid w:val="00DB611E"/>
    <w:rsid w:val="00DB6457"/>
    <w:rsid w:val="00DB6E79"/>
    <w:rsid w:val="00DB753A"/>
    <w:rsid w:val="00DB769E"/>
    <w:rsid w:val="00DB79DA"/>
    <w:rsid w:val="00DB7AB2"/>
    <w:rsid w:val="00DB7B3B"/>
    <w:rsid w:val="00DB7CC6"/>
    <w:rsid w:val="00DB7F34"/>
    <w:rsid w:val="00DB7F54"/>
    <w:rsid w:val="00DC0229"/>
    <w:rsid w:val="00DC087A"/>
    <w:rsid w:val="00DC093B"/>
    <w:rsid w:val="00DC13CC"/>
    <w:rsid w:val="00DC14D2"/>
    <w:rsid w:val="00DC186A"/>
    <w:rsid w:val="00DC1CA3"/>
    <w:rsid w:val="00DC20A5"/>
    <w:rsid w:val="00DC24AA"/>
    <w:rsid w:val="00DC2508"/>
    <w:rsid w:val="00DC2600"/>
    <w:rsid w:val="00DC27A2"/>
    <w:rsid w:val="00DC29F4"/>
    <w:rsid w:val="00DC321D"/>
    <w:rsid w:val="00DC3303"/>
    <w:rsid w:val="00DC331E"/>
    <w:rsid w:val="00DC3373"/>
    <w:rsid w:val="00DC3408"/>
    <w:rsid w:val="00DC353F"/>
    <w:rsid w:val="00DC369E"/>
    <w:rsid w:val="00DC4341"/>
    <w:rsid w:val="00DC46FF"/>
    <w:rsid w:val="00DC4779"/>
    <w:rsid w:val="00DC4855"/>
    <w:rsid w:val="00DC48E7"/>
    <w:rsid w:val="00DC4A6B"/>
    <w:rsid w:val="00DC4A9A"/>
    <w:rsid w:val="00DC4CB9"/>
    <w:rsid w:val="00DC501F"/>
    <w:rsid w:val="00DC50F3"/>
    <w:rsid w:val="00DC56D1"/>
    <w:rsid w:val="00DC5D17"/>
    <w:rsid w:val="00DC64D0"/>
    <w:rsid w:val="00DC66A5"/>
    <w:rsid w:val="00DC66AF"/>
    <w:rsid w:val="00DC6B1E"/>
    <w:rsid w:val="00DC7082"/>
    <w:rsid w:val="00DC715B"/>
    <w:rsid w:val="00DC73F8"/>
    <w:rsid w:val="00DC783F"/>
    <w:rsid w:val="00DC7B4C"/>
    <w:rsid w:val="00DC7BC0"/>
    <w:rsid w:val="00DD0058"/>
    <w:rsid w:val="00DD029E"/>
    <w:rsid w:val="00DD0461"/>
    <w:rsid w:val="00DD0837"/>
    <w:rsid w:val="00DD0B6B"/>
    <w:rsid w:val="00DD0D04"/>
    <w:rsid w:val="00DD10C5"/>
    <w:rsid w:val="00DD17C6"/>
    <w:rsid w:val="00DD1938"/>
    <w:rsid w:val="00DD194E"/>
    <w:rsid w:val="00DD19F0"/>
    <w:rsid w:val="00DD257A"/>
    <w:rsid w:val="00DD27FB"/>
    <w:rsid w:val="00DD28E7"/>
    <w:rsid w:val="00DD2CB4"/>
    <w:rsid w:val="00DD2EC0"/>
    <w:rsid w:val="00DD3276"/>
    <w:rsid w:val="00DD3466"/>
    <w:rsid w:val="00DD34F0"/>
    <w:rsid w:val="00DD3B10"/>
    <w:rsid w:val="00DD3B9B"/>
    <w:rsid w:val="00DD4221"/>
    <w:rsid w:val="00DD43FE"/>
    <w:rsid w:val="00DD4435"/>
    <w:rsid w:val="00DD46A5"/>
    <w:rsid w:val="00DD4882"/>
    <w:rsid w:val="00DD48FA"/>
    <w:rsid w:val="00DD4985"/>
    <w:rsid w:val="00DD4C0E"/>
    <w:rsid w:val="00DD4D3D"/>
    <w:rsid w:val="00DD50C8"/>
    <w:rsid w:val="00DD58D9"/>
    <w:rsid w:val="00DD5D39"/>
    <w:rsid w:val="00DD5E01"/>
    <w:rsid w:val="00DD62A2"/>
    <w:rsid w:val="00DD630D"/>
    <w:rsid w:val="00DD64C3"/>
    <w:rsid w:val="00DD68D1"/>
    <w:rsid w:val="00DD69A2"/>
    <w:rsid w:val="00DD7212"/>
    <w:rsid w:val="00DD7801"/>
    <w:rsid w:val="00DD7F18"/>
    <w:rsid w:val="00DE0115"/>
    <w:rsid w:val="00DE03BF"/>
    <w:rsid w:val="00DE05BD"/>
    <w:rsid w:val="00DE061D"/>
    <w:rsid w:val="00DE08D7"/>
    <w:rsid w:val="00DE08EB"/>
    <w:rsid w:val="00DE0B86"/>
    <w:rsid w:val="00DE0E87"/>
    <w:rsid w:val="00DE171A"/>
    <w:rsid w:val="00DE1C91"/>
    <w:rsid w:val="00DE1CA8"/>
    <w:rsid w:val="00DE1CFF"/>
    <w:rsid w:val="00DE1D2F"/>
    <w:rsid w:val="00DE29E1"/>
    <w:rsid w:val="00DE3542"/>
    <w:rsid w:val="00DE376E"/>
    <w:rsid w:val="00DE383E"/>
    <w:rsid w:val="00DE3C32"/>
    <w:rsid w:val="00DE3FC6"/>
    <w:rsid w:val="00DE46F1"/>
    <w:rsid w:val="00DE476A"/>
    <w:rsid w:val="00DE4B0C"/>
    <w:rsid w:val="00DE57BC"/>
    <w:rsid w:val="00DE57F9"/>
    <w:rsid w:val="00DE5BC2"/>
    <w:rsid w:val="00DE5C12"/>
    <w:rsid w:val="00DE6018"/>
    <w:rsid w:val="00DE62BE"/>
    <w:rsid w:val="00DE637D"/>
    <w:rsid w:val="00DE64EB"/>
    <w:rsid w:val="00DE7337"/>
    <w:rsid w:val="00DE7397"/>
    <w:rsid w:val="00DE79F5"/>
    <w:rsid w:val="00DE7A34"/>
    <w:rsid w:val="00DE7C22"/>
    <w:rsid w:val="00DE7FB5"/>
    <w:rsid w:val="00DF0029"/>
    <w:rsid w:val="00DF03DB"/>
    <w:rsid w:val="00DF0764"/>
    <w:rsid w:val="00DF127E"/>
    <w:rsid w:val="00DF1978"/>
    <w:rsid w:val="00DF1F07"/>
    <w:rsid w:val="00DF209F"/>
    <w:rsid w:val="00DF235D"/>
    <w:rsid w:val="00DF2433"/>
    <w:rsid w:val="00DF2ED1"/>
    <w:rsid w:val="00DF3248"/>
    <w:rsid w:val="00DF3477"/>
    <w:rsid w:val="00DF383C"/>
    <w:rsid w:val="00DF3B0C"/>
    <w:rsid w:val="00DF47D5"/>
    <w:rsid w:val="00DF4BA2"/>
    <w:rsid w:val="00DF5454"/>
    <w:rsid w:val="00DF58A5"/>
    <w:rsid w:val="00DF5B72"/>
    <w:rsid w:val="00DF5DC7"/>
    <w:rsid w:val="00DF6649"/>
    <w:rsid w:val="00DF69B7"/>
    <w:rsid w:val="00DF6C85"/>
    <w:rsid w:val="00DF6DFE"/>
    <w:rsid w:val="00DF6EA8"/>
    <w:rsid w:val="00DF6F24"/>
    <w:rsid w:val="00DF6F61"/>
    <w:rsid w:val="00DF74FD"/>
    <w:rsid w:val="00DF7B21"/>
    <w:rsid w:val="00DF7D3E"/>
    <w:rsid w:val="00E0017B"/>
    <w:rsid w:val="00E006FD"/>
    <w:rsid w:val="00E00BA8"/>
    <w:rsid w:val="00E00CE2"/>
    <w:rsid w:val="00E00F5D"/>
    <w:rsid w:val="00E010A4"/>
    <w:rsid w:val="00E017EF"/>
    <w:rsid w:val="00E0199F"/>
    <w:rsid w:val="00E01CDA"/>
    <w:rsid w:val="00E02084"/>
    <w:rsid w:val="00E0221B"/>
    <w:rsid w:val="00E02315"/>
    <w:rsid w:val="00E02365"/>
    <w:rsid w:val="00E024F4"/>
    <w:rsid w:val="00E0281E"/>
    <w:rsid w:val="00E028BA"/>
    <w:rsid w:val="00E02A50"/>
    <w:rsid w:val="00E02F29"/>
    <w:rsid w:val="00E031C1"/>
    <w:rsid w:val="00E03A18"/>
    <w:rsid w:val="00E03C55"/>
    <w:rsid w:val="00E0413D"/>
    <w:rsid w:val="00E04488"/>
    <w:rsid w:val="00E045EF"/>
    <w:rsid w:val="00E0469D"/>
    <w:rsid w:val="00E047B7"/>
    <w:rsid w:val="00E05821"/>
    <w:rsid w:val="00E05A61"/>
    <w:rsid w:val="00E05EDD"/>
    <w:rsid w:val="00E06106"/>
    <w:rsid w:val="00E06128"/>
    <w:rsid w:val="00E06262"/>
    <w:rsid w:val="00E06477"/>
    <w:rsid w:val="00E0669F"/>
    <w:rsid w:val="00E0670A"/>
    <w:rsid w:val="00E06CE6"/>
    <w:rsid w:val="00E06DF5"/>
    <w:rsid w:val="00E07127"/>
    <w:rsid w:val="00E074B5"/>
    <w:rsid w:val="00E0750F"/>
    <w:rsid w:val="00E07773"/>
    <w:rsid w:val="00E10292"/>
    <w:rsid w:val="00E1040D"/>
    <w:rsid w:val="00E1074D"/>
    <w:rsid w:val="00E10771"/>
    <w:rsid w:val="00E107D4"/>
    <w:rsid w:val="00E10A35"/>
    <w:rsid w:val="00E10EB6"/>
    <w:rsid w:val="00E10F8C"/>
    <w:rsid w:val="00E11063"/>
    <w:rsid w:val="00E1138A"/>
    <w:rsid w:val="00E11610"/>
    <w:rsid w:val="00E11C0E"/>
    <w:rsid w:val="00E1211D"/>
    <w:rsid w:val="00E12585"/>
    <w:rsid w:val="00E12AC1"/>
    <w:rsid w:val="00E12ACF"/>
    <w:rsid w:val="00E12B93"/>
    <w:rsid w:val="00E13661"/>
    <w:rsid w:val="00E13804"/>
    <w:rsid w:val="00E1382E"/>
    <w:rsid w:val="00E13D27"/>
    <w:rsid w:val="00E13D41"/>
    <w:rsid w:val="00E14306"/>
    <w:rsid w:val="00E149E9"/>
    <w:rsid w:val="00E14A73"/>
    <w:rsid w:val="00E14AAC"/>
    <w:rsid w:val="00E1517C"/>
    <w:rsid w:val="00E153C9"/>
    <w:rsid w:val="00E155FA"/>
    <w:rsid w:val="00E156A9"/>
    <w:rsid w:val="00E157F3"/>
    <w:rsid w:val="00E15847"/>
    <w:rsid w:val="00E16208"/>
    <w:rsid w:val="00E16504"/>
    <w:rsid w:val="00E165C2"/>
    <w:rsid w:val="00E16684"/>
    <w:rsid w:val="00E16726"/>
    <w:rsid w:val="00E1718F"/>
    <w:rsid w:val="00E173AB"/>
    <w:rsid w:val="00E1780D"/>
    <w:rsid w:val="00E20104"/>
    <w:rsid w:val="00E20427"/>
    <w:rsid w:val="00E2087E"/>
    <w:rsid w:val="00E20F1E"/>
    <w:rsid w:val="00E2112C"/>
    <w:rsid w:val="00E21171"/>
    <w:rsid w:val="00E212EB"/>
    <w:rsid w:val="00E21320"/>
    <w:rsid w:val="00E2179E"/>
    <w:rsid w:val="00E21F12"/>
    <w:rsid w:val="00E21F81"/>
    <w:rsid w:val="00E2241A"/>
    <w:rsid w:val="00E2277B"/>
    <w:rsid w:val="00E2279F"/>
    <w:rsid w:val="00E22B22"/>
    <w:rsid w:val="00E231AB"/>
    <w:rsid w:val="00E23440"/>
    <w:rsid w:val="00E23D6C"/>
    <w:rsid w:val="00E245DB"/>
    <w:rsid w:val="00E24797"/>
    <w:rsid w:val="00E24B02"/>
    <w:rsid w:val="00E24B47"/>
    <w:rsid w:val="00E256A6"/>
    <w:rsid w:val="00E261D7"/>
    <w:rsid w:val="00E2631E"/>
    <w:rsid w:val="00E26655"/>
    <w:rsid w:val="00E2666B"/>
    <w:rsid w:val="00E2676C"/>
    <w:rsid w:val="00E26A25"/>
    <w:rsid w:val="00E26D98"/>
    <w:rsid w:val="00E278D6"/>
    <w:rsid w:val="00E30615"/>
    <w:rsid w:val="00E30BD3"/>
    <w:rsid w:val="00E31B3C"/>
    <w:rsid w:val="00E31CDB"/>
    <w:rsid w:val="00E31ED7"/>
    <w:rsid w:val="00E32194"/>
    <w:rsid w:val="00E3273A"/>
    <w:rsid w:val="00E32751"/>
    <w:rsid w:val="00E329BF"/>
    <w:rsid w:val="00E32BE3"/>
    <w:rsid w:val="00E32C0B"/>
    <w:rsid w:val="00E3302A"/>
    <w:rsid w:val="00E3313E"/>
    <w:rsid w:val="00E33524"/>
    <w:rsid w:val="00E336B0"/>
    <w:rsid w:val="00E337D2"/>
    <w:rsid w:val="00E33954"/>
    <w:rsid w:val="00E339BF"/>
    <w:rsid w:val="00E339EE"/>
    <w:rsid w:val="00E33C97"/>
    <w:rsid w:val="00E3405F"/>
    <w:rsid w:val="00E3426C"/>
    <w:rsid w:val="00E34477"/>
    <w:rsid w:val="00E345B6"/>
    <w:rsid w:val="00E34699"/>
    <w:rsid w:val="00E346DD"/>
    <w:rsid w:val="00E34B6A"/>
    <w:rsid w:val="00E34C96"/>
    <w:rsid w:val="00E35840"/>
    <w:rsid w:val="00E35A17"/>
    <w:rsid w:val="00E35CE7"/>
    <w:rsid w:val="00E3613B"/>
    <w:rsid w:val="00E364FE"/>
    <w:rsid w:val="00E36616"/>
    <w:rsid w:val="00E369B6"/>
    <w:rsid w:val="00E36AFD"/>
    <w:rsid w:val="00E36D9A"/>
    <w:rsid w:val="00E36E92"/>
    <w:rsid w:val="00E371E9"/>
    <w:rsid w:val="00E37782"/>
    <w:rsid w:val="00E37BCE"/>
    <w:rsid w:val="00E4050E"/>
    <w:rsid w:val="00E405FF"/>
    <w:rsid w:val="00E40ADE"/>
    <w:rsid w:val="00E4140E"/>
    <w:rsid w:val="00E41709"/>
    <w:rsid w:val="00E41C77"/>
    <w:rsid w:val="00E42AA9"/>
    <w:rsid w:val="00E43221"/>
    <w:rsid w:val="00E43368"/>
    <w:rsid w:val="00E43576"/>
    <w:rsid w:val="00E435FD"/>
    <w:rsid w:val="00E436F7"/>
    <w:rsid w:val="00E43BB4"/>
    <w:rsid w:val="00E43CBB"/>
    <w:rsid w:val="00E44523"/>
    <w:rsid w:val="00E4480F"/>
    <w:rsid w:val="00E453DD"/>
    <w:rsid w:val="00E45EF0"/>
    <w:rsid w:val="00E4634C"/>
    <w:rsid w:val="00E46B32"/>
    <w:rsid w:val="00E46BD7"/>
    <w:rsid w:val="00E46C80"/>
    <w:rsid w:val="00E475FB"/>
    <w:rsid w:val="00E50365"/>
    <w:rsid w:val="00E5053B"/>
    <w:rsid w:val="00E50C7C"/>
    <w:rsid w:val="00E5115E"/>
    <w:rsid w:val="00E51B83"/>
    <w:rsid w:val="00E51F95"/>
    <w:rsid w:val="00E5249C"/>
    <w:rsid w:val="00E525CC"/>
    <w:rsid w:val="00E52AC2"/>
    <w:rsid w:val="00E531BB"/>
    <w:rsid w:val="00E53AE8"/>
    <w:rsid w:val="00E53BC9"/>
    <w:rsid w:val="00E53BD9"/>
    <w:rsid w:val="00E54C0C"/>
    <w:rsid w:val="00E54C37"/>
    <w:rsid w:val="00E562CA"/>
    <w:rsid w:val="00E5681D"/>
    <w:rsid w:val="00E570F4"/>
    <w:rsid w:val="00E572E8"/>
    <w:rsid w:val="00E573E8"/>
    <w:rsid w:val="00E5757A"/>
    <w:rsid w:val="00E576A6"/>
    <w:rsid w:val="00E57FB2"/>
    <w:rsid w:val="00E5E577"/>
    <w:rsid w:val="00E602E9"/>
    <w:rsid w:val="00E6092A"/>
    <w:rsid w:val="00E6115B"/>
    <w:rsid w:val="00E6192B"/>
    <w:rsid w:val="00E62170"/>
    <w:rsid w:val="00E62371"/>
    <w:rsid w:val="00E62743"/>
    <w:rsid w:val="00E6290F"/>
    <w:rsid w:val="00E62B3E"/>
    <w:rsid w:val="00E63122"/>
    <w:rsid w:val="00E63349"/>
    <w:rsid w:val="00E63573"/>
    <w:rsid w:val="00E6389C"/>
    <w:rsid w:val="00E63A41"/>
    <w:rsid w:val="00E63D09"/>
    <w:rsid w:val="00E6411C"/>
    <w:rsid w:val="00E641E7"/>
    <w:rsid w:val="00E642B3"/>
    <w:rsid w:val="00E64510"/>
    <w:rsid w:val="00E64715"/>
    <w:rsid w:val="00E64763"/>
    <w:rsid w:val="00E653FD"/>
    <w:rsid w:val="00E6550B"/>
    <w:rsid w:val="00E65766"/>
    <w:rsid w:val="00E65816"/>
    <w:rsid w:val="00E65A08"/>
    <w:rsid w:val="00E65B10"/>
    <w:rsid w:val="00E65D55"/>
    <w:rsid w:val="00E65E81"/>
    <w:rsid w:val="00E66117"/>
    <w:rsid w:val="00E661FF"/>
    <w:rsid w:val="00E666C6"/>
    <w:rsid w:val="00E66730"/>
    <w:rsid w:val="00E667BE"/>
    <w:rsid w:val="00E66DAA"/>
    <w:rsid w:val="00E670C0"/>
    <w:rsid w:val="00E671D5"/>
    <w:rsid w:val="00E6726A"/>
    <w:rsid w:val="00E675A7"/>
    <w:rsid w:val="00E677B8"/>
    <w:rsid w:val="00E67B43"/>
    <w:rsid w:val="00E67DF0"/>
    <w:rsid w:val="00E70753"/>
    <w:rsid w:val="00E70E62"/>
    <w:rsid w:val="00E70FA1"/>
    <w:rsid w:val="00E71149"/>
    <w:rsid w:val="00E71AB2"/>
    <w:rsid w:val="00E71ECA"/>
    <w:rsid w:val="00E721A4"/>
    <w:rsid w:val="00E72327"/>
    <w:rsid w:val="00E724A0"/>
    <w:rsid w:val="00E725C9"/>
    <w:rsid w:val="00E72F65"/>
    <w:rsid w:val="00E7319A"/>
    <w:rsid w:val="00E73278"/>
    <w:rsid w:val="00E73872"/>
    <w:rsid w:val="00E741B7"/>
    <w:rsid w:val="00E74227"/>
    <w:rsid w:val="00E74644"/>
    <w:rsid w:val="00E746BA"/>
    <w:rsid w:val="00E74BCA"/>
    <w:rsid w:val="00E751E2"/>
    <w:rsid w:val="00E754DA"/>
    <w:rsid w:val="00E75594"/>
    <w:rsid w:val="00E75811"/>
    <w:rsid w:val="00E76696"/>
    <w:rsid w:val="00E769A1"/>
    <w:rsid w:val="00E76C4F"/>
    <w:rsid w:val="00E76C79"/>
    <w:rsid w:val="00E77208"/>
    <w:rsid w:val="00E77216"/>
    <w:rsid w:val="00E772F6"/>
    <w:rsid w:val="00E7751C"/>
    <w:rsid w:val="00E77812"/>
    <w:rsid w:val="00E80636"/>
    <w:rsid w:val="00E80866"/>
    <w:rsid w:val="00E808E7"/>
    <w:rsid w:val="00E80BF7"/>
    <w:rsid w:val="00E80DE0"/>
    <w:rsid w:val="00E81872"/>
    <w:rsid w:val="00E81BD4"/>
    <w:rsid w:val="00E81C30"/>
    <w:rsid w:val="00E82384"/>
    <w:rsid w:val="00E82B68"/>
    <w:rsid w:val="00E82CCA"/>
    <w:rsid w:val="00E82D9B"/>
    <w:rsid w:val="00E83161"/>
    <w:rsid w:val="00E83552"/>
    <w:rsid w:val="00E83C07"/>
    <w:rsid w:val="00E83D68"/>
    <w:rsid w:val="00E8406E"/>
    <w:rsid w:val="00E841C2"/>
    <w:rsid w:val="00E84A4D"/>
    <w:rsid w:val="00E84AA3"/>
    <w:rsid w:val="00E84D48"/>
    <w:rsid w:val="00E84F77"/>
    <w:rsid w:val="00E852F7"/>
    <w:rsid w:val="00E85E68"/>
    <w:rsid w:val="00E85EEA"/>
    <w:rsid w:val="00E85F60"/>
    <w:rsid w:val="00E8602F"/>
    <w:rsid w:val="00E862DD"/>
    <w:rsid w:val="00E86428"/>
    <w:rsid w:val="00E864F8"/>
    <w:rsid w:val="00E8666C"/>
    <w:rsid w:val="00E866B4"/>
    <w:rsid w:val="00E86A0A"/>
    <w:rsid w:val="00E86DA7"/>
    <w:rsid w:val="00E86E1B"/>
    <w:rsid w:val="00E87264"/>
    <w:rsid w:val="00E90077"/>
    <w:rsid w:val="00E9045F"/>
    <w:rsid w:val="00E90550"/>
    <w:rsid w:val="00E9075C"/>
    <w:rsid w:val="00E90962"/>
    <w:rsid w:val="00E90A7C"/>
    <w:rsid w:val="00E90C01"/>
    <w:rsid w:val="00E90C97"/>
    <w:rsid w:val="00E90ED3"/>
    <w:rsid w:val="00E91128"/>
    <w:rsid w:val="00E91C11"/>
    <w:rsid w:val="00E91FD2"/>
    <w:rsid w:val="00E92183"/>
    <w:rsid w:val="00E921DD"/>
    <w:rsid w:val="00E926A0"/>
    <w:rsid w:val="00E9285D"/>
    <w:rsid w:val="00E928B7"/>
    <w:rsid w:val="00E92B23"/>
    <w:rsid w:val="00E92C34"/>
    <w:rsid w:val="00E92D2E"/>
    <w:rsid w:val="00E932AC"/>
    <w:rsid w:val="00E9362D"/>
    <w:rsid w:val="00E93B4A"/>
    <w:rsid w:val="00E93D58"/>
    <w:rsid w:val="00E93E24"/>
    <w:rsid w:val="00E94202"/>
    <w:rsid w:val="00E94618"/>
    <w:rsid w:val="00E94724"/>
    <w:rsid w:val="00E94747"/>
    <w:rsid w:val="00E94829"/>
    <w:rsid w:val="00E94C4E"/>
    <w:rsid w:val="00E94E0A"/>
    <w:rsid w:val="00E94F2B"/>
    <w:rsid w:val="00E9575D"/>
    <w:rsid w:val="00E958FD"/>
    <w:rsid w:val="00E95FD3"/>
    <w:rsid w:val="00E9610C"/>
    <w:rsid w:val="00E961F0"/>
    <w:rsid w:val="00E96337"/>
    <w:rsid w:val="00E96C3D"/>
    <w:rsid w:val="00E96CA9"/>
    <w:rsid w:val="00E97719"/>
    <w:rsid w:val="00EA0292"/>
    <w:rsid w:val="00EA0C4D"/>
    <w:rsid w:val="00EA166F"/>
    <w:rsid w:val="00EA1889"/>
    <w:rsid w:val="00EA1C2C"/>
    <w:rsid w:val="00EA1FD5"/>
    <w:rsid w:val="00EA24E5"/>
    <w:rsid w:val="00EA27F6"/>
    <w:rsid w:val="00EA2926"/>
    <w:rsid w:val="00EA2B24"/>
    <w:rsid w:val="00EA34A8"/>
    <w:rsid w:val="00EA3518"/>
    <w:rsid w:val="00EA4329"/>
    <w:rsid w:val="00EA4BB4"/>
    <w:rsid w:val="00EA510C"/>
    <w:rsid w:val="00EA555A"/>
    <w:rsid w:val="00EA570B"/>
    <w:rsid w:val="00EA5A8D"/>
    <w:rsid w:val="00EA5A9E"/>
    <w:rsid w:val="00EA642D"/>
    <w:rsid w:val="00EA672F"/>
    <w:rsid w:val="00EA6BE7"/>
    <w:rsid w:val="00EA6C9A"/>
    <w:rsid w:val="00EA6E53"/>
    <w:rsid w:val="00EA72BD"/>
    <w:rsid w:val="00EA74CE"/>
    <w:rsid w:val="00EA7960"/>
    <w:rsid w:val="00EA79DE"/>
    <w:rsid w:val="00EA7B44"/>
    <w:rsid w:val="00EA7EE3"/>
    <w:rsid w:val="00EB012E"/>
    <w:rsid w:val="00EB0B09"/>
    <w:rsid w:val="00EB1927"/>
    <w:rsid w:val="00EB1D93"/>
    <w:rsid w:val="00EB20AF"/>
    <w:rsid w:val="00EB2561"/>
    <w:rsid w:val="00EB25C7"/>
    <w:rsid w:val="00EB2769"/>
    <w:rsid w:val="00EB279A"/>
    <w:rsid w:val="00EB2E89"/>
    <w:rsid w:val="00EB2F14"/>
    <w:rsid w:val="00EB3777"/>
    <w:rsid w:val="00EB3799"/>
    <w:rsid w:val="00EB3A25"/>
    <w:rsid w:val="00EB3D8E"/>
    <w:rsid w:val="00EB436A"/>
    <w:rsid w:val="00EB46F5"/>
    <w:rsid w:val="00EB4D16"/>
    <w:rsid w:val="00EB500D"/>
    <w:rsid w:val="00EB50D1"/>
    <w:rsid w:val="00EB543E"/>
    <w:rsid w:val="00EB543F"/>
    <w:rsid w:val="00EB55F0"/>
    <w:rsid w:val="00EB5994"/>
    <w:rsid w:val="00EB5D01"/>
    <w:rsid w:val="00EB63C0"/>
    <w:rsid w:val="00EB6649"/>
    <w:rsid w:val="00EB6BFD"/>
    <w:rsid w:val="00EB6DF5"/>
    <w:rsid w:val="00EB71AD"/>
    <w:rsid w:val="00EB7E8A"/>
    <w:rsid w:val="00EC04A5"/>
    <w:rsid w:val="00EC0527"/>
    <w:rsid w:val="00EC0579"/>
    <w:rsid w:val="00EC0DEF"/>
    <w:rsid w:val="00EC1034"/>
    <w:rsid w:val="00EC1044"/>
    <w:rsid w:val="00EC152D"/>
    <w:rsid w:val="00EC176A"/>
    <w:rsid w:val="00EC19BC"/>
    <w:rsid w:val="00EC1B07"/>
    <w:rsid w:val="00EC1E8A"/>
    <w:rsid w:val="00EC2314"/>
    <w:rsid w:val="00EC272B"/>
    <w:rsid w:val="00EC27EC"/>
    <w:rsid w:val="00EC2ECF"/>
    <w:rsid w:val="00EC2FD1"/>
    <w:rsid w:val="00EC3518"/>
    <w:rsid w:val="00EC37B4"/>
    <w:rsid w:val="00EC3AA5"/>
    <w:rsid w:val="00EC3ACF"/>
    <w:rsid w:val="00EC3DE2"/>
    <w:rsid w:val="00EC3EB0"/>
    <w:rsid w:val="00EC408F"/>
    <w:rsid w:val="00EC49AC"/>
    <w:rsid w:val="00EC4A43"/>
    <w:rsid w:val="00EC4D25"/>
    <w:rsid w:val="00EC4E1B"/>
    <w:rsid w:val="00EC50E2"/>
    <w:rsid w:val="00EC50E4"/>
    <w:rsid w:val="00EC553B"/>
    <w:rsid w:val="00EC58A7"/>
    <w:rsid w:val="00EC5D26"/>
    <w:rsid w:val="00EC6323"/>
    <w:rsid w:val="00EC6382"/>
    <w:rsid w:val="00EC6477"/>
    <w:rsid w:val="00EC66C9"/>
    <w:rsid w:val="00EC674B"/>
    <w:rsid w:val="00EC6C9A"/>
    <w:rsid w:val="00EC6E08"/>
    <w:rsid w:val="00EC730F"/>
    <w:rsid w:val="00EC73A7"/>
    <w:rsid w:val="00EC7461"/>
    <w:rsid w:val="00EC785A"/>
    <w:rsid w:val="00ED024F"/>
    <w:rsid w:val="00ED03B4"/>
    <w:rsid w:val="00ED05A2"/>
    <w:rsid w:val="00ED09AF"/>
    <w:rsid w:val="00ED0FD6"/>
    <w:rsid w:val="00ED213C"/>
    <w:rsid w:val="00ED219A"/>
    <w:rsid w:val="00ED349D"/>
    <w:rsid w:val="00ED3FB1"/>
    <w:rsid w:val="00ED3FCA"/>
    <w:rsid w:val="00ED4253"/>
    <w:rsid w:val="00ED45E7"/>
    <w:rsid w:val="00ED46B6"/>
    <w:rsid w:val="00ED49E2"/>
    <w:rsid w:val="00ED4C9E"/>
    <w:rsid w:val="00ED54D7"/>
    <w:rsid w:val="00ED54F1"/>
    <w:rsid w:val="00ED56E2"/>
    <w:rsid w:val="00ED592F"/>
    <w:rsid w:val="00ED5B99"/>
    <w:rsid w:val="00ED647A"/>
    <w:rsid w:val="00ED68D1"/>
    <w:rsid w:val="00ED6912"/>
    <w:rsid w:val="00ED6E8B"/>
    <w:rsid w:val="00ED70AF"/>
    <w:rsid w:val="00ED7332"/>
    <w:rsid w:val="00ED737D"/>
    <w:rsid w:val="00ED781E"/>
    <w:rsid w:val="00ED78D4"/>
    <w:rsid w:val="00EE041B"/>
    <w:rsid w:val="00EE0AFF"/>
    <w:rsid w:val="00EE0FF3"/>
    <w:rsid w:val="00EE1557"/>
    <w:rsid w:val="00EE1791"/>
    <w:rsid w:val="00EE1C5F"/>
    <w:rsid w:val="00EE1E2E"/>
    <w:rsid w:val="00EE202D"/>
    <w:rsid w:val="00EE2065"/>
    <w:rsid w:val="00EE2BD7"/>
    <w:rsid w:val="00EE2DAA"/>
    <w:rsid w:val="00EE307F"/>
    <w:rsid w:val="00EE3331"/>
    <w:rsid w:val="00EE34CD"/>
    <w:rsid w:val="00EE3779"/>
    <w:rsid w:val="00EE38AE"/>
    <w:rsid w:val="00EE3BEB"/>
    <w:rsid w:val="00EE3D4D"/>
    <w:rsid w:val="00EE3F2A"/>
    <w:rsid w:val="00EE3FC2"/>
    <w:rsid w:val="00EE3FFE"/>
    <w:rsid w:val="00EE48D7"/>
    <w:rsid w:val="00EE511C"/>
    <w:rsid w:val="00EE526A"/>
    <w:rsid w:val="00EE54ED"/>
    <w:rsid w:val="00EE5506"/>
    <w:rsid w:val="00EE5B4E"/>
    <w:rsid w:val="00EE5DAB"/>
    <w:rsid w:val="00EE5DB5"/>
    <w:rsid w:val="00EE6043"/>
    <w:rsid w:val="00EE60BD"/>
    <w:rsid w:val="00EE63F0"/>
    <w:rsid w:val="00EE645C"/>
    <w:rsid w:val="00EE64E2"/>
    <w:rsid w:val="00EE6965"/>
    <w:rsid w:val="00EE6AC5"/>
    <w:rsid w:val="00EE760B"/>
    <w:rsid w:val="00EE7940"/>
    <w:rsid w:val="00EE7BCD"/>
    <w:rsid w:val="00EF01D6"/>
    <w:rsid w:val="00EF08CA"/>
    <w:rsid w:val="00EF0B28"/>
    <w:rsid w:val="00EF0B33"/>
    <w:rsid w:val="00EF0E1A"/>
    <w:rsid w:val="00EF130C"/>
    <w:rsid w:val="00EF1898"/>
    <w:rsid w:val="00EF1A23"/>
    <w:rsid w:val="00EF20C4"/>
    <w:rsid w:val="00EF21D5"/>
    <w:rsid w:val="00EF2221"/>
    <w:rsid w:val="00EF2394"/>
    <w:rsid w:val="00EF24BE"/>
    <w:rsid w:val="00EF2AEF"/>
    <w:rsid w:val="00EF2B00"/>
    <w:rsid w:val="00EF3154"/>
    <w:rsid w:val="00EF348C"/>
    <w:rsid w:val="00EF34A1"/>
    <w:rsid w:val="00EF3999"/>
    <w:rsid w:val="00EF3F8C"/>
    <w:rsid w:val="00EF41B3"/>
    <w:rsid w:val="00EF4211"/>
    <w:rsid w:val="00EF4396"/>
    <w:rsid w:val="00EF4718"/>
    <w:rsid w:val="00EF4BAB"/>
    <w:rsid w:val="00EF4C9C"/>
    <w:rsid w:val="00EF61A1"/>
    <w:rsid w:val="00EF6357"/>
    <w:rsid w:val="00EF6662"/>
    <w:rsid w:val="00EF6768"/>
    <w:rsid w:val="00EF6DFA"/>
    <w:rsid w:val="00EF6F14"/>
    <w:rsid w:val="00EF7373"/>
    <w:rsid w:val="00EF75A7"/>
    <w:rsid w:val="00EF76B7"/>
    <w:rsid w:val="00EF7824"/>
    <w:rsid w:val="00EF7ED7"/>
    <w:rsid w:val="00F000E4"/>
    <w:rsid w:val="00F006D0"/>
    <w:rsid w:val="00F01370"/>
    <w:rsid w:val="00F0147C"/>
    <w:rsid w:val="00F018E0"/>
    <w:rsid w:val="00F01BCB"/>
    <w:rsid w:val="00F01D32"/>
    <w:rsid w:val="00F01EBF"/>
    <w:rsid w:val="00F021D5"/>
    <w:rsid w:val="00F02210"/>
    <w:rsid w:val="00F025C9"/>
    <w:rsid w:val="00F0269D"/>
    <w:rsid w:val="00F02AAA"/>
    <w:rsid w:val="00F02E19"/>
    <w:rsid w:val="00F02EAC"/>
    <w:rsid w:val="00F030EF"/>
    <w:rsid w:val="00F03291"/>
    <w:rsid w:val="00F033BA"/>
    <w:rsid w:val="00F03438"/>
    <w:rsid w:val="00F03E36"/>
    <w:rsid w:val="00F03EC7"/>
    <w:rsid w:val="00F04139"/>
    <w:rsid w:val="00F0436C"/>
    <w:rsid w:val="00F0439C"/>
    <w:rsid w:val="00F047FC"/>
    <w:rsid w:val="00F048B0"/>
    <w:rsid w:val="00F04B84"/>
    <w:rsid w:val="00F056E4"/>
    <w:rsid w:val="00F057D3"/>
    <w:rsid w:val="00F057EB"/>
    <w:rsid w:val="00F057ED"/>
    <w:rsid w:val="00F0585F"/>
    <w:rsid w:val="00F05C87"/>
    <w:rsid w:val="00F05E40"/>
    <w:rsid w:val="00F063DF"/>
    <w:rsid w:val="00F0662F"/>
    <w:rsid w:val="00F06AAE"/>
    <w:rsid w:val="00F07505"/>
    <w:rsid w:val="00F07525"/>
    <w:rsid w:val="00F077A6"/>
    <w:rsid w:val="00F07A06"/>
    <w:rsid w:val="00F07AD5"/>
    <w:rsid w:val="00F07BDF"/>
    <w:rsid w:val="00F07D3C"/>
    <w:rsid w:val="00F102DE"/>
    <w:rsid w:val="00F1036F"/>
    <w:rsid w:val="00F104AF"/>
    <w:rsid w:val="00F10B00"/>
    <w:rsid w:val="00F11612"/>
    <w:rsid w:val="00F11F9E"/>
    <w:rsid w:val="00F120F3"/>
    <w:rsid w:val="00F120FC"/>
    <w:rsid w:val="00F12521"/>
    <w:rsid w:val="00F12920"/>
    <w:rsid w:val="00F12A9D"/>
    <w:rsid w:val="00F12F8C"/>
    <w:rsid w:val="00F12FF9"/>
    <w:rsid w:val="00F13062"/>
    <w:rsid w:val="00F137A6"/>
    <w:rsid w:val="00F137B7"/>
    <w:rsid w:val="00F13D97"/>
    <w:rsid w:val="00F13FCE"/>
    <w:rsid w:val="00F1405C"/>
    <w:rsid w:val="00F14192"/>
    <w:rsid w:val="00F14908"/>
    <w:rsid w:val="00F14B94"/>
    <w:rsid w:val="00F14BF7"/>
    <w:rsid w:val="00F14C9C"/>
    <w:rsid w:val="00F14DA2"/>
    <w:rsid w:val="00F14E7C"/>
    <w:rsid w:val="00F153B0"/>
    <w:rsid w:val="00F1563A"/>
    <w:rsid w:val="00F15A47"/>
    <w:rsid w:val="00F15A93"/>
    <w:rsid w:val="00F161FE"/>
    <w:rsid w:val="00F16229"/>
    <w:rsid w:val="00F165C0"/>
    <w:rsid w:val="00F166B4"/>
    <w:rsid w:val="00F17608"/>
    <w:rsid w:val="00F17B29"/>
    <w:rsid w:val="00F17DD4"/>
    <w:rsid w:val="00F200B6"/>
    <w:rsid w:val="00F200D9"/>
    <w:rsid w:val="00F2015B"/>
    <w:rsid w:val="00F20C85"/>
    <w:rsid w:val="00F21039"/>
    <w:rsid w:val="00F212DE"/>
    <w:rsid w:val="00F21446"/>
    <w:rsid w:val="00F228E2"/>
    <w:rsid w:val="00F22EB0"/>
    <w:rsid w:val="00F2301E"/>
    <w:rsid w:val="00F234B1"/>
    <w:rsid w:val="00F23666"/>
    <w:rsid w:val="00F238BC"/>
    <w:rsid w:val="00F238C8"/>
    <w:rsid w:val="00F2450E"/>
    <w:rsid w:val="00F24B94"/>
    <w:rsid w:val="00F25099"/>
    <w:rsid w:val="00F2533E"/>
    <w:rsid w:val="00F25540"/>
    <w:rsid w:val="00F26307"/>
    <w:rsid w:val="00F26484"/>
    <w:rsid w:val="00F26630"/>
    <w:rsid w:val="00F267D2"/>
    <w:rsid w:val="00F26A6D"/>
    <w:rsid w:val="00F2754E"/>
    <w:rsid w:val="00F278BF"/>
    <w:rsid w:val="00F27B99"/>
    <w:rsid w:val="00F27DB7"/>
    <w:rsid w:val="00F3061E"/>
    <w:rsid w:val="00F30959"/>
    <w:rsid w:val="00F31060"/>
    <w:rsid w:val="00F311AA"/>
    <w:rsid w:val="00F31510"/>
    <w:rsid w:val="00F316F6"/>
    <w:rsid w:val="00F321B7"/>
    <w:rsid w:val="00F32891"/>
    <w:rsid w:val="00F32D2B"/>
    <w:rsid w:val="00F32F96"/>
    <w:rsid w:val="00F32FF1"/>
    <w:rsid w:val="00F33594"/>
    <w:rsid w:val="00F33704"/>
    <w:rsid w:val="00F33822"/>
    <w:rsid w:val="00F33E1D"/>
    <w:rsid w:val="00F34289"/>
    <w:rsid w:val="00F34302"/>
    <w:rsid w:val="00F34C64"/>
    <w:rsid w:val="00F34D6C"/>
    <w:rsid w:val="00F34E7A"/>
    <w:rsid w:val="00F34EAD"/>
    <w:rsid w:val="00F3520B"/>
    <w:rsid w:val="00F3537B"/>
    <w:rsid w:val="00F35418"/>
    <w:rsid w:val="00F356C9"/>
    <w:rsid w:val="00F357BA"/>
    <w:rsid w:val="00F35A9A"/>
    <w:rsid w:val="00F35BF2"/>
    <w:rsid w:val="00F35F6B"/>
    <w:rsid w:val="00F362BC"/>
    <w:rsid w:val="00F364B2"/>
    <w:rsid w:val="00F36B1D"/>
    <w:rsid w:val="00F36BE4"/>
    <w:rsid w:val="00F36EDC"/>
    <w:rsid w:val="00F3756F"/>
    <w:rsid w:val="00F378A2"/>
    <w:rsid w:val="00F37DFB"/>
    <w:rsid w:val="00F40089"/>
    <w:rsid w:val="00F402D3"/>
    <w:rsid w:val="00F406BD"/>
    <w:rsid w:val="00F40954"/>
    <w:rsid w:val="00F40FFF"/>
    <w:rsid w:val="00F4150D"/>
    <w:rsid w:val="00F41A5A"/>
    <w:rsid w:val="00F41BC8"/>
    <w:rsid w:val="00F41BC9"/>
    <w:rsid w:val="00F41FEE"/>
    <w:rsid w:val="00F4205D"/>
    <w:rsid w:val="00F42185"/>
    <w:rsid w:val="00F424D5"/>
    <w:rsid w:val="00F42737"/>
    <w:rsid w:val="00F434C7"/>
    <w:rsid w:val="00F43528"/>
    <w:rsid w:val="00F4355D"/>
    <w:rsid w:val="00F43DB1"/>
    <w:rsid w:val="00F44321"/>
    <w:rsid w:val="00F44491"/>
    <w:rsid w:val="00F445C2"/>
    <w:rsid w:val="00F448D5"/>
    <w:rsid w:val="00F44D55"/>
    <w:rsid w:val="00F44FEC"/>
    <w:rsid w:val="00F450CF"/>
    <w:rsid w:val="00F458E2"/>
    <w:rsid w:val="00F45967"/>
    <w:rsid w:val="00F45972"/>
    <w:rsid w:val="00F45F9A"/>
    <w:rsid w:val="00F45FEC"/>
    <w:rsid w:val="00F460D3"/>
    <w:rsid w:val="00F46210"/>
    <w:rsid w:val="00F462B7"/>
    <w:rsid w:val="00F4650D"/>
    <w:rsid w:val="00F46903"/>
    <w:rsid w:val="00F46AE4"/>
    <w:rsid w:val="00F47426"/>
    <w:rsid w:val="00F47501"/>
    <w:rsid w:val="00F47904"/>
    <w:rsid w:val="00F47D38"/>
    <w:rsid w:val="00F47E28"/>
    <w:rsid w:val="00F47F96"/>
    <w:rsid w:val="00F5011E"/>
    <w:rsid w:val="00F50237"/>
    <w:rsid w:val="00F502D4"/>
    <w:rsid w:val="00F50461"/>
    <w:rsid w:val="00F505DC"/>
    <w:rsid w:val="00F50710"/>
    <w:rsid w:val="00F507B4"/>
    <w:rsid w:val="00F5081E"/>
    <w:rsid w:val="00F508D1"/>
    <w:rsid w:val="00F50999"/>
    <w:rsid w:val="00F50B0F"/>
    <w:rsid w:val="00F50B9A"/>
    <w:rsid w:val="00F51421"/>
    <w:rsid w:val="00F515F4"/>
    <w:rsid w:val="00F516F3"/>
    <w:rsid w:val="00F51B84"/>
    <w:rsid w:val="00F51D67"/>
    <w:rsid w:val="00F51EB8"/>
    <w:rsid w:val="00F52518"/>
    <w:rsid w:val="00F52662"/>
    <w:rsid w:val="00F52880"/>
    <w:rsid w:val="00F52969"/>
    <w:rsid w:val="00F52E04"/>
    <w:rsid w:val="00F52E72"/>
    <w:rsid w:val="00F530BE"/>
    <w:rsid w:val="00F532C6"/>
    <w:rsid w:val="00F5333A"/>
    <w:rsid w:val="00F53E43"/>
    <w:rsid w:val="00F5414B"/>
    <w:rsid w:val="00F542DD"/>
    <w:rsid w:val="00F542F7"/>
    <w:rsid w:val="00F5447A"/>
    <w:rsid w:val="00F54ACC"/>
    <w:rsid w:val="00F55315"/>
    <w:rsid w:val="00F5588C"/>
    <w:rsid w:val="00F55CB8"/>
    <w:rsid w:val="00F55DD4"/>
    <w:rsid w:val="00F56163"/>
    <w:rsid w:val="00F56181"/>
    <w:rsid w:val="00F563E2"/>
    <w:rsid w:val="00F5669A"/>
    <w:rsid w:val="00F56AAB"/>
    <w:rsid w:val="00F56AD3"/>
    <w:rsid w:val="00F56D52"/>
    <w:rsid w:val="00F57900"/>
    <w:rsid w:val="00F57EAF"/>
    <w:rsid w:val="00F60028"/>
    <w:rsid w:val="00F600F9"/>
    <w:rsid w:val="00F609FE"/>
    <w:rsid w:val="00F60ACA"/>
    <w:rsid w:val="00F60D74"/>
    <w:rsid w:val="00F60F88"/>
    <w:rsid w:val="00F6103A"/>
    <w:rsid w:val="00F610E0"/>
    <w:rsid w:val="00F6123E"/>
    <w:rsid w:val="00F61F18"/>
    <w:rsid w:val="00F61F23"/>
    <w:rsid w:val="00F62238"/>
    <w:rsid w:val="00F6299F"/>
    <w:rsid w:val="00F62A52"/>
    <w:rsid w:val="00F633B4"/>
    <w:rsid w:val="00F638FD"/>
    <w:rsid w:val="00F63906"/>
    <w:rsid w:val="00F63B65"/>
    <w:rsid w:val="00F64372"/>
    <w:rsid w:val="00F64B92"/>
    <w:rsid w:val="00F65654"/>
    <w:rsid w:val="00F661FB"/>
    <w:rsid w:val="00F66326"/>
    <w:rsid w:val="00F66338"/>
    <w:rsid w:val="00F66A2E"/>
    <w:rsid w:val="00F66A5E"/>
    <w:rsid w:val="00F66CA8"/>
    <w:rsid w:val="00F66D9C"/>
    <w:rsid w:val="00F66FCC"/>
    <w:rsid w:val="00F672D4"/>
    <w:rsid w:val="00F67319"/>
    <w:rsid w:val="00F67BAA"/>
    <w:rsid w:val="00F67C19"/>
    <w:rsid w:val="00F67C44"/>
    <w:rsid w:val="00F6A266"/>
    <w:rsid w:val="00F70030"/>
    <w:rsid w:val="00F7006F"/>
    <w:rsid w:val="00F700D6"/>
    <w:rsid w:val="00F70360"/>
    <w:rsid w:val="00F70504"/>
    <w:rsid w:val="00F709BA"/>
    <w:rsid w:val="00F70B97"/>
    <w:rsid w:val="00F70D01"/>
    <w:rsid w:val="00F70EB8"/>
    <w:rsid w:val="00F717B2"/>
    <w:rsid w:val="00F71894"/>
    <w:rsid w:val="00F71E4B"/>
    <w:rsid w:val="00F7221D"/>
    <w:rsid w:val="00F72681"/>
    <w:rsid w:val="00F726EF"/>
    <w:rsid w:val="00F7274E"/>
    <w:rsid w:val="00F728AB"/>
    <w:rsid w:val="00F72B35"/>
    <w:rsid w:val="00F73205"/>
    <w:rsid w:val="00F736BD"/>
    <w:rsid w:val="00F73B35"/>
    <w:rsid w:val="00F740D9"/>
    <w:rsid w:val="00F74199"/>
    <w:rsid w:val="00F744C4"/>
    <w:rsid w:val="00F745A9"/>
    <w:rsid w:val="00F74842"/>
    <w:rsid w:val="00F74C52"/>
    <w:rsid w:val="00F74CC9"/>
    <w:rsid w:val="00F74DEE"/>
    <w:rsid w:val="00F75065"/>
    <w:rsid w:val="00F75107"/>
    <w:rsid w:val="00F75563"/>
    <w:rsid w:val="00F75733"/>
    <w:rsid w:val="00F75828"/>
    <w:rsid w:val="00F7595A"/>
    <w:rsid w:val="00F7595E"/>
    <w:rsid w:val="00F75BE8"/>
    <w:rsid w:val="00F75CA0"/>
    <w:rsid w:val="00F75E43"/>
    <w:rsid w:val="00F76012"/>
    <w:rsid w:val="00F76DEB"/>
    <w:rsid w:val="00F77063"/>
    <w:rsid w:val="00F770E6"/>
    <w:rsid w:val="00F771BD"/>
    <w:rsid w:val="00F773AE"/>
    <w:rsid w:val="00F7744B"/>
    <w:rsid w:val="00F775DF"/>
    <w:rsid w:val="00F779CE"/>
    <w:rsid w:val="00F77D87"/>
    <w:rsid w:val="00F77D95"/>
    <w:rsid w:val="00F800FE"/>
    <w:rsid w:val="00F80105"/>
    <w:rsid w:val="00F80475"/>
    <w:rsid w:val="00F80495"/>
    <w:rsid w:val="00F807B8"/>
    <w:rsid w:val="00F80ACA"/>
    <w:rsid w:val="00F80F7E"/>
    <w:rsid w:val="00F8126F"/>
    <w:rsid w:val="00F813E7"/>
    <w:rsid w:val="00F81616"/>
    <w:rsid w:val="00F81C4B"/>
    <w:rsid w:val="00F81EE8"/>
    <w:rsid w:val="00F81F57"/>
    <w:rsid w:val="00F82147"/>
    <w:rsid w:val="00F8235C"/>
    <w:rsid w:val="00F827E0"/>
    <w:rsid w:val="00F836C2"/>
    <w:rsid w:val="00F837ED"/>
    <w:rsid w:val="00F83A36"/>
    <w:rsid w:val="00F83D8C"/>
    <w:rsid w:val="00F83E0F"/>
    <w:rsid w:val="00F85004"/>
    <w:rsid w:val="00F85189"/>
    <w:rsid w:val="00F8535F"/>
    <w:rsid w:val="00F85867"/>
    <w:rsid w:val="00F85BA6"/>
    <w:rsid w:val="00F85D88"/>
    <w:rsid w:val="00F85E2F"/>
    <w:rsid w:val="00F86038"/>
    <w:rsid w:val="00F86299"/>
    <w:rsid w:val="00F86519"/>
    <w:rsid w:val="00F86610"/>
    <w:rsid w:val="00F87064"/>
    <w:rsid w:val="00F87100"/>
    <w:rsid w:val="00F87644"/>
    <w:rsid w:val="00F87813"/>
    <w:rsid w:val="00F87919"/>
    <w:rsid w:val="00F9018D"/>
    <w:rsid w:val="00F9037F"/>
    <w:rsid w:val="00F9072E"/>
    <w:rsid w:val="00F908D7"/>
    <w:rsid w:val="00F90AE6"/>
    <w:rsid w:val="00F912EC"/>
    <w:rsid w:val="00F91403"/>
    <w:rsid w:val="00F9153F"/>
    <w:rsid w:val="00F91E81"/>
    <w:rsid w:val="00F92874"/>
    <w:rsid w:val="00F92EE7"/>
    <w:rsid w:val="00F92FDD"/>
    <w:rsid w:val="00F933FC"/>
    <w:rsid w:val="00F939A4"/>
    <w:rsid w:val="00F939BC"/>
    <w:rsid w:val="00F94048"/>
    <w:rsid w:val="00F94139"/>
    <w:rsid w:val="00F9447D"/>
    <w:rsid w:val="00F9486B"/>
    <w:rsid w:val="00F9496F"/>
    <w:rsid w:val="00F95112"/>
    <w:rsid w:val="00F955E9"/>
    <w:rsid w:val="00F956B4"/>
    <w:rsid w:val="00F95A7F"/>
    <w:rsid w:val="00F9630C"/>
    <w:rsid w:val="00F970B9"/>
    <w:rsid w:val="00F97184"/>
    <w:rsid w:val="00F971DD"/>
    <w:rsid w:val="00F9723D"/>
    <w:rsid w:val="00F974A9"/>
    <w:rsid w:val="00F97695"/>
    <w:rsid w:val="00F97A6D"/>
    <w:rsid w:val="00F97D5F"/>
    <w:rsid w:val="00F97DB2"/>
    <w:rsid w:val="00F97FC9"/>
    <w:rsid w:val="00FA02C5"/>
    <w:rsid w:val="00FA05D2"/>
    <w:rsid w:val="00FA0811"/>
    <w:rsid w:val="00FA0815"/>
    <w:rsid w:val="00FA0A7E"/>
    <w:rsid w:val="00FA0CCF"/>
    <w:rsid w:val="00FA1548"/>
    <w:rsid w:val="00FA166D"/>
    <w:rsid w:val="00FA1679"/>
    <w:rsid w:val="00FA1846"/>
    <w:rsid w:val="00FA1FC8"/>
    <w:rsid w:val="00FA204C"/>
    <w:rsid w:val="00FA24B0"/>
    <w:rsid w:val="00FA2787"/>
    <w:rsid w:val="00FA2856"/>
    <w:rsid w:val="00FA2928"/>
    <w:rsid w:val="00FA2FDD"/>
    <w:rsid w:val="00FA310F"/>
    <w:rsid w:val="00FA3374"/>
    <w:rsid w:val="00FA3411"/>
    <w:rsid w:val="00FA35B6"/>
    <w:rsid w:val="00FA379D"/>
    <w:rsid w:val="00FA3F32"/>
    <w:rsid w:val="00FA40CF"/>
    <w:rsid w:val="00FA40F7"/>
    <w:rsid w:val="00FA42F3"/>
    <w:rsid w:val="00FA4BF5"/>
    <w:rsid w:val="00FA4D32"/>
    <w:rsid w:val="00FA51AC"/>
    <w:rsid w:val="00FA54DB"/>
    <w:rsid w:val="00FA555D"/>
    <w:rsid w:val="00FA5C51"/>
    <w:rsid w:val="00FA5DC2"/>
    <w:rsid w:val="00FA5E98"/>
    <w:rsid w:val="00FA60F3"/>
    <w:rsid w:val="00FA6C2B"/>
    <w:rsid w:val="00FA6E52"/>
    <w:rsid w:val="00FA7328"/>
    <w:rsid w:val="00FA7CE9"/>
    <w:rsid w:val="00FA7D96"/>
    <w:rsid w:val="00FA7FF2"/>
    <w:rsid w:val="00FB08C5"/>
    <w:rsid w:val="00FB0A2E"/>
    <w:rsid w:val="00FB0CD9"/>
    <w:rsid w:val="00FB0DE4"/>
    <w:rsid w:val="00FB1622"/>
    <w:rsid w:val="00FB1A16"/>
    <w:rsid w:val="00FB1B4F"/>
    <w:rsid w:val="00FB1F63"/>
    <w:rsid w:val="00FB209C"/>
    <w:rsid w:val="00FB2183"/>
    <w:rsid w:val="00FB23FF"/>
    <w:rsid w:val="00FB2722"/>
    <w:rsid w:val="00FB283A"/>
    <w:rsid w:val="00FB367A"/>
    <w:rsid w:val="00FB3A4D"/>
    <w:rsid w:val="00FB459C"/>
    <w:rsid w:val="00FB46C1"/>
    <w:rsid w:val="00FB490D"/>
    <w:rsid w:val="00FB4BBE"/>
    <w:rsid w:val="00FB4DCB"/>
    <w:rsid w:val="00FB5179"/>
    <w:rsid w:val="00FB538F"/>
    <w:rsid w:val="00FB55BB"/>
    <w:rsid w:val="00FB5A22"/>
    <w:rsid w:val="00FB627D"/>
    <w:rsid w:val="00FB6286"/>
    <w:rsid w:val="00FB6785"/>
    <w:rsid w:val="00FB6852"/>
    <w:rsid w:val="00FB68F2"/>
    <w:rsid w:val="00FB7306"/>
    <w:rsid w:val="00FB74AD"/>
    <w:rsid w:val="00FB74AE"/>
    <w:rsid w:val="00FB7AF5"/>
    <w:rsid w:val="00FB7C33"/>
    <w:rsid w:val="00FB7C4A"/>
    <w:rsid w:val="00FB7CF6"/>
    <w:rsid w:val="00FC01E2"/>
    <w:rsid w:val="00FC05AF"/>
    <w:rsid w:val="00FC0624"/>
    <w:rsid w:val="00FC06D8"/>
    <w:rsid w:val="00FC0B84"/>
    <w:rsid w:val="00FC0FDA"/>
    <w:rsid w:val="00FC151B"/>
    <w:rsid w:val="00FC1972"/>
    <w:rsid w:val="00FC19CE"/>
    <w:rsid w:val="00FC1B84"/>
    <w:rsid w:val="00FC1DEF"/>
    <w:rsid w:val="00FC1E75"/>
    <w:rsid w:val="00FC1F8E"/>
    <w:rsid w:val="00FC2449"/>
    <w:rsid w:val="00FC24FC"/>
    <w:rsid w:val="00FC2AEF"/>
    <w:rsid w:val="00FC3041"/>
    <w:rsid w:val="00FC32B5"/>
    <w:rsid w:val="00FC34CF"/>
    <w:rsid w:val="00FC3875"/>
    <w:rsid w:val="00FC3A17"/>
    <w:rsid w:val="00FC3F1A"/>
    <w:rsid w:val="00FC4905"/>
    <w:rsid w:val="00FC49FE"/>
    <w:rsid w:val="00FC4D07"/>
    <w:rsid w:val="00FC5440"/>
    <w:rsid w:val="00FC5BFB"/>
    <w:rsid w:val="00FC5D2C"/>
    <w:rsid w:val="00FC62D2"/>
    <w:rsid w:val="00FC671F"/>
    <w:rsid w:val="00FC67B8"/>
    <w:rsid w:val="00FC68B1"/>
    <w:rsid w:val="00FC690A"/>
    <w:rsid w:val="00FC6CA2"/>
    <w:rsid w:val="00FC6D1B"/>
    <w:rsid w:val="00FC728E"/>
    <w:rsid w:val="00FC72E7"/>
    <w:rsid w:val="00FC7402"/>
    <w:rsid w:val="00FC7CFF"/>
    <w:rsid w:val="00FD0387"/>
    <w:rsid w:val="00FD0682"/>
    <w:rsid w:val="00FD0A8B"/>
    <w:rsid w:val="00FD0D27"/>
    <w:rsid w:val="00FD1042"/>
    <w:rsid w:val="00FD1226"/>
    <w:rsid w:val="00FD12EC"/>
    <w:rsid w:val="00FD12F9"/>
    <w:rsid w:val="00FD1499"/>
    <w:rsid w:val="00FD1C0F"/>
    <w:rsid w:val="00FD1CDE"/>
    <w:rsid w:val="00FD1DC1"/>
    <w:rsid w:val="00FD25A6"/>
    <w:rsid w:val="00FD29D5"/>
    <w:rsid w:val="00FD2C17"/>
    <w:rsid w:val="00FD2E1A"/>
    <w:rsid w:val="00FD32D5"/>
    <w:rsid w:val="00FD3B26"/>
    <w:rsid w:val="00FD3F1B"/>
    <w:rsid w:val="00FD435E"/>
    <w:rsid w:val="00FD4413"/>
    <w:rsid w:val="00FD442A"/>
    <w:rsid w:val="00FD4E5B"/>
    <w:rsid w:val="00FD4F7D"/>
    <w:rsid w:val="00FD5292"/>
    <w:rsid w:val="00FD5589"/>
    <w:rsid w:val="00FD571C"/>
    <w:rsid w:val="00FD5B99"/>
    <w:rsid w:val="00FD5EF4"/>
    <w:rsid w:val="00FD5F21"/>
    <w:rsid w:val="00FD6478"/>
    <w:rsid w:val="00FD676E"/>
    <w:rsid w:val="00FD68BC"/>
    <w:rsid w:val="00FD6CA2"/>
    <w:rsid w:val="00FD7075"/>
    <w:rsid w:val="00FD7113"/>
    <w:rsid w:val="00FD7544"/>
    <w:rsid w:val="00FD771E"/>
    <w:rsid w:val="00FD782D"/>
    <w:rsid w:val="00FD7D5D"/>
    <w:rsid w:val="00FE052F"/>
    <w:rsid w:val="00FE067F"/>
    <w:rsid w:val="00FE074B"/>
    <w:rsid w:val="00FE09EA"/>
    <w:rsid w:val="00FE0D0A"/>
    <w:rsid w:val="00FE12E0"/>
    <w:rsid w:val="00FE15F0"/>
    <w:rsid w:val="00FE15FA"/>
    <w:rsid w:val="00FE185A"/>
    <w:rsid w:val="00FE19BB"/>
    <w:rsid w:val="00FE1F86"/>
    <w:rsid w:val="00FE2261"/>
    <w:rsid w:val="00FE2428"/>
    <w:rsid w:val="00FE2450"/>
    <w:rsid w:val="00FE27AB"/>
    <w:rsid w:val="00FE2C4B"/>
    <w:rsid w:val="00FE2D9F"/>
    <w:rsid w:val="00FE2E5B"/>
    <w:rsid w:val="00FE307E"/>
    <w:rsid w:val="00FE372C"/>
    <w:rsid w:val="00FE39D3"/>
    <w:rsid w:val="00FE3A0B"/>
    <w:rsid w:val="00FE4066"/>
    <w:rsid w:val="00FE409E"/>
    <w:rsid w:val="00FE48BB"/>
    <w:rsid w:val="00FE569F"/>
    <w:rsid w:val="00FE5A91"/>
    <w:rsid w:val="00FE5D4A"/>
    <w:rsid w:val="00FE5D9D"/>
    <w:rsid w:val="00FE6AAB"/>
    <w:rsid w:val="00FE6D30"/>
    <w:rsid w:val="00FE7344"/>
    <w:rsid w:val="00FE7BCF"/>
    <w:rsid w:val="00FE7F77"/>
    <w:rsid w:val="00FE7FFA"/>
    <w:rsid w:val="00FF073B"/>
    <w:rsid w:val="00FF07AA"/>
    <w:rsid w:val="00FF12EB"/>
    <w:rsid w:val="00FF1505"/>
    <w:rsid w:val="00FF1631"/>
    <w:rsid w:val="00FF179D"/>
    <w:rsid w:val="00FF17FC"/>
    <w:rsid w:val="00FF18BE"/>
    <w:rsid w:val="00FF23B7"/>
    <w:rsid w:val="00FF256F"/>
    <w:rsid w:val="00FF2B51"/>
    <w:rsid w:val="00FF2BAA"/>
    <w:rsid w:val="00FF2EC6"/>
    <w:rsid w:val="00FF3188"/>
    <w:rsid w:val="00FF3D2F"/>
    <w:rsid w:val="00FF40A4"/>
    <w:rsid w:val="00FF4249"/>
    <w:rsid w:val="00FF4636"/>
    <w:rsid w:val="00FF47E2"/>
    <w:rsid w:val="00FF4A67"/>
    <w:rsid w:val="00FF5288"/>
    <w:rsid w:val="00FF52C9"/>
    <w:rsid w:val="00FF5963"/>
    <w:rsid w:val="00FF5B50"/>
    <w:rsid w:val="00FF5BB3"/>
    <w:rsid w:val="00FF5C91"/>
    <w:rsid w:val="00FF6095"/>
    <w:rsid w:val="00FF6189"/>
    <w:rsid w:val="00FF688E"/>
    <w:rsid w:val="00FF68F5"/>
    <w:rsid w:val="00FF707A"/>
    <w:rsid w:val="00FF7483"/>
    <w:rsid w:val="00FF78DC"/>
    <w:rsid w:val="00FF7B5D"/>
    <w:rsid w:val="00FF7EF9"/>
    <w:rsid w:val="0103BAE4"/>
    <w:rsid w:val="01065966"/>
    <w:rsid w:val="01069527"/>
    <w:rsid w:val="010AEF44"/>
    <w:rsid w:val="010F5683"/>
    <w:rsid w:val="01125C26"/>
    <w:rsid w:val="0114FDAC"/>
    <w:rsid w:val="011D6C2B"/>
    <w:rsid w:val="0120FFC2"/>
    <w:rsid w:val="01233C87"/>
    <w:rsid w:val="0128A5E9"/>
    <w:rsid w:val="0129BB3E"/>
    <w:rsid w:val="012CE081"/>
    <w:rsid w:val="012D35ED"/>
    <w:rsid w:val="012E1FB6"/>
    <w:rsid w:val="0135E41D"/>
    <w:rsid w:val="014311ED"/>
    <w:rsid w:val="01550D11"/>
    <w:rsid w:val="016023F3"/>
    <w:rsid w:val="0169345B"/>
    <w:rsid w:val="016ED946"/>
    <w:rsid w:val="017C9EAF"/>
    <w:rsid w:val="01829B47"/>
    <w:rsid w:val="018A56B4"/>
    <w:rsid w:val="01983923"/>
    <w:rsid w:val="01A49060"/>
    <w:rsid w:val="01C39006"/>
    <w:rsid w:val="01D3C296"/>
    <w:rsid w:val="01D3C6E4"/>
    <w:rsid w:val="01DCEF6D"/>
    <w:rsid w:val="01E4DB00"/>
    <w:rsid w:val="01E67580"/>
    <w:rsid w:val="01EAC76B"/>
    <w:rsid w:val="01F15412"/>
    <w:rsid w:val="01F30D7F"/>
    <w:rsid w:val="01FF858E"/>
    <w:rsid w:val="020A6226"/>
    <w:rsid w:val="020AF144"/>
    <w:rsid w:val="020B871B"/>
    <w:rsid w:val="02101494"/>
    <w:rsid w:val="0210A56E"/>
    <w:rsid w:val="021594AD"/>
    <w:rsid w:val="02169414"/>
    <w:rsid w:val="0218B5EE"/>
    <w:rsid w:val="021A4447"/>
    <w:rsid w:val="022117F1"/>
    <w:rsid w:val="022366C3"/>
    <w:rsid w:val="02281E49"/>
    <w:rsid w:val="0229CB8C"/>
    <w:rsid w:val="022CCD35"/>
    <w:rsid w:val="0231E367"/>
    <w:rsid w:val="0232EB96"/>
    <w:rsid w:val="0237E08B"/>
    <w:rsid w:val="023D6C30"/>
    <w:rsid w:val="02419522"/>
    <w:rsid w:val="0241BC38"/>
    <w:rsid w:val="02442FB5"/>
    <w:rsid w:val="024D36CD"/>
    <w:rsid w:val="024D5443"/>
    <w:rsid w:val="02594D21"/>
    <w:rsid w:val="025A0284"/>
    <w:rsid w:val="025CBA6E"/>
    <w:rsid w:val="02621433"/>
    <w:rsid w:val="0266EBEB"/>
    <w:rsid w:val="0274835A"/>
    <w:rsid w:val="0276B5D7"/>
    <w:rsid w:val="027AACE0"/>
    <w:rsid w:val="027B2A1D"/>
    <w:rsid w:val="0281CDEB"/>
    <w:rsid w:val="0288DDAC"/>
    <w:rsid w:val="0295E56F"/>
    <w:rsid w:val="029CE39F"/>
    <w:rsid w:val="02A6C067"/>
    <w:rsid w:val="02ABD39A"/>
    <w:rsid w:val="02B9FFAC"/>
    <w:rsid w:val="02C65844"/>
    <w:rsid w:val="02CD7031"/>
    <w:rsid w:val="02D6D3DC"/>
    <w:rsid w:val="02FAD8EE"/>
    <w:rsid w:val="0310A3D7"/>
    <w:rsid w:val="0329F077"/>
    <w:rsid w:val="0331575B"/>
    <w:rsid w:val="03330EB5"/>
    <w:rsid w:val="03337344"/>
    <w:rsid w:val="03394656"/>
    <w:rsid w:val="0348E0E1"/>
    <w:rsid w:val="035B9A30"/>
    <w:rsid w:val="035C2274"/>
    <w:rsid w:val="035E56A0"/>
    <w:rsid w:val="037E7812"/>
    <w:rsid w:val="037FE6E4"/>
    <w:rsid w:val="0380803D"/>
    <w:rsid w:val="038806C6"/>
    <w:rsid w:val="038A8F92"/>
    <w:rsid w:val="038D8AA3"/>
    <w:rsid w:val="0397AB65"/>
    <w:rsid w:val="03ADFBAB"/>
    <w:rsid w:val="03B0A798"/>
    <w:rsid w:val="03B4864F"/>
    <w:rsid w:val="03B5B082"/>
    <w:rsid w:val="03B707D4"/>
    <w:rsid w:val="03CC7F41"/>
    <w:rsid w:val="03D67F43"/>
    <w:rsid w:val="03DEB5B6"/>
    <w:rsid w:val="03EA522D"/>
    <w:rsid w:val="03FC9BC6"/>
    <w:rsid w:val="04008F79"/>
    <w:rsid w:val="040B641A"/>
    <w:rsid w:val="040ECF12"/>
    <w:rsid w:val="040F54B8"/>
    <w:rsid w:val="04128638"/>
    <w:rsid w:val="0415831C"/>
    <w:rsid w:val="041FAEEE"/>
    <w:rsid w:val="0426DC63"/>
    <w:rsid w:val="0440AAF8"/>
    <w:rsid w:val="04462A74"/>
    <w:rsid w:val="045432D8"/>
    <w:rsid w:val="045BD2E1"/>
    <w:rsid w:val="045E50DA"/>
    <w:rsid w:val="04670053"/>
    <w:rsid w:val="04694092"/>
    <w:rsid w:val="046AE4E5"/>
    <w:rsid w:val="0479F5A6"/>
    <w:rsid w:val="0481F0A9"/>
    <w:rsid w:val="04922099"/>
    <w:rsid w:val="049EB6AF"/>
    <w:rsid w:val="04A2B26B"/>
    <w:rsid w:val="04A71244"/>
    <w:rsid w:val="04A8AC27"/>
    <w:rsid w:val="04AB3D75"/>
    <w:rsid w:val="04AF13F8"/>
    <w:rsid w:val="04BBC31E"/>
    <w:rsid w:val="04BC7D35"/>
    <w:rsid w:val="04C1F776"/>
    <w:rsid w:val="04C212AC"/>
    <w:rsid w:val="04C535DB"/>
    <w:rsid w:val="04C91393"/>
    <w:rsid w:val="04CC3A8B"/>
    <w:rsid w:val="04D27701"/>
    <w:rsid w:val="04D946D7"/>
    <w:rsid w:val="04DDDC82"/>
    <w:rsid w:val="04E9EE90"/>
    <w:rsid w:val="04FA8CAB"/>
    <w:rsid w:val="05162373"/>
    <w:rsid w:val="051D0B4C"/>
    <w:rsid w:val="0521E426"/>
    <w:rsid w:val="052D7DC6"/>
    <w:rsid w:val="053F7E63"/>
    <w:rsid w:val="0541780A"/>
    <w:rsid w:val="055412F8"/>
    <w:rsid w:val="055BA523"/>
    <w:rsid w:val="055F5066"/>
    <w:rsid w:val="0561CEF0"/>
    <w:rsid w:val="05670CC2"/>
    <w:rsid w:val="056AB8AB"/>
    <w:rsid w:val="05731154"/>
    <w:rsid w:val="05741D79"/>
    <w:rsid w:val="05770D8A"/>
    <w:rsid w:val="0577DCE0"/>
    <w:rsid w:val="05781C0C"/>
    <w:rsid w:val="057D2F45"/>
    <w:rsid w:val="0589E4AE"/>
    <w:rsid w:val="058FA05D"/>
    <w:rsid w:val="0592B9AD"/>
    <w:rsid w:val="0594666D"/>
    <w:rsid w:val="05A01065"/>
    <w:rsid w:val="05A12986"/>
    <w:rsid w:val="05A5CDAA"/>
    <w:rsid w:val="05A9C25E"/>
    <w:rsid w:val="05AB8668"/>
    <w:rsid w:val="05ADB7D6"/>
    <w:rsid w:val="05B1A615"/>
    <w:rsid w:val="05B2B5AE"/>
    <w:rsid w:val="05B32DAB"/>
    <w:rsid w:val="05B9F3D5"/>
    <w:rsid w:val="05BA3E6D"/>
    <w:rsid w:val="05D2546C"/>
    <w:rsid w:val="05D2DB14"/>
    <w:rsid w:val="05D311B7"/>
    <w:rsid w:val="05D8D904"/>
    <w:rsid w:val="05DD3EC2"/>
    <w:rsid w:val="05F0505A"/>
    <w:rsid w:val="05FA71B3"/>
    <w:rsid w:val="05FA7315"/>
    <w:rsid w:val="05FD54E9"/>
    <w:rsid w:val="06108720"/>
    <w:rsid w:val="06171484"/>
    <w:rsid w:val="062A6E63"/>
    <w:rsid w:val="06424795"/>
    <w:rsid w:val="065893A5"/>
    <w:rsid w:val="06611A10"/>
    <w:rsid w:val="0661DD09"/>
    <w:rsid w:val="06875300"/>
    <w:rsid w:val="0687D4AC"/>
    <w:rsid w:val="06904476"/>
    <w:rsid w:val="06920BF6"/>
    <w:rsid w:val="069323B9"/>
    <w:rsid w:val="06940629"/>
    <w:rsid w:val="06A08782"/>
    <w:rsid w:val="06A486A6"/>
    <w:rsid w:val="06B62D04"/>
    <w:rsid w:val="06C9597C"/>
    <w:rsid w:val="06CCED98"/>
    <w:rsid w:val="06CD6E44"/>
    <w:rsid w:val="06CDCDCB"/>
    <w:rsid w:val="06D3DBA1"/>
    <w:rsid w:val="06D53AF4"/>
    <w:rsid w:val="06D6C630"/>
    <w:rsid w:val="06DDDB6B"/>
    <w:rsid w:val="06F1FB70"/>
    <w:rsid w:val="06F26CE8"/>
    <w:rsid w:val="06F8145A"/>
    <w:rsid w:val="06FCE72F"/>
    <w:rsid w:val="0718D645"/>
    <w:rsid w:val="071AEF68"/>
    <w:rsid w:val="072221A6"/>
    <w:rsid w:val="0724D883"/>
    <w:rsid w:val="072FFE3A"/>
    <w:rsid w:val="073574FE"/>
    <w:rsid w:val="07393FC6"/>
    <w:rsid w:val="074265F0"/>
    <w:rsid w:val="0743B5E9"/>
    <w:rsid w:val="074407D8"/>
    <w:rsid w:val="074B0DE9"/>
    <w:rsid w:val="074F9E4B"/>
    <w:rsid w:val="07513E6C"/>
    <w:rsid w:val="0753A07D"/>
    <w:rsid w:val="07613947"/>
    <w:rsid w:val="07634CF3"/>
    <w:rsid w:val="0765D3C0"/>
    <w:rsid w:val="07688B45"/>
    <w:rsid w:val="07700B8F"/>
    <w:rsid w:val="0771D48F"/>
    <w:rsid w:val="077363B1"/>
    <w:rsid w:val="078554B0"/>
    <w:rsid w:val="078F714B"/>
    <w:rsid w:val="079481B9"/>
    <w:rsid w:val="07A71664"/>
    <w:rsid w:val="07A908C0"/>
    <w:rsid w:val="07B3EC77"/>
    <w:rsid w:val="07C9C89C"/>
    <w:rsid w:val="07CE5B81"/>
    <w:rsid w:val="07D222E2"/>
    <w:rsid w:val="07D41A9E"/>
    <w:rsid w:val="07DA0918"/>
    <w:rsid w:val="07DA90D3"/>
    <w:rsid w:val="07DD1722"/>
    <w:rsid w:val="07DDD154"/>
    <w:rsid w:val="07DE7068"/>
    <w:rsid w:val="07DF0770"/>
    <w:rsid w:val="07E00318"/>
    <w:rsid w:val="07FF16DF"/>
    <w:rsid w:val="080515C4"/>
    <w:rsid w:val="080AC3B3"/>
    <w:rsid w:val="081B992A"/>
    <w:rsid w:val="081F4380"/>
    <w:rsid w:val="0839EA2C"/>
    <w:rsid w:val="083B0AB6"/>
    <w:rsid w:val="083FDF09"/>
    <w:rsid w:val="08405331"/>
    <w:rsid w:val="08476D39"/>
    <w:rsid w:val="08540B02"/>
    <w:rsid w:val="08581676"/>
    <w:rsid w:val="085C2500"/>
    <w:rsid w:val="08620512"/>
    <w:rsid w:val="086FC278"/>
    <w:rsid w:val="0877E3E2"/>
    <w:rsid w:val="08890A42"/>
    <w:rsid w:val="088D6516"/>
    <w:rsid w:val="088F9BC8"/>
    <w:rsid w:val="089A4EB2"/>
    <w:rsid w:val="089C9AC5"/>
    <w:rsid w:val="08C3394F"/>
    <w:rsid w:val="08C4F65C"/>
    <w:rsid w:val="08CA4F49"/>
    <w:rsid w:val="08CB0F8F"/>
    <w:rsid w:val="08F7682D"/>
    <w:rsid w:val="08F8D80F"/>
    <w:rsid w:val="08FF0AAC"/>
    <w:rsid w:val="091322DD"/>
    <w:rsid w:val="0914AAB5"/>
    <w:rsid w:val="091B4FF2"/>
    <w:rsid w:val="091F8E9E"/>
    <w:rsid w:val="09200F91"/>
    <w:rsid w:val="0926E478"/>
    <w:rsid w:val="092AB2B8"/>
    <w:rsid w:val="092DE673"/>
    <w:rsid w:val="092FC2B1"/>
    <w:rsid w:val="0944956A"/>
    <w:rsid w:val="09492ABB"/>
    <w:rsid w:val="094ECDDB"/>
    <w:rsid w:val="0950ED9D"/>
    <w:rsid w:val="0951093B"/>
    <w:rsid w:val="09592262"/>
    <w:rsid w:val="096E0A98"/>
    <w:rsid w:val="096EAB15"/>
    <w:rsid w:val="09782B9F"/>
    <w:rsid w:val="0979E14E"/>
    <w:rsid w:val="097CDCD3"/>
    <w:rsid w:val="09850CC9"/>
    <w:rsid w:val="0989219E"/>
    <w:rsid w:val="0995F229"/>
    <w:rsid w:val="099D1FF2"/>
    <w:rsid w:val="09A0C0E0"/>
    <w:rsid w:val="09A4098B"/>
    <w:rsid w:val="09A8344A"/>
    <w:rsid w:val="09B3A277"/>
    <w:rsid w:val="09B45949"/>
    <w:rsid w:val="09B4DF63"/>
    <w:rsid w:val="09BC1749"/>
    <w:rsid w:val="09BC4005"/>
    <w:rsid w:val="09C0E5A3"/>
    <w:rsid w:val="09C42D67"/>
    <w:rsid w:val="09C57786"/>
    <w:rsid w:val="09D32382"/>
    <w:rsid w:val="09E1C1A2"/>
    <w:rsid w:val="09E743FD"/>
    <w:rsid w:val="09FA2E45"/>
    <w:rsid w:val="09FEE942"/>
    <w:rsid w:val="0A01629B"/>
    <w:rsid w:val="0A018481"/>
    <w:rsid w:val="0A096583"/>
    <w:rsid w:val="0A0D84C2"/>
    <w:rsid w:val="0A0F33DE"/>
    <w:rsid w:val="0A17A51C"/>
    <w:rsid w:val="0A27E5D3"/>
    <w:rsid w:val="0A2BFCF0"/>
    <w:rsid w:val="0A3A4D62"/>
    <w:rsid w:val="0A3B3711"/>
    <w:rsid w:val="0A3CDAD0"/>
    <w:rsid w:val="0A4BC6A4"/>
    <w:rsid w:val="0A51636B"/>
    <w:rsid w:val="0A575AD9"/>
    <w:rsid w:val="0A61851C"/>
    <w:rsid w:val="0A619319"/>
    <w:rsid w:val="0A643E00"/>
    <w:rsid w:val="0A69A40A"/>
    <w:rsid w:val="0A6F8DC7"/>
    <w:rsid w:val="0A706467"/>
    <w:rsid w:val="0A768ADE"/>
    <w:rsid w:val="0A7EE16F"/>
    <w:rsid w:val="0A85A308"/>
    <w:rsid w:val="0A87EE73"/>
    <w:rsid w:val="0A9156A0"/>
    <w:rsid w:val="0A995945"/>
    <w:rsid w:val="0AA165F9"/>
    <w:rsid w:val="0AADE778"/>
    <w:rsid w:val="0ABBD02E"/>
    <w:rsid w:val="0ABCE5FC"/>
    <w:rsid w:val="0ABE1AC5"/>
    <w:rsid w:val="0AC09EFD"/>
    <w:rsid w:val="0AC84CD9"/>
    <w:rsid w:val="0AD2FBB1"/>
    <w:rsid w:val="0AD82DC0"/>
    <w:rsid w:val="0AE23F45"/>
    <w:rsid w:val="0AE91ED0"/>
    <w:rsid w:val="0AEE94FE"/>
    <w:rsid w:val="0AF00BB5"/>
    <w:rsid w:val="0AF212CA"/>
    <w:rsid w:val="0AF80DB5"/>
    <w:rsid w:val="0B0A4FBC"/>
    <w:rsid w:val="0B0BB46A"/>
    <w:rsid w:val="0B152693"/>
    <w:rsid w:val="0B237C7C"/>
    <w:rsid w:val="0B31064B"/>
    <w:rsid w:val="0B3513AB"/>
    <w:rsid w:val="0B3A1C78"/>
    <w:rsid w:val="0B3B7436"/>
    <w:rsid w:val="0B40457F"/>
    <w:rsid w:val="0B52BD6A"/>
    <w:rsid w:val="0B540DBE"/>
    <w:rsid w:val="0B5813C3"/>
    <w:rsid w:val="0B65A028"/>
    <w:rsid w:val="0B76E0F5"/>
    <w:rsid w:val="0B887090"/>
    <w:rsid w:val="0B937D95"/>
    <w:rsid w:val="0BA31724"/>
    <w:rsid w:val="0BAAAAF0"/>
    <w:rsid w:val="0BB1506F"/>
    <w:rsid w:val="0BB1AD0C"/>
    <w:rsid w:val="0BB6C1D4"/>
    <w:rsid w:val="0BB85514"/>
    <w:rsid w:val="0BC40ACD"/>
    <w:rsid w:val="0BC82577"/>
    <w:rsid w:val="0BCD740F"/>
    <w:rsid w:val="0BD049B3"/>
    <w:rsid w:val="0BD4293F"/>
    <w:rsid w:val="0BD8C4A2"/>
    <w:rsid w:val="0BE23EA1"/>
    <w:rsid w:val="0BEC1C38"/>
    <w:rsid w:val="0BF89C22"/>
    <w:rsid w:val="0C09F4F6"/>
    <w:rsid w:val="0C0BF8A0"/>
    <w:rsid w:val="0C127400"/>
    <w:rsid w:val="0C1B45F2"/>
    <w:rsid w:val="0C1C52E3"/>
    <w:rsid w:val="0C1DD483"/>
    <w:rsid w:val="0C23F38B"/>
    <w:rsid w:val="0C3AC3F7"/>
    <w:rsid w:val="0C3E444F"/>
    <w:rsid w:val="0C3ECAC4"/>
    <w:rsid w:val="0C45D5DD"/>
    <w:rsid w:val="0C49C9C7"/>
    <w:rsid w:val="0C4C5EAB"/>
    <w:rsid w:val="0C5EB20A"/>
    <w:rsid w:val="0C62EB3B"/>
    <w:rsid w:val="0C636717"/>
    <w:rsid w:val="0C63F315"/>
    <w:rsid w:val="0C7ED2AF"/>
    <w:rsid w:val="0C828BC8"/>
    <w:rsid w:val="0C860317"/>
    <w:rsid w:val="0C95158D"/>
    <w:rsid w:val="0C96BA63"/>
    <w:rsid w:val="0C97AE23"/>
    <w:rsid w:val="0CAA41AE"/>
    <w:rsid w:val="0CAE6681"/>
    <w:rsid w:val="0CB64F5A"/>
    <w:rsid w:val="0CB9310C"/>
    <w:rsid w:val="0CBDEC61"/>
    <w:rsid w:val="0CC77567"/>
    <w:rsid w:val="0CCC2063"/>
    <w:rsid w:val="0CDD1A4C"/>
    <w:rsid w:val="0CDE9241"/>
    <w:rsid w:val="0CE03815"/>
    <w:rsid w:val="0CE12544"/>
    <w:rsid w:val="0CE824FE"/>
    <w:rsid w:val="0CF9F8A3"/>
    <w:rsid w:val="0CFA9BF7"/>
    <w:rsid w:val="0CFD92A6"/>
    <w:rsid w:val="0D06B147"/>
    <w:rsid w:val="0D079DF7"/>
    <w:rsid w:val="0D090F71"/>
    <w:rsid w:val="0D11DFCD"/>
    <w:rsid w:val="0D14B972"/>
    <w:rsid w:val="0D1C72A7"/>
    <w:rsid w:val="0D27A32A"/>
    <w:rsid w:val="0D2B6598"/>
    <w:rsid w:val="0D2D989E"/>
    <w:rsid w:val="0D379390"/>
    <w:rsid w:val="0D40C866"/>
    <w:rsid w:val="0D40F834"/>
    <w:rsid w:val="0D435308"/>
    <w:rsid w:val="0D43E2A2"/>
    <w:rsid w:val="0D4C3B7A"/>
    <w:rsid w:val="0D559DA0"/>
    <w:rsid w:val="0D5BFF28"/>
    <w:rsid w:val="0D613E7A"/>
    <w:rsid w:val="0D6476D4"/>
    <w:rsid w:val="0D6984A5"/>
    <w:rsid w:val="0D6A9E1F"/>
    <w:rsid w:val="0D75A6B7"/>
    <w:rsid w:val="0D75A810"/>
    <w:rsid w:val="0D779AE9"/>
    <w:rsid w:val="0D78B8A7"/>
    <w:rsid w:val="0D79F120"/>
    <w:rsid w:val="0D7D6A02"/>
    <w:rsid w:val="0D7FE8D1"/>
    <w:rsid w:val="0D805621"/>
    <w:rsid w:val="0D91678D"/>
    <w:rsid w:val="0D948BB4"/>
    <w:rsid w:val="0D98988D"/>
    <w:rsid w:val="0DA2BD8A"/>
    <w:rsid w:val="0DA3DAB3"/>
    <w:rsid w:val="0DA460F9"/>
    <w:rsid w:val="0DA5DF6C"/>
    <w:rsid w:val="0DA7260E"/>
    <w:rsid w:val="0DBE219A"/>
    <w:rsid w:val="0DC1AFBA"/>
    <w:rsid w:val="0DD6A3E7"/>
    <w:rsid w:val="0DD85716"/>
    <w:rsid w:val="0DDA121D"/>
    <w:rsid w:val="0DDC2F7E"/>
    <w:rsid w:val="0DDE0981"/>
    <w:rsid w:val="0DE0450B"/>
    <w:rsid w:val="0DE9AAAE"/>
    <w:rsid w:val="0DF19AB8"/>
    <w:rsid w:val="0DF380B4"/>
    <w:rsid w:val="0DF5BB94"/>
    <w:rsid w:val="0DF8F606"/>
    <w:rsid w:val="0E06875F"/>
    <w:rsid w:val="0E091F92"/>
    <w:rsid w:val="0E1248DF"/>
    <w:rsid w:val="0E16AE98"/>
    <w:rsid w:val="0E244D99"/>
    <w:rsid w:val="0E26D5C7"/>
    <w:rsid w:val="0E2C8AD4"/>
    <w:rsid w:val="0E2FE585"/>
    <w:rsid w:val="0E3409FE"/>
    <w:rsid w:val="0E3489AE"/>
    <w:rsid w:val="0E36A001"/>
    <w:rsid w:val="0E3859F2"/>
    <w:rsid w:val="0E3BB3D8"/>
    <w:rsid w:val="0E520076"/>
    <w:rsid w:val="0E5E34E7"/>
    <w:rsid w:val="0E5FA332"/>
    <w:rsid w:val="0E72BDA9"/>
    <w:rsid w:val="0E834F26"/>
    <w:rsid w:val="0E85F037"/>
    <w:rsid w:val="0E8C61D4"/>
    <w:rsid w:val="0E8CA1A3"/>
    <w:rsid w:val="0E913D37"/>
    <w:rsid w:val="0E9973D2"/>
    <w:rsid w:val="0E9BD2DE"/>
    <w:rsid w:val="0EA37BA8"/>
    <w:rsid w:val="0EB3E346"/>
    <w:rsid w:val="0EBDD00C"/>
    <w:rsid w:val="0EC6C0C4"/>
    <w:rsid w:val="0EC6D546"/>
    <w:rsid w:val="0EDE25CE"/>
    <w:rsid w:val="0EE1680C"/>
    <w:rsid w:val="0EEE12BF"/>
    <w:rsid w:val="0EEEC39E"/>
    <w:rsid w:val="0EF18FAB"/>
    <w:rsid w:val="0EFC4CEA"/>
    <w:rsid w:val="0F118FF1"/>
    <w:rsid w:val="0F169BFC"/>
    <w:rsid w:val="0F19015D"/>
    <w:rsid w:val="0F223622"/>
    <w:rsid w:val="0F23A442"/>
    <w:rsid w:val="0F25BE5B"/>
    <w:rsid w:val="0F25DD3E"/>
    <w:rsid w:val="0F2697EF"/>
    <w:rsid w:val="0F31BCAA"/>
    <w:rsid w:val="0F33D105"/>
    <w:rsid w:val="0F487B99"/>
    <w:rsid w:val="0F54A167"/>
    <w:rsid w:val="0F563D54"/>
    <w:rsid w:val="0F5F84FF"/>
    <w:rsid w:val="0F62448A"/>
    <w:rsid w:val="0F64BECE"/>
    <w:rsid w:val="0F655200"/>
    <w:rsid w:val="0F6AD710"/>
    <w:rsid w:val="0F6BC652"/>
    <w:rsid w:val="0F6F2F64"/>
    <w:rsid w:val="0F8236DD"/>
    <w:rsid w:val="0F8810E8"/>
    <w:rsid w:val="0F914323"/>
    <w:rsid w:val="0F9957D0"/>
    <w:rsid w:val="0FA017A7"/>
    <w:rsid w:val="0FACCBD3"/>
    <w:rsid w:val="0FB8AC2A"/>
    <w:rsid w:val="0FBFF2D1"/>
    <w:rsid w:val="0FC2A628"/>
    <w:rsid w:val="0FC64FE2"/>
    <w:rsid w:val="0FCF6F37"/>
    <w:rsid w:val="0FD2FF42"/>
    <w:rsid w:val="0FD58FD4"/>
    <w:rsid w:val="0FD92969"/>
    <w:rsid w:val="0FE1FFC0"/>
    <w:rsid w:val="0FE4AF00"/>
    <w:rsid w:val="0FE665D4"/>
    <w:rsid w:val="0FE6AF38"/>
    <w:rsid w:val="0FF147C8"/>
    <w:rsid w:val="0FF72259"/>
    <w:rsid w:val="0FFA6545"/>
    <w:rsid w:val="100D53E9"/>
    <w:rsid w:val="100F3A0A"/>
    <w:rsid w:val="1018DF89"/>
    <w:rsid w:val="1021F024"/>
    <w:rsid w:val="10256FC9"/>
    <w:rsid w:val="102AFD08"/>
    <w:rsid w:val="102CA991"/>
    <w:rsid w:val="1048ADC5"/>
    <w:rsid w:val="104F7E3C"/>
    <w:rsid w:val="1050D174"/>
    <w:rsid w:val="1052FEBD"/>
    <w:rsid w:val="1056B13D"/>
    <w:rsid w:val="1063ED56"/>
    <w:rsid w:val="1079D355"/>
    <w:rsid w:val="107AF3CA"/>
    <w:rsid w:val="107B5FF3"/>
    <w:rsid w:val="107F5621"/>
    <w:rsid w:val="1087088D"/>
    <w:rsid w:val="108EAC38"/>
    <w:rsid w:val="108FE22F"/>
    <w:rsid w:val="10903EC1"/>
    <w:rsid w:val="1095656B"/>
    <w:rsid w:val="1097C715"/>
    <w:rsid w:val="10980026"/>
    <w:rsid w:val="10983CB5"/>
    <w:rsid w:val="1098A299"/>
    <w:rsid w:val="109A97AD"/>
    <w:rsid w:val="109CC484"/>
    <w:rsid w:val="10A9D4AF"/>
    <w:rsid w:val="10AA25F6"/>
    <w:rsid w:val="10ABDAC2"/>
    <w:rsid w:val="10B40FB8"/>
    <w:rsid w:val="10B9077D"/>
    <w:rsid w:val="10BD03CA"/>
    <w:rsid w:val="10C32EEF"/>
    <w:rsid w:val="10CEAC63"/>
    <w:rsid w:val="10D20712"/>
    <w:rsid w:val="10DA8D9E"/>
    <w:rsid w:val="10DF959D"/>
    <w:rsid w:val="10E31FE1"/>
    <w:rsid w:val="10E6AEB8"/>
    <w:rsid w:val="10EA0075"/>
    <w:rsid w:val="10EB1F7F"/>
    <w:rsid w:val="10EEA69B"/>
    <w:rsid w:val="10F0F162"/>
    <w:rsid w:val="10F221F9"/>
    <w:rsid w:val="10FF6DC3"/>
    <w:rsid w:val="110038EF"/>
    <w:rsid w:val="1102BAE5"/>
    <w:rsid w:val="1106A771"/>
    <w:rsid w:val="110AB382"/>
    <w:rsid w:val="110ED67D"/>
    <w:rsid w:val="110FB0A1"/>
    <w:rsid w:val="1118667F"/>
    <w:rsid w:val="1139C118"/>
    <w:rsid w:val="1141A630"/>
    <w:rsid w:val="1144D21C"/>
    <w:rsid w:val="114A2C2E"/>
    <w:rsid w:val="114FE393"/>
    <w:rsid w:val="11547C8B"/>
    <w:rsid w:val="115756E3"/>
    <w:rsid w:val="115E7689"/>
    <w:rsid w:val="11634AC1"/>
    <w:rsid w:val="1169863F"/>
    <w:rsid w:val="116B6EB6"/>
    <w:rsid w:val="116D5657"/>
    <w:rsid w:val="11755F37"/>
    <w:rsid w:val="117B7AF1"/>
    <w:rsid w:val="117CCBB2"/>
    <w:rsid w:val="117D70A9"/>
    <w:rsid w:val="11826910"/>
    <w:rsid w:val="118314E7"/>
    <w:rsid w:val="1194A0EE"/>
    <w:rsid w:val="11A076DE"/>
    <w:rsid w:val="11A17316"/>
    <w:rsid w:val="11A9EEC5"/>
    <w:rsid w:val="11AEE1F3"/>
    <w:rsid w:val="11B70170"/>
    <w:rsid w:val="11BCC6DF"/>
    <w:rsid w:val="11C5695D"/>
    <w:rsid w:val="11C9D50D"/>
    <w:rsid w:val="11CF6746"/>
    <w:rsid w:val="11D0F102"/>
    <w:rsid w:val="11D9F91E"/>
    <w:rsid w:val="11DEE0DC"/>
    <w:rsid w:val="11EE11EB"/>
    <w:rsid w:val="11F078A6"/>
    <w:rsid w:val="11F350D2"/>
    <w:rsid w:val="11FF612A"/>
    <w:rsid w:val="1216C42B"/>
    <w:rsid w:val="1216FFE7"/>
    <w:rsid w:val="1223DF9D"/>
    <w:rsid w:val="12254042"/>
    <w:rsid w:val="122AAA16"/>
    <w:rsid w:val="12340A73"/>
    <w:rsid w:val="12358550"/>
    <w:rsid w:val="12381232"/>
    <w:rsid w:val="1239EB04"/>
    <w:rsid w:val="124589D5"/>
    <w:rsid w:val="12483B57"/>
    <w:rsid w:val="124DFD15"/>
    <w:rsid w:val="1251D5B1"/>
    <w:rsid w:val="12533F32"/>
    <w:rsid w:val="1254FB08"/>
    <w:rsid w:val="1257C33E"/>
    <w:rsid w:val="12606C8B"/>
    <w:rsid w:val="1261FE58"/>
    <w:rsid w:val="12711211"/>
    <w:rsid w:val="127AD1C0"/>
    <w:rsid w:val="127F8DC4"/>
    <w:rsid w:val="128BD357"/>
    <w:rsid w:val="128F011C"/>
    <w:rsid w:val="129B0EAF"/>
    <w:rsid w:val="129B6F48"/>
    <w:rsid w:val="12A277D2"/>
    <w:rsid w:val="12A32E43"/>
    <w:rsid w:val="12A36714"/>
    <w:rsid w:val="12AAA6DE"/>
    <w:rsid w:val="12BE8FAD"/>
    <w:rsid w:val="12CA0BD6"/>
    <w:rsid w:val="12D1F1E2"/>
    <w:rsid w:val="12E67B2C"/>
    <w:rsid w:val="12EB0E6E"/>
    <w:rsid w:val="12EDA776"/>
    <w:rsid w:val="12F08567"/>
    <w:rsid w:val="13098FDC"/>
    <w:rsid w:val="13128486"/>
    <w:rsid w:val="1312C48D"/>
    <w:rsid w:val="13287290"/>
    <w:rsid w:val="1339EAA5"/>
    <w:rsid w:val="134F6ED4"/>
    <w:rsid w:val="134FF723"/>
    <w:rsid w:val="13504CC1"/>
    <w:rsid w:val="1351B416"/>
    <w:rsid w:val="13539C67"/>
    <w:rsid w:val="135A7953"/>
    <w:rsid w:val="135E4FE6"/>
    <w:rsid w:val="13675557"/>
    <w:rsid w:val="13714C10"/>
    <w:rsid w:val="1376928E"/>
    <w:rsid w:val="13813931"/>
    <w:rsid w:val="138C59C8"/>
    <w:rsid w:val="138D1AA4"/>
    <w:rsid w:val="138EFC39"/>
    <w:rsid w:val="1391EB91"/>
    <w:rsid w:val="139B6055"/>
    <w:rsid w:val="139BA2CD"/>
    <w:rsid w:val="13A280D9"/>
    <w:rsid w:val="13A3917B"/>
    <w:rsid w:val="13A668A6"/>
    <w:rsid w:val="13B13943"/>
    <w:rsid w:val="13C22B01"/>
    <w:rsid w:val="13D07FFE"/>
    <w:rsid w:val="13DD0C5B"/>
    <w:rsid w:val="13E0E141"/>
    <w:rsid w:val="13E5BD1A"/>
    <w:rsid w:val="13ED35F9"/>
    <w:rsid w:val="13F51623"/>
    <w:rsid w:val="14060BB4"/>
    <w:rsid w:val="140760E8"/>
    <w:rsid w:val="14083E86"/>
    <w:rsid w:val="140F8787"/>
    <w:rsid w:val="141A8209"/>
    <w:rsid w:val="141D17B2"/>
    <w:rsid w:val="141E660E"/>
    <w:rsid w:val="142170FB"/>
    <w:rsid w:val="142F3F18"/>
    <w:rsid w:val="143E3841"/>
    <w:rsid w:val="14458B16"/>
    <w:rsid w:val="144C630C"/>
    <w:rsid w:val="145332F8"/>
    <w:rsid w:val="1455509F"/>
    <w:rsid w:val="1458A49B"/>
    <w:rsid w:val="146ACE46"/>
    <w:rsid w:val="146F3488"/>
    <w:rsid w:val="14797C2F"/>
    <w:rsid w:val="147E3D9F"/>
    <w:rsid w:val="1480C42F"/>
    <w:rsid w:val="1488C606"/>
    <w:rsid w:val="14951679"/>
    <w:rsid w:val="1496AB10"/>
    <w:rsid w:val="14A0A8E4"/>
    <w:rsid w:val="14A5A794"/>
    <w:rsid w:val="14B0C1A1"/>
    <w:rsid w:val="14BC1D20"/>
    <w:rsid w:val="14BFAC14"/>
    <w:rsid w:val="14C442F1"/>
    <w:rsid w:val="14C8BA62"/>
    <w:rsid w:val="14D4316E"/>
    <w:rsid w:val="14DC5714"/>
    <w:rsid w:val="14E3EDCC"/>
    <w:rsid w:val="14F834C7"/>
    <w:rsid w:val="14FA3070"/>
    <w:rsid w:val="14FAC999"/>
    <w:rsid w:val="14FC7718"/>
    <w:rsid w:val="150406C5"/>
    <w:rsid w:val="1505ADDC"/>
    <w:rsid w:val="1507B197"/>
    <w:rsid w:val="150C4A3B"/>
    <w:rsid w:val="151FF48D"/>
    <w:rsid w:val="1527DBE8"/>
    <w:rsid w:val="1534C826"/>
    <w:rsid w:val="153681B3"/>
    <w:rsid w:val="154E64F1"/>
    <w:rsid w:val="157A04FA"/>
    <w:rsid w:val="15827F47"/>
    <w:rsid w:val="158F0646"/>
    <w:rsid w:val="158F74C5"/>
    <w:rsid w:val="15A11039"/>
    <w:rsid w:val="15A47E19"/>
    <w:rsid w:val="15A70556"/>
    <w:rsid w:val="15AA5DD7"/>
    <w:rsid w:val="15AAE585"/>
    <w:rsid w:val="15AC1897"/>
    <w:rsid w:val="15B3ADB3"/>
    <w:rsid w:val="15C151F5"/>
    <w:rsid w:val="15C60AAF"/>
    <w:rsid w:val="15CA078E"/>
    <w:rsid w:val="15CC5369"/>
    <w:rsid w:val="15DA77F5"/>
    <w:rsid w:val="15DEA706"/>
    <w:rsid w:val="15E247A0"/>
    <w:rsid w:val="15E60C07"/>
    <w:rsid w:val="15F4A78D"/>
    <w:rsid w:val="16082704"/>
    <w:rsid w:val="16100FB5"/>
    <w:rsid w:val="1611551B"/>
    <w:rsid w:val="1611EBA3"/>
    <w:rsid w:val="16145F3C"/>
    <w:rsid w:val="1614F2FB"/>
    <w:rsid w:val="161DD527"/>
    <w:rsid w:val="16211B88"/>
    <w:rsid w:val="1629699E"/>
    <w:rsid w:val="162F4D91"/>
    <w:rsid w:val="1646EAF5"/>
    <w:rsid w:val="1663C55C"/>
    <w:rsid w:val="167ECB09"/>
    <w:rsid w:val="1682B2F4"/>
    <w:rsid w:val="1688A3A2"/>
    <w:rsid w:val="168F255F"/>
    <w:rsid w:val="16932888"/>
    <w:rsid w:val="1695F0A8"/>
    <w:rsid w:val="1699F188"/>
    <w:rsid w:val="169E7C55"/>
    <w:rsid w:val="16A27FA3"/>
    <w:rsid w:val="16A54303"/>
    <w:rsid w:val="16B04AC3"/>
    <w:rsid w:val="16B50D4F"/>
    <w:rsid w:val="16B5383C"/>
    <w:rsid w:val="16B5A0D2"/>
    <w:rsid w:val="16B702A2"/>
    <w:rsid w:val="16B98784"/>
    <w:rsid w:val="16C4EB47"/>
    <w:rsid w:val="16C5A193"/>
    <w:rsid w:val="16C70AB7"/>
    <w:rsid w:val="16CD8871"/>
    <w:rsid w:val="16D4DB04"/>
    <w:rsid w:val="16D7C4DF"/>
    <w:rsid w:val="16DC72A3"/>
    <w:rsid w:val="16E37C88"/>
    <w:rsid w:val="16E73650"/>
    <w:rsid w:val="16E80B5F"/>
    <w:rsid w:val="16EB9E0F"/>
    <w:rsid w:val="16ED46D1"/>
    <w:rsid w:val="16FE1D0C"/>
    <w:rsid w:val="16FFC3A2"/>
    <w:rsid w:val="17024528"/>
    <w:rsid w:val="170AB315"/>
    <w:rsid w:val="170AF23A"/>
    <w:rsid w:val="172028FB"/>
    <w:rsid w:val="17242748"/>
    <w:rsid w:val="17286C2B"/>
    <w:rsid w:val="172BBA62"/>
    <w:rsid w:val="172D9B0C"/>
    <w:rsid w:val="172ED828"/>
    <w:rsid w:val="17443B8F"/>
    <w:rsid w:val="1744E22C"/>
    <w:rsid w:val="174ABCF9"/>
    <w:rsid w:val="174E481E"/>
    <w:rsid w:val="175222CB"/>
    <w:rsid w:val="1753FF2B"/>
    <w:rsid w:val="175740A0"/>
    <w:rsid w:val="17581DAF"/>
    <w:rsid w:val="175DA9A2"/>
    <w:rsid w:val="177102DF"/>
    <w:rsid w:val="1779CE07"/>
    <w:rsid w:val="177E068B"/>
    <w:rsid w:val="178326EB"/>
    <w:rsid w:val="1789F056"/>
    <w:rsid w:val="178F8CBA"/>
    <w:rsid w:val="17952620"/>
    <w:rsid w:val="17A22563"/>
    <w:rsid w:val="17B26F55"/>
    <w:rsid w:val="17B3F262"/>
    <w:rsid w:val="17BBF1B7"/>
    <w:rsid w:val="17C2EB4A"/>
    <w:rsid w:val="17CC8F6E"/>
    <w:rsid w:val="17CE834C"/>
    <w:rsid w:val="17D35817"/>
    <w:rsid w:val="17DAFC84"/>
    <w:rsid w:val="17DBDCD7"/>
    <w:rsid w:val="17DDAA4D"/>
    <w:rsid w:val="17E139B5"/>
    <w:rsid w:val="17E37D36"/>
    <w:rsid w:val="17E428B4"/>
    <w:rsid w:val="17E86263"/>
    <w:rsid w:val="17EF2253"/>
    <w:rsid w:val="17F013C8"/>
    <w:rsid w:val="17F1BD38"/>
    <w:rsid w:val="17F4C5E1"/>
    <w:rsid w:val="17F8F2CD"/>
    <w:rsid w:val="17FA8886"/>
    <w:rsid w:val="17FD62B2"/>
    <w:rsid w:val="17FE5A3D"/>
    <w:rsid w:val="1801B685"/>
    <w:rsid w:val="180743E9"/>
    <w:rsid w:val="1810DB53"/>
    <w:rsid w:val="18166661"/>
    <w:rsid w:val="181AE7F7"/>
    <w:rsid w:val="182371D9"/>
    <w:rsid w:val="1827DDB6"/>
    <w:rsid w:val="182BBFAD"/>
    <w:rsid w:val="182CE67D"/>
    <w:rsid w:val="182E8C4E"/>
    <w:rsid w:val="182EF8E9"/>
    <w:rsid w:val="183317C4"/>
    <w:rsid w:val="18448A34"/>
    <w:rsid w:val="184B5C44"/>
    <w:rsid w:val="184FAFD2"/>
    <w:rsid w:val="1857AB89"/>
    <w:rsid w:val="18685FE5"/>
    <w:rsid w:val="1871B21C"/>
    <w:rsid w:val="18731AF4"/>
    <w:rsid w:val="18775C1C"/>
    <w:rsid w:val="187E677B"/>
    <w:rsid w:val="187FD7BE"/>
    <w:rsid w:val="188EF870"/>
    <w:rsid w:val="189261F0"/>
    <w:rsid w:val="18BA2009"/>
    <w:rsid w:val="18BAFB77"/>
    <w:rsid w:val="18C969B2"/>
    <w:rsid w:val="18EA187F"/>
    <w:rsid w:val="18EDA152"/>
    <w:rsid w:val="18EE5FAC"/>
    <w:rsid w:val="18EED96E"/>
    <w:rsid w:val="19076557"/>
    <w:rsid w:val="190BF685"/>
    <w:rsid w:val="191527B9"/>
    <w:rsid w:val="19190E92"/>
    <w:rsid w:val="19238947"/>
    <w:rsid w:val="1923D711"/>
    <w:rsid w:val="19297EF4"/>
    <w:rsid w:val="192D90C4"/>
    <w:rsid w:val="19350DEF"/>
    <w:rsid w:val="19357093"/>
    <w:rsid w:val="1950376B"/>
    <w:rsid w:val="19509A61"/>
    <w:rsid w:val="1953F2C6"/>
    <w:rsid w:val="196086DB"/>
    <w:rsid w:val="19657E12"/>
    <w:rsid w:val="19685FCF"/>
    <w:rsid w:val="196D383F"/>
    <w:rsid w:val="196EC414"/>
    <w:rsid w:val="19733BCE"/>
    <w:rsid w:val="197B88F4"/>
    <w:rsid w:val="197EDAD5"/>
    <w:rsid w:val="198A0FB3"/>
    <w:rsid w:val="1991D880"/>
    <w:rsid w:val="19935AB2"/>
    <w:rsid w:val="199693C0"/>
    <w:rsid w:val="199A6F6B"/>
    <w:rsid w:val="199B995C"/>
    <w:rsid w:val="199C6F1F"/>
    <w:rsid w:val="19B63EDF"/>
    <w:rsid w:val="19B79BC9"/>
    <w:rsid w:val="19B7A5FB"/>
    <w:rsid w:val="19B8DAC2"/>
    <w:rsid w:val="19E66C1F"/>
    <w:rsid w:val="19ED90EC"/>
    <w:rsid w:val="19EF64D7"/>
    <w:rsid w:val="19F95729"/>
    <w:rsid w:val="19FDFF95"/>
    <w:rsid w:val="19FF2F55"/>
    <w:rsid w:val="1A01D587"/>
    <w:rsid w:val="1A02888A"/>
    <w:rsid w:val="1A043046"/>
    <w:rsid w:val="1A046257"/>
    <w:rsid w:val="1A197BC6"/>
    <w:rsid w:val="1A2BC521"/>
    <w:rsid w:val="1A36BDF4"/>
    <w:rsid w:val="1A3701D8"/>
    <w:rsid w:val="1A3829F1"/>
    <w:rsid w:val="1A417439"/>
    <w:rsid w:val="1A41DF7A"/>
    <w:rsid w:val="1A47D0EF"/>
    <w:rsid w:val="1A493F90"/>
    <w:rsid w:val="1A4C80CA"/>
    <w:rsid w:val="1A56449B"/>
    <w:rsid w:val="1A574594"/>
    <w:rsid w:val="1A5D8881"/>
    <w:rsid w:val="1A62C91A"/>
    <w:rsid w:val="1A6863C6"/>
    <w:rsid w:val="1A6EB0F9"/>
    <w:rsid w:val="1A6F6CF8"/>
    <w:rsid w:val="1A74E3B6"/>
    <w:rsid w:val="1A77F2F0"/>
    <w:rsid w:val="1A7DF0F7"/>
    <w:rsid w:val="1A89C38D"/>
    <w:rsid w:val="1A8C97FB"/>
    <w:rsid w:val="1AA45178"/>
    <w:rsid w:val="1AAC90B3"/>
    <w:rsid w:val="1AB697DB"/>
    <w:rsid w:val="1ABBEE9C"/>
    <w:rsid w:val="1ABD82EF"/>
    <w:rsid w:val="1ACB76BD"/>
    <w:rsid w:val="1AD55A46"/>
    <w:rsid w:val="1AD6A627"/>
    <w:rsid w:val="1ADB32B7"/>
    <w:rsid w:val="1AED4912"/>
    <w:rsid w:val="1AF131DD"/>
    <w:rsid w:val="1AF69366"/>
    <w:rsid w:val="1AFC44DE"/>
    <w:rsid w:val="1AFD8704"/>
    <w:rsid w:val="1B02D604"/>
    <w:rsid w:val="1B094415"/>
    <w:rsid w:val="1B0D332B"/>
    <w:rsid w:val="1B0EE17A"/>
    <w:rsid w:val="1B2869E8"/>
    <w:rsid w:val="1B288CC6"/>
    <w:rsid w:val="1B2C35A7"/>
    <w:rsid w:val="1B2F3F6A"/>
    <w:rsid w:val="1B3769BD"/>
    <w:rsid w:val="1B47ABC5"/>
    <w:rsid w:val="1B48C88A"/>
    <w:rsid w:val="1B4A1B57"/>
    <w:rsid w:val="1B57F532"/>
    <w:rsid w:val="1B5C39EF"/>
    <w:rsid w:val="1B5D4932"/>
    <w:rsid w:val="1B5E784E"/>
    <w:rsid w:val="1B6256B3"/>
    <w:rsid w:val="1B62ED3A"/>
    <w:rsid w:val="1B69BACC"/>
    <w:rsid w:val="1B7A9672"/>
    <w:rsid w:val="1B7C1ED7"/>
    <w:rsid w:val="1B8B37EE"/>
    <w:rsid w:val="1B8FFED6"/>
    <w:rsid w:val="1B9A7967"/>
    <w:rsid w:val="1B9D1B43"/>
    <w:rsid w:val="1B9E4386"/>
    <w:rsid w:val="1BA06F60"/>
    <w:rsid w:val="1BAB247D"/>
    <w:rsid w:val="1BC1DAA2"/>
    <w:rsid w:val="1BC65D9C"/>
    <w:rsid w:val="1BC69932"/>
    <w:rsid w:val="1BD5F967"/>
    <w:rsid w:val="1BD9D96C"/>
    <w:rsid w:val="1BDA701F"/>
    <w:rsid w:val="1BDBB88B"/>
    <w:rsid w:val="1BDDC951"/>
    <w:rsid w:val="1BDFA042"/>
    <w:rsid w:val="1BE12AB7"/>
    <w:rsid w:val="1BE23740"/>
    <w:rsid w:val="1BE9AE51"/>
    <w:rsid w:val="1BF072DD"/>
    <w:rsid w:val="1BF1C0CB"/>
    <w:rsid w:val="1BF214FC"/>
    <w:rsid w:val="1BFABE8A"/>
    <w:rsid w:val="1BFB16F8"/>
    <w:rsid w:val="1C04A564"/>
    <w:rsid w:val="1C05EE51"/>
    <w:rsid w:val="1C0839AA"/>
    <w:rsid w:val="1C159B9E"/>
    <w:rsid w:val="1C1C8EC3"/>
    <w:rsid w:val="1C2C5B52"/>
    <w:rsid w:val="1C391FBB"/>
    <w:rsid w:val="1C3B6D0A"/>
    <w:rsid w:val="1C3FF84E"/>
    <w:rsid w:val="1C4E6294"/>
    <w:rsid w:val="1C553FAC"/>
    <w:rsid w:val="1C5BC090"/>
    <w:rsid w:val="1C690B96"/>
    <w:rsid w:val="1C69CA67"/>
    <w:rsid w:val="1C737F37"/>
    <w:rsid w:val="1C75E0AB"/>
    <w:rsid w:val="1C7A7723"/>
    <w:rsid w:val="1C83C477"/>
    <w:rsid w:val="1C872464"/>
    <w:rsid w:val="1C89CCCB"/>
    <w:rsid w:val="1C8EFF2C"/>
    <w:rsid w:val="1C9436D3"/>
    <w:rsid w:val="1C9ED118"/>
    <w:rsid w:val="1C9F9DB1"/>
    <w:rsid w:val="1CAFF965"/>
    <w:rsid w:val="1CB14FCE"/>
    <w:rsid w:val="1CB1DE76"/>
    <w:rsid w:val="1CB62C79"/>
    <w:rsid w:val="1CBD7CC0"/>
    <w:rsid w:val="1CC050FD"/>
    <w:rsid w:val="1CC1CED4"/>
    <w:rsid w:val="1CC45D27"/>
    <w:rsid w:val="1CD1CA60"/>
    <w:rsid w:val="1CD1F43E"/>
    <w:rsid w:val="1CD4078D"/>
    <w:rsid w:val="1CDBDADA"/>
    <w:rsid w:val="1CE0A2E1"/>
    <w:rsid w:val="1CE79145"/>
    <w:rsid w:val="1CEF81EE"/>
    <w:rsid w:val="1D026A0C"/>
    <w:rsid w:val="1D07DDBB"/>
    <w:rsid w:val="1D18CCE5"/>
    <w:rsid w:val="1D26A79C"/>
    <w:rsid w:val="1D2D58F4"/>
    <w:rsid w:val="1D308E25"/>
    <w:rsid w:val="1D324832"/>
    <w:rsid w:val="1D3684F9"/>
    <w:rsid w:val="1D3BD108"/>
    <w:rsid w:val="1D3EC294"/>
    <w:rsid w:val="1D4647A2"/>
    <w:rsid w:val="1D556A2D"/>
    <w:rsid w:val="1D56CC3F"/>
    <w:rsid w:val="1D5CFE5D"/>
    <w:rsid w:val="1D648B08"/>
    <w:rsid w:val="1D656B10"/>
    <w:rsid w:val="1D70B990"/>
    <w:rsid w:val="1D749345"/>
    <w:rsid w:val="1D79172F"/>
    <w:rsid w:val="1D7F81E6"/>
    <w:rsid w:val="1D84F022"/>
    <w:rsid w:val="1D95BBF9"/>
    <w:rsid w:val="1D983A99"/>
    <w:rsid w:val="1DA0DF54"/>
    <w:rsid w:val="1DA24697"/>
    <w:rsid w:val="1DB5805E"/>
    <w:rsid w:val="1DB6362D"/>
    <w:rsid w:val="1DB7A5EC"/>
    <w:rsid w:val="1DBA8AD7"/>
    <w:rsid w:val="1DBC7D7D"/>
    <w:rsid w:val="1DD224D0"/>
    <w:rsid w:val="1DD66877"/>
    <w:rsid w:val="1DDB8483"/>
    <w:rsid w:val="1DE82C4B"/>
    <w:rsid w:val="1DECFED7"/>
    <w:rsid w:val="1E02E562"/>
    <w:rsid w:val="1E0ED396"/>
    <w:rsid w:val="1E12384C"/>
    <w:rsid w:val="1E235C9A"/>
    <w:rsid w:val="1E23B256"/>
    <w:rsid w:val="1E2B98AD"/>
    <w:rsid w:val="1E2D11F9"/>
    <w:rsid w:val="1E2DDEDB"/>
    <w:rsid w:val="1E3478E2"/>
    <w:rsid w:val="1E3F91FB"/>
    <w:rsid w:val="1E422792"/>
    <w:rsid w:val="1E53F1C8"/>
    <w:rsid w:val="1E57D94C"/>
    <w:rsid w:val="1E5EC9E8"/>
    <w:rsid w:val="1E5F90AB"/>
    <w:rsid w:val="1E6FAE67"/>
    <w:rsid w:val="1E7CCD53"/>
    <w:rsid w:val="1E828A8F"/>
    <w:rsid w:val="1E8F1BDF"/>
    <w:rsid w:val="1EA79D60"/>
    <w:rsid w:val="1EC708E1"/>
    <w:rsid w:val="1ECC0AB5"/>
    <w:rsid w:val="1ECF7CB7"/>
    <w:rsid w:val="1ED4F586"/>
    <w:rsid w:val="1ED61DC5"/>
    <w:rsid w:val="1ED787EC"/>
    <w:rsid w:val="1ED83EE3"/>
    <w:rsid w:val="1EDB7022"/>
    <w:rsid w:val="1EDE5B41"/>
    <w:rsid w:val="1EE88D56"/>
    <w:rsid w:val="1EEF5558"/>
    <w:rsid w:val="1EFF9AB8"/>
    <w:rsid w:val="1F01ED39"/>
    <w:rsid w:val="1F02E0F4"/>
    <w:rsid w:val="1F054983"/>
    <w:rsid w:val="1F103930"/>
    <w:rsid w:val="1F11427C"/>
    <w:rsid w:val="1F19FEA9"/>
    <w:rsid w:val="1F231304"/>
    <w:rsid w:val="1F246137"/>
    <w:rsid w:val="1F29D582"/>
    <w:rsid w:val="1F2D10B3"/>
    <w:rsid w:val="1F4707BA"/>
    <w:rsid w:val="1F4E9A4B"/>
    <w:rsid w:val="1F587BD2"/>
    <w:rsid w:val="1F595A03"/>
    <w:rsid w:val="1F603525"/>
    <w:rsid w:val="1F60719B"/>
    <w:rsid w:val="1F648843"/>
    <w:rsid w:val="1F6F88C8"/>
    <w:rsid w:val="1F71ECAE"/>
    <w:rsid w:val="1F790398"/>
    <w:rsid w:val="1F7F429E"/>
    <w:rsid w:val="1F9A4032"/>
    <w:rsid w:val="1F9CC641"/>
    <w:rsid w:val="1F9E2A43"/>
    <w:rsid w:val="1F9EB5C3"/>
    <w:rsid w:val="1FA05315"/>
    <w:rsid w:val="1FA54816"/>
    <w:rsid w:val="1FA76D1D"/>
    <w:rsid w:val="1FA9B28A"/>
    <w:rsid w:val="1FB2F3CC"/>
    <w:rsid w:val="1FB3C988"/>
    <w:rsid w:val="1FB71977"/>
    <w:rsid w:val="1FC0604B"/>
    <w:rsid w:val="1FD1B823"/>
    <w:rsid w:val="1FD3AFDE"/>
    <w:rsid w:val="1FD68CE2"/>
    <w:rsid w:val="1FE09300"/>
    <w:rsid w:val="1FE2E296"/>
    <w:rsid w:val="1FE49DCC"/>
    <w:rsid w:val="1FE834F8"/>
    <w:rsid w:val="1FEADE25"/>
    <w:rsid w:val="1FEE2A1B"/>
    <w:rsid w:val="1FF26E60"/>
    <w:rsid w:val="200ABA6E"/>
    <w:rsid w:val="20119733"/>
    <w:rsid w:val="20225BA5"/>
    <w:rsid w:val="202299E1"/>
    <w:rsid w:val="202A9D11"/>
    <w:rsid w:val="202C223A"/>
    <w:rsid w:val="2038CA2C"/>
    <w:rsid w:val="203AF5AA"/>
    <w:rsid w:val="20416983"/>
    <w:rsid w:val="2042BD29"/>
    <w:rsid w:val="20465F29"/>
    <w:rsid w:val="204CE41B"/>
    <w:rsid w:val="204EE93A"/>
    <w:rsid w:val="205B7B85"/>
    <w:rsid w:val="207394BE"/>
    <w:rsid w:val="2077B1BD"/>
    <w:rsid w:val="20784DBF"/>
    <w:rsid w:val="208DA6EC"/>
    <w:rsid w:val="2099E5C5"/>
    <w:rsid w:val="209FE731"/>
    <w:rsid w:val="20AC05C7"/>
    <w:rsid w:val="20BCC821"/>
    <w:rsid w:val="20BF01C3"/>
    <w:rsid w:val="20BFA7FE"/>
    <w:rsid w:val="20C07F7C"/>
    <w:rsid w:val="20C1147B"/>
    <w:rsid w:val="20C172F3"/>
    <w:rsid w:val="20C61932"/>
    <w:rsid w:val="20C6909C"/>
    <w:rsid w:val="20C81D5D"/>
    <w:rsid w:val="20CD0447"/>
    <w:rsid w:val="20CE881B"/>
    <w:rsid w:val="20D03BD9"/>
    <w:rsid w:val="20D5AEC1"/>
    <w:rsid w:val="20DED43B"/>
    <w:rsid w:val="20DFD4A8"/>
    <w:rsid w:val="20E558DF"/>
    <w:rsid w:val="20E6F91D"/>
    <w:rsid w:val="20F0923A"/>
    <w:rsid w:val="20F267DC"/>
    <w:rsid w:val="20F35617"/>
    <w:rsid w:val="20F5A87C"/>
    <w:rsid w:val="20F82C9D"/>
    <w:rsid w:val="20FC8BD3"/>
    <w:rsid w:val="20FF24B8"/>
    <w:rsid w:val="210749F6"/>
    <w:rsid w:val="21173CFE"/>
    <w:rsid w:val="2125DDD8"/>
    <w:rsid w:val="212D0C1F"/>
    <w:rsid w:val="212D2552"/>
    <w:rsid w:val="2131FABC"/>
    <w:rsid w:val="21324E6D"/>
    <w:rsid w:val="21358FD1"/>
    <w:rsid w:val="213C7CB9"/>
    <w:rsid w:val="213F2726"/>
    <w:rsid w:val="2152550A"/>
    <w:rsid w:val="215B070D"/>
    <w:rsid w:val="21667E3F"/>
    <w:rsid w:val="216A6C87"/>
    <w:rsid w:val="216C09F1"/>
    <w:rsid w:val="21762C8E"/>
    <w:rsid w:val="2176FEC6"/>
    <w:rsid w:val="2179E857"/>
    <w:rsid w:val="217EC20D"/>
    <w:rsid w:val="218164CF"/>
    <w:rsid w:val="2187CBB9"/>
    <w:rsid w:val="21899D9C"/>
    <w:rsid w:val="219C30F7"/>
    <w:rsid w:val="219E0E0E"/>
    <w:rsid w:val="21AB3891"/>
    <w:rsid w:val="21AFD2B4"/>
    <w:rsid w:val="21B1040A"/>
    <w:rsid w:val="21D49A8D"/>
    <w:rsid w:val="21DE9620"/>
    <w:rsid w:val="21E581BF"/>
    <w:rsid w:val="21E5A2EC"/>
    <w:rsid w:val="21F58E99"/>
    <w:rsid w:val="220713D0"/>
    <w:rsid w:val="22174530"/>
    <w:rsid w:val="2218715D"/>
    <w:rsid w:val="221A37EC"/>
    <w:rsid w:val="2221CFC0"/>
    <w:rsid w:val="22229E6A"/>
    <w:rsid w:val="222422C3"/>
    <w:rsid w:val="2224D2F1"/>
    <w:rsid w:val="222F3935"/>
    <w:rsid w:val="2230FE09"/>
    <w:rsid w:val="223B7EF5"/>
    <w:rsid w:val="223E0F7B"/>
    <w:rsid w:val="223E2683"/>
    <w:rsid w:val="224367B2"/>
    <w:rsid w:val="2244E261"/>
    <w:rsid w:val="22453AEB"/>
    <w:rsid w:val="22496FA4"/>
    <w:rsid w:val="225212AE"/>
    <w:rsid w:val="2252E77E"/>
    <w:rsid w:val="2260FE86"/>
    <w:rsid w:val="2265B526"/>
    <w:rsid w:val="22704764"/>
    <w:rsid w:val="22727B67"/>
    <w:rsid w:val="2275D48E"/>
    <w:rsid w:val="227BCB26"/>
    <w:rsid w:val="22837129"/>
    <w:rsid w:val="229AC3AF"/>
    <w:rsid w:val="229FB61F"/>
    <w:rsid w:val="22A321FE"/>
    <w:rsid w:val="22A809ED"/>
    <w:rsid w:val="22B16462"/>
    <w:rsid w:val="22B1A4B5"/>
    <w:rsid w:val="22B536F4"/>
    <w:rsid w:val="22B63B0C"/>
    <w:rsid w:val="22C3D0DB"/>
    <w:rsid w:val="22C5E798"/>
    <w:rsid w:val="22CAF9A6"/>
    <w:rsid w:val="22DF1955"/>
    <w:rsid w:val="22E157A5"/>
    <w:rsid w:val="22E63CAF"/>
    <w:rsid w:val="22EE097E"/>
    <w:rsid w:val="22F20EB1"/>
    <w:rsid w:val="23046BA0"/>
    <w:rsid w:val="2304803E"/>
    <w:rsid w:val="2304A729"/>
    <w:rsid w:val="231D744F"/>
    <w:rsid w:val="23241975"/>
    <w:rsid w:val="2324D590"/>
    <w:rsid w:val="232C5B95"/>
    <w:rsid w:val="23324B14"/>
    <w:rsid w:val="233372F1"/>
    <w:rsid w:val="23385495"/>
    <w:rsid w:val="2340FE69"/>
    <w:rsid w:val="234224BF"/>
    <w:rsid w:val="2346353F"/>
    <w:rsid w:val="234CD46B"/>
    <w:rsid w:val="234D3D1D"/>
    <w:rsid w:val="23551973"/>
    <w:rsid w:val="23623D27"/>
    <w:rsid w:val="2366852A"/>
    <w:rsid w:val="236EA09B"/>
    <w:rsid w:val="2371A602"/>
    <w:rsid w:val="2371F0C3"/>
    <w:rsid w:val="2379F78A"/>
    <w:rsid w:val="2387E589"/>
    <w:rsid w:val="238BED69"/>
    <w:rsid w:val="2393CCF4"/>
    <w:rsid w:val="23A0CBE0"/>
    <w:rsid w:val="23A2241D"/>
    <w:rsid w:val="23A3535E"/>
    <w:rsid w:val="23A3C811"/>
    <w:rsid w:val="23AF29D6"/>
    <w:rsid w:val="23AF5718"/>
    <w:rsid w:val="23C366FB"/>
    <w:rsid w:val="23CE8245"/>
    <w:rsid w:val="23D6B994"/>
    <w:rsid w:val="23D93378"/>
    <w:rsid w:val="23D95D89"/>
    <w:rsid w:val="23DCC808"/>
    <w:rsid w:val="23DD4AE4"/>
    <w:rsid w:val="23E23E07"/>
    <w:rsid w:val="23E766F1"/>
    <w:rsid w:val="23EB054A"/>
    <w:rsid w:val="23F21B8E"/>
    <w:rsid w:val="23F2227C"/>
    <w:rsid w:val="24019F72"/>
    <w:rsid w:val="24148515"/>
    <w:rsid w:val="2415039D"/>
    <w:rsid w:val="242A7CF3"/>
    <w:rsid w:val="24423443"/>
    <w:rsid w:val="244412E8"/>
    <w:rsid w:val="244887F2"/>
    <w:rsid w:val="245B00B8"/>
    <w:rsid w:val="245F6177"/>
    <w:rsid w:val="245FF7DE"/>
    <w:rsid w:val="246085D5"/>
    <w:rsid w:val="2467CA25"/>
    <w:rsid w:val="2468B608"/>
    <w:rsid w:val="246B5C55"/>
    <w:rsid w:val="246EBE6E"/>
    <w:rsid w:val="247BE1FD"/>
    <w:rsid w:val="2489D54D"/>
    <w:rsid w:val="248A94AA"/>
    <w:rsid w:val="248BA7F7"/>
    <w:rsid w:val="248F6101"/>
    <w:rsid w:val="2492AB78"/>
    <w:rsid w:val="24989F50"/>
    <w:rsid w:val="249CF053"/>
    <w:rsid w:val="24A14281"/>
    <w:rsid w:val="24A5AC69"/>
    <w:rsid w:val="24A7CB17"/>
    <w:rsid w:val="24AF9AA3"/>
    <w:rsid w:val="24B0545D"/>
    <w:rsid w:val="24B525B2"/>
    <w:rsid w:val="24B7BF7E"/>
    <w:rsid w:val="24C188E3"/>
    <w:rsid w:val="24CD2719"/>
    <w:rsid w:val="24CDA129"/>
    <w:rsid w:val="24CF0E69"/>
    <w:rsid w:val="24D12B31"/>
    <w:rsid w:val="24E532AD"/>
    <w:rsid w:val="24F2C7F2"/>
    <w:rsid w:val="24F33351"/>
    <w:rsid w:val="25003321"/>
    <w:rsid w:val="2501DC45"/>
    <w:rsid w:val="2503DA97"/>
    <w:rsid w:val="25047130"/>
    <w:rsid w:val="2512F1EB"/>
    <w:rsid w:val="2513FEFE"/>
    <w:rsid w:val="251A6CD7"/>
    <w:rsid w:val="2527C3DD"/>
    <w:rsid w:val="252B4238"/>
    <w:rsid w:val="252CC8C3"/>
    <w:rsid w:val="252E5B50"/>
    <w:rsid w:val="2533A098"/>
    <w:rsid w:val="2537359F"/>
    <w:rsid w:val="2546B241"/>
    <w:rsid w:val="254AFA37"/>
    <w:rsid w:val="254B22E0"/>
    <w:rsid w:val="25541B9D"/>
    <w:rsid w:val="2559FEE1"/>
    <w:rsid w:val="255F22C6"/>
    <w:rsid w:val="25637F62"/>
    <w:rsid w:val="25689ECB"/>
    <w:rsid w:val="256D815C"/>
    <w:rsid w:val="256DD752"/>
    <w:rsid w:val="25708E5A"/>
    <w:rsid w:val="257E8D81"/>
    <w:rsid w:val="2589B370"/>
    <w:rsid w:val="258D4027"/>
    <w:rsid w:val="25974D79"/>
    <w:rsid w:val="259CF3ED"/>
    <w:rsid w:val="25A37B03"/>
    <w:rsid w:val="25AABBCF"/>
    <w:rsid w:val="25AD7550"/>
    <w:rsid w:val="25AEA863"/>
    <w:rsid w:val="25B3D58B"/>
    <w:rsid w:val="25B811F3"/>
    <w:rsid w:val="25C26703"/>
    <w:rsid w:val="25CCA879"/>
    <w:rsid w:val="25CD3944"/>
    <w:rsid w:val="25CE8087"/>
    <w:rsid w:val="25D2C789"/>
    <w:rsid w:val="25D3602D"/>
    <w:rsid w:val="25D3D9BE"/>
    <w:rsid w:val="25DA3CC1"/>
    <w:rsid w:val="25E39BD3"/>
    <w:rsid w:val="25E4B35B"/>
    <w:rsid w:val="25E70E45"/>
    <w:rsid w:val="25EAA4C5"/>
    <w:rsid w:val="25F1DF17"/>
    <w:rsid w:val="26015C46"/>
    <w:rsid w:val="2607F38B"/>
    <w:rsid w:val="2608111D"/>
    <w:rsid w:val="2614A8F5"/>
    <w:rsid w:val="2619D6AF"/>
    <w:rsid w:val="262B032A"/>
    <w:rsid w:val="2631542A"/>
    <w:rsid w:val="2638A396"/>
    <w:rsid w:val="26554092"/>
    <w:rsid w:val="2656032D"/>
    <w:rsid w:val="265EBE43"/>
    <w:rsid w:val="26634F8F"/>
    <w:rsid w:val="26652C19"/>
    <w:rsid w:val="2668978B"/>
    <w:rsid w:val="266C3C39"/>
    <w:rsid w:val="267A104D"/>
    <w:rsid w:val="2686685D"/>
    <w:rsid w:val="26A1DB9B"/>
    <w:rsid w:val="26B318E7"/>
    <w:rsid w:val="26B8D355"/>
    <w:rsid w:val="26C644EF"/>
    <w:rsid w:val="26CDFBE1"/>
    <w:rsid w:val="26EB2A0A"/>
    <w:rsid w:val="26F757FB"/>
    <w:rsid w:val="271F40EF"/>
    <w:rsid w:val="27218E3D"/>
    <w:rsid w:val="272357B6"/>
    <w:rsid w:val="2723C419"/>
    <w:rsid w:val="272C434F"/>
    <w:rsid w:val="2752C0A9"/>
    <w:rsid w:val="2756ED83"/>
    <w:rsid w:val="275B1BA5"/>
    <w:rsid w:val="275E3E1D"/>
    <w:rsid w:val="275FD7D4"/>
    <w:rsid w:val="276030F1"/>
    <w:rsid w:val="2761C4F7"/>
    <w:rsid w:val="2765602E"/>
    <w:rsid w:val="27711257"/>
    <w:rsid w:val="277359B4"/>
    <w:rsid w:val="2779E0E4"/>
    <w:rsid w:val="277B6568"/>
    <w:rsid w:val="27837F7B"/>
    <w:rsid w:val="278AE25E"/>
    <w:rsid w:val="27A425D6"/>
    <w:rsid w:val="27B51B78"/>
    <w:rsid w:val="27CDFCF0"/>
    <w:rsid w:val="27CF0228"/>
    <w:rsid w:val="27DD5012"/>
    <w:rsid w:val="27DEE525"/>
    <w:rsid w:val="27DFB481"/>
    <w:rsid w:val="27E865D0"/>
    <w:rsid w:val="27F4269D"/>
    <w:rsid w:val="27F90CB5"/>
    <w:rsid w:val="27FE4BCF"/>
    <w:rsid w:val="28023EC5"/>
    <w:rsid w:val="280B6700"/>
    <w:rsid w:val="280C5F7F"/>
    <w:rsid w:val="2812077D"/>
    <w:rsid w:val="2813789D"/>
    <w:rsid w:val="281E54F9"/>
    <w:rsid w:val="2824A0E9"/>
    <w:rsid w:val="28283665"/>
    <w:rsid w:val="282AB572"/>
    <w:rsid w:val="28334867"/>
    <w:rsid w:val="2833F29E"/>
    <w:rsid w:val="283D01DC"/>
    <w:rsid w:val="283F629F"/>
    <w:rsid w:val="2841D74E"/>
    <w:rsid w:val="2843B8DE"/>
    <w:rsid w:val="284924C6"/>
    <w:rsid w:val="284B9E85"/>
    <w:rsid w:val="284ECF51"/>
    <w:rsid w:val="286AB683"/>
    <w:rsid w:val="28705703"/>
    <w:rsid w:val="287AB937"/>
    <w:rsid w:val="2884B351"/>
    <w:rsid w:val="288F14BE"/>
    <w:rsid w:val="2895CF99"/>
    <w:rsid w:val="289D6588"/>
    <w:rsid w:val="28A8D5B0"/>
    <w:rsid w:val="28B55C6E"/>
    <w:rsid w:val="28BA080D"/>
    <w:rsid w:val="28CE85E1"/>
    <w:rsid w:val="28D22084"/>
    <w:rsid w:val="28D5DC88"/>
    <w:rsid w:val="28E9C061"/>
    <w:rsid w:val="2903B369"/>
    <w:rsid w:val="29199639"/>
    <w:rsid w:val="29227DA9"/>
    <w:rsid w:val="292FCAA6"/>
    <w:rsid w:val="29311478"/>
    <w:rsid w:val="29432255"/>
    <w:rsid w:val="2943BC4E"/>
    <w:rsid w:val="2944B65C"/>
    <w:rsid w:val="2946ACAD"/>
    <w:rsid w:val="2946D51E"/>
    <w:rsid w:val="2956D37F"/>
    <w:rsid w:val="2969A2A5"/>
    <w:rsid w:val="2969D0B0"/>
    <w:rsid w:val="29731ACE"/>
    <w:rsid w:val="29758CFE"/>
    <w:rsid w:val="29814A6B"/>
    <w:rsid w:val="29852806"/>
    <w:rsid w:val="29853F34"/>
    <w:rsid w:val="298B6155"/>
    <w:rsid w:val="2990F79D"/>
    <w:rsid w:val="2994A067"/>
    <w:rsid w:val="29987C7F"/>
    <w:rsid w:val="29993CEC"/>
    <w:rsid w:val="29A7BF78"/>
    <w:rsid w:val="29A81DA8"/>
    <w:rsid w:val="29B10E3B"/>
    <w:rsid w:val="29B2AFA4"/>
    <w:rsid w:val="29B852D5"/>
    <w:rsid w:val="29B8A5F0"/>
    <w:rsid w:val="29C2EE01"/>
    <w:rsid w:val="29C4A397"/>
    <w:rsid w:val="29C757EA"/>
    <w:rsid w:val="29DCADFA"/>
    <w:rsid w:val="29E59B4A"/>
    <w:rsid w:val="29E7CC27"/>
    <w:rsid w:val="29E93F57"/>
    <w:rsid w:val="29EB0378"/>
    <w:rsid w:val="29EC3705"/>
    <w:rsid w:val="29F04BFC"/>
    <w:rsid w:val="2A01236E"/>
    <w:rsid w:val="2A06DFA4"/>
    <w:rsid w:val="2A073C7C"/>
    <w:rsid w:val="2A09D55C"/>
    <w:rsid w:val="2A0BC980"/>
    <w:rsid w:val="2A0FA367"/>
    <w:rsid w:val="2A1F3005"/>
    <w:rsid w:val="2A2162DE"/>
    <w:rsid w:val="2A252E27"/>
    <w:rsid w:val="2A31068B"/>
    <w:rsid w:val="2A33347D"/>
    <w:rsid w:val="2A38E5D7"/>
    <w:rsid w:val="2A38F42E"/>
    <w:rsid w:val="2A3C14AA"/>
    <w:rsid w:val="2A3C3C92"/>
    <w:rsid w:val="2A3EC308"/>
    <w:rsid w:val="2A4381E0"/>
    <w:rsid w:val="2A50DAA2"/>
    <w:rsid w:val="2A55C1B1"/>
    <w:rsid w:val="2A569771"/>
    <w:rsid w:val="2A585C85"/>
    <w:rsid w:val="2A58DFB8"/>
    <w:rsid w:val="2A5AB54C"/>
    <w:rsid w:val="2A5AC68C"/>
    <w:rsid w:val="2A64F5E0"/>
    <w:rsid w:val="2A69409A"/>
    <w:rsid w:val="2A7FE582"/>
    <w:rsid w:val="2A861560"/>
    <w:rsid w:val="2A8BE17E"/>
    <w:rsid w:val="2A8DE913"/>
    <w:rsid w:val="2A915927"/>
    <w:rsid w:val="2A94F594"/>
    <w:rsid w:val="2A9E3C4C"/>
    <w:rsid w:val="2A9FEAF8"/>
    <w:rsid w:val="2AAB7BC3"/>
    <w:rsid w:val="2AAE7ADB"/>
    <w:rsid w:val="2AB3FC5E"/>
    <w:rsid w:val="2AB5669A"/>
    <w:rsid w:val="2AB950B8"/>
    <w:rsid w:val="2AB9B36E"/>
    <w:rsid w:val="2ABF4FC9"/>
    <w:rsid w:val="2ABFDA82"/>
    <w:rsid w:val="2AC26664"/>
    <w:rsid w:val="2AC3D5B0"/>
    <w:rsid w:val="2AC482BA"/>
    <w:rsid w:val="2AD2F53B"/>
    <w:rsid w:val="2AD73985"/>
    <w:rsid w:val="2ADE0A95"/>
    <w:rsid w:val="2AE37F18"/>
    <w:rsid w:val="2AE65312"/>
    <w:rsid w:val="2AE96870"/>
    <w:rsid w:val="2AF4EEA6"/>
    <w:rsid w:val="2AF5583B"/>
    <w:rsid w:val="2AFA1575"/>
    <w:rsid w:val="2AFE2D43"/>
    <w:rsid w:val="2B04B629"/>
    <w:rsid w:val="2B0A456E"/>
    <w:rsid w:val="2B0F927E"/>
    <w:rsid w:val="2B14ED67"/>
    <w:rsid w:val="2B2334D9"/>
    <w:rsid w:val="2B245A2A"/>
    <w:rsid w:val="2B2AE766"/>
    <w:rsid w:val="2B2C1C48"/>
    <w:rsid w:val="2B32207A"/>
    <w:rsid w:val="2B3653CB"/>
    <w:rsid w:val="2B429771"/>
    <w:rsid w:val="2B44F8D3"/>
    <w:rsid w:val="2B46AECA"/>
    <w:rsid w:val="2B54B6BE"/>
    <w:rsid w:val="2B561084"/>
    <w:rsid w:val="2B5E2730"/>
    <w:rsid w:val="2B5EBE62"/>
    <w:rsid w:val="2B5F17FF"/>
    <w:rsid w:val="2B61356C"/>
    <w:rsid w:val="2B64D6EC"/>
    <w:rsid w:val="2B6C52D9"/>
    <w:rsid w:val="2B7B2363"/>
    <w:rsid w:val="2B7BEC6B"/>
    <w:rsid w:val="2B7DFE92"/>
    <w:rsid w:val="2B83833C"/>
    <w:rsid w:val="2B8533B9"/>
    <w:rsid w:val="2B866D3F"/>
    <w:rsid w:val="2B914C6D"/>
    <w:rsid w:val="2B936285"/>
    <w:rsid w:val="2BA3BE53"/>
    <w:rsid w:val="2BD04DF6"/>
    <w:rsid w:val="2BD61576"/>
    <w:rsid w:val="2BD817F0"/>
    <w:rsid w:val="2BE14D68"/>
    <w:rsid w:val="2BE7A382"/>
    <w:rsid w:val="2C0238F6"/>
    <w:rsid w:val="2C05BF22"/>
    <w:rsid w:val="2C0BDC58"/>
    <w:rsid w:val="2C0F283C"/>
    <w:rsid w:val="2C161DC5"/>
    <w:rsid w:val="2C1CC949"/>
    <w:rsid w:val="2C219109"/>
    <w:rsid w:val="2C287466"/>
    <w:rsid w:val="2C3465DF"/>
    <w:rsid w:val="2C3B050A"/>
    <w:rsid w:val="2C40DD12"/>
    <w:rsid w:val="2C41490E"/>
    <w:rsid w:val="2C457916"/>
    <w:rsid w:val="2C4E5F1E"/>
    <w:rsid w:val="2C4ECEAC"/>
    <w:rsid w:val="2C5136FB"/>
    <w:rsid w:val="2C5C3AD6"/>
    <w:rsid w:val="2C612E38"/>
    <w:rsid w:val="2C728DE6"/>
    <w:rsid w:val="2C74D2DF"/>
    <w:rsid w:val="2C7A235C"/>
    <w:rsid w:val="2C7A3A5C"/>
    <w:rsid w:val="2C898F68"/>
    <w:rsid w:val="2C8F30C3"/>
    <w:rsid w:val="2C8F3B8D"/>
    <w:rsid w:val="2C90BF07"/>
    <w:rsid w:val="2C9BE001"/>
    <w:rsid w:val="2C9BE4E1"/>
    <w:rsid w:val="2CA52BF7"/>
    <w:rsid w:val="2CA5C1CE"/>
    <w:rsid w:val="2CA997D7"/>
    <w:rsid w:val="2CAE9BC0"/>
    <w:rsid w:val="2CB8FD27"/>
    <w:rsid w:val="2CBB576B"/>
    <w:rsid w:val="2CC68AB7"/>
    <w:rsid w:val="2CC6B7C7"/>
    <w:rsid w:val="2CCB3B69"/>
    <w:rsid w:val="2CCE67E4"/>
    <w:rsid w:val="2CD647AE"/>
    <w:rsid w:val="2CD741BB"/>
    <w:rsid w:val="2CD9C93E"/>
    <w:rsid w:val="2CE1E949"/>
    <w:rsid w:val="2CE7A558"/>
    <w:rsid w:val="2CE9DA2C"/>
    <w:rsid w:val="2CEA3915"/>
    <w:rsid w:val="2CF5027C"/>
    <w:rsid w:val="2D0817D4"/>
    <w:rsid w:val="2D179AB5"/>
    <w:rsid w:val="2D188AB0"/>
    <w:rsid w:val="2D267E44"/>
    <w:rsid w:val="2D281069"/>
    <w:rsid w:val="2D28C064"/>
    <w:rsid w:val="2D3C2B18"/>
    <w:rsid w:val="2D3D0C68"/>
    <w:rsid w:val="2D3DDE0B"/>
    <w:rsid w:val="2D489C87"/>
    <w:rsid w:val="2D4B6793"/>
    <w:rsid w:val="2D62E45B"/>
    <w:rsid w:val="2D6A3B80"/>
    <w:rsid w:val="2D7DA5FA"/>
    <w:rsid w:val="2D801308"/>
    <w:rsid w:val="2D820048"/>
    <w:rsid w:val="2D84DE08"/>
    <w:rsid w:val="2D869FCB"/>
    <w:rsid w:val="2D8889F8"/>
    <w:rsid w:val="2D8DEAD8"/>
    <w:rsid w:val="2D8E8273"/>
    <w:rsid w:val="2D900AD3"/>
    <w:rsid w:val="2D9026D3"/>
    <w:rsid w:val="2D958746"/>
    <w:rsid w:val="2D99B2EB"/>
    <w:rsid w:val="2D9E9CF9"/>
    <w:rsid w:val="2DA1E18B"/>
    <w:rsid w:val="2DAA9120"/>
    <w:rsid w:val="2DB9341F"/>
    <w:rsid w:val="2DC0D2AD"/>
    <w:rsid w:val="2DC34F08"/>
    <w:rsid w:val="2DC5E035"/>
    <w:rsid w:val="2DDD20DB"/>
    <w:rsid w:val="2DEE2F56"/>
    <w:rsid w:val="2DF1EBDC"/>
    <w:rsid w:val="2DF814EE"/>
    <w:rsid w:val="2DFBD613"/>
    <w:rsid w:val="2DFE0FE8"/>
    <w:rsid w:val="2E00813B"/>
    <w:rsid w:val="2E028653"/>
    <w:rsid w:val="2E03BF75"/>
    <w:rsid w:val="2E0466E6"/>
    <w:rsid w:val="2E12C196"/>
    <w:rsid w:val="2E168512"/>
    <w:rsid w:val="2E1A7552"/>
    <w:rsid w:val="2E219CF6"/>
    <w:rsid w:val="2E2A3F49"/>
    <w:rsid w:val="2E2B6779"/>
    <w:rsid w:val="2E2C7110"/>
    <w:rsid w:val="2E448FD6"/>
    <w:rsid w:val="2E4AB991"/>
    <w:rsid w:val="2E571578"/>
    <w:rsid w:val="2E5BD7E4"/>
    <w:rsid w:val="2E5D7401"/>
    <w:rsid w:val="2E60AFA1"/>
    <w:rsid w:val="2E62F0F7"/>
    <w:rsid w:val="2E6C6D67"/>
    <w:rsid w:val="2E9CFF60"/>
    <w:rsid w:val="2EA11FBB"/>
    <w:rsid w:val="2EABD427"/>
    <w:rsid w:val="2EB674AD"/>
    <w:rsid w:val="2EB813DF"/>
    <w:rsid w:val="2EC02B09"/>
    <w:rsid w:val="2EC4CC8A"/>
    <w:rsid w:val="2ED5E8D9"/>
    <w:rsid w:val="2ED7F123"/>
    <w:rsid w:val="2EF93C1C"/>
    <w:rsid w:val="2EFCE452"/>
    <w:rsid w:val="2EFFA430"/>
    <w:rsid w:val="2F00513A"/>
    <w:rsid w:val="2F00EC1C"/>
    <w:rsid w:val="2F097307"/>
    <w:rsid w:val="2F0A2C3C"/>
    <w:rsid w:val="2F0B0734"/>
    <w:rsid w:val="2F0C6E36"/>
    <w:rsid w:val="2F28249D"/>
    <w:rsid w:val="2F28CE83"/>
    <w:rsid w:val="2F344E4E"/>
    <w:rsid w:val="2F428E94"/>
    <w:rsid w:val="2F430F82"/>
    <w:rsid w:val="2F46EA2E"/>
    <w:rsid w:val="2F47B6AB"/>
    <w:rsid w:val="2F529492"/>
    <w:rsid w:val="2F5E42F6"/>
    <w:rsid w:val="2F605AE8"/>
    <w:rsid w:val="2F638821"/>
    <w:rsid w:val="2F6F3464"/>
    <w:rsid w:val="2F76FF60"/>
    <w:rsid w:val="2F77BC06"/>
    <w:rsid w:val="2F80E735"/>
    <w:rsid w:val="2F86C55C"/>
    <w:rsid w:val="2F978783"/>
    <w:rsid w:val="2F9A7967"/>
    <w:rsid w:val="2FA8189F"/>
    <w:rsid w:val="2FA84C16"/>
    <w:rsid w:val="2FB7A82D"/>
    <w:rsid w:val="2FB9AFFE"/>
    <w:rsid w:val="2FBBE4C6"/>
    <w:rsid w:val="2FC0A9CD"/>
    <w:rsid w:val="2FD638A6"/>
    <w:rsid w:val="2FD877CD"/>
    <w:rsid w:val="2FDA47E2"/>
    <w:rsid w:val="2FE0D63D"/>
    <w:rsid w:val="2FEB870D"/>
    <w:rsid w:val="2FED63B7"/>
    <w:rsid w:val="2FF37939"/>
    <w:rsid w:val="2FFA4645"/>
    <w:rsid w:val="2FFD09D9"/>
    <w:rsid w:val="300927BE"/>
    <w:rsid w:val="300F3763"/>
    <w:rsid w:val="3013CE0C"/>
    <w:rsid w:val="3017CA83"/>
    <w:rsid w:val="301F461A"/>
    <w:rsid w:val="30214927"/>
    <w:rsid w:val="30248EED"/>
    <w:rsid w:val="3033A729"/>
    <w:rsid w:val="3039B769"/>
    <w:rsid w:val="3039FF11"/>
    <w:rsid w:val="303C9E77"/>
    <w:rsid w:val="303E0AAE"/>
    <w:rsid w:val="304E999F"/>
    <w:rsid w:val="3051A174"/>
    <w:rsid w:val="3056DE37"/>
    <w:rsid w:val="3058017E"/>
    <w:rsid w:val="30678420"/>
    <w:rsid w:val="307256A7"/>
    <w:rsid w:val="30773152"/>
    <w:rsid w:val="308C95FC"/>
    <w:rsid w:val="308DCC4F"/>
    <w:rsid w:val="30907ECF"/>
    <w:rsid w:val="30A156D1"/>
    <w:rsid w:val="30A3858B"/>
    <w:rsid w:val="30A665CB"/>
    <w:rsid w:val="30AFCC22"/>
    <w:rsid w:val="30B04AAB"/>
    <w:rsid w:val="30B47B79"/>
    <w:rsid w:val="30B84339"/>
    <w:rsid w:val="30BCE009"/>
    <w:rsid w:val="30CCD935"/>
    <w:rsid w:val="30CF5F51"/>
    <w:rsid w:val="30D01EAF"/>
    <w:rsid w:val="30D9F245"/>
    <w:rsid w:val="30DB0EAA"/>
    <w:rsid w:val="30E1F477"/>
    <w:rsid w:val="30E2E50A"/>
    <w:rsid w:val="30F9B26E"/>
    <w:rsid w:val="30FD69C8"/>
    <w:rsid w:val="3107C9D7"/>
    <w:rsid w:val="310C67CF"/>
    <w:rsid w:val="310FB438"/>
    <w:rsid w:val="311172B8"/>
    <w:rsid w:val="31186D8A"/>
    <w:rsid w:val="311B8409"/>
    <w:rsid w:val="312049D2"/>
    <w:rsid w:val="3122CE69"/>
    <w:rsid w:val="31259FAC"/>
    <w:rsid w:val="312C72D8"/>
    <w:rsid w:val="3134B000"/>
    <w:rsid w:val="313A8AAE"/>
    <w:rsid w:val="3154E89F"/>
    <w:rsid w:val="315D7D28"/>
    <w:rsid w:val="315D8DEF"/>
    <w:rsid w:val="31613171"/>
    <w:rsid w:val="3163083B"/>
    <w:rsid w:val="316562B1"/>
    <w:rsid w:val="31681878"/>
    <w:rsid w:val="317080C1"/>
    <w:rsid w:val="31744EA0"/>
    <w:rsid w:val="31786B77"/>
    <w:rsid w:val="317BFE57"/>
    <w:rsid w:val="31843A9A"/>
    <w:rsid w:val="3186C7BD"/>
    <w:rsid w:val="3198BF8E"/>
    <w:rsid w:val="31BC7288"/>
    <w:rsid w:val="31C5338E"/>
    <w:rsid w:val="31CA2E82"/>
    <w:rsid w:val="31CB0278"/>
    <w:rsid w:val="31E57B6E"/>
    <w:rsid w:val="31E79E58"/>
    <w:rsid w:val="31E9C371"/>
    <w:rsid w:val="31EA5F6C"/>
    <w:rsid w:val="31F2E9D4"/>
    <w:rsid w:val="31F8A6F6"/>
    <w:rsid w:val="320D01EC"/>
    <w:rsid w:val="320EFA13"/>
    <w:rsid w:val="321C65B5"/>
    <w:rsid w:val="32256651"/>
    <w:rsid w:val="322676AA"/>
    <w:rsid w:val="322A597D"/>
    <w:rsid w:val="322AF490"/>
    <w:rsid w:val="3231955F"/>
    <w:rsid w:val="323CFAF9"/>
    <w:rsid w:val="32477714"/>
    <w:rsid w:val="325270EC"/>
    <w:rsid w:val="32548A90"/>
    <w:rsid w:val="3257DCE1"/>
    <w:rsid w:val="325A3574"/>
    <w:rsid w:val="325CE816"/>
    <w:rsid w:val="325DED4E"/>
    <w:rsid w:val="3264FA78"/>
    <w:rsid w:val="326B6B22"/>
    <w:rsid w:val="327CE87C"/>
    <w:rsid w:val="327F818D"/>
    <w:rsid w:val="327FF14D"/>
    <w:rsid w:val="32ABBCE0"/>
    <w:rsid w:val="32AF63AA"/>
    <w:rsid w:val="32B256BE"/>
    <w:rsid w:val="32BE9711"/>
    <w:rsid w:val="32CD19C3"/>
    <w:rsid w:val="32D2CDCB"/>
    <w:rsid w:val="32DD0374"/>
    <w:rsid w:val="32E7D6FC"/>
    <w:rsid w:val="32EF24DE"/>
    <w:rsid w:val="3300B89E"/>
    <w:rsid w:val="3302546A"/>
    <w:rsid w:val="3305D8D8"/>
    <w:rsid w:val="33092D2C"/>
    <w:rsid w:val="331800F9"/>
    <w:rsid w:val="3324A60A"/>
    <w:rsid w:val="33284FBA"/>
    <w:rsid w:val="333CAC02"/>
    <w:rsid w:val="333F5B61"/>
    <w:rsid w:val="333FFFB2"/>
    <w:rsid w:val="3346F2E4"/>
    <w:rsid w:val="334BB624"/>
    <w:rsid w:val="3353F086"/>
    <w:rsid w:val="3368ADF8"/>
    <w:rsid w:val="33758777"/>
    <w:rsid w:val="33809F90"/>
    <w:rsid w:val="33812010"/>
    <w:rsid w:val="33820BC3"/>
    <w:rsid w:val="3382F1A2"/>
    <w:rsid w:val="3387F377"/>
    <w:rsid w:val="33931CD0"/>
    <w:rsid w:val="339FD3A9"/>
    <w:rsid w:val="33A314D9"/>
    <w:rsid w:val="33A451BC"/>
    <w:rsid w:val="33AA9EC5"/>
    <w:rsid w:val="33B3A301"/>
    <w:rsid w:val="33B4BD20"/>
    <w:rsid w:val="33B7EA13"/>
    <w:rsid w:val="33E3BA8D"/>
    <w:rsid w:val="33E48105"/>
    <w:rsid w:val="33EBD813"/>
    <w:rsid w:val="33ED85F9"/>
    <w:rsid w:val="33EED66E"/>
    <w:rsid w:val="33F36A2A"/>
    <w:rsid w:val="33FA0502"/>
    <w:rsid w:val="3407BF71"/>
    <w:rsid w:val="341B708C"/>
    <w:rsid w:val="34284575"/>
    <w:rsid w:val="342CE8C9"/>
    <w:rsid w:val="3437B1DB"/>
    <w:rsid w:val="343CE45A"/>
    <w:rsid w:val="3440CB59"/>
    <w:rsid w:val="344188E6"/>
    <w:rsid w:val="3444981A"/>
    <w:rsid w:val="344F7F5E"/>
    <w:rsid w:val="34502149"/>
    <w:rsid w:val="3457E21F"/>
    <w:rsid w:val="345915EE"/>
    <w:rsid w:val="346269F0"/>
    <w:rsid w:val="3465B433"/>
    <w:rsid w:val="346CDA94"/>
    <w:rsid w:val="346FC097"/>
    <w:rsid w:val="34706740"/>
    <w:rsid w:val="347938CA"/>
    <w:rsid w:val="347EE963"/>
    <w:rsid w:val="34830A14"/>
    <w:rsid w:val="3488F3EA"/>
    <w:rsid w:val="348BA0AF"/>
    <w:rsid w:val="348FF944"/>
    <w:rsid w:val="3493FD04"/>
    <w:rsid w:val="3496B87A"/>
    <w:rsid w:val="34B09882"/>
    <w:rsid w:val="34B3D15A"/>
    <w:rsid w:val="34BB5462"/>
    <w:rsid w:val="34C5154D"/>
    <w:rsid w:val="34DB0BD0"/>
    <w:rsid w:val="34DD4E25"/>
    <w:rsid w:val="34EAF209"/>
    <w:rsid w:val="34FC3656"/>
    <w:rsid w:val="350A6BDB"/>
    <w:rsid w:val="350E1271"/>
    <w:rsid w:val="3514A1F8"/>
    <w:rsid w:val="3515BD12"/>
    <w:rsid w:val="352B60D9"/>
    <w:rsid w:val="3530F990"/>
    <w:rsid w:val="353C50C4"/>
    <w:rsid w:val="353E1840"/>
    <w:rsid w:val="353F744B"/>
    <w:rsid w:val="35438FD0"/>
    <w:rsid w:val="3549B9C8"/>
    <w:rsid w:val="3556A82E"/>
    <w:rsid w:val="3557E8D8"/>
    <w:rsid w:val="3558EE3C"/>
    <w:rsid w:val="355AC339"/>
    <w:rsid w:val="35621CA9"/>
    <w:rsid w:val="3569299E"/>
    <w:rsid w:val="356E703D"/>
    <w:rsid w:val="356F9511"/>
    <w:rsid w:val="35721BFC"/>
    <w:rsid w:val="35743CBD"/>
    <w:rsid w:val="35768D13"/>
    <w:rsid w:val="3577383D"/>
    <w:rsid w:val="35778E7A"/>
    <w:rsid w:val="357F5EDF"/>
    <w:rsid w:val="3581FB08"/>
    <w:rsid w:val="3584B2BB"/>
    <w:rsid w:val="35884A27"/>
    <w:rsid w:val="358AA6CF"/>
    <w:rsid w:val="358BA341"/>
    <w:rsid w:val="358BB239"/>
    <w:rsid w:val="358EB65C"/>
    <w:rsid w:val="35956410"/>
    <w:rsid w:val="35A00DCE"/>
    <w:rsid w:val="35ABEB47"/>
    <w:rsid w:val="35B514CB"/>
    <w:rsid w:val="35B68CD5"/>
    <w:rsid w:val="35BACDCB"/>
    <w:rsid w:val="35C4BAA2"/>
    <w:rsid w:val="35D00739"/>
    <w:rsid w:val="35D0684E"/>
    <w:rsid w:val="35D1C295"/>
    <w:rsid w:val="35D1EABD"/>
    <w:rsid w:val="35D2C9A5"/>
    <w:rsid w:val="35D854A7"/>
    <w:rsid w:val="35D88B5C"/>
    <w:rsid w:val="35DDEFB5"/>
    <w:rsid w:val="35EA28A8"/>
    <w:rsid w:val="35ED7019"/>
    <w:rsid w:val="35EFA8BD"/>
    <w:rsid w:val="35F45219"/>
    <w:rsid w:val="3600A6B1"/>
    <w:rsid w:val="36176EBA"/>
    <w:rsid w:val="362A36FF"/>
    <w:rsid w:val="362BEA28"/>
    <w:rsid w:val="3639C545"/>
    <w:rsid w:val="363CBD17"/>
    <w:rsid w:val="36400038"/>
    <w:rsid w:val="36469A2C"/>
    <w:rsid w:val="36480D20"/>
    <w:rsid w:val="364D9539"/>
    <w:rsid w:val="364FA1BB"/>
    <w:rsid w:val="3650DD65"/>
    <w:rsid w:val="365170AF"/>
    <w:rsid w:val="3653B24D"/>
    <w:rsid w:val="365711B3"/>
    <w:rsid w:val="3657EB3E"/>
    <w:rsid w:val="3665731D"/>
    <w:rsid w:val="36666BDF"/>
    <w:rsid w:val="36691E19"/>
    <w:rsid w:val="36701121"/>
    <w:rsid w:val="3671284F"/>
    <w:rsid w:val="36713D75"/>
    <w:rsid w:val="368044F6"/>
    <w:rsid w:val="36860109"/>
    <w:rsid w:val="368D574B"/>
    <w:rsid w:val="3691AFF4"/>
    <w:rsid w:val="3692067D"/>
    <w:rsid w:val="369F8961"/>
    <w:rsid w:val="36A04109"/>
    <w:rsid w:val="36A5921B"/>
    <w:rsid w:val="36A6B347"/>
    <w:rsid w:val="36AAFC09"/>
    <w:rsid w:val="36AEF683"/>
    <w:rsid w:val="36B51955"/>
    <w:rsid w:val="36B561CE"/>
    <w:rsid w:val="36BB7F2C"/>
    <w:rsid w:val="36BF59E7"/>
    <w:rsid w:val="36C73475"/>
    <w:rsid w:val="36C7D85D"/>
    <w:rsid w:val="36E297A1"/>
    <w:rsid w:val="36FAE0BC"/>
    <w:rsid w:val="37014817"/>
    <w:rsid w:val="3701E3C2"/>
    <w:rsid w:val="370F69B3"/>
    <w:rsid w:val="371B4CE5"/>
    <w:rsid w:val="3722715E"/>
    <w:rsid w:val="372A046D"/>
    <w:rsid w:val="372EE710"/>
    <w:rsid w:val="373B6DFA"/>
    <w:rsid w:val="374038D8"/>
    <w:rsid w:val="374AC680"/>
    <w:rsid w:val="374DDAF7"/>
    <w:rsid w:val="3753C3E6"/>
    <w:rsid w:val="37565EF4"/>
    <w:rsid w:val="3756A286"/>
    <w:rsid w:val="37579BAA"/>
    <w:rsid w:val="375B97C2"/>
    <w:rsid w:val="37713FA9"/>
    <w:rsid w:val="37721E96"/>
    <w:rsid w:val="37729FE5"/>
    <w:rsid w:val="3774612F"/>
    <w:rsid w:val="3778F5D7"/>
    <w:rsid w:val="377DBBC0"/>
    <w:rsid w:val="378F0356"/>
    <w:rsid w:val="3794C3B7"/>
    <w:rsid w:val="379ACED0"/>
    <w:rsid w:val="37BB7206"/>
    <w:rsid w:val="37BC5F1D"/>
    <w:rsid w:val="37C703BA"/>
    <w:rsid w:val="37CD548E"/>
    <w:rsid w:val="37D09052"/>
    <w:rsid w:val="37D5C278"/>
    <w:rsid w:val="37EB5BB0"/>
    <w:rsid w:val="37F1FB28"/>
    <w:rsid w:val="37F80158"/>
    <w:rsid w:val="37FBAE76"/>
    <w:rsid w:val="380E1E75"/>
    <w:rsid w:val="38168947"/>
    <w:rsid w:val="381FC6E8"/>
    <w:rsid w:val="38205015"/>
    <w:rsid w:val="38243E01"/>
    <w:rsid w:val="38251001"/>
    <w:rsid w:val="38269080"/>
    <w:rsid w:val="3839C90E"/>
    <w:rsid w:val="3844A04C"/>
    <w:rsid w:val="38471520"/>
    <w:rsid w:val="38493773"/>
    <w:rsid w:val="385539F5"/>
    <w:rsid w:val="385DB829"/>
    <w:rsid w:val="38649DE4"/>
    <w:rsid w:val="3866257B"/>
    <w:rsid w:val="38701EE9"/>
    <w:rsid w:val="3875F88B"/>
    <w:rsid w:val="387D0699"/>
    <w:rsid w:val="3880B75A"/>
    <w:rsid w:val="388A5700"/>
    <w:rsid w:val="388BE80C"/>
    <w:rsid w:val="389C7C9D"/>
    <w:rsid w:val="38A543B6"/>
    <w:rsid w:val="38B51895"/>
    <w:rsid w:val="38B5A4FA"/>
    <w:rsid w:val="38BA493B"/>
    <w:rsid w:val="38BF982E"/>
    <w:rsid w:val="38BFBA9C"/>
    <w:rsid w:val="38C82231"/>
    <w:rsid w:val="38C86E7B"/>
    <w:rsid w:val="38DA152E"/>
    <w:rsid w:val="38DB3094"/>
    <w:rsid w:val="38DC8FB3"/>
    <w:rsid w:val="38E39D62"/>
    <w:rsid w:val="38E74AE7"/>
    <w:rsid w:val="38F7AB50"/>
    <w:rsid w:val="39066752"/>
    <w:rsid w:val="390736BF"/>
    <w:rsid w:val="3908DDBC"/>
    <w:rsid w:val="392A32E0"/>
    <w:rsid w:val="3934A457"/>
    <w:rsid w:val="394209B1"/>
    <w:rsid w:val="394C0BEA"/>
    <w:rsid w:val="394F7BE4"/>
    <w:rsid w:val="39636013"/>
    <w:rsid w:val="396A8952"/>
    <w:rsid w:val="39705966"/>
    <w:rsid w:val="39718B6F"/>
    <w:rsid w:val="3972B6AC"/>
    <w:rsid w:val="3979BC82"/>
    <w:rsid w:val="397A1224"/>
    <w:rsid w:val="397AF630"/>
    <w:rsid w:val="397D4FB7"/>
    <w:rsid w:val="397D9525"/>
    <w:rsid w:val="3984A14D"/>
    <w:rsid w:val="398B2A2F"/>
    <w:rsid w:val="398DE813"/>
    <w:rsid w:val="39975FFF"/>
    <w:rsid w:val="39A3492B"/>
    <w:rsid w:val="39A5737E"/>
    <w:rsid w:val="39A80BA1"/>
    <w:rsid w:val="39AA4BE0"/>
    <w:rsid w:val="39AC9355"/>
    <w:rsid w:val="39B2C0D1"/>
    <w:rsid w:val="39BFFA9B"/>
    <w:rsid w:val="39C0A3A2"/>
    <w:rsid w:val="39CBA08B"/>
    <w:rsid w:val="39E5F65D"/>
    <w:rsid w:val="39EAC947"/>
    <w:rsid w:val="39EFAC96"/>
    <w:rsid w:val="39F1184E"/>
    <w:rsid w:val="39F91997"/>
    <w:rsid w:val="39FE2BB7"/>
    <w:rsid w:val="3A076907"/>
    <w:rsid w:val="3A07FDB8"/>
    <w:rsid w:val="3A0A761D"/>
    <w:rsid w:val="3A0EC621"/>
    <w:rsid w:val="3A1823A2"/>
    <w:rsid w:val="3A1A6273"/>
    <w:rsid w:val="3A2E8C51"/>
    <w:rsid w:val="3A32F35C"/>
    <w:rsid w:val="3A3A7479"/>
    <w:rsid w:val="3A3B0DCB"/>
    <w:rsid w:val="3A40BEAE"/>
    <w:rsid w:val="3A45B9B9"/>
    <w:rsid w:val="3A4DA659"/>
    <w:rsid w:val="3A50D93F"/>
    <w:rsid w:val="3A5A14BD"/>
    <w:rsid w:val="3A5BDF73"/>
    <w:rsid w:val="3A5C791D"/>
    <w:rsid w:val="3A5E17F2"/>
    <w:rsid w:val="3A5EA40F"/>
    <w:rsid w:val="3A60BA3C"/>
    <w:rsid w:val="3A6166A5"/>
    <w:rsid w:val="3A6D0444"/>
    <w:rsid w:val="3A75B0AB"/>
    <w:rsid w:val="3A777A40"/>
    <w:rsid w:val="3A809DB0"/>
    <w:rsid w:val="3A8D4191"/>
    <w:rsid w:val="3A914F0D"/>
    <w:rsid w:val="3A920FFB"/>
    <w:rsid w:val="3A953D5A"/>
    <w:rsid w:val="3AA71FEA"/>
    <w:rsid w:val="3AAC56AE"/>
    <w:rsid w:val="3AB01239"/>
    <w:rsid w:val="3AB6B7AD"/>
    <w:rsid w:val="3ABF76EA"/>
    <w:rsid w:val="3AC0D6F4"/>
    <w:rsid w:val="3AC77001"/>
    <w:rsid w:val="3ACFA230"/>
    <w:rsid w:val="3AD31111"/>
    <w:rsid w:val="3AD9BFDB"/>
    <w:rsid w:val="3ADDCD33"/>
    <w:rsid w:val="3AE47336"/>
    <w:rsid w:val="3AF01528"/>
    <w:rsid w:val="3AF95D9C"/>
    <w:rsid w:val="3AFA536E"/>
    <w:rsid w:val="3B00A821"/>
    <w:rsid w:val="3B12065A"/>
    <w:rsid w:val="3B1748CD"/>
    <w:rsid w:val="3B17D687"/>
    <w:rsid w:val="3B1B9117"/>
    <w:rsid w:val="3B2811DC"/>
    <w:rsid w:val="3B2B149E"/>
    <w:rsid w:val="3B2B8FFE"/>
    <w:rsid w:val="3B398B8C"/>
    <w:rsid w:val="3B3B8527"/>
    <w:rsid w:val="3B3BD16B"/>
    <w:rsid w:val="3B3EB21F"/>
    <w:rsid w:val="3B3F3C3E"/>
    <w:rsid w:val="3B423252"/>
    <w:rsid w:val="3B445E2E"/>
    <w:rsid w:val="3B479C3D"/>
    <w:rsid w:val="3B49F46C"/>
    <w:rsid w:val="3B6179E8"/>
    <w:rsid w:val="3B6424AA"/>
    <w:rsid w:val="3B643EC2"/>
    <w:rsid w:val="3B674C25"/>
    <w:rsid w:val="3B7D07B8"/>
    <w:rsid w:val="3B82E001"/>
    <w:rsid w:val="3B86ABFF"/>
    <w:rsid w:val="3B8A29AD"/>
    <w:rsid w:val="3B8E9C90"/>
    <w:rsid w:val="3B902A65"/>
    <w:rsid w:val="3B9449B3"/>
    <w:rsid w:val="3B97FC01"/>
    <w:rsid w:val="3BA7BFAB"/>
    <w:rsid w:val="3BA8984A"/>
    <w:rsid w:val="3BAA9682"/>
    <w:rsid w:val="3BADF6CB"/>
    <w:rsid w:val="3BBD034C"/>
    <w:rsid w:val="3BBE13B1"/>
    <w:rsid w:val="3BBEE3C5"/>
    <w:rsid w:val="3BC452F7"/>
    <w:rsid w:val="3BC9EAFA"/>
    <w:rsid w:val="3BD2D9DB"/>
    <w:rsid w:val="3BD911B6"/>
    <w:rsid w:val="3BD9A638"/>
    <w:rsid w:val="3BDB652B"/>
    <w:rsid w:val="3BE72B55"/>
    <w:rsid w:val="3BEA948E"/>
    <w:rsid w:val="3BEF239F"/>
    <w:rsid w:val="3BEF7475"/>
    <w:rsid w:val="3BF3B1DE"/>
    <w:rsid w:val="3BF4F923"/>
    <w:rsid w:val="3BF4F968"/>
    <w:rsid w:val="3C044032"/>
    <w:rsid w:val="3C164693"/>
    <w:rsid w:val="3C2FDC77"/>
    <w:rsid w:val="3C34CE23"/>
    <w:rsid w:val="3C3610D2"/>
    <w:rsid w:val="3C3D6827"/>
    <w:rsid w:val="3C4A781B"/>
    <w:rsid w:val="3C528926"/>
    <w:rsid w:val="3C588325"/>
    <w:rsid w:val="3C599F0D"/>
    <w:rsid w:val="3C5D6FEE"/>
    <w:rsid w:val="3C60A048"/>
    <w:rsid w:val="3C6526C6"/>
    <w:rsid w:val="3C66B2AD"/>
    <w:rsid w:val="3C674842"/>
    <w:rsid w:val="3C6AA62E"/>
    <w:rsid w:val="3C6FD52D"/>
    <w:rsid w:val="3C79D030"/>
    <w:rsid w:val="3C7D185E"/>
    <w:rsid w:val="3C809CCD"/>
    <w:rsid w:val="3C8AD918"/>
    <w:rsid w:val="3C8F790E"/>
    <w:rsid w:val="3C98D467"/>
    <w:rsid w:val="3C9C0A0A"/>
    <w:rsid w:val="3CA0701B"/>
    <w:rsid w:val="3CA84B08"/>
    <w:rsid w:val="3CAD474C"/>
    <w:rsid w:val="3CB630D2"/>
    <w:rsid w:val="3CBE7A60"/>
    <w:rsid w:val="3CC5A3C9"/>
    <w:rsid w:val="3CC6F4F8"/>
    <w:rsid w:val="3CC89EAF"/>
    <w:rsid w:val="3CCD5CE9"/>
    <w:rsid w:val="3CD3A826"/>
    <w:rsid w:val="3CD609B8"/>
    <w:rsid w:val="3CD652B2"/>
    <w:rsid w:val="3CE51138"/>
    <w:rsid w:val="3CE7B930"/>
    <w:rsid w:val="3CEB6E70"/>
    <w:rsid w:val="3CEE46DB"/>
    <w:rsid w:val="3CF075B6"/>
    <w:rsid w:val="3CF70B9D"/>
    <w:rsid w:val="3CFC4066"/>
    <w:rsid w:val="3D1101DC"/>
    <w:rsid w:val="3D112451"/>
    <w:rsid w:val="3D115384"/>
    <w:rsid w:val="3D16BC04"/>
    <w:rsid w:val="3D188D79"/>
    <w:rsid w:val="3D2CFDCC"/>
    <w:rsid w:val="3D30C1A9"/>
    <w:rsid w:val="3D3BCB70"/>
    <w:rsid w:val="3D40F0F1"/>
    <w:rsid w:val="3D48E2C2"/>
    <w:rsid w:val="3D4E56AF"/>
    <w:rsid w:val="3D50F031"/>
    <w:rsid w:val="3D5706DA"/>
    <w:rsid w:val="3D5D8A5E"/>
    <w:rsid w:val="3D5F0C5C"/>
    <w:rsid w:val="3D5FE03E"/>
    <w:rsid w:val="3D637E1A"/>
    <w:rsid w:val="3D64CBF6"/>
    <w:rsid w:val="3D67E8EA"/>
    <w:rsid w:val="3D70C5CB"/>
    <w:rsid w:val="3D74E217"/>
    <w:rsid w:val="3D7732F3"/>
    <w:rsid w:val="3D798677"/>
    <w:rsid w:val="3D7B5E45"/>
    <w:rsid w:val="3D7CF278"/>
    <w:rsid w:val="3D985AFE"/>
    <w:rsid w:val="3D9B5F52"/>
    <w:rsid w:val="3DA42171"/>
    <w:rsid w:val="3DA917D9"/>
    <w:rsid w:val="3DAEE111"/>
    <w:rsid w:val="3DB00BF7"/>
    <w:rsid w:val="3DB2461C"/>
    <w:rsid w:val="3DB435D6"/>
    <w:rsid w:val="3DC2F512"/>
    <w:rsid w:val="3DCC0777"/>
    <w:rsid w:val="3DD09E84"/>
    <w:rsid w:val="3DD1FBAF"/>
    <w:rsid w:val="3DD95DA4"/>
    <w:rsid w:val="3DD996F8"/>
    <w:rsid w:val="3DE017F2"/>
    <w:rsid w:val="3DE73B06"/>
    <w:rsid w:val="3DF2D69C"/>
    <w:rsid w:val="3DF421BD"/>
    <w:rsid w:val="3DF8CA6F"/>
    <w:rsid w:val="3E07E90C"/>
    <w:rsid w:val="3E1CF3C8"/>
    <w:rsid w:val="3E1F8F71"/>
    <w:rsid w:val="3E213E38"/>
    <w:rsid w:val="3E2651C2"/>
    <w:rsid w:val="3E2B8C9F"/>
    <w:rsid w:val="3E2EAD4A"/>
    <w:rsid w:val="3E3EBBB9"/>
    <w:rsid w:val="3E46077F"/>
    <w:rsid w:val="3E4CBF3B"/>
    <w:rsid w:val="3E4D5BA0"/>
    <w:rsid w:val="3E6510B7"/>
    <w:rsid w:val="3E6733B2"/>
    <w:rsid w:val="3E7292C9"/>
    <w:rsid w:val="3E751434"/>
    <w:rsid w:val="3E775C98"/>
    <w:rsid w:val="3E782232"/>
    <w:rsid w:val="3E7D11A8"/>
    <w:rsid w:val="3E7F40D3"/>
    <w:rsid w:val="3E846A49"/>
    <w:rsid w:val="3E858875"/>
    <w:rsid w:val="3E85A706"/>
    <w:rsid w:val="3E8B631E"/>
    <w:rsid w:val="3E957F48"/>
    <w:rsid w:val="3E9DDFF1"/>
    <w:rsid w:val="3EA02F41"/>
    <w:rsid w:val="3EA54645"/>
    <w:rsid w:val="3EA61A7E"/>
    <w:rsid w:val="3EA7FCBB"/>
    <w:rsid w:val="3EB3EA4D"/>
    <w:rsid w:val="3EB9472A"/>
    <w:rsid w:val="3EC2294D"/>
    <w:rsid w:val="3EC464B3"/>
    <w:rsid w:val="3EC5E150"/>
    <w:rsid w:val="3EC8CE2D"/>
    <w:rsid w:val="3ECA2F0C"/>
    <w:rsid w:val="3ECAECC3"/>
    <w:rsid w:val="3ECE602D"/>
    <w:rsid w:val="3EDD0E32"/>
    <w:rsid w:val="3EE4C3EE"/>
    <w:rsid w:val="3EE6E6C5"/>
    <w:rsid w:val="3EEFDEE7"/>
    <w:rsid w:val="3F0224DB"/>
    <w:rsid w:val="3F03498D"/>
    <w:rsid w:val="3F17753C"/>
    <w:rsid w:val="3F196AC5"/>
    <w:rsid w:val="3F2A6238"/>
    <w:rsid w:val="3F2A73C4"/>
    <w:rsid w:val="3F318915"/>
    <w:rsid w:val="3F40B695"/>
    <w:rsid w:val="3F463DD0"/>
    <w:rsid w:val="3F493DA4"/>
    <w:rsid w:val="3F557513"/>
    <w:rsid w:val="3F576F58"/>
    <w:rsid w:val="3F60C94D"/>
    <w:rsid w:val="3F6952D5"/>
    <w:rsid w:val="3F70DB9B"/>
    <w:rsid w:val="3F85107F"/>
    <w:rsid w:val="3F8A5A81"/>
    <w:rsid w:val="3F8B38A8"/>
    <w:rsid w:val="3F8B7521"/>
    <w:rsid w:val="3F8BA7B2"/>
    <w:rsid w:val="3F8F03C7"/>
    <w:rsid w:val="3F93A744"/>
    <w:rsid w:val="3F93BB4E"/>
    <w:rsid w:val="3FA935DB"/>
    <w:rsid w:val="3FAC4A5C"/>
    <w:rsid w:val="3FB07370"/>
    <w:rsid w:val="3FB0C5C0"/>
    <w:rsid w:val="3FBA1778"/>
    <w:rsid w:val="3FBC83D8"/>
    <w:rsid w:val="3FC37FEF"/>
    <w:rsid w:val="3FC7186B"/>
    <w:rsid w:val="3FCCA015"/>
    <w:rsid w:val="3FCCE64B"/>
    <w:rsid w:val="3FCED09C"/>
    <w:rsid w:val="3FDCD989"/>
    <w:rsid w:val="3FE0163A"/>
    <w:rsid w:val="3FEAF7B2"/>
    <w:rsid w:val="3FF251CF"/>
    <w:rsid w:val="4002DDE4"/>
    <w:rsid w:val="4006C05B"/>
    <w:rsid w:val="4013B71A"/>
    <w:rsid w:val="4017CF51"/>
    <w:rsid w:val="40189F14"/>
    <w:rsid w:val="401A320A"/>
    <w:rsid w:val="40220230"/>
    <w:rsid w:val="4024F95F"/>
    <w:rsid w:val="402770B5"/>
    <w:rsid w:val="402B740E"/>
    <w:rsid w:val="40341207"/>
    <w:rsid w:val="403A4331"/>
    <w:rsid w:val="403DF4D7"/>
    <w:rsid w:val="403F513A"/>
    <w:rsid w:val="403F87F3"/>
    <w:rsid w:val="40409986"/>
    <w:rsid w:val="40460509"/>
    <w:rsid w:val="405A1998"/>
    <w:rsid w:val="40628FBB"/>
    <w:rsid w:val="407322F0"/>
    <w:rsid w:val="407662BF"/>
    <w:rsid w:val="407CF227"/>
    <w:rsid w:val="408318D6"/>
    <w:rsid w:val="40855416"/>
    <w:rsid w:val="408866E0"/>
    <w:rsid w:val="409A0BA2"/>
    <w:rsid w:val="40A3FACC"/>
    <w:rsid w:val="40BE05B1"/>
    <w:rsid w:val="40C45566"/>
    <w:rsid w:val="40C9ABF1"/>
    <w:rsid w:val="40CAFC0B"/>
    <w:rsid w:val="40D22F65"/>
    <w:rsid w:val="40D42CD2"/>
    <w:rsid w:val="40D607EF"/>
    <w:rsid w:val="40D61F45"/>
    <w:rsid w:val="40D9F51A"/>
    <w:rsid w:val="40DF1F81"/>
    <w:rsid w:val="40F4DE19"/>
    <w:rsid w:val="40FC0AF6"/>
    <w:rsid w:val="41003FFB"/>
    <w:rsid w:val="41052336"/>
    <w:rsid w:val="41063B86"/>
    <w:rsid w:val="41108338"/>
    <w:rsid w:val="41163027"/>
    <w:rsid w:val="4117B8B4"/>
    <w:rsid w:val="41205593"/>
    <w:rsid w:val="41298FD5"/>
    <w:rsid w:val="412A922F"/>
    <w:rsid w:val="4138ADEF"/>
    <w:rsid w:val="413C2B3C"/>
    <w:rsid w:val="413FA69A"/>
    <w:rsid w:val="414686E6"/>
    <w:rsid w:val="414695AC"/>
    <w:rsid w:val="4146E6D4"/>
    <w:rsid w:val="41513EB4"/>
    <w:rsid w:val="4155A2FB"/>
    <w:rsid w:val="416AC1E9"/>
    <w:rsid w:val="416B8CCE"/>
    <w:rsid w:val="416E6658"/>
    <w:rsid w:val="41728D5A"/>
    <w:rsid w:val="417B129F"/>
    <w:rsid w:val="417C4758"/>
    <w:rsid w:val="417D95A5"/>
    <w:rsid w:val="4181198B"/>
    <w:rsid w:val="4184B21B"/>
    <w:rsid w:val="418A2BEC"/>
    <w:rsid w:val="418CF905"/>
    <w:rsid w:val="418E1FDD"/>
    <w:rsid w:val="418F00F7"/>
    <w:rsid w:val="4191B4AE"/>
    <w:rsid w:val="41933309"/>
    <w:rsid w:val="41933461"/>
    <w:rsid w:val="4198E471"/>
    <w:rsid w:val="41AA707F"/>
    <w:rsid w:val="41AD9849"/>
    <w:rsid w:val="41B96809"/>
    <w:rsid w:val="41BDD258"/>
    <w:rsid w:val="41C2868A"/>
    <w:rsid w:val="41C36B93"/>
    <w:rsid w:val="41C86B5F"/>
    <w:rsid w:val="41C9407E"/>
    <w:rsid w:val="41D09868"/>
    <w:rsid w:val="41DF0EDC"/>
    <w:rsid w:val="41DFFE7D"/>
    <w:rsid w:val="41E1BB3D"/>
    <w:rsid w:val="41EAD047"/>
    <w:rsid w:val="41F17A12"/>
    <w:rsid w:val="41F745E5"/>
    <w:rsid w:val="41FE287F"/>
    <w:rsid w:val="4200C30E"/>
    <w:rsid w:val="42123320"/>
    <w:rsid w:val="42247871"/>
    <w:rsid w:val="422C64DC"/>
    <w:rsid w:val="4236D6B6"/>
    <w:rsid w:val="42420F49"/>
    <w:rsid w:val="42435EE3"/>
    <w:rsid w:val="4248533A"/>
    <w:rsid w:val="4250D9AE"/>
    <w:rsid w:val="4251CC4B"/>
    <w:rsid w:val="4256BEE1"/>
    <w:rsid w:val="4262F59C"/>
    <w:rsid w:val="426F7FEF"/>
    <w:rsid w:val="4270FD99"/>
    <w:rsid w:val="427E0712"/>
    <w:rsid w:val="4288FA85"/>
    <w:rsid w:val="428CE6F3"/>
    <w:rsid w:val="42914A02"/>
    <w:rsid w:val="42A8274A"/>
    <w:rsid w:val="42B38915"/>
    <w:rsid w:val="42B9BA73"/>
    <w:rsid w:val="42BBCF6D"/>
    <w:rsid w:val="42BC9EB6"/>
    <w:rsid w:val="42C948BF"/>
    <w:rsid w:val="42D95399"/>
    <w:rsid w:val="42E0A7B6"/>
    <w:rsid w:val="42E80639"/>
    <w:rsid w:val="42E9B185"/>
    <w:rsid w:val="42E9CCCB"/>
    <w:rsid w:val="42F1294E"/>
    <w:rsid w:val="42F98450"/>
    <w:rsid w:val="42FD5AD3"/>
    <w:rsid w:val="43000D52"/>
    <w:rsid w:val="430406F7"/>
    <w:rsid w:val="430B4C84"/>
    <w:rsid w:val="430E98A1"/>
    <w:rsid w:val="4314FC66"/>
    <w:rsid w:val="43152A13"/>
    <w:rsid w:val="431AD96F"/>
    <w:rsid w:val="431B8DF2"/>
    <w:rsid w:val="43256D4B"/>
    <w:rsid w:val="4337A942"/>
    <w:rsid w:val="4338AD57"/>
    <w:rsid w:val="433976C1"/>
    <w:rsid w:val="4339F512"/>
    <w:rsid w:val="433B95F4"/>
    <w:rsid w:val="433CA5EC"/>
    <w:rsid w:val="433EF73A"/>
    <w:rsid w:val="4345BF83"/>
    <w:rsid w:val="43491900"/>
    <w:rsid w:val="436F070B"/>
    <w:rsid w:val="436FF725"/>
    <w:rsid w:val="4370AD03"/>
    <w:rsid w:val="43767A29"/>
    <w:rsid w:val="43861601"/>
    <w:rsid w:val="438AA8BF"/>
    <w:rsid w:val="439C3F50"/>
    <w:rsid w:val="439C641D"/>
    <w:rsid w:val="43A3A522"/>
    <w:rsid w:val="43AD8AAF"/>
    <w:rsid w:val="43B2BA5C"/>
    <w:rsid w:val="43C4CC04"/>
    <w:rsid w:val="43C8B51E"/>
    <w:rsid w:val="43CF0CFC"/>
    <w:rsid w:val="43D262F7"/>
    <w:rsid w:val="43DD5A6F"/>
    <w:rsid w:val="43E6EC88"/>
    <w:rsid w:val="43EA7297"/>
    <w:rsid w:val="43EE1014"/>
    <w:rsid w:val="43F55A70"/>
    <w:rsid w:val="4404FA38"/>
    <w:rsid w:val="4415D108"/>
    <w:rsid w:val="4430715E"/>
    <w:rsid w:val="44332BA9"/>
    <w:rsid w:val="4434FF8D"/>
    <w:rsid w:val="4437EEC8"/>
    <w:rsid w:val="443F1AB5"/>
    <w:rsid w:val="44420687"/>
    <w:rsid w:val="444B6667"/>
    <w:rsid w:val="4450E64C"/>
    <w:rsid w:val="4466374F"/>
    <w:rsid w:val="44675AE6"/>
    <w:rsid w:val="44852915"/>
    <w:rsid w:val="4497E661"/>
    <w:rsid w:val="449C20A6"/>
    <w:rsid w:val="449F37B0"/>
    <w:rsid w:val="44A0AA10"/>
    <w:rsid w:val="44B0CCC7"/>
    <w:rsid w:val="44B7F91C"/>
    <w:rsid w:val="44B8BA4D"/>
    <w:rsid w:val="44BE3647"/>
    <w:rsid w:val="44C5B36F"/>
    <w:rsid w:val="44CAD523"/>
    <w:rsid w:val="44CEAD45"/>
    <w:rsid w:val="44CFA334"/>
    <w:rsid w:val="44D3B550"/>
    <w:rsid w:val="44D6A485"/>
    <w:rsid w:val="44D91DAD"/>
    <w:rsid w:val="44DBB0E5"/>
    <w:rsid w:val="44E6AFE7"/>
    <w:rsid w:val="44E7FCC7"/>
    <w:rsid w:val="44E9DA6B"/>
    <w:rsid w:val="44EC26F3"/>
    <w:rsid w:val="44F1538B"/>
    <w:rsid w:val="44FC12E5"/>
    <w:rsid w:val="44FC9686"/>
    <w:rsid w:val="44FE3084"/>
    <w:rsid w:val="4509FC95"/>
    <w:rsid w:val="450BF691"/>
    <w:rsid w:val="4510CB50"/>
    <w:rsid w:val="4517AF81"/>
    <w:rsid w:val="451F0D88"/>
    <w:rsid w:val="4521FAED"/>
    <w:rsid w:val="45258E89"/>
    <w:rsid w:val="45267920"/>
    <w:rsid w:val="453A1E50"/>
    <w:rsid w:val="4556B76B"/>
    <w:rsid w:val="455F97D6"/>
    <w:rsid w:val="45696C41"/>
    <w:rsid w:val="456DED19"/>
    <w:rsid w:val="457691D4"/>
    <w:rsid w:val="45770B9F"/>
    <w:rsid w:val="457CCFB9"/>
    <w:rsid w:val="4586FD04"/>
    <w:rsid w:val="459D2277"/>
    <w:rsid w:val="45A842D0"/>
    <w:rsid w:val="45AFAD55"/>
    <w:rsid w:val="45B8123C"/>
    <w:rsid w:val="45BD8AEC"/>
    <w:rsid w:val="45C0B086"/>
    <w:rsid w:val="45C3CC8A"/>
    <w:rsid w:val="45C77BE6"/>
    <w:rsid w:val="45CAA1CB"/>
    <w:rsid w:val="45DBB338"/>
    <w:rsid w:val="45E8CD5B"/>
    <w:rsid w:val="45EB29D7"/>
    <w:rsid w:val="45EBB0EB"/>
    <w:rsid w:val="45EEE442"/>
    <w:rsid w:val="45FC8CB0"/>
    <w:rsid w:val="45FCCDA3"/>
    <w:rsid w:val="4600A094"/>
    <w:rsid w:val="4600BD7C"/>
    <w:rsid w:val="46045234"/>
    <w:rsid w:val="460C1DA0"/>
    <w:rsid w:val="4618BCEE"/>
    <w:rsid w:val="461FFF06"/>
    <w:rsid w:val="46271F9A"/>
    <w:rsid w:val="46374781"/>
    <w:rsid w:val="4637F107"/>
    <w:rsid w:val="463C41DA"/>
    <w:rsid w:val="465060FA"/>
    <w:rsid w:val="465098E2"/>
    <w:rsid w:val="46570B29"/>
    <w:rsid w:val="465DFE1D"/>
    <w:rsid w:val="466FF5CA"/>
    <w:rsid w:val="467AF0EC"/>
    <w:rsid w:val="468216DA"/>
    <w:rsid w:val="46837EAC"/>
    <w:rsid w:val="468D03F0"/>
    <w:rsid w:val="46914300"/>
    <w:rsid w:val="4693959F"/>
    <w:rsid w:val="4693B7B4"/>
    <w:rsid w:val="469E4FD0"/>
    <w:rsid w:val="469ED3D5"/>
    <w:rsid w:val="46A024A4"/>
    <w:rsid w:val="46A268C4"/>
    <w:rsid w:val="46A9D88C"/>
    <w:rsid w:val="46B50C64"/>
    <w:rsid w:val="46BCCB07"/>
    <w:rsid w:val="46BDBEF5"/>
    <w:rsid w:val="46BEDBF3"/>
    <w:rsid w:val="46C05812"/>
    <w:rsid w:val="46D3DF2D"/>
    <w:rsid w:val="46D9B954"/>
    <w:rsid w:val="46E4CE92"/>
    <w:rsid w:val="46E509A2"/>
    <w:rsid w:val="46ED98F7"/>
    <w:rsid w:val="46EE8FDB"/>
    <w:rsid w:val="46F36F8E"/>
    <w:rsid w:val="46F3FA55"/>
    <w:rsid w:val="46F9A559"/>
    <w:rsid w:val="47000E1F"/>
    <w:rsid w:val="47078CFF"/>
    <w:rsid w:val="470992F6"/>
    <w:rsid w:val="47110C68"/>
    <w:rsid w:val="4711E744"/>
    <w:rsid w:val="4712FB92"/>
    <w:rsid w:val="47244BAF"/>
    <w:rsid w:val="47278907"/>
    <w:rsid w:val="472A42DE"/>
    <w:rsid w:val="473258AB"/>
    <w:rsid w:val="473879A5"/>
    <w:rsid w:val="4739F80B"/>
    <w:rsid w:val="4742601D"/>
    <w:rsid w:val="4745679E"/>
    <w:rsid w:val="474DC765"/>
    <w:rsid w:val="475D4B3B"/>
    <w:rsid w:val="476314B7"/>
    <w:rsid w:val="4766088A"/>
    <w:rsid w:val="4766FA0C"/>
    <w:rsid w:val="47682095"/>
    <w:rsid w:val="476A451E"/>
    <w:rsid w:val="47702836"/>
    <w:rsid w:val="477508B8"/>
    <w:rsid w:val="4776B718"/>
    <w:rsid w:val="478F8D44"/>
    <w:rsid w:val="4794BE7A"/>
    <w:rsid w:val="47975C40"/>
    <w:rsid w:val="479DD538"/>
    <w:rsid w:val="47B4AF8E"/>
    <w:rsid w:val="47BBE112"/>
    <w:rsid w:val="47C671B7"/>
    <w:rsid w:val="47C7F037"/>
    <w:rsid w:val="47CDFF90"/>
    <w:rsid w:val="47CEB153"/>
    <w:rsid w:val="47DA8E1B"/>
    <w:rsid w:val="47DC1DEF"/>
    <w:rsid w:val="47E17732"/>
    <w:rsid w:val="47EEA04D"/>
    <w:rsid w:val="47EF160D"/>
    <w:rsid w:val="4807AD4E"/>
    <w:rsid w:val="4809A506"/>
    <w:rsid w:val="480B2ED4"/>
    <w:rsid w:val="481264DA"/>
    <w:rsid w:val="4812C7B4"/>
    <w:rsid w:val="48277B35"/>
    <w:rsid w:val="482995F1"/>
    <w:rsid w:val="482B554B"/>
    <w:rsid w:val="48305554"/>
    <w:rsid w:val="48343748"/>
    <w:rsid w:val="4836B65B"/>
    <w:rsid w:val="4838C4C4"/>
    <w:rsid w:val="483A4707"/>
    <w:rsid w:val="483CF9F5"/>
    <w:rsid w:val="484168C2"/>
    <w:rsid w:val="4844EC85"/>
    <w:rsid w:val="4846A502"/>
    <w:rsid w:val="4853A985"/>
    <w:rsid w:val="485664EB"/>
    <w:rsid w:val="48574F9A"/>
    <w:rsid w:val="48575460"/>
    <w:rsid w:val="4857E8F5"/>
    <w:rsid w:val="48580742"/>
    <w:rsid w:val="48628F8A"/>
    <w:rsid w:val="4863A527"/>
    <w:rsid w:val="4868C87C"/>
    <w:rsid w:val="486EC6CD"/>
    <w:rsid w:val="487393FD"/>
    <w:rsid w:val="48745D1D"/>
    <w:rsid w:val="48822700"/>
    <w:rsid w:val="488424CB"/>
    <w:rsid w:val="4887E9A4"/>
    <w:rsid w:val="488AA9A0"/>
    <w:rsid w:val="488D2086"/>
    <w:rsid w:val="48958343"/>
    <w:rsid w:val="48A2CEE7"/>
    <w:rsid w:val="48B02F78"/>
    <w:rsid w:val="48B0DFF6"/>
    <w:rsid w:val="48B136AF"/>
    <w:rsid w:val="48B862AF"/>
    <w:rsid w:val="48BCDD20"/>
    <w:rsid w:val="48D1903E"/>
    <w:rsid w:val="48D1A1E7"/>
    <w:rsid w:val="48D4515E"/>
    <w:rsid w:val="48D5AA55"/>
    <w:rsid w:val="48E15A33"/>
    <w:rsid w:val="48F14645"/>
    <w:rsid w:val="48F31C56"/>
    <w:rsid w:val="48FD2643"/>
    <w:rsid w:val="490717E6"/>
    <w:rsid w:val="4907AED0"/>
    <w:rsid w:val="490DFD95"/>
    <w:rsid w:val="49115C84"/>
    <w:rsid w:val="4911AD50"/>
    <w:rsid w:val="4917986E"/>
    <w:rsid w:val="49247A4D"/>
    <w:rsid w:val="49257C38"/>
    <w:rsid w:val="4929FD4E"/>
    <w:rsid w:val="49389D14"/>
    <w:rsid w:val="493C8771"/>
    <w:rsid w:val="49501867"/>
    <w:rsid w:val="4953F217"/>
    <w:rsid w:val="4958AAFF"/>
    <w:rsid w:val="4962DE57"/>
    <w:rsid w:val="496A5CE9"/>
    <w:rsid w:val="496E15FC"/>
    <w:rsid w:val="49720361"/>
    <w:rsid w:val="4975BBAE"/>
    <w:rsid w:val="4980F6CA"/>
    <w:rsid w:val="498DBAC8"/>
    <w:rsid w:val="49936545"/>
    <w:rsid w:val="4994CE55"/>
    <w:rsid w:val="499CB6A2"/>
    <w:rsid w:val="49A44FA7"/>
    <w:rsid w:val="49A450F5"/>
    <w:rsid w:val="49A6635A"/>
    <w:rsid w:val="49A7319B"/>
    <w:rsid w:val="49AFEE8E"/>
    <w:rsid w:val="49B1E46E"/>
    <w:rsid w:val="49BE85C7"/>
    <w:rsid w:val="49C142C6"/>
    <w:rsid w:val="49C40560"/>
    <w:rsid w:val="49C46006"/>
    <w:rsid w:val="49C52C72"/>
    <w:rsid w:val="49CCC0FC"/>
    <w:rsid w:val="49D962BD"/>
    <w:rsid w:val="49E27563"/>
    <w:rsid w:val="49EFB4C2"/>
    <w:rsid w:val="49F0BCEB"/>
    <w:rsid w:val="49F635A9"/>
    <w:rsid w:val="49FDCC63"/>
    <w:rsid w:val="49FED802"/>
    <w:rsid w:val="49FFFC1B"/>
    <w:rsid w:val="4A009A7A"/>
    <w:rsid w:val="4A02F5A1"/>
    <w:rsid w:val="4A04013A"/>
    <w:rsid w:val="4A05CE52"/>
    <w:rsid w:val="4A0A1C4B"/>
    <w:rsid w:val="4A0FD3C8"/>
    <w:rsid w:val="4A102D7E"/>
    <w:rsid w:val="4A12625C"/>
    <w:rsid w:val="4A14E300"/>
    <w:rsid w:val="4A151497"/>
    <w:rsid w:val="4A18360F"/>
    <w:rsid w:val="4A318E23"/>
    <w:rsid w:val="4A32F9EF"/>
    <w:rsid w:val="4A379EF4"/>
    <w:rsid w:val="4A41D862"/>
    <w:rsid w:val="4A4E70C8"/>
    <w:rsid w:val="4A5054D8"/>
    <w:rsid w:val="4A545DA3"/>
    <w:rsid w:val="4A574991"/>
    <w:rsid w:val="4A5928D3"/>
    <w:rsid w:val="4A59564E"/>
    <w:rsid w:val="4A603EDB"/>
    <w:rsid w:val="4A612C3E"/>
    <w:rsid w:val="4A625094"/>
    <w:rsid w:val="4A66DD6A"/>
    <w:rsid w:val="4A7B655D"/>
    <w:rsid w:val="4A902322"/>
    <w:rsid w:val="4A95F92F"/>
    <w:rsid w:val="4A98EF41"/>
    <w:rsid w:val="4A9B8DAF"/>
    <w:rsid w:val="4A9FC157"/>
    <w:rsid w:val="4AA9D623"/>
    <w:rsid w:val="4AB77066"/>
    <w:rsid w:val="4AB86283"/>
    <w:rsid w:val="4ABE9AFA"/>
    <w:rsid w:val="4AC3C7CE"/>
    <w:rsid w:val="4AC43594"/>
    <w:rsid w:val="4AC573FA"/>
    <w:rsid w:val="4AC9619A"/>
    <w:rsid w:val="4ACC8B92"/>
    <w:rsid w:val="4ACE5277"/>
    <w:rsid w:val="4AD6C97B"/>
    <w:rsid w:val="4AE3034B"/>
    <w:rsid w:val="4AE6CA25"/>
    <w:rsid w:val="4AEAA656"/>
    <w:rsid w:val="4AFAAC5D"/>
    <w:rsid w:val="4AFD7529"/>
    <w:rsid w:val="4AFE8809"/>
    <w:rsid w:val="4AFECB0B"/>
    <w:rsid w:val="4AFF4B24"/>
    <w:rsid w:val="4B008047"/>
    <w:rsid w:val="4B0AFD27"/>
    <w:rsid w:val="4B0B1C67"/>
    <w:rsid w:val="4B0EF07E"/>
    <w:rsid w:val="4B13BC4F"/>
    <w:rsid w:val="4B1ACC85"/>
    <w:rsid w:val="4B1C142F"/>
    <w:rsid w:val="4B2262C2"/>
    <w:rsid w:val="4B27FBD1"/>
    <w:rsid w:val="4B2F35A6"/>
    <w:rsid w:val="4B313041"/>
    <w:rsid w:val="4B383229"/>
    <w:rsid w:val="4B4094F0"/>
    <w:rsid w:val="4B6A7813"/>
    <w:rsid w:val="4B837E3F"/>
    <w:rsid w:val="4B845CEF"/>
    <w:rsid w:val="4B9A8339"/>
    <w:rsid w:val="4B9B0076"/>
    <w:rsid w:val="4B9B1819"/>
    <w:rsid w:val="4BA1A8FF"/>
    <w:rsid w:val="4BA5FED0"/>
    <w:rsid w:val="4BA75135"/>
    <w:rsid w:val="4BB905D8"/>
    <w:rsid w:val="4BC02A83"/>
    <w:rsid w:val="4BC1BC52"/>
    <w:rsid w:val="4BCAA895"/>
    <w:rsid w:val="4BCC32F2"/>
    <w:rsid w:val="4BCFC52F"/>
    <w:rsid w:val="4BDA836B"/>
    <w:rsid w:val="4BE34402"/>
    <w:rsid w:val="4BFCE6C6"/>
    <w:rsid w:val="4C008003"/>
    <w:rsid w:val="4C1F2B64"/>
    <w:rsid w:val="4C1F713E"/>
    <w:rsid w:val="4C1FD7EE"/>
    <w:rsid w:val="4C227E8A"/>
    <w:rsid w:val="4C240D98"/>
    <w:rsid w:val="4C2666BD"/>
    <w:rsid w:val="4C2C6E9C"/>
    <w:rsid w:val="4C2CC298"/>
    <w:rsid w:val="4C30E2A6"/>
    <w:rsid w:val="4C31B01E"/>
    <w:rsid w:val="4C364705"/>
    <w:rsid w:val="4C37F21C"/>
    <w:rsid w:val="4C397EEF"/>
    <w:rsid w:val="4C3C1888"/>
    <w:rsid w:val="4C408BDB"/>
    <w:rsid w:val="4C4FEE4D"/>
    <w:rsid w:val="4C5359FE"/>
    <w:rsid w:val="4C545FE6"/>
    <w:rsid w:val="4C5A6B5B"/>
    <w:rsid w:val="4C5A8A5C"/>
    <w:rsid w:val="4C694F25"/>
    <w:rsid w:val="4C79FE59"/>
    <w:rsid w:val="4C7F96DE"/>
    <w:rsid w:val="4C860817"/>
    <w:rsid w:val="4C8D86E6"/>
    <w:rsid w:val="4C964C11"/>
    <w:rsid w:val="4CA4D0FD"/>
    <w:rsid w:val="4CAD594D"/>
    <w:rsid w:val="4CC65DC7"/>
    <w:rsid w:val="4CC96CD4"/>
    <w:rsid w:val="4CCFFA00"/>
    <w:rsid w:val="4CD191CC"/>
    <w:rsid w:val="4CDB2AA5"/>
    <w:rsid w:val="4CDF9CEF"/>
    <w:rsid w:val="4CE0FECD"/>
    <w:rsid w:val="4CE63BBB"/>
    <w:rsid w:val="4CEF0007"/>
    <w:rsid w:val="4CFAECE1"/>
    <w:rsid w:val="4CFB973B"/>
    <w:rsid w:val="4CFD3763"/>
    <w:rsid w:val="4D0118E2"/>
    <w:rsid w:val="4D017774"/>
    <w:rsid w:val="4D0A8015"/>
    <w:rsid w:val="4D0CF64B"/>
    <w:rsid w:val="4D14765B"/>
    <w:rsid w:val="4D17322F"/>
    <w:rsid w:val="4D1A4BAF"/>
    <w:rsid w:val="4D1B76CA"/>
    <w:rsid w:val="4D1DF896"/>
    <w:rsid w:val="4D226046"/>
    <w:rsid w:val="4D2869FD"/>
    <w:rsid w:val="4D3D533B"/>
    <w:rsid w:val="4D3FC861"/>
    <w:rsid w:val="4D4110C2"/>
    <w:rsid w:val="4D471781"/>
    <w:rsid w:val="4D4C0BFD"/>
    <w:rsid w:val="4D52FAAC"/>
    <w:rsid w:val="4D67A095"/>
    <w:rsid w:val="4D7019BE"/>
    <w:rsid w:val="4D70D3C6"/>
    <w:rsid w:val="4D77305E"/>
    <w:rsid w:val="4D7F5485"/>
    <w:rsid w:val="4D85E926"/>
    <w:rsid w:val="4D861022"/>
    <w:rsid w:val="4D8AA5D1"/>
    <w:rsid w:val="4D8C430C"/>
    <w:rsid w:val="4D8E9AEB"/>
    <w:rsid w:val="4D972934"/>
    <w:rsid w:val="4D978A10"/>
    <w:rsid w:val="4D99B73B"/>
    <w:rsid w:val="4DABDC7E"/>
    <w:rsid w:val="4DAE430F"/>
    <w:rsid w:val="4DAF3126"/>
    <w:rsid w:val="4DB3AE57"/>
    <w:rsid w:val="4DB3CA04"/>
    <w:rsid w:val="4DB4DF17"/>
    <w:rsid w:val="4DB8126A"/>
    <w:rsid w:val="4DB977C9"/>
    <w:rsid w:val="4DB9F4D9"/>
    <w:rsid w:val="4DBB2007"/>
    <w:rsid w:val="4DBFDDF9"/>
    <w:rsid w:val="4DC1BDDD"/>
    <w:rsid w:val="4DC5BAFB"/>
    <w:rsid w:val="4DC7678A"/>
    <w:rsid w:val="4DD3326D"/>
    <w:rsid w:val="4DE443C4"/>
    <w:rsid w:val="4DE4FC0F"/>
    <w:rsid w:val="4DE7F045"/>
    <w:rsid w:val="4DE8E46C"/>
    <w:rsid w:val="4DEAA04A"/>
    <w:rsid w:val="4DEDC6D2"/>
    <w:rsid w:val="4DEF7C15"/>
    <w:rsid w:val="4DFAEDD2"/>
    <w:rsid w:val="4E041D38"/>
    <w:rsid w:val="4E06758D"/>
    <w:rsid w:val="4E0E3863"/>
    <w:rsid w:val="4E1694CF"/>
    <w:rsid w:val="4E1C0640"/>
    <w:rsid w:val="4E2019B3"/>
    <w:rsid w:val="4E21E18F"/>
    <w:rsid w:val="4E33034C"/>
    <w:rsid w:val="4E3512B6"/>
    <w:rsid w:val="4E438B85"/>
    <w:rsid w:val="4E5548CB"/>
    <w:rsid w:val="4E61A63D"/>
    <w:rsid w:val="4E658F0C"/>
    <w:rsid w:val="4E67826B"/>
    <w:rsid w:val="4E6C9734"/>
    <w:rsid w:val="4E77EA5E"/>
    <w:rsid w:val="4E8032A9"/>
    <w:rsid w:val="4E805605"/>
    <w:rsid w:val="4E9777CD"/>
    <w:rsid w:val="4E97DD7B"/>
    <w:rsid w:val="4EA0A317"/>
    <w:rsid w:val="4EA73256"/>
    <w:rsid w:val="4EA98611"/>
    <w:rsid w:val="4EAE8185"/>
    <w:rsid w:val="4EBA65A1"/>
    <w:rsid w:val="4EBF3B85"/>
    <w:rsid w:val="4EC3875D"/>
    <w:rsid w:val="4EC3FAA3"/>
    <w:rsid w:val="4EC6D10F"/>
    <w:rsid w:val="4ED3D167"/>
    <w:rsid w:val="4ED68DE2"/>
    <w:rsid w:val="4EDEF1F7"/>
    <w:rsid w:val="4EDF8323"/>
    <w:rsid w:val="4EE53A2F"/>
    <w:rsid w:val="4EEF8A65"/>
    <w:rsid w:val="4EF2814B"/>
    <w:rsid w:val="4EF7F254"/>
    <w:rsid w:val="4F08CA82"/>
    <w:rsid w:val="4F0D2041"/>
    <w:rsid w:val="4F101287"/>
    <w:rsid w:val="4F18B6AC"/>
    <w:rsid w:val="4F1A29B7"/>
    <w:rsid w:val="4F223611"/>
    <w:rsid w:val="4F2919C3"/>
    <w:rsid w:val="4F2966C0"/>
    <w:rsid w:val="4F2C2E6A"/>
    <w:rsid w:val="4F2FDE24"/>
    <w:rsid w:val="4F36B294"/>
    <w:rsid w:val="4F37D9B3"/>
    <w:rsid w:val="4F44D998"/>
    <w:rsid w:val="4F462946"/>
    <w:rsid w:val="4F479C0F"/>
    <w:rsid w:val="4F48CD6C"/>
    <w:rsid w:val="4F5A0A1D"/>
    <w:rsid w:val="4F62AD26"/>
    <w:rsid w:val="4F6777B0"/>
    <w:rsid w:val="4F7A3F8D"/>
    <w:rsid w:val="4F8531B6"/>
    <w:rsid w:val="4F8B88E8"/>
    <w:rsid w:val="4F8FC634"/>
    <w:rsid w:val="4F92E748"/>
    <w:rsid w:val="4F983EA2"/>
    <w:rsid w:val="4F9BBA4A"/>
    <w:rsid w:val="4FA7B040"/>
    <w:rsid w:val="4FB19918"/>
    <w:rsid w:val="4FBEF2EF"/>
    <w:rsid w:val="4FBFDA75"/>
    <w:rsid w:val="4FC3C606"/>
    <w:rsid w:val="4FC4904D"/>
    <w:rsid w:val="4FD30B1A"/>
    <w:rsid w:val="4FD4D3C7"/>
    <w:rsid w:val="4FE8E380"/>
    <w:rsid w:val="4FE92E13"/>
    <w:rsid w:val="4FEB31DC"/>
    <w:rsid w:val="4FF3AB38"/>
    <w:rsid w:val="4FF8A5EB"/>
    <w:rsid w:val="4FF8A6B6"/>
    <w:rsid w:val="500170D8"/>
    <w:rsid w:val="50049EFB"/>
    <w:rsid w:val="5004D60A"/>
    <w:rsid w:val="50061B78"/>
    <w:rsid w:val="50095C74"/>
    <w:rsid w:val="500B3069"/>
    <w:rsid w:val="500F7148"/>
    <w:rsid w:val="50131D7E"/>
    <w:rsid w:val="5014D54F"/>
    <w:rsid w:val="50168EC9"/>
    <w:rsid w:val="501FB3F7"/>
    <w:rsid w:val="502C1C0D"/>
    <w:rsid w:val="50384009"/>
    <w:rsid w:val="50406C73"/>
    <w:rsid w:val="5050935F"/>
    <w:rsid w:val="5057A258"/>
    <w:rsid w:val="505A96A9"/>
    <w:rsid w:val="506052B1"/>
    <w:rsid w:val="506A6A4B"/>
    <w:rsid w:val="5076A62D"/>
    <w:rsid w:val="507968EE"/>
    <w:rsid w:val="507B5976"/>
    <w:rsid w:val="508B0686"/>
    <w:rsid w:val="508DF00D"/>
    <w:rsid w:val="50946BD0"/>
    <w:rsid w:val="5095EA64"/>
    <w:rsid w:val="5095FD0F"/>
    <w:rsid w:val="50B4D739"/>
    <w:rsid w:val="50BECB11"/>
    <w:rsid w:val="50C78C7D"/>
    <w:rsid w:val="50C79A83"/>
    <w:rsid w:val="50CA3521"/>
    <w:rsid w:val="50D257F2"/>
    <w:rsid w:val="50D289E4"/>
    <w:rsid w:val="50D344BA"/>
    <w:rsid w:val="50D85F78"/>
    <w:rsid w:val="50DA4540"/>
    <w:rsid w:val="50EFFCDA"/>
    <w:rsid w:val="50F34F14"/>
    <w:rsid w:val="50F88654"/>
    <w:rsid w:val="510E10A7"/>
    <w:rsid w:val="510E9AE4"/>
    <w:rsid w:val="5111DA0D"/>
    <w:rsid w:val="5112C0B5"/>
    <w:rsid w:val="511F5220"/>
    <w:rsid w:val="51321250"/>
    <w:rsid w:val="5135CA04"/>
    <w:rsid w:val="513657B0"/>
    <w:rsid w:val="51365DA9"/>
    <w:rsid w:val="5137C7E5"/>
    <w:rsid w:val="5142E9C8"/>
    <w:rsid w:val="51489E0B"/>
    <w:rsid w:val="514A22B7"/>
    <w:rsid w:val="514EAE4A"/>
    <w:rsid w:val="514FB373"/>
    <w:rsid w:val="51531606"/>
    <w:rsid w:val="51555CEE"/>
    <w:rsid w:val="51572070"/>
    <w:rsid w:val="515DBE80"/>
    <w:rsid w:val="51629AF4"/>
    <w:rsid w:val="51680A3F"/>
    <w:rsid w:val="5168885B"/>
    <w:rsid w:val="5169DD2E"/>
    <w:rsid w:val="5178AE2C"/>
    <w:rsid w:val="517BC077"/>
    <w:rsid w:val="5181C588"/>
    <w:rsid w:val="5182ED46"/>
    <w:rsid w:val="518C6060"/>
    <w:rsid w:val="518F6AA0"/>
    <w:rsid w:val="5199DCEB"/>
    <w:rsid w:val="519AF5E4"/>
    <w:rsid w:val="519C71CB"/>
    <w:rsid w:val="51A231BA"/>
    <w:rsid w:val="51A34EA7"/>
    <w:rsid w:val="51A52DE8"/>
    <w:rsid w:val="51B88383"/>
    <w:rsid w:val="51C0E078"/>
    <w:rsid w:val="51C35F36"/>
    <w:rsid w:val="51C5F6EC"/>
    <w:rsid w:val="51C60F85"/>
    <w:rsid w:val="51C6F596"/>
    <w:rsid w:val="51C7B62E"/>
    <w:rsid w:val="51CD6ECE"/>
    <w:rsid w:val="51DB86D8"/>
    <w:rsid w:val="51DBF6DF"/>
    <w:rsid w:val="51DE807B"/>
    <w:rsid w:val="51E0BF22"/>
    <w:rsid w:val="51E1C0BB"/>
    <w:rsid w:val="51E4524E"/>
    <w:rsid w:val="51E5FF34"/>
    <w:rsid w:val="51E93885"/>
    <w:rsid w:val="51F45E15"/>
    <w:rsid w:val="51F5D919"/>
    <w:rsid w:val="51FF88CD"/>
    <w:rsid w:val="5200D25D"/>
    <w:rsid w:val="52012852"/>
    <w:rsid w:val="52042078"/>
    <w:rsid w:val="520DDA25"/>
    <w:rsid w:val="521E5886"/>
    <w:rsid w:val="5223D4C4"/>
    <w:rsid w:val="5225C301"/>
    <w:rsid w:val="522BB94A"/>
    <w:rsid w:val="523E2FDD"/>
    <w:rsid w:val="5240229E"/>
    <w:rsid w:val="524087FE"/>
    <w:rsid w:val="52480460"/>
    <w:rsid w:val="5249EA27"/>
    <w:rsid w:val="524F089B"/>
    <w:rsid w:val="5251B2C8"/>
    <w:rsid w:val="5255E00C"/>
    <w:rsid w:val="52576E37"/>
    <w:rsid w:val="5258689B"/>
    <w:rsid w:val="5259D017"/>
    <w:rsid w:val="525DA8B7"/>
    <w:rsid w:val="5269A29D"/>
    <w:rsid w:val="526B8DE5"/>
    <w:rsid w:val="5272D468"/>
    <w:rsid w:val="52802A04"/>
    <w:rsid w:val="528374A2"/>
    <w:rsid w:val="528556DD"/>
    <w:rsid w:val="5285D035"/>
    <w:rsid w:val="52873B27"/>
    <w:rsid w:val="528916A6"/>
    <w:rsid w:val="528AD4DC"/>
    <w:rsid w:val="52932FB3"/>
    <w:rsid w:val="52934F1C"/>
    <w:rsid w:val="529BD8F7"/>
    <w:rsid w:val="529CAE8C"/>
    <w:rsid w:val="52A9CE01"/>
    <w:rsid w:val="52B0B8E8"/>
    <w:rsid w:val="52B0BA69"/>
    <w:rsid w:val="52C29C2D"/>
    <w:rsid w:val="52C3CA73"/>
    <w:rsid w:val="52E08580"/>
    <w:rsid w:val="52E22B97"/>
    <w:rsid w:val="52EA7069"/>
    <w:rsid w:val="52EB6040"/>
    <w:rsid w:val="53072304"/>
    <w:rsid w:val="531149BA"/>
    <w:rsid w:val="53226138"/>
    <w:rsid w:val="53256EBE"/>
    <w:rsid w:val="53265957"/>
    <w:rsid w:val="5327D048"/>
    <w:rsid w:val="5333D7A3"/>
    <w:rsid w:val="5335700A"/>
    <w:rsid w:val="53475FEE"/>
    <w:rsid w:val="53494887"/>
    <w:rsid w:val="534A0D06"/>
    <w:rsid w:val="534E4166"/>
    <w:rsid w:val="5353093C"/>
    <w:rsid w:val="5362F626"/>
    <w:rsid w:val="53678A24"/>
    <w:rsid w:val="536CA629"/>
    <w:rsid w:val="5370FC8E"/>
    <w:rsid w:val="53843D00"/>
    <w:rsid w:val="538F431A"/>
    <w:rsid w:val="53A44775"/>
    <w:rsid w:val="53A5BF1B"/>
    <w:rsid w:val="53A77139"/>
    <w:rsid w:val="53ABFFA6"/>
    <w:rsid w:val="53ACB9CA"/>
    <w:rsid w:val="53AFE38D"/>
    <w:rsid w:val="53B44374"/>
    <w:rsid w:val="53BD6053"/>
    <w:rsid w:val="53BD9487"/>
    <w:rsid w:val="53CB9AB2"/>
    <w:rsid w:val="53CD14B8"/>
    <w:rsid w:val="53D1E02D"/>
    <w:rsid w:val="53D48C11"/>
    <w:rsid w:val="53D7BF63"/>
    <w:rsid w:val="53D915FD"/>
    <w:rsid w:val="53E65CEF"/>
    <w:rsid w:val="53E78BB7"/>
    <w:rsid w:val="53EC5F30"/>
    <w:rsid w:val="53EECA2D"/>
    <w:rsid w:val="53EEFAE5"/>
    <w:rsid w:val="53F21A24"/>
    <w:rsid w:val="53F7EF4A"/>
    <w:rsid w:val="53F8D44B"/>
    <w:rsid w:val="5400CCE9"/>
    <w:rsid w:val="5414E3B6"/>
    <w:rsid w:val="5417B15A"/>
    <w:rsid w:val="541F9EAB"/>
    <w:rsid w:val="543096AE"/>
    <w:rsid w:val="54320CB0"/>
    <w:rsid w:val="543703C7"/>
    <w:rsid w:val="54458596"/>
    <w:rsid w:val="544A1694"/>
    <w:rsid w:val="5455A4F5"/>
    <w:rsid w:val="5456F2E2"/>
    <w:rsid w:val="545FD295"/>
    <w:rsid w:val="546BA58E"/>
    <w:rsid w:val="546D6AC6"/>
    <w:rsid w:val="546FA5C3"/>
    <w:rsid w:val="5471B364"/>
    <w:rsid w:val="54755825"/>
    <w:rsid w:val="547A0CED"/>
    <w:rsid w:val="5480D075"/>
    <w:rsid w:val="5481AFCA"/>
    <w:rsid w:val="548239D5"/>
    <w:rsid w:val="548C4FB9"/>
    <w:rsid w:val="548E083D"/>
    <w:rsid w:val="5491D9B5"/>
    <w:rsid w:val="5493D986"/>
    <w:rsid w:val="54994515"/>
    <w:rsid w:val="549D2BA9"/>
    <w:rsid w:val="54AD2A28"/>
    <w:rsid w:val="54AF932E"/>
    <w:rsid w:val="54B40286"/>
    <w:rsid w:val="54B9F7D5"/>
    <w:rsid w:val="54BA5D7B"/>
    <w:rsid w:val="54CD218F"/>
    <w:rsid w:val="54D05494"/>
    <w:rsid w:val="54D5A9FE"/>
    <w:rsid w:val="54D9FA30"/>
    <w:rsid w:val="54DB5E29"/>
    <w:rsid w:val="54DD38D7"/>
    <w:rsid w:val="54E08D0C"/>
    <w:rsid w:val="54E0BD69"/>
    <w:rsid w:val="54E2D856"/>
    <w:rsid w:val="54E99B84"/>
    <w:rsid w:val="54EA11C7"/>
    <w:rsid w:val="54EF45C2"/>
    <w:rsid w:val="54F5B898"/>
    <w:rsid w:val="550B61B6"/>
    <w:rsid w:val="5513F2F6"/>
    <w:rsid w:val="5517FBE6"/>
    <w:rsid w:val="551F6DE6"/>
    <w:rsid w:val="552F08E9"/>
    <w:rsid w:val="552FFE45"/>
    <w:rsid w:val="55359C60"/>
    <w:rsid w:val="5536D5DE"/>
    <w:rsid w:val="554304DA"/>
    <w:rsid w:val="55464566"/>
    <w:rsid w:val="5566A48C"/>
    <w:rsid w:val="5566DF10"/>
    <w:rsid w:val="556C45FD"/>
    <w:rsid w:val="556DDCCC"/>
    <w:rsid w:val="5578C1C3"/>
    <w:rsid w:val="557B9481"/>
    <w:rsid w:val="557BD8D2"/>
    <w:rsid w:val="558013A2"/>
    <w:rsid w:val="558C88FF"/>
    <w:rsid w:val="558CF6DA"/>
    <w:rsid w:val="5597C5C0"/>
    <w:rsid w:val="55A780F5"/>
    <w:rsid w:val="55BB735E"/>
    <w:rsid w:val="55C2A10A"/>
    <w:rsid w:val="55C6AA7B"/>
    <w:rsid w:val="55C9DF3C"/>
    <w:rsid w:val="55CF1EBE"/>
    <w:rsid w:val="55DAC644"/>
    <w:rsid w:val="55F33360"/>
    <w:rsid w:val="55F45D43"/>
    <w:rsid w:val="55F902ED"/>
    <w:rsid w:val="55FAE259"/>
    <w:rsid w:val="55FB0B44"/>
    <w:rsid w:val="55FC1730"/>
    <w:rsid w:val="56059B23"/>
    <w:rsid w:val="5610541E"/>
    <w:rsid w:val="56230102"/>
    <w:rsid w:val="565A5142"/>
    <w:rsid w:val="565EF9F1"/>
    <w:rsid w:val="565F710A"/>
    <w:rsid w:val="566A9BB4"/>
    <w:rsid w:val="566C308C"/>
    <w:rsid w:val="5684E662"/>
    <w:rsid w:val="5696CF76"/>
    <w:rsid w:val="569F4FE1"/>
    <w:rsid w:val="56A0EE1E"/>
    <w:rsid w:val="56A77D13"/>
    <w:rsid w:val="56B72B89"/>
    <w:rsid w:val="56BA43A1"/>
    <w:rsid w:val="56BB7118"/>
    <w:rsid w:val="56C2EDE9"/>
    <w:rsid w:val="56C4CF6C"/>
    <w:rsid w:val="56C72D48"/>
    <w:rsid w:val="56CAC345"/>
    <w:rsid w:val="56CFF0C3"/>
    <w:rsid w:val="56DEFE8D"/>
    <w:rsid w:val="56E939E8"/>
    <w:rsid w:val="56EE8612"/>
    <w:rsid w:val="56F0DC86"/>
    <w:rsid w:val="56F92AF3"/>
    <w:rsid w:val="56FB22A0"/>
    <w:rsid w:val="56FCA15E"/>
    <w:rsid w:val="56FE8A29"/>
    <w:rsid w:val="570ECFDF"/>
    <w:rsid w:val="5711346C"/>
    <w:rsid w:val="571ABE22"/>
    <w:rsid w:val="573935D1"/>
    <w:rsid w:val="573BB145"/>
    <w:rsid w:val="573E87CE"/>
    <w:rsid w:val="5745DEAF"/>
    <w:rsid w:val="5746290D"/>
    <w:rsid w:val="57592F49"/>
    <w:rsid w:val="576304FA"/>
    <w:rsid w:val="57634E8E"/>
    <w:rsid w:val="576A680E"/>
    <w:rsid w:val="57708D1B"/>
    <w:rsid w:val="5773A972"/>
    <w:rsid w:val="5777F249"/>
    <w:rsid w:val="577DF7D8"/>
    <w:rsid w:val="577FAC22"/>
    <w:rsid w:val="578B224C"/>
    <w:rsid w:val="578FE0CF"/>
    <w:rsid w:val="579C7763"/>
    <w:rsid w:val="579DF4BB"/>
    <w:rsid w:val="57A2EDC6"/>
    <w:rsid w:val="57B03B7B"/>
    <w:rsid w:val="57B938A9"/>
    <w:rsid w:val="57BA3A86"/>
    <w:rsid w:val="57C16BCA"/>
    <w:rsid w:val="57C44E28"/>
    <w:rsid w:val="57C5127D"/>
    <w:rsid w:val="57D5E7EA"/>
    <w:rsid w:val="57D81202"/>
    <w:rsid w:val="57EC58E1"/>
    <w:rsid w:val="57F9C8A5"/>
    <w:rsid w:val="57FECD40"/>
    <w:rsid w:val="5805F4C4"/>
    <w:rsid w:val="58197C0E"/>
    <w:rsid w:val="58206E25"/>
    <w:rsid w:val="5832FFA1"/>
    <w:rsid w:val="583C7B5E"/>
    <w:rsid w:val="583F843D"/>
    <w:rsid w:val="58442CF6"/>
    <w:rsid w:val="585397D4"/>
    <w:rsid w:val="5860A441"/>
    <w:rsid w:val="587086D7"/>
    <w:rsid w:val="5875132E"/>
    <w:rsid w:val="587E3AC0"/>
    <w:rsid w:val="5884D8AC"/>
    <w:rsid w:val="5886DA3E"/>
    <w:rsid w:val="588717D5"/>
    <w:rsid w:val="588F50BE"/>
    <w:rsid w:val="589D8F65"/>
    <w:rsid w:val="58A8AEAB"/>
    <w:rsid w:val="58AA08A1"/>
    <w:rsid w:val="58ACA1BF"/>
    <w:rsid w:val="58B17D4C"/>
    <w:rsid w:val="58CE0089"/>
    <w:rsid w:val="58D04881"/>
    <w:rsid w:val="58D08A25"/>
    <w:rsid w:val="58DDA825"/>
    <w:rsid w:val="58E06E4E"/>
    <w:rsid w:val="58E54747"/>
    <w:rsid w:val="58EFD3E1"/>
    <w:rsid w:val="58F82BBD"/>
    <w:rsid w:val="58F86A2B"/>
    <w:rsid w:val="5901654C"/>
    <w:rsid w:val="59019A05"/>
    <w:rsid w:val="59058E4E"/>
    <w:rsid w:val="590DEDF1"/>
    <w:rsid w:val="59220F0C"/>
    <w:rsid w:val="592C44D6"/>
    <w:rsid w:val="593D0D34"/>
    <w:rsid w:val="5940DBE9"/>
    <w:rsid w:val="59436693"/>
    <w:rsid w:val="59474676"/>
    <w:rsid w:val="59488171"/>
    <w:rsid w:val="594D1E6A"/>
    <w:rsid w:val="594D6B36"/>
    <w:rsid w:val="59501D2B"/>
    <w:rsid w:val="595AA1C4"/>
    <w:rsid w:val="59606ED3"/>
    <w:rsid w:val="59616941"/>
    <w:rsid w:val="5961C298"/>
    <w:rsid w:val="59674AA9"/>
    <w:rsid w:val="596FA15E"/>
    <w:rsid w:val="597493DA"/>
    <w:rsid w:val="5977C66A"/>
    <w:rsid w:val="59830451"/>
    <w:rsid w:val="598A0BAF"/>
    <w:rsid w:val="59936ABA"/>
    <w:rsid w:val="5993D327"/>
    <w:rsid w:val="59AA0C26"/>
    <w:rsid w:val="59B7FD2B"/>
    <w:rsid w:val="59B8117D"/>
    <w:rsid w:val="59BBCB98"/>
    <w:rsid w:val="59BC7E4E"/>
    <w:rsid w:val="59C0139B"/>
    <w:rsid w:val="59C7E621"/>
    <w:rsid w:val="59CF917D"/>
    <w:rsid w:val="59D42547"/>
    <w:rsid w:val="59E004CA"/>
    <w:rsid w:val="59F09A17"/>
    <w:rsid w:val="59F81355"/>
    <w:rsid w:val="59FA38BE"/>
    <w:rsid w:val="5A0825E2"/>
    <w:rsid w:val="5A0B7459"/>
    <w:rsid w:val="5A1497C5"/>
    <w:rsid w:val="5A271887"/>
    <w:rsid w:val="5A30DA09"/>
    <w:rsid w:val="5A33B384"/>
    <w:rsid w:val="5A3642A9"/>
    <w:rsid w:val="5A378BFC"/>
    <w:rsid w:val="5A379C29"/>
    <w:rsid w:val="5A40B6F8"/>
    <w:rsid w:val="5A446197"/>
    <w:rsid w:val="5A447F0C"/>
    <w:rsid w:val="5A48E96A"/>
    <w:rsid w:val="5A4D601C"/>
    <w:rsid w:val="5A5061C3"/>
    <w:rsid w:val="5A600FC8"/>
    <w:rsid w:val="5A63898F"/>
    <w:rsid w:val="5A6C8218"/>
    <w:rsid w:val="5A774C9C"/>
    <w:rsid w:val="5A876DED"/>
    <w:rsid w:val="5A896701"/>
    <w:rsid w:val="5A924D0C"/>
    <w:rsid w:val="5A96122D"/>
    <w:rsid w:val="5A9E258E"/>
    <w:rsid w:val="5A9E6101"/>
    <w:rsid w:val="5A9F769D"/>
    <w:rsid w:val="5AA1A8C1"/>
    <w:rsid w:val="5AA5375B"/>
    <w:rsid w:val="5AA7B6DC"/>
    <w:rsid w:val="5AA94CF6"/>
    <w:rsid w:val="5AAE7E46"/>
    <w:rsid w:val="5AB54B7A"/>
    <w:rsid w:val="5AC8530D"/>
    <w:rsid w:val="5ACD4B5F"/>
    <w:rsid w:val="5AD02614"/>
    <w:rsid w:val="5AD64D3B"/>
    <w:rsid w:val="5AD6A3C2"/>
    <w:rsid w:val="5ADA6C01"/>
    <w:rsid w:val="5AE127E8"/>
    <w:rsid w:val="5AEA3B3B"/>
    <w:rsid w:val="5AEA4D13"/>
    <w:rsid w:val="5AEA89C6"/>
    <w:rsid w:val="5AEFC6A3"/>
    <w:rsid w:val="5B0C1873"/>
    <w:rsid w:val="5B106AF4"/>
    <w:rsid w:val="5B14B2BB"/>
    <w:rsid w:val="5B159E3C"/>
    <w:rsid w:val="5B1BF291"/>
    <w:rsid w:val="5B20020D"/>
    <w:rsid w:val="5B29525F"/>
    <w:rsid w:val="5B2F9A3C"/>
    <w:rsid w:val="5B4522F4"/>
    <w:rsid w:val="5B49396A"/>
    <w:rsid w:val="5B4D9510"/>
    <w:rsid w:val="5B4FA79B"/>
    <w:rsid w:val="5B51C88F"/>
    <w:rsid w:val="5B5FFBB6"/>
    <w:rsid w:val="5B6459DA"/>
    <w:rsid w:val="5B67D48A"/>
    <w:rsid w:val="5B7013EF"/>
    <w:rsid w:val="5B76AF91"/>
    <w:rsid w:val="5B85D0A5"/>
    <w:rsid w:val="5B89E95A"/>
    <w:rsid w:val="5B8F168B"/>
    <w:rsid w:val="5B94FF71"/>
    <w:rsid w:val="5BA2EBF5"/>
    <w:rsid w:val="5BA579A2"/>
    <w:rsid w:val="5BA861D7"/>
    <w:rsid w:val="5BB0E630"/>
    <w:rsid w:val="5BB4588D"/>
    <w:rsid w:val="5BB4784E"/>
    <w:rsid w:val="5BB9F759"/>
    <w:rsid w:val="5BC03258"/>
    <w:rsid w:val="5BC8D86E"/>
    <w:rsid w:val="5BC9CBB8"/>
    <w:rsid w:val="5BDADA17"/>
    <w:rsid w:val="5BE9DD48"/>
    <w:rsid w:val="5C020801"/>
    <w:rsid w:val="5C18A005"/>
    <w:rsid w:val="5C1F09A2"/>
    <w:rsid w:val="5C22808F"/>
    <w:rsid w:val="5C3787EA"/>
    <w:rsid w:val="5C3B7B7C"/>
    <w:rsid w:val="5C41039F"/>
    <w:rsid w:val="5C4BE3CB"/>
    <w:rsid w:val="5C4C1A78"/>
    <w:rsid w:val="5C4FFDC5"/>
    <w:rsid w:val="5C579369"/>
    <w:rsid w:val="5C5810D4"/>
    <w:rsid w:val="5C65B051"/>
    <w:rsid w:val="5C68E93D"/>
    <w:rsid w:val="5C6C9EF8"/>
    <w:rsid w:val="5C7EDD2B"/>
    <w:rsid w:val="5C8747F0"/>
    <w:rsid w:val="5C8E4F26"/>
    <w:rsid w:val="5C93230B"/>
    <w:rsid w:val="5C942DF8"/>
    <w:rsid w:val="5C9520E0"/>
    <w:rsid w:val="5C9B2D64"/>
    <w:rsid w:val="5C9DACE5"/>
    <w:rsid w:val="5CAA3ADA"/>
    <w:rsid w:val="5CBF77BB"/>
    <w:rsid w:val="5CC0699B"/>
    <w:rsid w:val="5CC080F2"/>
    <w:rsid w:val="5CCAC17A"/>
    <w:rsid w:val="5CCFA572"/>
    <w:rsid w:val="5CD10F2D"/>
    <w:rsid w:val="5CD27A8D"/>
    <w:rsid w:val="5CDAA0BB"/>
    <w:rsid w:val="5CDB871F"/>
    <w:rsid w:val="5CDFF051"/>
    <w:rsid w:val="5CE392A0"/>
    <w:rsid w:val="5CE9ADD4"/>
    <w:rsid w:val="5CEF6D57"/>
    <w:rsid w:val="5CF0CE52"/>
    <w:rsid w:val="5CF1B00B"/>
    <w:rsid w:val="5CF36C5A"/>
    <w:rsid w:val="5CF4DC7F"/>
    <w:rsid w:val="5CF7A503"/>
    <w:rsid w:val="5D03D456"/>
    <w:rsid w:val="5D0CFB79"/>
    <w:rsid w:val="5D17A58C"/>
    <w:rsid w:val="5D17FB45"/>
    <w:rsid w:val="5D1A80BC"/>
    <w:rsid w:val="5D2613AB"/>
    <w:rsid w:val="5D2D2C40"/>
    <w:rsid w:val="5D2E0062"/>
    <w:rsid w:val="5D4303E4"/>
    <w:rsid w:val="5D4F3E66"/>
    <w:rsid w:val="5D4FFF31"/>
    <w:rsid w:val="5D52AEAA"/>
    <w:rsid w:val="5D5A59AC"/>
    <w:rsid w:val="5D66B868"/>
    <w:rsid w:val="5D77903A"/>
    <w:rsid w:val="5D8D8552"/>
    <w:rsid w:val="5D919AC8"/>
    <w:rsid w:val="5DA40F0F"/>
    <w:rsid w:val="5DA50142"/>
    <w:rsid w:val="5DAADF05"/>
    <w:rsid w:val="5DAD1646"/>
    <w:rsid w:val="5DB7CA91"/>
    <w:rsid w:val="5DBE0B88"/>
    <w:rsid w:val="5DC067B3"/>
    <w:rsid w:val="5DC41FC7"/>
    <w:rsid w:val="5DC56F1E"/>
    <w:rsid w:val="5DC7FCFC"/>
    <w:rsid w:val="5DCF5B67"/>
    <w:rsid w:val="5DD3494B"/>
    <w:rsid w:val="5DD601C3"/>
    <w:rsid w:val="5DD652F6"/>
    <w:rsid w:val="5DD69139"/>
    <w:rsid w:val="5DDEADFF"/>
    <w:rsid w:val="5DDEB8DA"/>
    <w:rsid w:val="5DE005A9"/>
    <w:rsid w:val="5DF143BD"/>
    <w:rsid w:val="5DFAC11B"/>
    <w:rsid w:val="5E00951F"/>
    <w:rsid w:val="5E0EDD8A"/>
    <w:rsid w:val="5E100AFC"/>
    <w:rsid w:val="5E1A481F"/>
    <w:rsid w:val="5E1A5E2F"/>
    <w:rsid w:val="5E1E1366"/>
    <w:rsid w:val="5E1E7A98"/>
    <w:rsid w:val="5E276265"/>
    <w:rsid w:val="5E287CA5"/>
    <w:rsid w:val="5E2C5DAA"/>
    <w:rsid w:val="5E3260B7"/>
    <w:rsid w:val="5E332533"/>
    <w:rsid w:val="5E34EEE3"/>
    <w:rsid w:val="5E36CD52"/>
    <w:rsid w:val="5E4E4A64"/>
    <w:rsid w:val="5E51D528"/>
    <w:rsid w:val="5E563259"/>
    <w:rsid w:val="5E58275A"/>
    <w:rsid w:val="5E5F6179"/>
    <w:rsid w:val="5E673AFE"/>
    <w:rsid w:val="5E709BC0"/>
    <w:rsid w:val="5E71FD32"/>
    <w:rsid w:val="5E738E88"/>
    <w:rsid w:val="5E7D36CA"/>
    <w:rsid w:val="5E9B4C55"/>
    <w:rsid w:val="5E9C50A3"/>
    <w:rsid w:val="5E9CC786"/>
    <w:rsid w:val="5EA21416"/>
    <w:rsid w:val="5EA2D8B0"/>
    <w:rsid w:val="5EA30729"/>
    <w:rsid w:val="5EA5620B"/>
    <w:rsid w:val="5EA7D148"/>
    <w:rsid w:val="5EA96CDB"/>
    <w:rsid w:val="5EB4F859"/>
    <w:rsid w:val="5EBAA1A1"/>
    <w:rsid w:val="5EDE54D6"/>
    <w:rsid w:val="5EE42E7B"/>
    <w:rsid w:val="5EE463EB"/>
    <w:rsid w:val="5EEC4920"/>
    <w:rsid w:val="5EED3CC4"/>
    <w:rsid w:val="5EF18131"/>
    <w:rsid w:val="5EF78B0C"/>
    <w:rsid w:val="5EF79BEA"/>
    <w:rsid w:val="5EF836F9"/>
    <w:rsid w:val="5EFAEAA5"/>
    <w:rsid w:val="5F10137B"/>
    <w:rsid w:val="5F10245F"/>
    <w:rsid w:val="5F138524"/>
    <w:rsid w:val="5F17AFEA"/>
    <w:rsid w:val="5F19EC0B"/>
    <w:rsid w:val="5F1EB4CA"/>
    <w:rsid w:val="5F214198"/>
    <w:rsid w:val="5F3D3B5E"/>
    <w:rsid w:val="5F43E2CA"/>
    <w:rsid w:val="5F486924"/>
    <w:rsid w:val="5F516BC1"/>
    <w:rsid w:val="5F5952A8"/>
    <w:rsid w:val="5F62725C"/>
    <w:rsid w:val="5F6B55F6"/>
    <w:rsid w:val="5F707F0C"/>
    <w:rsid w:val="5F71D224"/>
    <w:rsid w:val="5F7313D9"/>
    <w:rsid w:val="5F737D65"/>
    <w:rsid w:val="5F7E2F50"/>
    <w:rsid w:val="5F7EBF64"/>
    <w:rsid w:val="5F81BBCC"/>
    <w:rsid w:val="5F82B388"/>
    <w:rsid w:val="5F8551A2"/>
    <w:rsid w:val="5F87CBD2"/>
    <w:rsid w:val="5F8DF949"/>
    <w:rsid w:val="5F96CA45"/>
    <w:rsid w:val="5F98F843"/>
    <w:rsid w:val="5FA12962"/>
    <w:rsid w:val="5FA2BD13"/>
    <w:rsid w:val="5FA8570C"/>
    <w:rsid w:val="5FAAD61B"/>
    <w:rsid w:val="5FB20BEF"/>
    <w:rsid w:val="5FB55096"/>
    <w:rsid w:val="5FB61201"/>
    <w:rsid w:val="5FB74955"/>
    <w:rsid w:val="5FC2B137"/>
    <w:rsid w:val="5FC717B2"/>
    <w:rsid w:val="5FCFC73E"/>
    <w:rsid w:val="5FDC165E"/>
    <w:rsid w:val="5FDF4097"/>
    <w:rsid w:val="5FE2A338"/>
    <w:rsid w:val="5FF64603"/>
    <w:rsid w:val="5FF8C164"/>
    <w:rsid w:val="5FF9FE7E"/>
    <w:rsid w:val="5FFCEEDE"/>
    <w:rsid w:val="600CD98A"/>
    <w:rsid w:val="600F0FE5"/>
    <w:rsid w:val="600F41C4"/>
    <w:rsid w:val="6011D029"/>
    <w:rsid w:val="6011E4BF"/>
    <w:rsid w:val="6014EBA1"/>
    <w:rsid w:val="6017AAE2"/>
    <w:rsid w:val="6018DEE6"/>
    <w:rsid w:val="601D1710"/>
    <w:rsid w:val="601EE802"/>
    <w:rsid w:val="60219C7B"/>
    <w:rsid w:val="60223CF0"/>
    <w:rsid w:val="60243E6C"/>
    <w:rsid w:val="6024BC30"/>
    <w:rsid w:val="602DBC29"/>
    <w:rsid w:val="6031020C"/>
    <w:rsid w:val="60349F32"/>
    <w:rsid w:val="60391BA4"/>
    <w:rsid w:val="60401B7E"/>
    <w:rsid w:val="6040A040"/>
    <w:rsid w:val="60469F3B"/>
    <w:rsid w:val="6047B612"/>
    <w:rsid w:val="604C322E"/>
    <w:rsid w:val="6056C910"/>
    <w:rsid w:val="605871E1"/>
    <w:rsid w:val="605941C8"/>
    <w:rsid w:val="605FA16F"/>
    <w:rsid w:val="60614F8A"/>
    <w:rsid w:val="606B19C6"/>
    <w:rsid w:val="606B1C7A"/>
    <w:rsid w:val="606E3C79"/>
    <w:rsid w:val="606E46B1"/>
    <w:rsid w:val="6071279C"/>
    <w:rsid w:val="6080344C"/>
    <w:rsid w:val="608A66F0"/>
    <w:rsid w:val="608F502D"/>
    <w:rsid w:val="60904CB9"/>
    <w:rsid w:val="6094B826"/>
    <w:rsid w:val="60C22749"/>
    <w:rsid w:val="60DA8646"/>
    <w:rsid w:val="60DECB81"/>
    <w:rsid w:val="60E4E832"/>
    <w:rsid w:val="60E74EA4"/>
    <w:rsid w:val="60EFC045"/>
    <w:rsid w:val="60F65115"/>
    <w:rsid w:val="60F87719"/>
    <w:rsid w:val="61018E90"/>
    <w:rsid w:val="61029A14"/>
    <w:rsid w:val="610C990A"/>
    <w:rsid w:val="61116CF3"/>
    <w:rsid w:val="61138372"/>
    <w:rsid w:val="6117A66B"/>
    <w:rsid w:val="6119275A"/>
    <w:rsid w:val="611E85AB"/>
    <w:rsid w:val="613475E1"/>
    <w:rsid w:val="61375A38"/>
    <w:rsid w:val="61392BF7"/>
    <w:rsid w:val="615F5B96"/>
    <w:rsid w:val="61611AAA"/>
    <w:rsid w:val="6173946F"/>
    <w:rsid w:val="6182B7F2"/>
    <w:rsid w:val="61918400"/>
    <w:rsid w:val="61984FFB"/>
    <w:rsid w:val="619D5CB4"/>
    <w:rsid w:val="61A292F0"/>
    <w:rsid w:val="61A8733F"/>
    <w:rsid w:val="61AB14D9"/>
    <w:rsid w:val="61B08D89"/>
    <w:rsid w:val="61BBCDF1"/>
    <w:rsid w:val="61C12A18"/>
    <w:rsid w:val="61C9BAC1"/>
    <w:rsid w:val="61D545E6"/>
    <w:rsid w:val="61DF371C"/>
    <w:rsid w:val="61E60C88"/>
    <w:rsid w:val="61F48FB7"/>
    <w:rsid w:val="61F880B3"/>
    <w:rsid w:val="61FFC13B"/>
    <w:rsid w:val="6204FCE0"/>
    <w:rsid w:val="62165619"/>
    <w:rsid w:val="621C04AD"/>
    <w:rsid w:val="622B4536"/>
    <w:rsid w:val="623809F8"/>
    <w:rsid w:val="624BEE4E"/>
    <w:rsid w:val="624DEAE1"/>
    <w:rsid w:val="6250D599"/>
    <w:rsid w:val="6256542D"/>
    <w:rsid w:val="6263B08B"/>
    <w:rsid w:val="626736FC"/>
    <w:rsid w:val="626C6864"/>
    <w:rsid w:val="626E6F51"/>
    <w:rsid w:val="626EBDAC"/>
    <w:rsid w:val="62818497"/>
    <w:rsid w:val="628321E4"/>
    <w:rsid w:val="628623E8"/>
    <w:rsid w:val="6287FBB5"/>
    <w:rsid w:val="628AED7B"/>
    <w:rsid w:val="629AB4B6"/>
    <w:rsid w:val="62A046C0"/>
    <w:rsid w:val="62ABBB37"/>
    <w:rsid w:val="62AE1BF9"/>
    <w:rsid w:val="62B9FCF0"/>
    <w:rsid w:val="62C0FBF3"/>
    <w:rsid w:val="62C4A69B"/>
    <w:rsid w:val="62C66318"/>
    <w:rsid w:val="62CF1015"/>
    <w:rsid w:val="62D2F2D5"/>
    <w:rsid w:val="62D8D53F"/>
    <w:rsid w:val="62EA015D"/>
    <w:rsid w:val="62FCE9FD"/>
    <w:rsid w:val="630ADC3E"/>
    <w:rsid w:val="630BAFA5"/>
    <w:rsid w:val="6312EAC6"/>
    <w:rsid w:val="6315C43D"/>
    <w:rsid w:val="63182E70"/>
    <w:rsid w:val="631D34BC"/>
    <w:rsid w:val="631ED381"/>
    <w:rsid w:val="6320EB43"/>
    <w:rsid w:val="63271A9C"/>
    <w:rsid w:val="633313D7"/>
    <w:rsid w:val="633AAC21"/>
    <w:rsid w:val="633C0699"/>
    <w:rsid w:val="633EC8AB"/>
    <w:rsid w:val="6346B11B"/>
    <w:rsid w:val="63495BF2"/>
    <w:rsid w:val="635069E1"/>
    <w:rsid w:val="63548639"/>
    <w:rsid w:val="636327E2"/>
    <w:rsid w:val="63681270"/>
    <w:rsid w:val="6370E664"/>
    <w:rsid w:val="6374A548"/>
    <w:rsid w:val="63854D83"/>
    <w:rsid w:val="6390E28A"/>
    <w:rsid w:val="63921647"/>
    <w:rsid w:val="6394FB3F"/>
    <w:rsid w:val="63981882"/>
    <w:rsid w:val="63985010"/>
    <w:rsid w:val="63990107"/>
    <w:rsid w:val="639B5113"/>
    <w:rsid w:val="639BAAFD"/>
    <w:rsid w:val="639C6DC4"/>
    <w:rsid w:val="63AB87CD"/>
    <w:rsid w:val="63B3A6A0"/>
    <w:rsid w:val="63C0E040"/>
    <w:rsid w:val="63C7CD59"/>
    <w:rsid w:val="63CAB597"/>
    <w:rsid w:val="63D1D779"/>
    <w:rsid w:val="63D22E68"/>
    <w:rsid w:val="63D70B66"/>
    <w:rsid w:val="63D9E23C"/>
    <w:rsid w:val="63E2B3B2"/>
    <w:rsid w:val="63F059CF"/>
    <w:rsid w:val="640769F2"/>
    <w:rsid w:val="640C215E"/>
    <w:rsid w:val="6411F6E3"/>
    <w:rsid w:val="641EBA4F"/>
    <w:rsid w:val="6434050A"/>
    <w:rsid w:val="6436F117"/>
    <w:rsid w:val="64392F52"/>
    <w:rsid w:val="643ED5F1"/>
    <w:rsid w:val="6440A18C"/>
    <w:rsid w:val="6443235B"/>
    <w:rsid w:val="644841B2"/>
    <w:rsid w:val="644CFF43"/>
    <w:rsid w:val="64589FE7"/>
    <w:rsid w:val="64622E6F"/>
    <w:rsid w:val="6466A28E"/>
    <w:rsid w:val="646E4A35"/>
    <w:rsid w:val="647091E8"/>
    <w:rsid w:val="6470E5F8"/>
    <w:rsid w:val="64713BD4"/>
    <w:rsid w:val="647DF052"/>
    <w:rsid w:val="64800A56"/>
    <w:rsid w:val="648A4A01"/>
    <w:rsid w:val="648B59FC"/>
    <w:rsid w:val="648B8810"/>
    <w:rsid w:val="64984CD9"/>
    <w:rsid w:val="649AD0C9"/>
    <w:rsid w:val="64A7746E"/>
    <w:rsid w:val="64AB9984"/>
    <w:rsid w:val="64AC49E0"/>
    <w:rsid w:val="64AE787D"/>
    <w:rsid w:val="64AEC60E"/>
    <w:rsid w:val="64B12344"/>
    <w:rsid w:val="64BBB047"/>
    <w:rsid w:val="64BE7B21"/>
    <w:rsid w:val="64BEB3D1"/>
    <w:rsid w:val="64C0B9AC"/>
    <w:rsid w:val="64D07F2B"/>
    <w:rsid w:val="64D1111E"/>
    <w:rsid w:val="64D67C82"/>
    <w:rsid w:val="64D7E71B"/>
    <w:rsid w:val="64EA67D3"/>
    <w:rsid w:val="64EDFEF4"/>
    <w:rsid w:val="64F881D3"/>
    <w:rsid w:val="65047623"/>
    <w:rsid w:val="65092381"/>
    <w:rsid w:val="65103E48"/>
    <w:rsid w:val="651C30BF"/>
    <w:rsid w:val="651CC40E"/>
    <w:rsid w:val="651DD2D5"/>
    <w:rsid w:val="65383E25"/>
    <w:rsid w:val="653A0DEC"/>
    <w:rsid w:val="653FBFA4"/>
    <w:rsid w:val="654C9030"/>
    <w:rsid w:val="6568F8B5"/>
    <w:rsid w:val="65699D3B"/>
    <w:rsid w:val="656E1A60"/>
    <w:rsid w:val="6572B8BA"/>
    <w:rsid w:val="657F8FF4"/>
    <w:rsid w:val="6581B086"/>
    <w:rsid w:val="6584CC43"/>
    <w:rsid w:val="65882E23"/>
    <w:rsid w:val="65889848"/>
    <w:rsid w:val="658CD393"/>
    <w:rsid w:val="65957AF6"/>
    <w:rsid w:val="659D0A5F"/>
    <w:rsid w:val="659FB4BD"/>
    <w:rsid w:val="65A84D91"/>
    <w:rsid w:val="65AB5D23"/>
    <w:rsid w:val="65AE9628"/>
    <w:rsid w:val="65B4D102"/>
    <w:rsid w:val="65BB8A09"/>
    <w:rsid w:val="65C95EB9"/>
    <w:rsid w:val="65CD458E"/>
    <w:rsid w:val="65CD5C2B"/>
    <w:rsid w:val="65D4FFB3"/>
    <w:rsid w:val="65D83596"/>
    <w:rsid w:val="65D8FA41"/>
    <w:rsid w:val="65DE00F3"/>
    <w:rsid w:val="65E275D1"/>
    <w:rsid w:val="65E29654"/>
    <w:rsid w:val="65E66548"/>
    <w:rsid w:val="65F22BA1"/>
    <w:rsid w:val="65F2C665"/>
    <w:rsid w:val="65FF9496"/>
    <w:rsid w:val="660D3A13"/>
    <w:rsid w:val="660EE23F"/>
    <w:rsid w:val="661B2996"/>
    <w:rsid w:val="662E99CE"/>
    <w:rsid w:val="663550B6"/>
    <w:rsid w:val="6641EFC9"/>
    <w:rsid w:val="665B1F2E"/>
    <w:rsid w:val="665F55D9"/>
    <w:rsid w:val="66628EE7"/>
    <w:rsid w:val="66643F6D"/>
    <w:rsid w:val="66687937"/>
    <w:rsid w:val="666E2A16"/>
    <w:rsid w:val="667E6236"/>
    <w:rsid w:val="66819C89"/>
    <w:rsid w:val="66895F1B"/>
    <w:rsid w:val="6689EBC0"/>
    <w:rsid w:val="66A3F378"/>
    <w:rsid w:val="66A71490"/>
    <w:rsid w:val="66AD096D"/>
    <w:rsid w:val="66B1068A"/>
    <w:rsid w:val="66B1F3D9"/>
    <w:rsid w:val="66CF9331"/>
    <w:rsid w:val="66D68CEA"/>
    <w:rsid w:val="66D942A8"/>
    <w:rsid w:val="66DD5640"/>
    <w:rsid w:val="66E2D164"/>
    <w:rsid w:val="66E7D19F"/>
    <w:rsid w:val="66E9715E"/>
    <w:rsid w:val="66EF4F9C"/>
    <w:rsid w:val="66F36248"/>
    <w:rsid w:val="66F9F987"/>
    <w:rsid w:val="66FD3ED5"/>
    <w:rsid w:val="66FE632F"/>
    <w:rsid w:val="67047210"/>
    <w:rsid w:val="6707194B"/>
    <w:rsid w:val="670B683E"/>
    <w:rsid w:val="670D144A"/>
    <w:rsid w:val="67179DA0"/>
    <w:rsid w:val="671CF15D"/>
    <w:rsid w:val="671D0742"/>
    <w:rsid w:val="671D35FD"/>
    <w:rsid w:val="672082D3"/>
    <w:rsid w:val="672F9024"/>
    <w:rsid w:val="67378679"/>
    <w:rsid w:val="673AB4CA"/>
    <w:rsid w:val="673EC3E8"/>
    <w:rsid w:val="67425E2D"/>
    <w:rsid w:val="6749488B"/>
    <w:rsid w:val="675FA0C6"/>
    <w:rsid w:val="67717D68"/>
    <w:rsid w:val="677C78CA"/>
    <w:rsid w:val="677F2C5A"/>
    <w:rsid w:val="6783ED9F"/>
    <w:rsid w:val="6785227C"/>
    <w:rsid w:val="678BFF2D"/>
    <w:rsid w:val="6793E588"/>
    <w:rsid w:val="67989997"/>
    <w:rsid w:val="679A52BB"/>
    <w:rsid w:val="67A23137"/>
    <w:rsid w:val="67A5BC95"/>
    <w:rsid w:val="67A5F53C"/>
    <w:rsid w:val="67A70FAC"/>
    <w:rsid w:val="67A8F139"/>
    <w:rsid w:val="67ACA4F4"/>
    <w:rsid w:val="67B00113"/>
    <w:rsid w:val="67B247B5"/>
    <w:rsid w:val="67B717D0"/>
    <w:rsid w:val="67BC463F"/>
    <w:rsid w:val="67C7D179"/>
    <w:rsid w:val="67C922D0"/>
    <w:rsid w:val="67D429EE"/>
    <w:rsid w:val="67D48688"/>
    <w:rsid w:val="67E31F0C"/>
    <w:rsid w:val="67E98B98"/>
    <w:rsid w:val="67F31D4A"/>
    <w:rsid w:val="67F439DC"/>
    <w:rsid w:val="67F88341"/>
    <w:rsid w:val="680AF649"/>
    <w:rsid w:val="680D67F4"/>
    <w:rsid w:val="68148773"/>
    <w:rsid w:val="681ECAF5"/>
    <w:rsid w:val="68209758"/>
    <w:rsid w:val="6821D639"/>
    <w:rsid w:val="6827C9BF"/>
    <w:rsid w:val="682A14DF"/>
    <w:rsid w:val="682D1C4D"/>
    <w:rsid w:val="682D8275"/>
    <w:rsid w:val="682DD63A"/>
    <w:rsid w:val="683E0675"/>
    <w:rsid w:val="6840171C"/>
    <w:rsid w:val="68496042"/>
    <w:rsid w:val="684A6BEF"/>
    <w:rsid w:val="684DAF43"/>
    <w:rsid w:val="68562BD0"/>
    <w:rsid w:val="685A7719"/>
    <w:rsid w:val="685AF383"/>
    <w:rsid w:val="685F3F49"/>
    <w:rsid w:val="6862F0EF"/>
    <w:rsid w:val="68633847"/>
    <w:rsid w:val="686D715C"/>
    <w:rsid w:val="6873E062"/>
    <w:rsid w:val="6879155F"/>
    <w:rsid w:val="6886DCF5"/>
    <w:rsid w:val="688B71D1"/>
    <w:rsid w:val="688EF42B"/>
    <w:rsid w:val="6899B144"/>
    <w:rsid w:val="68C1D9D3"/>
    <w:rsid w:val="68CF48F4"/>
    <w:rsid w:val="68D28285"/>
    <w:rsid w:val="68D91967"/>
    <w:rsid w:val="68E5305F"/>
    <w:rsid w:val="68E8FB0D"/>
    <w:rsid w:val="68EDA0A5"/>
    <w:rsid w:val="68F11AAD"/>
    <w:rsid w:val="68F2DB94"/>
    <w:rsid w:val="6906C0D2"/>
    <w:rsid w:val="69075108"/>
    <w:rsid w:val="69097680"/>
    <w:rsid w:val="690B63B4"/>
    <w:rsid w:val="6911E55D"/>
    <w:rsid w:val="69156BF3"/>
    <w:rsid w:val="691962A9"/>
    <w:rsid w:val="691E6B12"/>
    <w:rsid w:val="691E6D64"/>
    <w:rsid w:val="6920A1F0"/>
    <w:rsid w:val="692D287A"/>
    <w:rsid w:val="692FF6C7"/>
    <w:rsid w:val="69330CFB"/>
    <w:rsid w:val="693E53DB"/>
    <w:rsid w:val="693F08F1"/>
    <w:rsid w:val="69410578"/>
    <w:rsid w:val="694A797D"/>
    <w:rsid w:val="6952B67A"/>
    <w:rsid w:val="6963A1DA"/>
    <w:rsid w:val="69694E69"/>
    <w:rsid w:val="69701F30"/>
    <w:rsid w:val="6973D94B"/>
    <w:rsid w:val="697413CA"/>
    <w:rsid w:val="69774850"/>
    <w:rsid w:val="697969C1"/>
    <w:rsid w:val="697CFBB6"/>
    <w:rsid w:val="6985FA8F"/>
    <w:rsid w:val="698F5F27"/>
    <w:rsid w:val="6993AE8F"/>
    <w:rsid w:val="69A19E49"/>
    <w:rsid w:val="69AFBBF2"/>
    <w:rsid w:val="69B4FDC7"/>
    <w:rsid w:val="69B8CBF6"/>
    <w:rsid w:val="69C661C6"/>
    <w:rsid w:val="69CD0292"/>
    <w:rsid w:val="69D43D6C"/>
    <w:rsid w:val="69D604D1"/>
    <w:rsid w:val="69D7DFFA"/>
    <w:rsid w:val="69DAA43F"/>
    <w:rsid w:val="69DB56FD"/>
    <w:rsid w:val="69DD352F"/>
    <w:rsid w:val="69DF66BB"/>
    <w:rsid w:val="69E8ED36"/>
    <w:rsid w:val="69F0EA67"/>
    <w:rsid w:val="69F3AE5C"/>
    <w:rsid w:val="69F89F91"/>
    <w:rsid w:val="6A0A370F"/>
    <w:rsid w:val="6A0B113B"/>
    <w:rsid w:val="6A16A12F"/>
    <w:rsid w:val="6A1A7226"/>
    <w:rsid w:val="6A22DA98"/>
    <w:rsid w:val="6A2A3F09"/>
    <w:rsid w:val="6A2E9E84"/>
    <w:rsid w:val="6A3404B3"/>
    <w:rsid w:val="6A3712FE"/>
    <w:rsid w:val="6A45B9FF"/>
    <w:rsid w:val="6A4A8C6A"/>
    <w:rsid w:val="6A558C9E"/>
    <w:rsid w:val="6A59A68F"/>
    <w:rsid w:val="6A5B9276"/>
    <w:rsid w:val="6A5C3170"/>
    <w:rsid w:val="6A5D11F7"/>
    <w:rsid w:val="6A622917"/>
    <w:rsid w:val="6A6B2BC7"/>
    <w:rsid w:val="6A6FA364"/>
    <w:rsid w:val="6A78AC1E"/>
    <w:rsid w:val="6A7A7534"/>
    <w:rsid w:val="6A8FD48A"/>
    <w:rsid w:val="6A94AB54"/>
    <w:rsid w:val="6A9DE847"/>
    <w:rsid w:val="6AAC6E81"/>
    <w:rsid w:val="6AB202EF"/>
    <w:rsid w:val="6AB52FBC"/>
    <w:rsid w:val="6AB69E68"/>
    <w:rsid w:val="6AB8A9D7"/>
    <w:rsid w:val="6ABC7251"/>
    <w:rsid w:val="6AC98005"/>
    <w:rsid w:val="6AD9A81F"/>
    <w:rsid w:val="6ADD5794"/>
    <w:rsid w:val="6AE445B6"/>
    <w:rsid w:val="6AE5FB06"/>
    <w:rsid w:val="6AEA01FA"/>
    <w:rsid w:val="6AEC02F8"/>
    <w:rsid w:val="6AEDDFA9"/>
    <w:rsid w:val="6AF29F55"/>
    <w:rsid w:val="6AF2A148"/>
    <w:rsid w:val="6AF61BD3"/>
    <w:rsid w:val="6AF74E66"/>
    <w:rsid w:val="6B096D1E"/>
    <w:rsid w:val="6B2404EA"/>
    <w:rsid w:val="6B2C95A9"/>
    <w:rsid w:val="6B32D5DA"/>
    <w:rsid w:val="6B344FA7"/>
    <w:rsid w:val="6B387017"/>
    <w:rsid w:val="6B44CA9D"/>
    <w:rsid w:val="6B4BAEA4"/>
    <w:rsid w:val="6B50CE28"/>
    <w:rsid w:val="6B5A18ED"/>
    <w:rsid w:val="6B5D4078"/>
    <w:rsid w:val="6B6846DE"/>
    <w:rsid w:val="6B698070"/>
    <w:rsid w:val="6B701BFE"/>
    <w:rsid w:val="6B7284E9"/>
    <w:rsid w:val="6B7321C4"/>
    <w:rsid w:val="6B8AB1D3"/>
    <w:rsid w:val="6B93A7A2"/>
    <w:rsid w:val="6B9AD909"/>
    <w:rsid w:val="6BA8B872"/>
    <w:rsid w:val="6BAB5A6B"/>
    <w:rsid w:val="6BBD4AEB"/>
    <w:rsid w:val="6BE65641"/>
    <w:rsid w:val="6BF56BDB"/>
    <w:rsid w:val="6C0C9A10"/>
    <w:rsid w:val="6C107255"/>
    <w:rsid w:val="6C13FC31"/>
    <w:rsid w:val="6C182990"/>
    <w:rsid w:val="6C1F971D"/>
    <w:rsid w:val="6C2049FD"/>
    <w:rsid w:val="6C25184F"/>
    <w:rsid w:val="6C25887A"/>
    <w:rsid w:val="6C279702"/>
    <w:rsid w:val="6C32C659"/>
    <w:rsid w:val="6C3CB3A5"/>
    <w:rsid w:val="6C3EDCF2"/>
    <w:rsid w:val="6C49C03F"/>
    <w:rsid w:val="6C4CD64D"/>
    <w:rsid w:val="6C4E6368"/>
    <w:rsid w:val="6C58C6D2"/>
    <w:rsid w:val="6C600EC6"/>
    <w:rsid w:val="6C702899"/>
    <w:rsid w:val="6C8FF482"/>
    <w:rsid w:val="6C91E6DC"/>
    <w:rsid w:val="6C960F2C"/>
    <w:rsid w:val="6CA079F8"/>
    <w:rsid w:val="6CB62C20"/>
    <w:rsid w:val="6CB8E17C"/>
    <w:rsid w:val="6CBF6D98"/>
    <w:rsid w:val="6CC8F0F9"/>
    <w:rsid w:val="6CCF1318"/>
    <w:rsid w:val="6CD46B04"/>
    <w:rsid w:val="6CE296B3"/>
    <w:rsid w:val="6CE871DD"/>
    <w:rsid w:val="6CE99770"/>
    <w:rsid w:val="6CFAFA33"/>
    <w:rsid w:val="6CFD9C4D"/>
    <w:rsid w:val="6CFE399B"/>
    <w:rsid w:val="6CFE8A76"/>
    <w:rsid w:val="6D05FFDF"/>
    <w:rsid w:val="6D0F8808"/>
    <w:rsid w:val="6D0FCD7E"/>
    <w:rsid w:val="6D135CD9"/>
    <w:rsid w:val="6D136843"/>
    <w:rsid w:val="6D1848A7"/>
    <w:rsid w:val="6D2692A8"/>
    <w:rsid w:val="6D2AA2AE"/>
    <w:rsid w:val="6D2DA987"/>
    <w:rsid w:val="6D3FFC9B"/>
    <w:rsid w:val="6D4289BE"/>
    <w:rsid w:val="6D517027"/>
    <w:rsid w:val="6D60162B"/>
    <w:rsid w:val="6D61F791"/>
    <w:rsid w:val="6D63AD54"/>
    <w:rsid w:val="6D644985"/>
    <w:rsid w:val="6D6AD35B"/>
    <w:rsid w:val="6D6E4C8D"/>
    <w:rsid w:val="6D77E417"/>
    <w:rsid w:val="6D812AE1"/>
    <w:rsid w:val="6D82687B"/>
    <w:rsid w:val="6D8634CC"/>
    <w:rsid w:val="6D870A4A"/>
    <w:rsid w:val="6D8A5E0D"/>
    <w:rsid w:val="6D994E62"/>
    <w:rsid w:val="6D9CA5F9"/>
    <w:rsid w:val="6D9D71AF"/>
    <w:rsid w:val="6D9EFB2A"/>
    <w:rsid w:val="6DA5AEFC"/>
    <w:rsid w:val="6DA75516"/>
    <w:rsid w:val="6DAA3C23"/>
    <w:rsid w:val="6DAAEE1C"/>
    <w:rsid w:val="6DB45C7E"/>
    <w:rsid w:val="6DC2CAB8"/>
    <w:rsid w:val="6DC546DC"/>
    <w:rsid w:val="6DCDC84E"/>
    <w:rsid w:val="6DD85A68"/>
    <w:rsid w:val="6DD922DF"/>
    <w:rsid w:val="6DE1EBE4"/>
    <w:rsid w:val="6DE4B6B8"/>
    <w:rsid w:val="6DE5B349"/>
    <w:rsid w:val="6DE7B22F"/>
    <w:rsid w:val="6DEC4F3B"/>
    <w:rsid w:val="6DF55FB2"/>
    <w:rsid w:val="6E00BEB7"/>
    <w:rsid w:val="6E018FE0"/>
    <w:rsid w:val="6E01DE5C"/>
    <w:rsid w:val="6E02BD8B"/>
    <w:rsid w:val="6E047C4D"/>
    <w:rsid w:val="6E0524CF"/>
    <w:rsid w:val="6E07F4E2"/>
    <w:rsid w:val="6E25F2A5"/>
    <w:rsid w:val="6E3392F9"/>
    <w:rsid w:val="6E3638D4"/>
    <w:rsid w:val="6E384135"/>
    <w:rsid w:val="6E3AB68F"/>
    <w:rsid w:val="6E40440B"/>
    <w:rsid w:val="6E464C9E"/>
    <w:rsid w:val="6E4ED801"/>
    <w:rsid w:val="6E50AD65"/>
    <w:rsid w:val="6E5EF13D"/>
    <w:rsid w:val="6E646863"/>
    <w:rsid w:val="6E6914D7"/>
    <w:rsid w:val="6E72C419"/>
    <w:rsid w:val="6E74DE45"/>
    <w:rsid w:val="6E84EACE"/>
    <w:rsid w:val="6E87C122"/>
    <w:rsid w:val="6E8E05DB"/>
    <w:rsid w:val="6E94DD96"/>
    <w:rsid w:val="6E95D8F9"/>
    <w:rsid w:val="6E976B8B"/>
    <w:rsid w:val="6E9B913A"/>
    <w:rsid w:val="6EA5110E"/>
    <w:rsid w:val="6EAAE602"/>
    <w:rsid w:val="6EAED4F2"/>
    <w:rsid w:val="6EB49C86"/>
    <w:rsid w:val="6EBAAC2E"/>
    <w:rsid w:val="6EBFA968"/>
    <w:rsid w:val="6EC39AD8"/>
    <w:rsid w:val="6ED7CF19"/>
    <w:rsid w:val="6EDA5ED6"/>
    <w:rsid w:val="6EDCB50D"/>
    <w:rsid w:val="6EE7C056"/>
    <w:rsid w:val="6EF396BC"/>
    <w:rsid w:val="6EF52920"/>
    <w:rsid w:val="6EFA25DB"/>
    <w:rsid w:val="6EFAEB7B"/>
    <w:rsid w:val="6F069842"/>
    <w:rsid w:val="6F177D29"/>
    <w:rsid w:val="6F1D7D13"/>
    <w:rsid w:val="6F20CCFF"/>
    <w:rsid w:val="6F31C6A7"/>
    <w:rsid w:val="6F31EB6D"/>
    <w:rsid w:val="6F3318C9"/>
    <w:rsid w:val="6F3DC6B3"/>
    <w:rsid w:val="6F471CB0"/>
    <w:rsid w:val="6F4733D4"/>
    <w:rsid w:val="6F52BE42"/>
    <w:rsid w:val="6F54AF11"/>
    <w:rsid w:val="6F5BCF09"/>
    <w:rsid w:val="6F644918"/>
    <w:rsid w:val="6F7A3519"/>
    <w:rsid w:val="6F84770F"/>
    <w:rsid w:val="6F88A42D"/>
    <w:rsid w:val="6F8A0A64"/>
    <w:rsid w:val="6F8CD27C"/>
    <w:rsid w:val="6F8E22E0"/>
    <w:rsid w:val="6F9B5CB6"/>
    <w:rsid w:val="6FB030E9"/>
    <w:rsid w:val="6FB829E2"/>
    <w:rsid w:val="6FB92AA0"/>
    <w:rsid w:val="6FBA4271"/>
    <w:rsid w:val="6FBB0018"/>
    <w:rsid w:val="6FBF0D23"/>
    <w:rsid w:val="6FCA1734"/>
    <w:rsid w:val="6FCC45ED"/>
    <w:rsid w:val="6FD036E9"/>
    <w:rsid w:val="6FD43E14"/>
    <w:rsid w:val="6FD60136"/>
    <w:rsid w:val="6FDB73F7"/>
    <w:rsid w:val="6FDFA9E1"/>
    <w:rsid w:val="6FF0306F"/>
    <w:rsid w:val="6FF650E1"/>
    <w:rsid w:val="6FF6BDE5"/>
    <w:rsid w:val="6FFA8D44"/>
    <w:rsid w:val="7002F2F1"/>
    <w:rsid w:val="7004E538"/>
    <w:rsid w:val="70052815"/>
    <w:rsid w:val="7017C316"/>
    <w:rsid w:val="701BBFDF"/>
    <w:rsid w:val="701E0EA1"/>
    <w:rsid w:val="70278D34"/>
    <w:rsid w:val="7028DBE8"/>
    <w:rsid w:val="702E1EC4"/>
    <w:rsid w:val="7033273D"/>
    <w:rsid w:val="703555DC"/>
    <w:rsid w:val="70359279"/>
    <w:rsid w:val="703D5432"/>
    <w:rsid w:val="70461F50"/>
    <w:rsid w:val="7051B6CB"/>
    <w:rsid w:val="70567C8F"/>
    <w:rsid w:val="705B5462"/>
    <w:rsid w:val="705EB190"/>
    <w:rsid w:val="7060FA67"/>
    <w:rsid w:val="7064AA9F"/>
    <w:rsid w:val="7069C8B7"/>
    <w:rsid w:val="706A551C"/>
    <w:rsid w:val="706A87AD"/>
    <w:rsid w:val="7070E278"/>
    <w:rsid w:val="707AEFC7"/>
    <w:rsid w:val="70831A26"/>
    <w:rsid w:val="7087B370"/>
    <w:rsid w:val="708E464F"/>
    <w:rsid w:val="708F0558"/>
    <w:rsid w:val="7094F961"/>
    <w:rsid w:val="70B494A8"/>
    <w:rsid w:val="70D0E765"/>
    <w:rsid w:val="70D99714"/>
    <w:rsid w:val="70E30435"/>
    <w:rsid w:val="70E7BB63"/>
    <w:rsid w:val="70EA5819"/>
    <w:rsid w:val="70EA726D"/>
    <w:rsid w:val="70FE2654"/>
    <w:rsid w:val="71022153"/>
    <w:rsid w:val="7102C434"/>
    <w:rsid w:val="7106B516"/>
    <w:rsid w:val="710CF59D"/>
    <w:rsid w:val="710DD195"/>
    <w:rsid w:val="710FC479"/>
    <w:rsid w:val="71114E40"/>
    <w:rsid w:val="7116B7C5"/>
    <w:rsid w:val="711A899D"/>
    <w:rsid w:val="711EA924"/>
    <w:rsid w:val="7120789E"/>
    <w:rsid w:val="712AB919"/>
    <w:rsid w:val="712DA605"/>
    <w:rsid w:val="712E522D"/>
    <w:rsid w:val="71316DE6"/>
    <w:rsid w:val="71319B1F"/>
    <w:rsid w:val="713AF60F"/>
    <w:rsid w:val="713E4143"/>
    <w:rsid w:val="714004AE"/>
    <w:rsid w:val="71407309"/>
    <w:rsid w:val="71507DCB"/>
    <w:rsid w:val="7152FA14"/>
    <w:rsid w:val="715311BE"/>
    <w:rsid w:val="71558B62"/>
    <w:rsid w:val="71566565"/>
    <w:rsid w:val="71575B10"/>
    <w:rsid w:val="715E4669"/>
    <w:rsid w:val="71661AB5"/>
    <w:rsid w:val="7168771D"/>
    <w:rsid w:val="717A976A"/>
    <w:rsid w:val="717D0A6B"/>
    <w:rsid w:val="717FD090"/>
    <w:rsid w:val="7187FBBC"/>
    <w:rsid w:val="718BD1C7"/>
    <w:rsid w:val="718EB31D"/>
    <w:rsid w:val="7191497D"/>
    <w:rsid w:val="71981F3F"/>
    <w:rsid w:val="719A80C0"/>
    <w:rsid w:val="719B5639"/>
    <w:rsid w:val="719B95A7"/>
    <w:rsid w:val="71A277FD"/>
    <w:rsid w:val="71AC0439"/>
    <w:rsid w:val="71ADF306"/>
    <w:rsid w:val="71B44E78"/>
    <w:rsid w:val="71C00FAC"/>
    <w:rsid w:val="71C0BAED"/>
    <w:rsid w:val="71C5659D"/>
    <w:rsid w:val="71CBF3B4"/>
    <w:rsid w:val="71CEE1B2"/>
    <w:rsid w:val="71D078CC"/>
    <w:rsid w:val="71D47158"/>
    <w:rsid w:val="71DC43E3"/>
    <w:rsid w:val="71E1FE85"/>
    <w:rsid w:val="71E2F92B"/>
    <w:rsid w:val="71E5035C"/>
    <w:rsid w:val="71E547C1"/>
    <w:rsid w:val="71EDCB01"/>
    <w:rsid w:val="71F68A65"/>
    <w:rsid w:val="71FEC055"/>
    <w:rsid w:val="7204C821"/>
    <w:rsid w:val="7208CC50"/>
    <w:rsid w:val="720939C9"/>
    <w:rsid w:val="720CB2D9"/>
    <w:rsid w:val="7212578C"/>
    <w:rsid w:val="72169F58"/>
    <w:rsid w:val="7217ECEF"/>
    <w:rsid w:val="7219A2DF"/>
    <w:rsid w:val="722F7BEE"/>
    <w:rsid w:val="723D65E5"/>
    <w:rsid w:val="724BF78F"/>
    <w:rsid w:val="72503ED1"/>
    <w:rsid w:val="725EEF35"/>
    <w:rsid w:val="726B6757"/>
    <w:rsid w:val="726C93F4"/>
    <w:rsid w:val="72747743"/>
    <w:rsid w:val="72784F28"/>
    <w:rsid w:val="727AB2DF"/>
    <w:rsid w:val="72833DB5"/>
    <w:rsid w:val="72886335"/>
    <w:rsid w:val="72898446"/>
    <w:rsid w:val="72912982"/>
    <w:rsid w:val="7293449B"/>
    <w:rsid w:val="729612A7"/>
    <w:rsid w:val="72A4D0EC"/>
    <w:rsid w:val="72A54C6D"/>
    <w:rsid w:val="72AD1EA1"/>
    <w:rsid w:val="72AD2196"/>
    <w:rsid w:val="72B8C382"/>
    <w:rsid w:val="72BA24E2"/>
    <w:rsid w:val="72BC17D1"/>
    <w:rsid w:val="72C8CE8C"/>
    <w:rsid w:val="72C92D50"/>
    <w:rsid w:val="72D34081"/>
    <w:rsid w:val="72D8A687"/>
    <w:rsid w:val="72DB6CBB"/>
    <w:rsid w:val="72DC0568"/>
    <w:rsid w:val="72E1B64C"/>
    <w:rsid w:val="72E23738"/>
    <w:rsid w:val="72E8E36C"/>
    <w:rsid w:val="72E914E6"/>
    <w:rsid w:val="72EECA75"/>
    <w:rsid w:val="72F3A3CD"/>
    <w:rsid w:val="7300E31B"/>
    <w:rsid w:val="73089F7A"/>
    <w:rsid w:val="731AFF2A"/>
    <w:rsid w:val="731FC950"/>
    <w:rsid w:val="73202003"/>
    <w:rsid w:val="73224924"/>
    <w:rsid w:val="7326F44A"/>
    <w:rsid w:val="73329C46"/>
    <w:rsid w:val="733DBD3D"/>
    <w:rsid w:val="73412641"/>
    <w:rsid w:val="73478334"/>
    <w:rsid w:val="7351977D"/>
    <w:rsid w:val="735239E9"/>
    <w:rsid w:val="735E6201"/>
    <w:rsid w:val="735F9756"/>
    <w:rsid w:val="735FEC9A"/>
    <w:rsid w:val="73634EC9"/>
    <w:rsid w:val="736C41F9"/>
    <w:rsid w:val="7373C760"/>
    <w:rsid w:val="73753869"/>
    <w:rsid w:val="737E0D70"/>
    <w:rsid w:val="737E437C"/>
    <w:rsid w:val="73915334"/>
    <w:rsid w:val="73952897"/>
    <w:rsid w:val="739A2C10"/>
    <w:rsid w:val="739C6522"/>
    <w:rsid w:val="739D5498"/>
    <w:rsid w:val="73ACBEB4"/>
    <w:rsid w:val="73AF2CA6"/>
    <w:rsid w:val="73B00BD6"/>
    <w:rsid w:val="73BA9EF4"/>
    <w:rsid w:val="73ECFC3A"/>
    <w:rsid w:val="73EFBDDA"/>
    <w:rsid w:val="73F4DCD1"/>
    <w:rsid w:val="73F884ED"/>
    <w:rsid w:val="73FFFFD6"/>
    <w:rsid w:val="74005DFA"/>
    <w:rsid w:val="74022947"/>
    <w:rsid w:val="7402D89E"/>
    <w:rsid w:val="74075B2F"/>
    <w:rsid w:val="740AE4B8"/>
    <w:rsid w:val="740B47FE"/>
    <w:rsid w:val="741081CA"/>
    <w:rsid w:val="74158ACA"/>
    <w:rsid w:val="743686C0"/>
    <w:rsid w:val="743E2D85"/>
    <w:rsid w:val="743F8808"/>
    <w:rsid w:val="74444BE1"/>
    <w:rsid w:val="74457257"/>
    <w:rsid w:val="744A67C9"/>
    <w:rsid w:val="744CC506"/>
    <w:rsid w:val="744D59AA"/>
    <w:rsid w:val="745D52E2"/>
    <w:rsid w:val="74727A71"/>
    <w:rsid w:val="7473CE49"/>
    <w:rsid w:val="7479CFCD"/>
    <w:rsid w:val="747CC3D4"/>
    <w:rsid w:val="7488C261"/>
    <w:rsid w:val="7488D6C3"/>
    <w:rsid w:val="748A471B"/>
    <w:rsid w:val="748EF748"/>
    <w:rsid w:val="748F8DC5"/>
    <w:rsid w:val="749656B3"/>
    <w:rsid w:val="749C305E"/>
    <w:rsid w:val="74A99EAC"/>
    <w:rsid w:val="74AA77C3"/>
    <w:rsid w:val="74BD00C0"/>
    <w:rsid w:val="74BE2404"/>
    <w:rsid w:val="74C23F0E"/>
    <w:rsid w:val="74C563B0"/>
    <w:rsid w:val="74D33669"/>
    <w:rsid w:val="74DAF931"/>
    <w:rsid w:val="74E0CFC6"/>
    <w:rsid w:val="74EB963C"/>
    <w:rsid w:val="74F7DDFA"/>
    <w:rsid w:val="750422BE"/>
    <w:rsid w:val="752221A4"/>
    <w:rsid w:val="752D602E"/>
    <w:rsid w:val="75350378"/>
    <w:rsid w:val="753964D0"/>
    <w:rsid w:val="75543A32"/>
    <w:rsid w:val="755A3062"/>
    <w:rsid w:val="755CE8B6"/>
    <w:rsid w:val="755E882C"/>
    <w:rsid w:val="75698FF0"/>
    <w:rsid w:val="756BA8C1"/>
    <w:rsid w:val="756E0E3E"/>
    <w:rsid w:val="7570388D"/>
    <w:rsid w:val="7573010F"/>
    <w:rsid w:val="75771E01"/>
    <w:rsid w:val="7578D2F4"/>
    <w:rsid w:val="757BC931"/>
    <w:rsid w:val="757CC58B"/>
    <w:rsid w:val="757CE8B6"/>
    <w:rsid w:val="758822B0"/>
    <w:rsid w:val="7589E0AF"/>
    <w:rsid w:val="758D0B32"/>
    <w:rsid w:val="759008E2"/>
    <w:rsid w:val="75951CDA"/>
    <w:rsid w:val="759540B9"/>
    <w:rsid w:val="75976AFF"/>
    <w:rsid w:val="7599B342"/>
    <w:rsid w:val="759A9C12"/>
    <w:rsid w:val="759C7FFC"/>
    <w:rsid w:val="759E63C8"/>
    <w:rsid w:val="75A2357E"/>
    <w:rsid w:val="75A27157"/>
    <w:rsid w:val="75AA9D2B"/>
    <w:rsid w:val="75B1968F"/>
    <w:rsid w:val="75B6323D"/>
    <w:rsid w:val="75BBE995"/>
    <w:rsid w:val="75C24449"/>
    <w:rsid w:val="75C2D684"/>
    <w:rsid w:val="75CC8DE3"/>
    <w:rsid w:val="75CE50B0"/>
    <w:rsid w:val="75E35323"/>
    <w:rsid w:val="75E78AE1"/>
    <w:rsid w:val="75F23D06"/>
    <w:rsid w:val="75F74709"/>
    <w:rsid w:val="75F79511"/>
    <w:rsid w:val="75FA4891"/>
    <w:rsid w:val="76013E95"/>
    <w:rsid w:val="7602ED48"/>
    <w:rsid w:val="760F4015"/>
    <w:rsid w:val="7610065C"/>
    <w:rsid w:val="7612F56B"/>
    <w:rsid w:val="7614FE31"/>
    <w:rsid w:val="7615FF8A"/>
    <w:rsid w:val="76201EBA"/>
    <w:rsid w:val="7621C868"/>
    <w:rsid w:val="76245236"/>
    <w:rsid w:val="76258AC2"/>
    <w:rsid w:val="7627F1CE"/>
    <w:rsid w:val="763B2A82"/>
    <w:rsid w:val="763CA2FB"/>
    <w:rsid w:val="7659BB6A"/>
    <w:rsid w:val="765CEB07"/>
    <w:rsid w:val="766F2EED"/>
    <w:rsid w:val="7671C161"/>
    <w:rsid w:val="7674F032"/>
    <w:rsid w:val="76759503"/>
    <w:rsid w:val="767D0A86"/>
    <w:rsid w:val="76838DDD"/>
    <w:rsid w:val="76943F5F"/>
    <w:rsid w:val="76958B0E"/>
    <w:rsid w:val="76969702"/>
    <w:rsid w:val="76978753"/>
    <w:rsid w:val="769FE1E9"/>
    <w:rsid w:val="76A08C59"/>
    <w:rsid w:val="76A0B38E"/>
    <w:rsid w:val="76B182C6"/>
    <w:rsid w:val="76C48B0F"/>
    <w:rsid w:val="76CB6CAE"/>
    <w:rsid w:val="76D3BD1D"/>
    <w:rsid w:val="76D8D6CE"/>
    <w:rsid w:val="76D90C81"/>
    <w:rsid w:val="76DA7393"/>
    <w:rsid w:val="76DC233B"/>
    <w:rsid w:val="76E1F07B"/>
    <w:rsid w:val="76E22D47"/>
    <w:rsid w:val="76E2B2AC"/>
    <w:rsid w:val="76E45F76"/>
    <w:rsid w:val="76E63734"/>
    <w:rsid w:val="76E8D4D5"/>
    <w:rsid w:val="76ED7A42"/>
    <w:rsid w:val="76FF3ABE"/>
    <w:rsid w:val="77010D66"/>
    <w:rsid w:val="7709BD79"/>
    <w:rsid w:val="770CAEFA"/>
    <w:rsid w:val="770F0EC2"/>
    <w:rsid w:val="77101D51"/>
    <w:rsid w:val="771A08DC"/>
    <w:rsid w:val="771DC9F5"/>
    <w:rsid w:val="7728DB93"/>
    <w:rsid w:val="77304A12"/>
    <w:rsid w:val="7732CE0A"/>
    <w:rsid w:val="773F8814"/>
    <w:rsid w:val="774050FB"/>
    <w:rsid w:val="7742A31C"/>
    <w:rsid w:val="7743E1A3"/>
    <w:rsid w:val="774635F7"/>
    <w:rsid w:val="774A8AB6"/>
    <w:rsid w:val="77576F8A"/>
    <w:rsid w:val="775E14AA"/>
    <w:rsid w:val="776B7EB4"/>
    <w:rsid w:val="777D1319"/>
    <w:rsid w:val="778043C9"/>
    <w:rsid w:val="7780B6AE"/>
    <w:rsid w:val="77844E1E"/>
    <w:rsid w:val="7787900F"/>
    <w:rsid w:val="778CF84F"/>
    <w:rsid w:val="7791A0EF"/>
    <w:rsid w:val="779982F2"/>
    <w:rsid w:val="779D0EF6"/>
    <w:rsid w:val="77A3AC70"/>
    <w:rsid w:val="77A3C378"/>
    <w:rsid w:val="77B0CE92"/>
    <w:rsid w:val="77BECFC9"/>
    <w:rsid w:val="77BFFAE9"/>
    <w:rsid w:val="77C6980A"/>
    <w:rsid w:val="77CA5DB1"/>
    <w:rsid w:val="77D09061"/>
    <w:rsid w:val="77D20688"/>
    <w:rsid w:val="77D8BE73"/>
    <w:rsid w:val="77EFB00B"/>
    <w:rsid w:val="77F16F60"/>
    <w:rsid w:val="77FFF94E"/>
    <w:rsid w:val="78013D6A"/>
    <w:rsid w:val="780B8809"/>
    <w:rsid w:val="78216A1C"/>
    <w:rsid w:val="782B1AE2"/>
    <w:rsid w:val="782DA78C"/>
    <w:rsid w:val="78352759"/>
    <w:rsid w:val="7836DB05"/>
    <w:rsid w:val="783B19A9"/>
    <w:rsid w:val="7844B7E6"/>
    <w:rsid w:val="78497890"/>
    <w:rsid w:val="7856213E"/>
    <w:rsid w:val="7858BB96"/>
    <w:rsid w:val="78598CC0"/>
    <w:rsid w:val="7860842C"/>
    <w:rsid w:val="78655395"/>
    <w:rsid w:val="786A4B79"/>
    <w:rsid w:val="786EFBB7"/>
    <w:rsid w:val="78758FEF"/>
    <w:rsid w:val="78765980"/>
    <w:rsid w:val="787ED855"/>
    <w:rsid w:val="78806AD4"/>
    <w:rsid w:val="78825CB2"/>
    <w:rsid w:val="788CDD33"/>
    <w:rsid w:val="7891E709"/>
    <w:rsid w:val="789566B6"/>
    <w:rsid w:val="7897D007"/>
    <w:rsid w:val="7899CDEB"/>
    <w:rsid w:val="789D6354"/>
    <w:rsid w:val="78A43978"/>
    <w:rsid w:val="78AB812C"/>
    <w:rsid w:val="78B5E364"/>
    <w:rsid w:val="78BC2CAD"/>
    <w:rsid w:val="78CCE17B"/>
    <w:rsid w:val="78CE2C58"/>
    <w:rsid w:val="78D55CB6"/>
    <w:rsid w:val="78DCDD6B"/>
    <w:rsid w:val="78E4EE4F"/>
    <w:rsid w:val="78E6E727"/>
    <w:rsid w:val="78E78447"/>
    <w:rsid w:val="78E8AD42"/>
    <w:rsid w:val="78EBAF67"/>
    <w:rsid w:val="78F45A34"/>
    <w:rsid w:val="78FDB88C"/>
    <w:rsid w:val="7918E37A"/>
    <w:rsid w:val="7919F64A"/>
    <w:rsid w:val="791BC123"/>
    <w:rsid w:val="79212C57"/>
    <w:rsid w:val="7923DDCD"/>
    <w:rsid w:val="792AE269"/>
    <w:rsid w:val="792EE110"/>
    <w:rsid w:val="79370CDD"/>
    <w:rsid w:val="7937D4BA"/>
    <w:rsid w:val="793BD0A7"/>
    <w:rsid w:val="793C01A4"/>
    <w:rsid w:val="79470413"/>
    <w:rsid w:val="794996FE"/>
    <w:rsid w:val="79547906"/>
    <w:rsid w:val="795A7C27"/>
    <w:rsid w:val="796035A3"/>
    <w:rsid w:val="79688ACD"/>
    <w:rsid w:val="796FA181"/>
    <w:rsid w:val="7979BD0A"/>
    <w:rsid w:val="7982E162"/>
    <w:rsid w:val="7983BCD7"/>
    <w:rsid w:val="798A67B2"/>
    <w:rsid w:val="799AC5F2"/>
    <w:rsid w:val="799FAAFB"/>
    <w:rsid w:val="79A373BB"/>
    <w:rsid w:val="79A7586A"/>
    <w:rsid w:val="79AA18BA"/>
    <w:rsid w:val="79ABB4B9"/>
    <w:rsid w:val="79AD8A20"/>
    <w:rsid w:val="79AFE938"/>
    <w:rsid w:val="79B33C12"/>
    <w:rsid w:val="79B7BDF9"/>
    <w:rsid w:val="79C18288"/>
    <w:rsid w:val="79C2E497"/>
    <w:rsid w:val="79C61EB6"/>
    <w:rsid w:val="79C7C266"/>
    <w:rsid w:val="79CABE63"/>
    <w:rsid w:val="79CE4A01"/>
    <w:rsid w:val="79D605EC"/>
    <w:rsid w:val="79E9D259"/>
    <w:rsid w:val="79ED05C3"/>
    <w:rsid w:val="79F04624"/>
    <w:rsid w:val="79F40489"/>
    <w:rsid w:val="79F756FE"/>
    <w:rsid w:val="79FADB28"/>
    <w:rsid w:val="79FB51B1"/>
    <w:rsid w:val="7A04E1BA"/>
    <w:rsid w:val="7A0658CD"/>
    <w:rsid w:val="7A0CC2F2"/>
    <w:rsid w:val="7A0FBC13"/>
    <w:rsid w:val="7A1267E9"/>
    <w:rsid w:val="7A1716EE"/>
    <w:rsid w:val="7A1920FA"/>
    <w:rsid w:val="7A1C9A54"/>
    <w:rsid w:val="7A1D3AAF"/>
    <w:rsid w:val="7A1F9F91"/>
    <w:rsid w:val="7A22C411"/>
    <w:rsid w:val="7A2CE8D8"/>
    <w:rsid w:val="7A341793"/>
    <w:rsid w:val="7A351013"/>
    <w:rsid w:val="7A37F578"/>
    <w:rsid w:val="7A3A5EBC"/>
    <w:rsid w:val="7A409253"/>
    <w:rsid w:val="7A44AB76"/>
    <w:rsid w:val="7A522C03"/>
    <w:rsid w:val="7A54A353"/>
    <w:rsid w:val="7A5CC6FA"/>
    <w:rsid w:val="7A6480E1"/>
    <w:rsid w:val="7A75924B"/>
    <w:rsid w:val="7A766F4F"/>
    <w:rsid w:val="7A789730"/>
    <w:rsid w:val="7A7ECB15"/>
    <w:rsid w:val="7A7FC711"/>
    <w:rsid w:val="7A8183A8"/>
    <w:rsid w:val="7A8CF917"/>
    <w:rsid w:val="7A937D4B"/>
    <w:rsid w:val="7A95EDEA"/>
    <w:rsid w:val="7A99000F"/>
    <w:rsid w:val="7A993910"/>
    <w:rsid w:val="7A9D247F"/>
    <w:rsid w:val="7AA726B8"/>
    <w:rsid w:val="7AB2C73B"/>
    <w:rsid w:val="7AB9E5C5"/>
    <w:rsid w:val="7AC4FB2E"/>
    <w:rsid w:val="7AD455A0"/>
    <w:rsid w:val="7ADBEF19"/>
    <w:rsid w:val="7AE16DF3"/>
    <w:rsid w:val="7AE7C836"/>
    <w:rsid w:val="7AEF573B"/>
    <w:rsid w:val="7AF75824"/>
    <w:rsid w:val="7AFBC456"/>
    <w:rsid w:val="7AFD4D9B"/>
    <w:rsid w:val="7AFE38CC"/>
    <w:rsid w:val="7B0666D1"/>
    <w:rsid w:val="7B08A71B"/>
    <w:rsid w:val="7B0925F7"/>
    <w:rsid w:val="7B167421"/>
    <w:rsid w:val="7B1AD716"/>
    <w:rsid w:val="7B294F90"/>
    <w:rsid w:val="7B51F9A8"/>
    <w:rsid w:val="7B531C34"/>
    <w:rsid w:val="7B645217"/>
    <w:rsid w:val="7B654BB2"/>
    <w:rsid w:val="7B895B83"/>
    <w:rsid w:val="7B8A4642"/>
    <w:rsid w:val="7B8B697D"/>
    <w:rsid w:val="7B98172D"/>
    <w:rsid w:val="7B99815B"/>
    <w:rsid w:val="7B9A1BCE"/>
    <w:rsid w:val="7B9D2EEA"/>
    <w:rsid w:val="7BA6BC41"/>
    <w:rsid w:val="7BA83880"/>
    <w:rsid w:val="7BC3B622"/>
    <w:rsid w:val="7BC40338"/>
    <w:rsid w:val="7BD3C9EF"/>
    <w:rsid w:val="7BDFF839"/>
    <w:rsid w:val="7BE07155"/>
    <w:rsid w:val="7BE16808"/>
    <w:rsid w:val="7BE6A96B"/>
    <w:rsid w:val="7BEC9BA4"/>
    <w:rsid w:val="7BF68201"/>
    <w:rsid w:val="7BFA2760"/>
    <w:rsid w:val="7BFD4B4C"/>
    <w:rsid w:val="7BFF9601"/>
    <w:rsid w:val="7C039961"/>
    <w:rsid w:val="7C060B1D"/>
    <w:rsid w:val="7C06B1CD"/>
    <w:rsid w:val="7C0C2893"/>
    <w:rsid w:val="7C16143F"/>
    <w:rsid w:val="7C18BE1E"/>
    <w:rsid w:val="7C1C494F"/>
    <w:rsid w:val="7C22AB54"/>
    <w:rsid w:val="7C3965FE"/>
    <w:rsid w:val="7C3D3B50"/>
    <w:rsid w:val="7C41BDEF"/>
    <w:rsid w:val="7C4555C6"/>
    <w:rsid w:val="7C49C851"/>
    <w:rsid w:val="7C4CAE14"/>
    <w:rsid w:val="7C4E080A"/>
    <w:rsid w:val="7C50A7D9"/>
    <w:rsid w:val="7C51662D"/>
    <w:rsid w:val="7C52B43E"/>
    <w:rsid w:val="7C6469C2"/>
    <w:rsid w:val="7C68F282"/>
    <w:rsid w:val="7C708019"/>
    <w:rsid w:val="7C76DD6A"/>
    <w:rsid w:val="7C8CD97E"/>
    <w:rsid w:val="7C8DA381"/>
    <w:rsid w:val="7C924257"/>
    <w:rsid w:val="7C9DCED4"/>
    <w:rsid w:val="7C9E4463"/>
    <w:rsid w:val="7CA02B8F"/>
    <w:rsid w:val="7CA6E588"/>
    <w:rsid w:val="7CAB14D8"/>
    <w:rsid w:val="7CAD4074"/>
    <w:rsid w:val="7CADE3DA"/>
    <w:rsid w:val="7CB0710B"/>
    <w:rsid w:val="7CE6A408"/>
    <w:rsid w:val="7CED0A38"/>
    <w:rsid w:val="7CF4A64D"/>
    <w:rsid w:val="7D055127"/>
    <w:rsid w:val="7D0CFE10"/>
    <w:rsid w:val="7D1632EA"/>
    <w:rsid w:val="7D2ADAD0"/>
    <w:rsid w:val="7D36430F"/>
    <w:rsid w:val="7D3BFF94"/>
    <w:rsid w:val="7D3ECB99"/>
    <w:rsid w:val="7D435BDD"/>
    <w:rsid w:val="7D45A672"/>
    <w:rsid w:val="7D5B4D89"/>
    <w:rsid w:val="7D63BAE0"/>
    <w:rsid w:val="7D6B46B3"/>
    <w:rsid w:val="7D75316E"/>
    <w:rsid w:val="7D7A4E1A"/>
    <w:rsid w:val="7D895487"/>
    <w:rsid w:val="7D8B071C"/>
    <w:rsid w:val="7D8BC83E"/>
    <w:rsid w:val="7D903042"/>
    <w:rsid w:val="7D9467BC"/>
    <w:rsid w:val="7D946C1F"/>
    <w:rsid w:val="7D948C0D"/>
    <w:rsid w:val="7DA2FF15"/>
    <w:rsid w:val="7DA44453"/>
    <w:rsid w:val="7DAB8B4D"/>
    <w:rsid w:val="7DBADFF4"/>
    <w:rsid w:val="7DC6DA1E"/>
    <w:rsid w:val="7DCA82D7"/>
    <w:rsid w:val="7DD7923F"/>
    <w:rsid w:val="7DD81CB4"/>
    <w:rsid w:val="7DD9C77E"/>
    <w:rsid w:val="7DD9E3CD"/>
    <w:rsid w:val="7DE41A9D"/>
    <w:rsid w:val="7DE45ADF"/>
    <w:rsid w:val="7DE677DA"/>
    <w:rsid w:val="7DEBC9E9"/>
    <w:rsid w:val="7DF04722"/>
    <w:rsid w:val="7DFC8795"/>
    <w:rsid w:val="7DFECA78"/>
    <w:rsid w:val="7E0DD24F"/>
    <w:rsid w:val="7E0DFBD8"/>
    <w:rsid w:val="7E102F43"/>
    <w:rsid w:val="7E14E61E"/>
    <w:rsid w:val="7E15EBC0"/>
    <w:rsid w:val="7E174317"/>
    <w:rsid w:val="7E2B4A04"/>
    <w:rsid w:val="7E2DA606"/>
    <w:rsid w:val="7E35D0B8"/>
    <w:rsid w:val="7E3DB859"/>
    <w:rsid w:val="7E41C7F0"/>
    <w:rsid w:val="7E4B927C"/>
    <w:rsid w:val="7E4ED160"/>
    <w:rsid w:val="7E5B70C7"/>
    <w:rsid w:val="7E667E02"/>
    <w:rsid w:val="7E6ACDDD"/>
    <w:rsid w:val="7E709F1F"/>
    <w:rsid w:val="7E812B6F"/>
    <w:rsid w:val="7E8759F3"/>
    <w:rsid w:val="7E8AF7A8"/>
    <w:rsid w:val="7E90F3DA"/>
    <w:rsid w:val="7E96788D"/>
    <w:rsid w:val="7E982195"/>
    <w:rsid w:val="7E987540"/>
    <w:rsid w:val="7EA08AF2"/>
    <w:rsid w:val="7EAB0504"/>
    <w:rsid w:val="7EACB587"/>
    <w:rsid w:val="7EC217D6"/>
    <w:rsid w:val="7EC61269"/>
    <w:rsid w:val="7ED1E031"/>
    <w:rsid w:val="7ED8C8FE"/>
    <w:rsid w:val="7EE823AF"/>
    <w:rsid w:val="7EEB96FF"/>
    <w:rsid w:val="7EEFE8F5"/>
    <w:rsid w:val="7EF1383E"/>
    <w:rsid w:val="7EFB0A5D"/>
    <w:rsid w:val="7F0A180D"/>
    <w:rsid w:val="7F0C9676"/>
    <w:rsid w:val="7F0EA900"/>
    <w:rsid w:val="7F1165DD"/>
    <w:rsid w:val="7F268B3E"/>
    <w:rsid w:val="7F29B9A1"/>
    <w:rsid w:val="7F37E5A9"/>
    <w:rsid w:val="7F3B010A"/>
    <w:rsid w:val="7F3D0FEC"/>
    <w:rsid w:val="7F480A9A"/>
    <w:rsid w:val="7F49D5EF"/>
    <w:rsid w:val="7F4B8FC9"/>
    <w:rsid w:val="7F4C71F0"/>
    <w:rsid w:val="7F58EA53"/>
    <w:rsid w:val="7F5921EE"/>
    <w:rsid w:val="7F6B5899"/>
    <w:rsid w:val="7F700F71"/>
    <w:rsid w:val="7F720EC5"/>
    <w:rsid w:val="7F72FB94"/>
    <w:rsid w:val="7F7736C2"/>
    <w:rsid w:val="7F77E3A4"/>
    <w:rsid w:val="7F791A14"/>
    <w:rsid w:val="7F79F526"/>
    <w:rsid w:val="7F7AF7FB"/>
    <w:rsid w:val="7F7CF688"/>
    <w:rsid w:val="7FA19F83"/>
    <w:rsid w:val="7FAE8265"/>
    <w:rsid w:val="7FAEDFAB"/>
    <w:rsid w:val="7FB3C8D3"/>
    <w:rsid w:val="7FC1DCF3"/>
    <w:rsid w:val="7FCA40A7"/>
    <w:rsid w:val="7FCD6BB4"/>
    <w:rsid w:val="7FD26802"/>
    <w:rsid w:val="7FD6B55E"/>
    <w:rsid w:val="7FD7CC51"/>
    <w:rsid w:val="7FD946F7"/>
    <w:rsid w:val="7FDD9C2B"/>
    <w:rsid w:val="7FDF9C9C"/>
    <w:rsid w:val="7FE340F9"/>
    <w:rsid w:val="7FEE51B2"/>
    <w:rsid w:val="7FF1B893"/>
    <w:rsid w:val="7FF68E34"/>
    <w:rsid w:val="7FFB90E6"/>
    <w:rsid w:val="7FFCAC0E"/>
    <w:rsid w:val="7FFFC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075625"/>
  <w15:docId w15:val="{9C352306-3425-4808-8ACB-0A255AA1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C77"/>
  </w:style>
  <w:style w:type="paragraph" w:styleId="Heading1">
    <w:name w:val="heading 1"/>
    <w:basedOn w:val="Normal"/>
    <w:next w:val="Normal"/>
    <w:link w:val="Heading1Char"/>
    <w:uiPriority w:val="9"/>
    <w:qFormat/>
    <w:rsid w:val="00745F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64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59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109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FF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45FF4"/>
    <w:pPr>
      <w:outlineLvl w:val="9"/>
    </w:pPr>
  </w:style>
  <w:style w:type="paragraph" w:styleId="ListParagraph">
    <w:name w:val="List Paragraph"/>
    <w:aliases w:val="Conclusion de partie,Dot pt,No Spacing1,List Paragraph Char Char Char,Indicator Text,Numbered Para 1,List Paragraph1,Bullet Points,MAIN CONTENT,List Paragraph12,List Paragraph11,OBC Bullet,F5 List Paragraph,Colorful List - Accent 11,LISTA"/>
    <w:basedOn w:val="Normal"/>
    <w:link w:val="ListParagraphChar"/>
    <w:uiPriority w:val="34"/>
    <w:qFormat/>
    <w:rsid w:val="00926D64"/>
    <w:pPr>
      <w:ind w:left="720"/>
      <w:contextualSpacing/>
    </w:pPr>
  </w:style>
  <w:style w:type="paragraph" w:styleId="Title">
    <w:name w:val="Title"/>
    <w:basedOn w:val="Normal"/>
    <w:next w:val="Normal"/>
    <w:link w:val="TitleChar"/>
    <w:uiPriority w:val="10"/>
    <w:qFormat/>
    <w:rsid w:val="002C03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38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C464A7"/>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8D4044"/>
    <w:pPr>
      <w:tabs>
        <w:tab w:val="left" w:pos="851"/>
        <w:tab w:val="right" w:leader="dot" w:pos="9016"/>
      </w:tabs>
      <w:spacing w:before="240" w:after="240" w:line="288" w:lineRule="auto"/>
      <w:ind w:left="426" w:hanging="426"/>
      <w:jc w:val="both"/>
    </w:pPr>
    <w:rPr>
      <w:rFonts w:ascii="Times New Roman" w:hAnsi="Times New Roman" w:cs="Times New Roman"/>
      <w:noProof/>
      <w:sz w:val="24"/>
      <w:szCs w:val="24"/>
    </w:rPr>
  </w:style>
  <w:style w:type="paragraph" w:styleId="TOC2">
    <w:name w:val="toc 2"/>
    <w:basedOn w:val="Normal"/>
    <w:next w:val="Normal"/>
    <w:autoRedefine/>
    <w:uiPriority w:val="39"/>
    <w:unhideWhenUsed/>
    <w:rsid w:val="00FE39D3"/>
    <w:pPr>
      <w:tabs>
        <w:tab w:val="left" w:pos="1100"/>
        <w:tab w:val="right" w:leader="dot" w:pos="9016"/>
      </w:tabs>
      <w:spacing w:after="100"/>
      <w:ind w:left="220"/>
    </w:pPr>
  </w:style>
  <w:style w:type="character" w:styleId="Hyperlink">
    <w:name w:val="Hyperlink"/>
    <w:basedOn w:val="DefaultParagraphFont"/>
    <w:uiPriority w:val="99"/>
    <w:unhideWhenUsed/>
    <w:rsid w:val="003716B0"/>
    <w:rPr>
      <w:color w:val="0563C1" w:themeColor="hyperlink"/>
      <w:u w:val="single"/>
    </w:rPr>
  </w:style>
  <w:style w:type="paragraph" w:styleId="FootnoteText">
    <w:name w:val="footnote text"/>
    <w:aliases w:val="Footnote Text Char Char,Footnote text,Footnote Text Char1,Footnote Text Char2 Char,Footnote Text Char1 Char1 Char,Footnote Text Char2 Char Char Char,Footnote Text Char1 Char1 Char Char Char,Plonk,fn,fn Char Char,Fußnote,o, Char1,o Car Car"/>
    <w:basedOn w:val="Normal"/>
    <w:link w:val="FootnoteTextChar"/>
    <w:uiPriority w:val="99"/>
    <w:unhideWhenUsed/>
    <w:qFormat/>
    <w:rsid w:val="003E5080"/>
    <w:pPr>
      <w:spacing w:after="0" w:line="240" w:lineRule="auto"/>
    </w:pPr>
    <w:rPr>
      <w:sz w:val="20"/>
      <w:szCs w:val="20"/>
    </w:rPr>
  </w:style>
  <w:style w:type="character" w:customStyle="1" w:styleId="FootnoteTextChar">
    <w:name w:val="Footnote Text Char"/>
    <w:aliases w:val="Footnote Text Char Char Char,Footnote text Char,Footnote Text Char1 Char,Footnote Text Char2 Char Char,Footnote Text Char1 Char1 Char Char,Footnote Text Char2 Char Char Char Char,Footnote Text Char1 Char1 Char Char Char Char,fn Char"/>
    <w:basedOn w:val="DefaultParagraphFont"/>
    <w:link w:val="FootnoteText"/>
    <w:uiPriority w:val="99"/>
    <w:rsid w:val="003E5080"/>
    <w:rPr>
      <w:sz w:val="20"/>
      <w:szCs w:val="20"/>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16 Point,note TESI"/>
    <w:basedOn w:val="DefaultParagraphFont"/>
    <w:link w:val="SUPERSCharCharCharCharCharCharCharChar"/>
    <w:uiPriority w:val="99"/>
    <w:unhideWhenUsed/>
    <w:qFormat/>
    <w:rsid w:val="003E5080"/>
    <w:rPr>
      <w:vertAlign w:val="superscript"/>
    </w:rPr>
  </w:style>
  <w:style w:type="character" w:styleId="CommentReference">
    <w:name w:val="annotation reference"/>
    <w:basedOn w:val="DefaultParagraphFont"/>
    <w:uiPriority w:val="99"/>
    <w:semiHidden/>
    <w:unhideWhenUsed/>
    <w:rsid w:val="00B51BD6"/>
    <w:rPr>
      <w:sz w:val="16"/>
      <w:szCs w:val="16"/>
    </w:rPr>
  </w:style>
  <w:style w:type="paragraph" w:styleId="CommentText">
    <w:name w:val="annotation text"/>
    <w:basedOn w:val="Normal"/>
    <w:link w:val="CommentTextChar"/>
    <w:uiPriority w:val="99"/>
    <w:unhideWhenUsed/>
    <w:rsid w:val="00B51BD6"/>
    <w:pPr>
      <w:spacing w:line="240" w:lineRule="auto"/>
    </w:pPr>
    <w:rPr>
      <w:sz w:val="20"/>
      <w:szCs w:val="20"/>
    </w:rPr>
  </w:style>
  <w:style w:type="character" w:customStyle="1" w:styleId="CommentTextChar">
    <w:name w:val="Comment Text Char"/>
    <w:basedOn w:val="DefaultParagraphFont"/>
    <w:link w:val="CommentText"/>
    <w:uiPriority w:val="99"/>
    <w:rsid w:val="00B51BD6"/>
    <w:rPr>
      <w:sz w:val="20"/>
      <w:szCs w:val="20"/>
    </w:rPr>
  </w:style>
  <w:style w:type="paragraph" w:styleId="CommentSubject">
    <w:name w:val="annotation subject"/>
    <w:basedOn w:val="CommentText"/>
    <w:next w:val="CommentText"/>
    <w:link w:val="CommentSubjectChar"/>
    <w:uiPriority w:val="99"/>
    <w:semiHidden/>
    <w:unhideWhenUsed/>
    <w:rsid w:val="00B51BD6"/>
    <w:rPr>
      <w:b/>
      <w:bCs/>
    </w:rPr>
  </w:style>
  <w:style w:type="character" w:customStyle="1" w:styleId="CommentSubjectChar">
    <w:name w:val="Comment Subject Char"/>
    <w:basedOn w:val="CommentTextChar"/>
    <w:link w:val="CommentSubject"/>
    <w:uiPriority w:val="99"/>
    <w:semiHidden/>
    <w:rsid w:val="00B51BD6"/>
    <w:rPr>
      <w:b/>
      <w:bCs/>
      <w:sz w:val="20"/>
      <w:szCs w:val="20"/>
    </w:rPr>
  </w:style>
  <w:style w:type="paragraph" w:styleId="BalloonText">
    <w:name w:val="Balloon Text"/>
    <w:basedOn w:val="Normal"/>
    <w:link w:val="BalloonTextChar"/>
    <w:uiPriority w:val="99"/>
    <w:semiHidden/>
    <w:unhideWhenUsed/>
    <w:rsid w:val="00B51B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BD6"/>
    <w:rPr>
      <w:rFonts w:ascii="Segoe UI" w:hAnsi="Segoe UI" w:cs="Segoe UI"/>
      <w:sz w:val="18"/>
      <w:szCs w:val="18"/>
    </w:rPr>
  </w:style>
  <w:style w:type="character" w:customStyle="1" w:styleId="Heading3Char">
    <w:name w:val="Heading 3 Char"/>
    <w:basedOn w:val="DefaultParagraphFont"/>
    <w:link w:val="Heading3"/>
    <w:uiPriority w:val="9"/>
    <w:rsid w:val="0086599F"/>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6255C1"/>
    <w:pPr>
      <w:spacing w:after="100"/>
      <w:ind w:left="440"/>
    </w:pPr>
  </w:style>
  <w:style w:type="paragraph" w:styleId="Header">
    <w:name w:val="header"/>
    <w:basedOn w:val="Normal"/>
    <w:link w:val="HeaderChar"/>
    <w:uiPriority w:val="99"/>
    <w:unhideWhenUsed/>
    <w:rsid w:val="0028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AB5"/>
  </w:style>
  <w:style w:type="paragraph" w:styleId="Footer">
    <w:name w:val="footer"/>
    <w:basedOn w:val="Normal"/>
    <w:link w:val="FooterChar"/>
    <w:uiPriority w:val="99"/>
    <w:unhideWhenUsed/>
    <w:rsid w:val="0028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AB5"/>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rsid w:val="00246E4F"/>
    <w:pPr>
      <w:spacing w:line="240" w:lineRule="exact"/>
      <w:jc w:val="both"/>
    </w:pPr>
    <w:rPr>
      <w:vertAlign w:val="superscript"/>
    </w:rPr>
  </w:style>
  <w:style w:type="paragraph" w:styleId="Revision">
    <w:name w:val="Revision"/>
    <w:hidden/>
    <w:uiPriority w:val="99"/>
    <w:semiHidden/>
    <w:rsid w:val="00E71149"/>
    <w:pPr>
      <w:spacing w:after="0" w:line="240" w:lineRule="auto"/>
    </w:pPr>
  </w:style>
  <w:style w:type="paragraph" w:customStyle="1" w:styleId="Default">
    <w:name w:val="Default"/>
    <w:rsid w:val="00971AE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A52FA"/>
    <w:rPr>
      <w:color w:val="954F72" w:themeColor="followedHyperlink"/>
      <w:u w:val="single"/>
    </w:rPr>
  </w:style>
  <w:style w:type="character" w:customStyle="1" w:styleId="Marker">
    <w:name w:val="Marker"/>
    <w:basedOn w:val="DefaultParagraphFont"/>
    <w:rsid w:val="00261C77"/>
    <w:rPr>
      <w:color w:val="0000FF"/>
      <w:shd w:val="clear" w:color="auto" w:fill="auto"/>
    </w:rPr>
  </w:style>
  <w:style w:type="paragraph" w:customStyle="1" w:styleId="Pagedecouverture">
    <w:name w:val="Page de couverture"/>
    <w:basedOn w:val="Normal"/>
    <w:next w:val="Normal"/>
    <w:rsid w:val="00261C77"/>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261C77"/>
    <w:pPr>
      <w:tabs>
        <w:tab w:val="center" w:pos="4535"/>
        <w:tab w:val="right" w:pos="9071"/>
        <w:tab w:val="right" w:pos="9921"/>
      </w:tabs>
      <w:spacing w:before="360" w:beforeAutospacing="1" w:after="0" w:afterAutospacing="1" w:line="240" w:lineRule="auto"/>
      <w:ind w:left="-850" w:right="-850"/>
    </w:pPr>
    <w:rPr>
      <w:rFonts w:ascii="Times New Roman" w:hAnsi="Times New Roman" w:cs="Times New Roman"/>
      <w:sz w:val="24"/>
    </w:rPr>
  </w:style>
  <w:style w:type="character" w:customStyle="1" w:styleId="FooterCoverPageChar">
    <w:name w:val="Footer Cover Page Char"/>
    <w:basedOn w:val="TitleChar"/>
    <w:link w:val="FooterCoverPage"/>
    <w:rsid w:val="00261C77"/>
    <w:rPr>
      <w:rFonts w:ascii="Times New Roman" w:eastAsiaTheme="majorEastAsia" w:hAnsi="Times New Roman" w:cs="Times New Roman"/>
      <w:spacing w:val="-10"/>
      <w:kern w:val="28"/>
      <w:sz w:val="24"/>
      <w:szCs w:val="56"/>
    </w:rPr>
  </w:style>
  <w:style w:type="paragraph" w:customStyle="1" w:styleId="FooterSensitivity">
    <w:name w:val="Footer Sensitivity"/>
    <w:basedOn w:val="Normal"/>
    <w:link w:val="FooterSensitivityChar"/>
    <w:rsid w:val="00261C77"/>
    <w:pPr>
      <w:pBdr>
        <w:top w:val="single" w:sz="4" w:space="1" w:color="auto"/>
        <w:left w:val="single" w:sz="4" w:space="4" w:color="auto"/>
        <w:bottom w:val="single" w:sz="4" w:space="1" w:color="auto"/>
        <w:right w:val="single" w:sz="4" w:space="4" w:color="auto"/>
      </w:pBdr>
      <w:spacing w:before="360" w:beforeAutospacing="1" w:after="0" w:afterAutospacing="1"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TitleChar"/>
    <w:link w:val="FooterSensitivity"/>
    <w:rsid w:val="00261C77"/>
    <w:rPr>
      <w:rFonts w:ascii="Times New Roman" w:eastAsiaTheme="majorEastAsia" w:hAnsi="Times New Roman" w:cs="Times New Roman"/>
      <w:b/>
      <w:spacing w:val="-10"/>
      <w:kern w:val="28"/>
      <w:sz w:val="32"/>
      <w:szCs w:val="56"/>
    </w:rPr>
  </w:style>
  <w:style w:type="paragraph" w:customStyle="1" w:styleId="HeaderCoverPage">
    <w:name w:val="Header Cover Page"/>
    <w:basedOn w:val="Normal"/>
    <w:link w:val="HeaderCoverPageChar"/>
    <w:rsid w:val="00261C77"/>
    <w:pPr>
      <w:tabs>
        <w:tab w:val="center" w:pos="4535"/>
        <w:tab w:val="right" w:pos="9071"/>
      </w:tabs>
      <w:spacing w:beforeAutospacing="1" w:after="120" w:afterAutospacing="1" w:line="240" w:lineRule="auto"/>
      <w:jc w:val="both"/>
    </w:pPr>
    <w:rPr>
      <w:rFonts w:ascii="Times New Roman" w:hAnsi="Times New Roman" w:cs="Times New Roman"/>
      <w:sz w:val="24"/>
    </w:rPr>
  </w:style>
  <w:style w:type="character" w:customStyle="1" w:styleId="HeaderCoverPageChar">
    <w:name w:val="Header Cover Page Char"/>
    <w:basedOn w:val="TitleChar"/>
    <w:link w:val="HeaderCoverPage"/>
    <w:rsid w:val="00261C77"/>
    <w:rPr>
      <w:rFonts w:ascii="Times New Roman" w:eastAsiaTheme="majorEastAsia" w:hAnsi="Times New Roman" w:cs="Times New Roman"/>
      <w:spacing w:val="-10"/>
      <w:kern w:val="28"/>
      <w:sz w:val="24"/>
      <w:szCs w:val="56"/>
    </w:rPr>
  </w:style>
  <w:style w:type="paragraph" w:customStyle="1" w:styleId="HeaderSensitivity">
    <w:name w:val="Header Sensitivity"/>
    <w:basedOn w:val="Normal"/>
    <w:link w:val="HeaderSensitivityChar"/>
    <w:rsid w:val="00261C77"/>
    <w:pPr>
      <w:pBdr>
        <w:top w:val="single" w:sz="4" w:space="1" w:color="auto"/>
        <w:left w:val="single" w:sz="4" w:space="4" w:color="auto"/>
        <w:bottom w:val="single" w:sz="4" w:space="1" w:color="auto"/>
        <w:right w:val="single" w:sz="4" w:space="4" w:color="auto"/>
      </w:pBdr>
      <w:spacing w:beforeAutospacing="1" w:after="120" w:afterAutospacing="1"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TitleChar"/>
    <w:link w:val="HeaderSensitivity"/>
    <w:rsid w:val="00261C77"/>
    <w:rPr>
      <w:rFonts w:ascii="Times New Roman" w:eastAsiaTheme="majorEastAsia" w:hAnsi="Times New Roman" w:cs="Times New Roman"/>
      <w:b/>
      <w:spacing w:val="-10"/>
      <w:kern w:val="28"/>
      <w:sz w:val="32"/>
      <w:szCs w:val="56"/>
    </w:rPr>
  </w:style>
  <w:style w:type="paragraph" w:customStyle="1" w:styleId="HeaderSensitivityRight">
    <w:name w:val="Header Sensitivity Right"/>
    <w:basedOn w:val="Normal"/>
    <w:link w:val="HeaderSensitivityRightChar"/>
    <w:rsid w:val="00921907"/>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TitleChar"/>
    <w:link w:val="HeaderSensitivityRight"/>
    <w:rsid w:val="00261C77"/>
    <w:rPr>
      <w:rFonts w:ascii="Times New Roman" w:eastAsiaTheme="majorEastAsia" w:hAnsi="Times New Roman" w:cs="Times New Roman"/>
      <w:spacing w:val="-10"/>
      <w:kern w:val="28"/>
      <w:sz w:val="28"/>
      <w:szCs w:val="56"/>
    </w:rPr>
  </w:style>
  <w:style w:type="table" w:styleId="TableGrid">
    <w:name w:val="Table Grid"/>
    <w:basedOn w:val="TableNormal"/>
    <w:uiPriority w:val="39"/>
    <w:rsid w:val="00D17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B2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E"/>
    </w:rPr>
  </w:style>
  <w:style w:type="character" w:customStyle="1" w:styleId="HTMLPreformattedChar">
    <w:name w:val="HTML Preformatted Char"/>
    <w:basedOn w:val="DefaultParagraphFont"/>
    <w:link w:val="HTMLPreformatted"/>
    <w:uiPriority w:val="99"/>
    <w:semiHidden/>
    <w:rsid w:val="00EB2E89"/>
    <w:rPr>
      <w:rFonts w:ascii="Courier New" w:eastAsia="Times New Roman" w:hAnsi="Courier New" w:cs="Courier New"/>
      <w:sz w:val="20"/>
      <w:szCs w:val="20"/>
      <w:lang w:eastAsia="en-IE"/>
    </w:rPr>
  </w:style>
  <w:style w:type="paragraph" w:customStyle="1" w:styleId="Text1">
    <w:name w:val="Text 1"/>
    <w:basedOn w:val="Normal"/>
    <w:link w:val="Text1Char"/>
    <w:rsid w:val="00BB75F0"/>
    <w:pPr>
      <w:spacing w:after="240" w:line="240" w:lineRule="auto"/>
      <w:ind w:left="482"/>
      <w:jc w:val="both"/>
    </w:pPr>
    <w:rPr>
      <w:rFonts w:ascii="Times New Roman" w:eastAsia="Times New Roman" w:hAnsi="Times New Roman" w:cs="Times New Roman"/>
      <w:noProof/>
      <w:sz w:val="24"/>
      <w:szCs w:val="20"/>
    </w:rPr>
  </w:style>
  <w:style w:type="character" w:customStyle="1" w:styleId="Text1Char">
    <w:name w:val="Text 1 Char"/>
    <w:link w:val="Text1"/>
    <w:locked/>
    <w:rsid w:val="00BB75F0"/>
    <w:rPr>
      <w:rFonts w:ascii="Times New Roman" w:eastAsia="Times New Roman" w:hAnsi="Times New Roman" w:cs="Times New Roman"/>
      <w:noProof/>
      <w:sz w:val="24"/>
      <w:szCs w:val="20"/>
      <w:lang w:val="pt-PT"/>
    </w:rPr>
  </w:style>
  <w:style w:type="paragraph" w:customStyle="1" w:styleId="paragraph">
    <w:name w:val="paragraph"/>
    <w:basedOn w:val="Normal"/>
    <w:rsid w:val="00CE792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CE7923"/>
  </w:style>
  <w:style w:type="character" w:customStyle="1" w:styleId="eop">
    <w:name w:val="eop"/>
    <w:basedOn w:val="DefaultParagraphFont"/>
    <w:rsid w:val="00CE7923"/>
  </w:style>
  <w:style w:type="character" w:customStyle="1" w:styleId="consultation-date">
    <w:name w:val="consultation-date"/>
    <w:basedOn w:val="DefaultParagraphFont"/>
    <w:rsid w:val="00525DB0"/>
  </w:style>
  <w:style w:type="character" w:customStyle="1" w:styleId="findhit">
    <w:name w:val="findhit"/>
    <w:basedOn w:val="DefaultParagraphFont"/>
    <w:rsid w:val="00642B37"/>
  </w:style>
  <w:style w:type="character" w:customStyle="1" w:styleId="Heading4Char">
    <w:name w:val="Heading 4 Char"/>
    <w:basedOn w:val="DefaultParagraphFont"/>
    <w:link w:val="Heading4"/>
    <w:uiPriority w:val="9"/>
    <w:rsid w:val="0041099E"/>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rsid w:val="00E5249C"/>
    <w:rPr>
      <w:color w:val="605E5C"/>
      <w:shd w:val="clear" w:color="auto" w:fill="E1DFDD"/>
    </w:rPr>
  </w:style>
  <w:style w:type="character" w:customStyle="1" w:styleId="UnresolvedMention2">
    <w:name w:val="Unresolved Mention2"/>
    <w:basedOn w:val="DefaultParagraphFont"/>
    <w:uiPriority w:val="99"/>
    <w:semiHidden/>
    <w:unhideWhenUsed/>
    <w:rsid w:val="000115DE"/>
    <w:rPr>
      <w:color w:val="605E5C"/>
      <w:shd w:val="clear" w:color="auto" w:fill="E1DFDD"/>
    </w:rPr>
  </w:style>
  <w:style w:type="character" w:customStyle="1" w:styleId="UnresolvedMention3">
    <w:name w:val="Unresolved Mention3"/>
    <w:basedOn w:val="DefaultParagraphFont"/>
    <w:uiPriority w:val="99"/>
    <w:semiHidden/>
    <w:unhideWhenUsed/>
    <w:rsid w:val="006D1404"/>
    <w:rPr>
      <w:color w:val="605E5C"/>
      <w:shd w:val="clear" w:color="auto" w:fill="E1DFDD"/>
    </w:rPr>
  </w:style>
  <w:style w:type="paragraph" w:customStyle="1" w:styleId="footnotejt">
    <w:name w:val="footnote jt"/>
    <w:basedOn w:val="FootnoteText"/>
    <w:rsid w:val="006D1404"/>
    <w:pPr>
      <w:tabs>
        <w:tab w:val="left" w:pos="720"/>
      </w:tabs>
      <w:ind w:left="432" w:hanging="432"/>
      <w:jc w:val="both"/>
    </w:pPr>
    <w:rPr>
      <w:rFonts w:ascii="Times New Roman" w:hAnsi="Times New Roman" w:cs="Times New Roman"/>
    </w:rPr>
  </w:style>
  <w:style w:type="character" w:customStyle="1" w:styleId="UnresolvedMention4">
    <w:name w:val="Unresolved Mention4"/>
    <w:basedOn w:val="DefaultParagraphFont"/>
    <w:uiPriority w:val="99"/>
    <w:semiHidden/>
    <w:unhideWhenUsed/>
    <w:rsid w:val="006D1404"/>
    <w:rPr>
      <w:color w:val="605E5C"/>
      <w:shd w:val="clear" w:color="auto" w:fill="E1DFDD"/>
    </w:rPr>
  </w:style>
  <w:style w:type="character" w:customStyle="1" w:styleId="UnresolvedMention5">
    <w:name w:val="Unresolved Mention5"/>
    <w:basedOn w:val="DefaultParagraphFont"/>
    <w:uiPriority w:val="99"/>
    <w:semiHidden/>
    <w:unhideWhenUsed/>
    <w:rsid w:val="006D1404"/>
    <w:rPr>
      <w:color w:val="605E5C"/>
      <w:shd w:val="clear" w:color="auto" w:fill="E1DFDD"/>
    </w:rPr>
  </w:style>
  <w:style w:type="character" w:customStyle="1" w:styleId="UnresolvedMention6">
    <w:name w:val="Unresolved Mention6"/>
    <w:basedOn w:val="DefaultParagraphFont"/>
    <w:uiPriority w:val="99"/>
    <w:semiHidden/>
    <w:unhideWhenUsed/>
    <w:rsid w:val="006D1404"/>
    <w:rPr>
      <w:color w:val="605E5C"/>
      <w:shd w:val="clear" w:color="auto" w:fill="E1DFDD"/>
    </w:rPr>
  </w:style>
  <w:style w:type="character" w:customStyle="1" w:styleId="UnresolvedMention7">
    <w:name w:val="Unresolved Mention7"/>
    <w:basedOn w:val="DefaultParagraphFont"/>
    <w:uiPriority w:val="99"/>
    <w:semiHidden/>
    <w:unhideWhenUsed/>
    <w:rsid w:val="006D1404"/>
    <w:rPr>
      <w:color w:val="605E5C"/>
      <w:shd w:val="clear" w:color="auto" w:fill="E1DFDD"/>
    </w:rPr>
  </w:style>
  <w:style w:type="character" w:customStyle="1" w:styleId="UnresolvedMention8">
    <w:name w:val="Unresolved Mention8"/>
    <w:basedOn w:val="DefaultParagraphFont"/>
    <w:uiPriority w:val="99"/>
    <w:semiHidden/>
    <w:unhideWhenUsed/>
    <w:rsid w:val="00E36D9A"/>
    <w:rPr>
      <w:color w:val="605E5C"/>
      <w:shd w:val="clear" w:color="auto" w:fill="E1DFDD"/>
    </w:rPr>
  </w:style>
  <w:style w:type="character" w:customStyle="1" w:styleId="UnresolvedMention">
    <w:name w:val="Unresolved Mention"/>
    <w:basedOn w:val="DefaultParagraphFont"/>
    <w:uiPriority w:val="99"/>
    <w:semiHidden/>
    <w:unhideWhenUsed/>
    <w:rsid w:val="00062E29"/>
    <w:rPr>
      <w:color w:val="605E5C"/>
      <w:shd w:val="clear" w:color="auto" w:fill="E1DFDD"/>
    </w:rPr>
  </w:style>
  <w:style w:type="paragraph" w:customStyle="1" w:styleId="o1">
    <w:name w:val="o1"/>
    <w:basedOn w:val="Normal"/>
    <w:next w:val="FootnoteText"/>
    <w:uiPriority w:val="99"/>
    <w:unhideWhenUsed/>
    <w:qFormat/>
    <w:rsid w:val="00D054F6"/>
    <w:pPr>
      <w:spacing w:after="0" w:line="240" w:lineRule="auto"/>
    </w:pPr>
    <w:rPr>
      <w:sz w:val="20"/>
      <w:szCs w:val="20"/>
    </w:rPr>
  </w:style>
  <w:style w:type="character" w:styleId="EndnoteReference">
    <w:name w:val="endnote reference"/>
    <w:basedOn w:val="DefaultParagraphFont"/>
    <w:uiPriority w:val="99"/>
    <w:semiHidden/>
    <w:unhideWhenUsed/>
    <w:rsid w:val="00643462"/>
    <w:rPr>
      <w:vertAlign w:val="superscript"/>
    </w:rPr>
  </w:style>
  <w:style w:type="character" w:customStyle="1" w:styleId="EndnoteTextChar">
    <w:name w:val="Endnote Text Char"/>
    <w:basedOn w:val="DefaultParagraphFont"/>
    <w:link w:val="EndnoteText"/>
    <w:uiPriority w:val="99"/>
    <w:semiHidden/>
    <w:rsid w:val="00643462"/>
    <w:rPr>
      <w:sz w:val="20"/>
      <w:szCs w:val="20"/>
    </w:rPr>
  </w:style>
  <w:style w:type="paragraph" w:styleId="EndnoteText">
    <w:name w:val="endnote text"/>
    <w:basedOn w:val="Normal"/>
    <w:link w:val="EndnoteTextChar"/>
    <w:uiPriority w:val="99"/>
    <w:semiHidden/>
    <w:unhideWhenUsed/>
    <w:rsid w:val="00643462"/>
    <w:pPr>
      <w:spacing w:after="0" w:line="240" w:lineRule="auto"/>
    </w:pPr>
    <w:rPr>
      <w:sz w:val="20"/>
      <w:szCs w:val="20"/>
    </w:rPr>
  </w:style>
  <w:style w:type="character" w:customStyle="1" w:styleId="EndnoteTextChar1">
    <w:name w:val="Endnote Text Char1"/>
    <w:basedOn w:val="DefaultParagraphFont"/>
    <w:uiPriority w:val="99"/>
    <w:semiHidden/>
    <w:rsid w:val="00643462"/>
    <w:rPr>
      <w:sz w:val="20"/>
      <w:szCs w:val="20"/>
    </w:rPr>
  </w:style>
  <w:style w:type="paragraph" w:customStyle="1" w:styleId="pf0">
    <w:name w:val="pf0"/>
    <w:basedOn w:val="Normal"/>
    <w:rsid w:val="008C2B0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f01">
    <w:name w:val="cf01"/>
    <w:basedOn w:val="DefaultParagraphFont"/>
    <w:rsid w:val="008C2B04"/>
    <w:rPr>
      <w:rFonts w:ascii="Segoe UI" w:hAnsi="Segoe UI" w:cs="Segoe UI" w:hint="default"/>
      <w:i/>
      <w:iCs/>
      <w:color w:val="2E74B5"/>
      <w:sz w:val="18"/>
      <w:szCs w:val="18"/>
    </w:rPr>
  </w:style>
  <w:style w:type="character" w:customStyle="1" w:styleId="ListParagraphChar">
    <w:name w:val="List Paragraph Char"/>
    <w:aliases w:val="Conclusion de partie Char,Dot pt Char,No Spacing1 Char,List Paragraph Char Char Char Char,Indicator Text Char,Numbered Para 1 Char,List Paragraph1 Char,Bullet Points Char,MAIN CONTENT Char,List Paragraph12 Char,List Paragraph11 Char"/>
    <w:link w:val="ListParagraph"/>
    <w:uiPriority w:val="34"/>
    <w:qFormat/>
    <w:locked/>
    <w:rsid w:val="000B67DF"/>
  </w:style>
  <w:style w:type="character" w:customStyle="1" w:styleId="Hyperlink1">
    <w:name w:val="Hyperlink1"/>
    <w:basedOn w:val="DefaultParagraphFont"/>
    <w:uiPriority w:val="99"/>
    <w:unhideWhenUsed/>
    <w:rsid w:val="006C1DA9"/>
    <w:rPr>
      <w:color w:val="0563C1"/>
      <w:u w:val="single"/>
    </w:rPr>
  </w:style>
  <w:style w:type="paragraph" w:customStyle="1" w:styleId="oCarCar1">
    <w:name w:val="o Car Car1"/>
    <w:basedOn w:val="Normal"/>
    <w:next w:val="FootnoteText"/>
    <w:uiPriority w:val="99"/>
    <w:unhideWhenUsed/>
    <w:qFormat/>
    <w:rsid w:val="00410D38"/>
    <w:pPr>
      <w:spacing w:after="0" w:line="240" w:lineRule="auto"/>
    </w:pPr>
    <w:rPr>
      <w:kern w:val="2"/>
      <w:sz w:val="20"/>
      <w:szCs w:val="20"/>
    </w:rPr>
  </w:style>
  <w:style w:type="paragraph" w:customStyle="1" w:styleId="Languesfaisantfoi">
    <w:name w:val="Langues faisant foi"/>
    <w:basedOn w:val="Normal"/>
    <w:next w:val="Normal"/>
    <w:rsid w:val="00093869"/>
    <w:pPr>
      <w:spacing w:before="360" w:after="240" w:line="240" w:lineRule="auto"/>
      <w:jc w:val="center"/>
    </w:pPr>
    <w:rPr>
      <w:rFonts w:ascii="Times New Roman" w:hAnsi="Times New Roman" w:cs="Times New Roman"/>
      <w:sz w:val="24"/>
    </w:rPr>
  </w:style>
  <w:style w:type="paragraph" w:customStyle="1" w:styleId="LanguesfaisantfoiPagedecouverture">
    <w:name w:val="Langues faisant foi (Page de couverture)"/>
    <w:basedOn w:val="Normal"/>
    <w:next w:val="Normal"/>
    <w:rsid w:val="00093869"/>
    <w:pPr>
      <w:spacing w:before="360" w:after="240" w:line="240" w:lineRule="auto"/>
      <w:jc w:val="center"/>
    </w:pPr>
    <w:rPr>
      <w:rFonts w:ascii="Times New Roman" w:hAnsi="Times New Roman" w:cs="Times New Roman"/>
      <w:sz w:val="24"/>
    </w:rPr>
  </w:style>
  <w:style w:type="paragraph" w:customStyle="1" w:styleId="IntrtEEE">
    <w:name w:val="Intérêt EEE"/>
    <w:basedOn w:val="Languesfaisantfoi"/>
    <w:next w:val="Normal"/>
    <w:rsid w:val="00093869"/>
    <w:pPr>
      <w:spacing w:after="0"/>
    </w:pPr>
  </w:style>
  <w:style w:type="paragraph" w:customStyle="1" w:styleId="IntrtEEEPagedecouverture">
    <w:name w:val="Intérêt EEE (Page de couverture)"/>
    <w:basedOn w:val="IntrtEEE"/>
    <w:next w:val="Normal"/>
    <w:rsid w:val="00093869"/>
  </w:style>
  <w:style w:type="paragraph" w:customStyle="1" w:styleId="Disclaimer">
    <w:name w:val="Disclaimer"/>
    <w:basedOn w:val="Normal"/>
    <w:rsid w:val="0092190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921907"/>
    <w:pPr>
      <w:spacing w:after="0" w:line="276" w:lineRule="auto"/>
      <w:ind w:left="5103"/>
    </w:pPr>
    <w:rPr>
      <w:rFonts w:ascii="Times New Roman" w:hAnsi="Times New Roman" w:cs="Times New Roman"/>
      <w:sz w:val="28"/>
    </w:rPr>
  </w:style>
  <w:style w:type="paragraph" w:customStyle="1" w:styleId="DateMarking">
    <w:name w:val="DateMarking"/>
    <w:basedOn w:val="Normal"/>
    <w:rsid w:val="00921907"/>
    <w:pPr>
      <w:spacing w:after="0" w:line="276" w:lineRule="auto"/>
      <w:ind w:left="5103"/>
    </w:pPr>
    <w:rPr>
      <w:rFonts w:ascii="Times New Roman" w:hAnsi="Times New Roman" w:cs="Times New Roman"/>
      <w:i/>
      <w:sz w:val="28"/>
    </w:rPr>
  </w:style>
  <w:style w:type="paragraph" w:customStyle="1" w:styleId="ReleasableTo">
    <w:name w:val="ReleasableTo"/>
    <w:basedOn w:val="Normal"/>
    <w:rsid w:val="00921907"/>
    <w:pPr>
      <w:spacing w:after="0" w:line="276" w:lineRule="auto"/>
      <w:ind w:left="5103"/>
    </w:pPr>
    <w:rPr>
      <w:rFonts w:ascii="Times New Roman" w:hAnsi="Times New Roman" w:cs="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9442">
      <w:bodyDiv w:val="1"/>
      <w:marLeft w:val="0"/>
      <w:marRight w:val="0"/>
      <w:marTop w:val="0"/>
      <w:marBottom w:val="0"/>
      <w:divBdr>
        <w:top w:val="none" w:sz="0" w:space="0" w:color="auto"/>
        <w:left w:val="none" w:sz="0" w:space="0" w:color="auto"/>
        <w:bottom w:val="none" w:sz="0" w:space="0" w:color="auto"/>
        <w:right w:val="none" w:sz="0" w:space="0" w:color="auto"/>
      </w:divBdr>
    </w:div>
    <w:div w:id="52781419">
      <w:bodyDiv w:val="1"/>
      <w:marLeft w:val="0"/>
      <w:marRight w:val="0"/>
      <w:marTop w:val="0"/>
      <w:marBottom w:val="0"/>
      <w:divBdr>
        <w:top w:val="none" w:sz="0" w:space="0" w:color="auto"/>
        <w:left w:val="none" w:sz="0" w:space="0" w:color="auto"/>
        <w:bottom w:val="none" w:sz="0" w:space="0" w:color="auto"/>
        <w:right w:val="none" w:sz="0" w:space="0" w:color="auto"/>
      </w:divBdr>
    </w:div>
    <w:div w:id="73210176">
      <w:bodyDiv w:val="1"/>
      <w:marLeft w:val="0"/>
      <w:marRight w:val="0"/>
      <w:marTop w:val="0"/>
      <w:marBottom w:val="0"/>
      <w:divBdr>
        <w:top w:val="none" w:sz="0" w:space="0" w:color="auto"/>
        <w:left w:val="none" w:sz="0" w:space="0" w:color="auto"/>
        <w:bottom w:val="none" w:sz="0" w:space="0" w:color="auto"/>
        <w:right w:val="none" w:sz="0" w:space="0" w:color="auto"/>
      </w:divBdr>
    </w:div>
    <w:div w:id="118644662">
      <w:bodyDiv w:val="1"/>
      <w:marLeft w:val="0"/>
      <w:marRight w:val="0"/>
      <w:marTop w:val="0"/>
      <w:marBottom w:val="0"/>
      <w:divBdr>
        <w:top w:val="none" w:sz="0" w:space="0" w:color="auto"/>
        <w:left w:val="none" w:sz="0" w:space="0" w:color="auto"/>
        <w:bottom w:val="none" w:sz="0" w:space="0" w:color="auto"/>
        <w:right w:val="none" w:sz="0" w:space="0" w:color="auto"/>
      </w:divBdr>
    </w:div>
    <w:div w:id="129054301">
      <w:bodyDiv w:val="1"/>
      <w:marLeft w:val="0"/>
      <w:marRight w:val="0"/>
      <w:marTop w:val="0"/>
      <w:marBottom w:val="0"/>
      <w:divBdr>
        <w:top w:val="none" w:sz="0" w:space="0" w:color="auto"/>
        <w:left w:val="none" w:sz="0" w:space="0" w:color="auto"/>
        <w:bottom w:val="none" w:sz="0" w:space="0" w:color="auto"/>
        <w:right w:val="none" w:sz="0" w:space="0" w:color="auto"/>
      </w:divBdr>
    </w:div>
    <w:div w:id="165943682">
      <w:bodyDiv w:val="1"/>
      <w:marLeft w:val="0"/>
      <w:marRight w:val="0"/>
      <w:marTop w:val="0"/>
      <w:marBottom w:val="0"/>
      <w:divBdr>
        <w:top w:val="none" w:sz="0" w:space="0" w:color="auto"/>
        <w:left w:val="none" w:sz="0" w:space="0" w:color="auto"/>
        <w:bottom w:val="none" w:sz="0" w:space="0" w:color="auto"/>
        <w:right w:val="none" w:sz="0" w:space="0" w:color="auto"/>
      </w:divBdr>
    </w:div>
    <w:div w:id="215968247">
      <w:bodyDiv w:val="1"/>
      <w:marLeft w:val="0"/>
      <w:marRight w:val="0"/>
      <w:marTop w:val="0"/>
      <w:marBottom w:val="0"/>
      <w:divBdr>
        <w:top w:val="none" w:sz="0" w:space="0" w:color="auto"/>
        <w:left w:val="none" w:sz="0" w:space="0" w:color="auto"/>
        <w:bottom w:val="none" w:sz="0" w:space="0" w:color="auto"/>
        <w:right w:val="none" w:sz="0" w:space="0" w:color="auto"/>
      </w:divBdr>
    </w:div>
    <w:div w:id="247663641">
      <w:bodyDiv w:val="1"/>
      <w:marLeft w:val="0"/>
      <w:marRight w:val="0"/>
      <w:marTop w:val="0"/>
      <w:marBottom w:val="0"/>
      <w:divBdr>
        <w:top w:val="none" w:sz="0" w:space="0" w:color="auto"/>
        <w:left w:val="none" w:sz="0" w:space="0" w:color="auto"/>
        <w:bottom w:val="none" w:sz="0" w:space="0" w:color="auto"/>
        <w:right w:val="none" w:sz="0" w:space="0" w:color="auto"/>
      </w:divBdr>
    </w:div>
    <w:div w:id="263851884">
      <w:bodyDiv w:val="1"/>
      <w:marLeft w:val="0"/>
      <w:marRight w:val="0"/>
      <w:marTop w:val="0"/>
      <w:marBottom w:val="0"/>
      <w:divBdr>
        <w:top w:val="none" w:sz="0" w:space="0" w:color="auto"/>
        <w:left w:val="none" w:sz="0" w:space="0" w:color="auto"/>
        <w:bottom w:val="none" w:sz="0" w:space="0" w:color="auto"/>
        <w:right w:val="none" w:sz="0" w:space="0" w:color="auto"/>
      </w:divBdr>
    </w:div>
    <w:div w:id="279382816">
      <w:bodyDiv w:val="1"/>
      <w:marLeft w:val="0"/>
      <w:marRight w:val="0"/>
      <w:marTop w:val="0"/>
      <w:marBottom w:val="0"/>
      <w:divBdr>
        <w:top w:val="none" w:sz="0" w:space="0" w:color="auto"/>
        <w:left w:val="none" w:sz="0" w:space="0" w:color="auto"/>
        <w:bottom w:val="none" w:sz="0" w:space="0" w:color="auto"/>
        <w:right w:val="none" w:sz="0" w:space="0" w:color="auto"/>
      </w:divBdr>
    </w:div>
    <w:div w:id="303243685">
      <w:bodyDiv w:val="1"/>
      <w:marLeft w:val="0"/>
      <w:marRight w:val="0"/>
      <w:marTop w:val="0"/>
      <w:marBottom w:val="0"/>
      <w:divBdr>
        <w:top w:val="none" w:sz="0" w:space="0" w:color="auto"/>
        <w:left w:val="none" w:sz="0" w:space="0" w:color="auto"/>
        <w:bottom w:val="none" w:sz="0" w:space="0" w:color="auto"/>
        <w:right w:val="none" w:sz="0" w:space="0" w:color="auto"/>
      </w:divBdr>
      <w:divsChild>
        <w:div w:id="784156179">
          <w:marLeft w:val="0"/>
          <w:marRight w:val="0"/>
          <w:marTop w:val="0"/>
          <w:marBottom w:val="0"/>
          <w:divBdr>
            <w:top w:val="none" w:sz="0" w:space="0" w:color="auto"/>
            <w:left w:val="none" w:sz="0" w:space="0" w:color="auto"/>
            <w:bottom w:val="none" w:sz="0" w:space="0" w:color="auto"/>
            <w:right w:val="none" w:sz="0" w:space="0" w:color="auto"/>
          </w:divBdr>
        </w:div>
        <w:div w:id="1329165070">
          <w:marLeft w:val="0"/>
          <w:marRight w:val="0"/>
          <w:marTop w:val="0"/>
          <w:marBottom w:val="0"/>
          <w:divBdr>
            <w:top w:val="none" w:sz="0" w:space="0" w:color="auto"/>
            <w:left w:val="none" w:sz="0" w:space="0" w:color="auto"/>
            <w:bottom w:val="none" w:sz="0" w:space="0" w:color="auto"/>
            <w:right w:val="none" w:sz="0" w:space="0" w:color="auto"/>
          </w:divBdr>
        </w:div>
        <w:div w:id="1771311574">
          <w:marLeft w:val="0"/>
          <w:marRight w:val="0"/>
          <w:marTop w:val="0"/>
          <w:marBottom w:val="0"/>
          <w:divBdr>
            <w:top w:val="none" w:sz="0" w:space="0" w:color="auto"/>
            <w:left w:val="none" w:sz="0" w:space="0" w:color="auto"/>
            <w:bottom w:val="none" w:sz="0" w:space="0" w:color="auto"/>
            <w:right w:val="none" w:sz="0" w:space="0" w:color="auto"/>
          </w:divBdr>
        </w:div>
      </w:divsChild>
    </w:div>
    <w:div w:id="315182369">
      <w:bodyDiv w:val="1"/>
      <w:marLeft w:val="0"/>
      <w:marRight w:val="0"/>
      <w:marTop w:val="0"/>
      <w:marBottom w:val="0"/>
      <w:divBdr>
        <w:top w:val="none" w:sz="0" w:space="0" w:color="auto"/>
        <w:left w:val="none" w:sz="0" w:space="0" w:color="auto"/>
        <w:bottom w:val="none" w:sz="0" w:space="0" w:color="auto"/>
        <w:right w:val="none" w:sz="0" w:space="0" w:color="auto"/>
      </w:divBdr>
    </w:div>
    <w:div w:id="340931885">
      <w:bodyDiv w:val="1"/>
      <w:marLeft w:val="0"/>
      <w:marRight w:val="0"/>
      <w:marTop w:val="0"/>
      <w:marBottom w:val="0"/>
      <w:divBdr>
        <w:top w:val="none" w:sz="0" w:space="0" w:color="auto"/>
        <w:left w:val="none" w:sz="0" w:space="0" w:color="auto"/>
        <w:bottom w:val="none" w:sz="0" w:space="0" w:color="auto"/>
        <w:right w:val="none" w:sz="0" w:space="0" w:color="auto"/>
      </w:divBdr>
    </w:div>
    <w:div w:id="388651570">
      <w:bodyDiv w:val="1"/>
      <w:marLeft w:val="0"/>
      <w:marRight w:val="0"/>
      <w:marTop w:val="0"/>
      <w:marBottom w:val="0"/>
      <w:divBdr>
        <w:top w:val="none" w:sz="0" w:space="0" w:color="auto"/>
        <w:left w:val="none" w:sz="0" w:space="0" w:color="auto"/>
        <w:bottom w:val="none" w:sz="0" w:space="0" w:color="auto"/>
        <w:right w:val="none" w:sz="0" w:space="0" w:color="auto"/>
      </w:divBdr>
    </w:div>
    <w:div w:id="409934502">
      <w:bodyDiv w:val="1"/>
      <w:marLeft w:val="0"/>
      <w:marRight w:val="0"/>
      <w:marTop w:val="0"/>
      <w:marBottom w:val="0"/>
      <w:divBdr>
        <w:top w:val="none" w:sz="0" w:space="0" w:color="auto"/>
        <w:left w:val="none" w:sz="0" w:space="0" w:color="auto"/>
        <w:bottom w:val="none" w:sz="0" w:space="0" w:color="auto"/>
        <w:right w:val="none" w:sz="0" w:space="0" w:color="auto"/>
      </w:divBdr>
    </w:div>
    <w:div w:id="414011657">
      <w:bodyDiv w:val="1"/>
      <w:marLeft w:val="0"/>
      <w:marRight w:val="0"/>
      <w:marTop w:val="0"/>
      <w:marBottom w:val="0"/>
      <w:divBdr>
        <w:top w:val="none" w:sz="0" w:space="0" w:color="auto"/>
        <w:left w:val="none" w:sz="0" w:space="0" w:color="auto"/>
        <w:bottom w:val="none" w:sz="0" w:space="0" w:color="auto"/>
        <w:right w:val="none" w:sz="0" w:space="0" w:color="auto"/>
      </w:divBdr>
    </w:div>
    <w:div w:id="424230242">
      <w:bodyDiv w:val="1"/>
      <w:marLeft w:val="0"/>
      <w:marRight w:val="0"/>
      <w:marTop w:val="0"/>
      <w:marBottom w:val="0"/>
      <w:divBdr>
        <w:top w:val="none" w:sz="0" w:space="0" w:color="auto"/>
        <w:left w:val="none" w:sz="0" w:space="0" w:color="auto"/>
        <w:bottom w:val="none" w:sz="0" w:space="0" w:color="auto"/>
        <w:right w:val="none" w:sz="0" w:space="0" w:color="auto"/>
      </w:divBdr>
      <w:divsChild>
        <w:div w:id="1014846624">
          <w:marLeft w:val="0"/>
          <w:marRight w:val="0"/>
          <w:marTop w:val="0"/>
          <w:marBottom w:val="0"/>
          <w:divBdr>
            <w:top w:val="none" w:sz="0" w:space="0" w:color="auto"/>
            <w:left w:val="none" w:sz="0" w:space="0" w:color="auto"/>
            <w:bottom w:val="none" w:sz="0" w:space="0" w:color="auto"/>
            <w:right w:val="none" w:sz="0" w:space="0" w:color="auto"/>
          </w:divBdr>
        </w:div>
      </w:divsChild>
    </w:div>
    <w:div w:id="425350062">
      <w:bodyDiv w:val="1"/>
      <w:marLeft w:val="0"/>
      <w:marRight w:val="0"/>
      <w:marTop w:val="0"/>
      <w:marBottom w:val="0"/>
      <w:divBdr>
        <w:top w:val="none" w:sz="0" w:space="0" w:color="auto"/>
        <w:left w:val="none" w:sz="0" w:space="0" w:color="auto"/>
        <w:bottom w:val="none" w:sz="0" w:space="0" w:color="auto"/>
        <w:right w:val="none" w:sz="0" w:space="0" w:color="auto"/>
      </w:divBdr>
    </w:div>
    <w:div w:id="433325795">
      <w:bodyDiv w:val="1"/>
      <w:marLeft w:val="0"/>
      <w:marRight w:val="0"/>
      <w:marTop w:val="0"/>
      <w:marBottom w:val="0"/>
      <w:divBdr>
        <w:top w:val="none" w:sz="0" w:space="0" w:color="auto"/>
        <w:left w:val="none" w:sz="0" w:space="0" w:color="auto"/>
        <w:bottom w:val="none" w:sz="0" w:space="0" w:color="auto"/>
        <w:right w:val="none" w:sz="0" w:space="0" w:color="auto"/>
      </w:divBdr>
    </w:div>
    <w:div w:id="452024208">
      <w:bodyDiv w:val="1"/>
      <w:marLeft w:val="0"/>
      <w:marRight w:val="0"/>
      <w:marTop w:val="0"/>
      <w:marBottom w:val="0"/>
      <w:divBdr>
        <w:top w:val="none" w:sz="0" w:space="0" w:color="auto"/>
        <w:left w:val="none" w:sz="0" w:space="0" w:color="auto"/>
        <w:bottom w:val="none" w:sz="0" w:space="0" w:color="auto"/>
        <w:right w:val="none" w:sz="0" w:space="0" w:color="auto"/>
      </w:divBdr>
    </w:div>
    <w:div w:id="507913050">
      <w:bodyDiv w:val="1"/>
      <w:marLeft w:val="0"/>
      <w:marRight w:val="0"/>
      <w:marTop w:val="0"/>
      <w:marBottom w:val="0"/>
      <w:divBdr>
        <w:top w:val="none" w:sz="0" w:space="0" w:color="auto"/>
        <w:left w:val="none" w:sz="0" w:space="0" w:color="auto"/>
        <w:bottom w:val="none" w:sz="0" w:space="0" w:color="auto"/>
        <w:right w:val="none" w:sz="0" w:space="0" w:color="auto"/>
      </w:divBdr>
    </w:div>
    <w:div w:id="563951859">
      <w:bodyDiv w:val="1"/>
      <w:marLeft w:val="0"/>
      <w:marRight w:val="0"/>
      <w:marTop w:val="0"/>
      <w:marBottom w:val="0"/>
      <w:divBdr>
        <w:top w:val="none" w:sz="0" w:space="0" w:color="auto"/>
        <w:left w:val="none" w:sz="0" w:space="0" w:color="auto"/>
        <w:bottom w:val="none" w:sz="0" w:space="0" w:color="auto"/>
        <w:right w:val="none" w:sz="0" w:space="0" w:color="auto"/>
      </w:divBdr>
    </w:div>
    <w:div w:id="569734362">
      <w:bodyDiv w:val="1"/>
      <w:marLeft w:val="0"/>
      <w:marRight w:val="0"/>
      <w:marTop w:val="0"/>
      <w:marBottom w:val="0"/>
      <w:divBdr>
        <w:top w:val="none" w:sz="0" w:space="0" w:color="auto"/>
        <w:left w:val="none" w:sz="0" w:space="0" w:color="auto"/>
        <w:bottom w:val="none" w:sz="0" w:space="0" w:color="auto"/>
        <w:right w:val="none" w:sz="0" w:space="0" w:color="auto"/>
      </w:divBdr>
    </w:div>
    <w:div w:id="590433984">
      <w:bodyDiv w:val="1"/>
      <w:marLeft w:val="0"/>
      <w:marRight w:val="0"/>
      <w:marTop w:val="0"/>
      <w:marBottom w:val="0"/>
      <w:divBdr>
        <w:top w:val="none" w:sz="0" w:space="0" w:color="auto"/>
        <w:left w:val="none" w:sz="0" w:space="0" w:color="auto"/>
        <w:bottom w:val="none" w:sz="0" w:space="0" w:color="auto"/>
        <w:right w:val="none" w:sz="0" w:space="0" w:color="auto"/>
      </w:divBdr>
    </w:div>
    <w:div w:id="621227722">
      <w:bodyDiv w:val="1"/>
      <w:marLeft w:val="0"/>
      <w:marRight w:val="0"/>
      <w:marTop w:val="0"/>
      <w:marBottom w:val="0"/>
      <w:divBdr>
        <w:top w:val="none" w:sz="0" w:space="0" w:color="auto"/>
        <w:left w:val="none" w:sz="0" w:space="0" w:color="auto"/>
        <w:bottom w:val="none" w:sz="0" w:space="0" w:color="auto"/>
        <w:right w:val="none" w:sz="0" w:space="0" w:color="auto"/>
      </w:divBdr>
    </w:div>
    <w:div w:id="646202462">
      <w:bodyDiv w:val="1"/>
      <w:marLeft w:val="0"/>
      <w:marRight w:val="0"/>
      <w:marTop w:val="0"/>
      <w:marBottom w:val="0"/>
      <w:divBdr>
        <w:top w:val="none" w:sz="0" w:space="0" w:color="auto"/>
        <w:left w:val="none" w:sz="0" w:space="0" w:color="auto"/>
        <w:bottom w:val="none" w:sz="0" w:space="0" w:color="auto"/>
        <w:right w:val="none" w:sz="0" w:space="0" w:color="auto"/>
      </w:divBdr>
    </w:div>
    <w:div w:id="672728460">
      <w:bodyDiv w:val="1"/>
      <w:marLeft w:val="0"/>
      <w:marRight w:val="0"/>
      <w:marTop w:val="0"/>
      <w:marBottom w:val="0"/>
      <w:divBdr>
        <w:top w:val="none" w:sz="0" w:space="0" w:color="auto"/>
        <w:left w:val="none" w:sz="0" w:space="0" w:color="auto"/>
        <w:bottom w:val="none" w:sz="0" w:space="0" w:color="auto"/>
        <w:right w:val="none" w:sz="0" w:space="0" w:color="auto"/>
      </w:divBdr>
    </w:div>
    <w:div w:id="680089373">
      <w:bodyDiv w:val="1"/>
      <w:marLeft w:val="0"/>
      <w:marRight w:val="0"/>
      <w:marTop w:val="0"/>
      <w:marBottom w:val="0"/>
      <w:divBdr>
        <w:top w:val="none" w:sz="0" w:space="0" w:color="auto"/>
        <w:left w:val="none" w:sz="0" w:space="0" w:color="auto"/>
        <w:bottom w:val="none" w:sz="0" w:space="0" w:color="auto"/>
        <w:right w:val="none" w:sz="0" w:space="0" w:color="auto"/>
      </w:divBdr>
      <w:divsChild>
        <w:div w:id="1466390298">
          <w:marLeft w:val="0"/>
          <w:marRight w:val="0"/>
          <w:marTop w:val="0"/>
          <w:marBottom w:val="0"/>
          <w:divBdr>
            <w:top w:val="none" w:sz="0" w:space="0" w:color="auto"/>
            <w:left w:val="none" w:sz="0" w:space="0" w:color="auto"/>
            <w:bottom w:val="none" w:sz="0" w:space="0" w:color="auto"/>
            <w:right w:val="none" w:sz="0" w:space="0" w:color="auto"/>
          </w:divBdr>
          <w:divsChild>
            <w:div w:id="125511713">
              <w:marLeft w:val="0"/>
              <w:marRight w:val="0"/>
              <w:marTop w:val="0"/>
              <w:marBottom w:val="0"/>
              <w:divBdr>
                <w:top w:val="none" w:sz="0" w:space="0" w:color="auto"/>
                <w:left w:val="none" w:sz="0" w:space="0" w:color="auto"/>
                <w:bottom w:val="none" w:sz="0" w:space="0" w:color="auto"/>
                <w:right w:val="none" w:sz="0" w:space="0" w:color="auto"/>
              </w:divBdr>
            </w:div>
            <w:div w:id="464585990">
              <w:marLeft w:val="0"/>
              <w:marRight w:val="0"/>
              <w:marTop w:val="0"/>
              <w:marBottom w:val="0"/>
              <w:divBdr>
                <w:top w:val="none" w:sz="0" w:space="0" w:color="auto"/>
                <w:left w:val="none" w:sz="0" w:space="0" w:color="auto"/>
                <w:bottom w:val="none" w:sz="0" w:space="0" w:color="auto"/>
                <w:right w:val="none" w:sz="0" w:space="0" w:color="auto"/>
              </w:divBdr>
            </w:div>
            <w:div w:id="543981252">
              <w:marLeft w:val="0"/>
              <w:marRight w:val="0"/>
              <w:marTop w:val="0"/>
              <w:marBottom w:val="0"/>
              <w:divBdr>
                <w:top w:val="none" w:sz="0" w:space="0" w:color="auto"/>
                <w:left w:val="none" w:sz="0" w:space="0" w:color="auto"/>
                <w:bottom w:val="none" w:sz="0" w:space="0" w:color="auto"/>
                <w:right w:val="none" w:sz="0" w:space="0" w:color="auto"/>
              </w:divBdr>
            </w:div>
            <w:div w:id="1246107492">
              <w:marLeft w:val="0"/>
              <w:marRight w:val="0"/>
              <w:marTop w:val="0"/>
              <w:marBottom w:val="0"/>
              <w:divBdr>
                <w:top w:val="none" w:sz="0" w:space="0" w:color="auto"/>
                <w:left w:val="none" w:sz="0" w:space="0" w:color="auto"/>
                <w:bottom w:val="none" w:sz="0" w:space="0" w:color="auto"/>
                <w:right w:val="none" w:sz="0" w:space="0" w:color="auto"/>
              </w:divBdr>
            </w:div>
            <w:div w:id="1355577847">
              <w:marLeft w:val="0"/>
              <w:marRight w:val="0"/>
              <w:marTop w:val="0"/>
              <w:marBottom w:val="0"/>
              <w:divBdr>
                <w:top w:val="none" w:sz="0" w:space="0" w:color="auto"/>
                <w:left w:val="none" w:sz="0" w:space="0" w:color="auto"/>
                <w:bottom w:val="none" w:sz="0" w:space="0" w:color="auto"/>
                <w:right w:val="none" w:sz="0" w:space="0" w:color="auto"/>
              </w:divBdr>
            </w:div>
            <w:div w:id="1622682931">
              <w:marLeft w:val="0"/>
              <w:marRight w:val="0"/>
              <w:marTop w:val="0"/>
              <w:marBottom w:val="0"/>
              <w:divBdr>
                <w:top w:val="none" w:sz="0" w:space="0" w:color="auto"/>
                <w:left w:val="none" w:sz="0" w:space="0" w:color="auto"/>
                <w:bottom w:val="none" w:sz="0" w:space="0" w:color="auto"/>
                <w:right w:val="none" w:sz="0" w:space="0" w:color="auto"/>
              </w:divBdr>
            </w:div>
            <w:div w:id="1972591645">
              <w:marLeft w:val="0"/>
              <w:marRight w:val="0"/>
              <w:marTop w:val="0"/>
              <w:marBottom w:val="0"/>
              <w:divBdr>
                <w:top w:val="none" w:sz="0" w:space="0" w:color="auto"/>
                <w:left w:val="none" w:sz="0" w:space="0" w:color="auto"/>
                <w:bottom w:val="none" w:sz="0" w:space="0" w:color="auto"/>
                <w:right w:val="none" w:sz="0" w:space="0" w:color="auto"/>
              </w:divBdr>
              <w:divsChild>
                <w:div w:id="94637000">
                  <w:marLeft w:val="0"/>
                  <w:marRight w:val="0"/>
                  <w:marTop w:val="0"/>
                  <w:marBottom w:val="0"/>
                  <w:divBdr>
                    <w:top w:val="none" w:sz="0" w:space="0" w:color="auto"/>
                    <w:left w:val="none" w:sz="0" w:space="0" w:color="auto"/>
                    <w:bottom w:val="none" w:sz="0" w:space="0" w:color="auto"/>
                    <w:right w:val="none" w:sz="0" w:space="0" w:color="auto"/>
                  </w:divBdr>
                </w:div>
                <w:div w:id="433601093">
                  <w:marLeft w:val="0"/>
                  <w:marRight w:val="0"/>
                  <w:marTop w:val="0"/>
                  <w:marBottom w:val="0"/>
                  <w:divBdr>
                    <w:top w:val="none" w:sz="0" w:space="0" w:color="auto"/>
                    <w:left w:val="none" w:sz="0" w:space="0" w:color="auto"/>
                    <w:bottom w:val="none" w:sz="0" w:space="0" w:color="auto"/>
                    <w:right w:val="none" w:sz="0" w:space="0" w:color="auto"/>
                  </w:divBdr>
                </w:div>
                <w:div w:id="594093054">
                  <w:marLeft w:val="0"/>
                  <w:marRight w:val="0"/>
                  <w:marTop w:val="0"/>
                  <w:marBottom w:val="0"/>
                  <w:divBdr>
                    <w:top w:val="none" w:sz="0" w:space="0" w:color="auto"/>
                    <w:left w:val="none" w:sz="0" w:space="0" w:color="auto"/>
                    <w:bottom w:val="none" w:sz="0" w:space="0" w:color="auto"/>
                    <w:right w:val="none" w:sz="0" w:space="0" w:color="auto"/>
                  </w:divBdr>
                </w:div>
                <w:div w:id="17583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640645">
      <w:bodyDiv w:val="1"/>
      <w:marLeft w:val="0"/>
      <w:marRight w:val="0"/>
      <w:marTop w:val="0"/>
      <w:marBottom w:val="0"/>
      <w:divBdr>
        <w:top w:val="none" w:sz="0" w:space="0" w:color="auto"/>
        <w:left w:val="none" w:sz="0" w:space="0" w:color="auto"/>
        <w:bottom w:val="none" w:sz="0" w:space="0" w:color="auto"/>
        <w:right w:val="none" w:sz="0" w:space="0" w:color="auto"/>
      </w:divBdr>
    </w:div>
    <w:div w:id="733629609">
      <w:bodyDiv w:val="1"/>
      <w:marLeft w:val="0"/>
      <w:marRight w:val="0"/>
      <w:marTop w:val="0"/>
      <w:marBottom w:val="0"/>
      <w:divBdr>
        <w:top w:val="none" w:sz="0" w:space="0" w:color="auto"/>
        <w:left w:val="none" w:sz="0" w:space="0" w:color="auto"/>
        <w:bottom w:val="none" w:sz="0" w:space="0" w:color="auto"/>
        <w:right w:val="none" w:sz="0" w:space="0" w:color="auto"/>
      </w:divBdr>
    </w:div>
    <w:div w:id="756826818">
      <w:bodyDiv w:val="1"/>
      <w:marLeft w:val="0"/>
      <w:marRight w:val="0"/>
      <w:marTop w:val="0"/>
      <w:marBottom w:val="0"/>
      <w:divBdr>
        <w:top w:val="none" w:sz="0" w:space="0" w:color="auto"/>
        <w:left w:val="none" w:sz="0" w:space="0" w:color="auto"/>
        <w:bottom w:val="none" w:sz="0" w:space="0" w:color="auto"/>
        <w:right w:val="none" w:sz="0" w:space="0" w:color="auto"/>
      </w:divBdr>
    </w:div>
    <w:div w:id="770319682">
      <w:bodyDiv w:val="1"/>
      <w:marLeft w:val="0"/>
      <w:marRight w:val="0"/>
      <w:marTop w:val="0"/>
      <w:marBottom w:val="0"/>
      <w:divBdr>
        <w:top w:val="none" w:sz="0" w:space="0" w:color="auto"/>
        <w:left w:val="none" w:sz="0" w:space="0" w:color="auto"/>
        <w:bottom w:val="none" w:sz="0" w:space="0" w:color="auto"/>
        <w:right w:val="none" w:sz="0" w:space="0" w:color="auto"/>
      </w:divBdr>
    </w:div>
    <w:div w:id="832141606">
      <w:bodyDiv w:val="1"/>
      <w:marLeft w:val="0"/>
      <w:marRight w:val="0"/>
      <w:marTop w:val="0"/>
      <w:marBottom w:val="0"/>
      <w:divBdr>
        <w:top w:val="none" w:sz="0" w:space="0" w:color="auto"/>
        <w:left w:val="none" w:sz="0" w:space="0" w:color="auto"/>
        <w:bottom w:val="none" w:sz="0" w:space="0" w:color="auto"/>
        <w:right w:val="none" w:sz="0" w:space="0" w:color="auto"/>
      </w:divBdr>
    </w:div>
    <w:div w:id="859127704">
      <w:bodyDiv w:val="1"/>
      <w:marLeft w:val="0"/>
      <w:marRight w:val="0"/>
      <w:marTop w:val="0"/>
      <w:marBottom w:val="0"/>
      <w:divBdr>
        <w:top w:val="none" w:sz="0" w:space="0" w:color="auto"/>
        <w:left w:val="none" w:sz="0" w:space="0" w:color="auto"/>
        <w:bottom w:val="none" w:sz="0" w:space="0" w:color="auto"/>
        <w:right w:val="none" w:sz="0" w:space="0" w:color="auto"/>
      </w:divBdr>
    </w:div>
    <w:div w:id="882979739">
      <w:bodyDiv w:val="1"/>
      <w:marLeft w:val="0"/>
      <w:marRight w:val="0"/>
      <w:marTop w:val="0"/>
      <w:marBottom w:val="0"/>
      <w:divBdr>
        <w:top w:val="none" w:sz="0" w:space="0" w:color="auto"/>
        <w:left w:val="none" w:sz="0" w:space="0" w:color="auto"/>
        <w:bottom w:val="none" w:sz="0" w:space="0" w:color="auto"/>
        <w:right w:val="none" w:sz="0" w:space="0" w:color="auto"/>
      </w:divBdr>
    </w:div>
    <w:div w:id="885683434">
      <w:bodyDiv w:val="1"/>
      <w:marLeft w:val="0"/>
      <w:marRight w:val="0"/>
      <w:marTop w:val="0"/>
      <w:marBottom w:val="0"/>
      <w:divBdr>
        <w:top w:val="none" w:sz="0" w:space="0" w:color="auto"/>
        <w:left w:val="none" w:sz="0" w:space="0" w:color="auto"/>
        <w:bottom w:val="none" w:sz="0" w:space="0" w:color="auto"/>
        <w:right w:val="none" w:sz="0" w:space="0" w:color="auto"/>
      </w:divBdr>
    </w:div>
    <w:div w:id="925385419">
      <w:bodyDiv w:val="1"/>
      <w:marLeft w:val="0"/>
      <w:marRight w:val="0"/>
      <w:marTop w:val="0"/>
      <w:marBottom w:val="0"/>
      <w:divBdr>
        <w:top w:val="none" w:sz="0" w:space="0" w:color="auto"/>
        <w:left w:val="none" w:sz="0" w:space="0" w:color="auto"/>
        <w:bottom w:val="none" w:sz="0" w:space="0" w:color="auto"/>
        <w:right w:val="none" w:sz="0" w:space="0" w:color="auto"/>
      </w:divBdr>
    </w:div>
    <w:div w:id="927234626">
      <w:bodyDiv w:val="1"/>
      <w:marLeft w:val="0"/>
      <w:marRight w:val="0"/>
      <w:marTop w:val="0"/>
      <w:marBottom w:val="0"/>
      <w:divBdr>
        <w:top w:val="none" w:sz="0" w:space="0" w:color="auto"/>
        <w:left w:val="none" w:sz="0" w:space="0" w:color="auto"/>
        <w:bottom w:val="none" w:sz="0" w:space="0" w:color="auto"/>
        <w:right w:val="none" w:sz="0" w:space="0" w:color="auto"/>
      </w:divBdr>
    </w:div>
    <w:div w:id="928545938">
      <w:bodyDiv w:val="1"/>
      <w:marLeft w:val="0"/>
      <w:marRight w:val="0"/>
      <w:marTop w:val="0"/>
      <w:marBottom w:val="0"/>
      <w:divBdr>
        <w:top w:val="none" w:sz="0" w:space="0" w:color="auto"/>
        <w:left w:val="none" w:sz="0" w:space="0" w:color="auto"/>
        <w:bottom w:val="none" w:sz="0" w:space="0" w:color="auto"/>
        <w:right w:val="none" w:sz="0" w:space="0" w:color="auto"/>
      </w:divBdr>
    </w:div>
    <w:div w:id="962810955">
      <w:bodyDiv w:val="1"/>
      <w:marLeft w:val="0"/>
      <w:marRight w:val="0"/>
      <w:marTop w:val="0"/>
      <w:marBottom w:val="0"/>
      <w:divBdr>
        <w:top w:val="none" w:sz="0" w:space="0" w:color="auto"/>
        <w:left w:val="none" w:sz="0" w:space="0" w:color="auto"/>
        <w:bottom w:val="none" w:sz="0" w:space="0" w:color="auto"/>
        <w:right w:val="none" w:sz="0" w:space="0" w:color="auto"/>
      </w:divBdr>
    </w:div>
    <w:div w:id="990206935">
      <w:bodyDiv w:val="1"/>
      <w:marLeft w:val="0"/>
      <w:marRight w:val="0"/>
      <w:marTop w:val="0"/>
      <w:marBottom w:val="0"/>
      <w:divBdr>
        <w:top w:val="none" w:sz="0" w:space="0" w:color="auto"/>
        <w:left w:val="none" w:sz="0" w:space="0" w:color="auto"/>
        <w:bottom w:val="none" w:sz="0" w:space="0" w:color="auto"/>
        <w:right w:val="none" w:sz="0" w:space="0" w:color="auto"/>
      </w:divBdr>
    </w:div>
    <w:div w:id="996112067">
      <w:bodyDiv w:val="1"/>
      <w:marLeft w:val="0"/>
      <w:marRight w:val="0"/>
      <w:marTop w:val="0"/>
      <w:marBottom w:val="0"/>
      <w:divBdr>
        <w:top w:val="none" w:sz="0" w:space="0" w:color="auto"/>
        <w:left w:val="none" w:sz="0" w:space="0" w:color="auto"/>
        <w:bottom w:val="none" w:sz="0" w:space="0" w:color="auto"/>
        <w:right w:val="none" w:sz="0" w:space="0" w:color="auto"/>
      </w:divBdr>
    </w:div>
    <w:div w:id="1028724216">
      <w:bodyDiv w:val="1"/>
      <w:marLeft w:val="0"/>
      <w:marRight w:val="0"/>
      <w:marTop w:val="0"/>
      <w:marBottom w:val="0"/>
      <w:divBdr>
        <w:top w:val="none" w:sz="0" w:space="0" w:color="auto"/>
        <w:left w:val="none" w:sz="0" w:space="0" w:color="auto"/>
        <w:bottom w:val="none" w:sz="0" w:space="0" w:color="auto"/>
        <w:right w:val="none" w:sz="0" w:space="0" w:color="auto"/>
      </w:divBdr>
    </w:div>
    <w:div w:id="1066077028">
      <w:bodyDiv w:val="1"/>
      <w:marLeft w:val="0"/>
      <w:marRight w:val="0"/>
      <w:marTop w:val="0"/>
      <w:marBottom w:val="0"/>
      <w:divBdr>
        <w:top w:val="none" w:sz="0" w:space="0" w:color="auto"/>
        <w:left w:val="none" w:sz="0" w:space="0" w:color="auto"/>
        <w:bottom w:val="none" w:sz="0" w:space="0" w:color="auto"/>
        <w:right w:val="none" w:sz="0" w:space="0" w:color="auto"/>
      </w:divBdr>
    </w:div>
    <w:div w:id="1080372023">
      <w:bodyDiv w:val="1"/>
      <w:marLeft w:val="0"/>
      <w:marRight w:val="0"/>
      <w:marTop w:val="0"/>
      <w:marBottom w:val="0"/>
      <w:divBdr>
        <w:top w:val="none" w:sz="0" w:space="0" w:color="auto"/>
        <w:left w:val="none" w:sz="0" w:space="0" w:color="auto"/>
        <w:bottom w:val="none" w:sz="0" w:space="0" w:color="auto"/>
        <w:right w:val="none" w:sz="0" w:space="0" w:color="auto"/>
      </w:divBdr>
    </w:div>
    <w:div w:id="1086196516">
      <w:bodyDiv w:val="1"/>
      <w:marLeft w:val="0"/>
      <w:marRight w:val="0"/>
      <w:marTop w:val="0"/>
      <w:marBottom w:val="0"/>
      <w:divBdr>
        <w:top w:val="none" w:sz="0" w:space="0" w:color="auto"/>
        <w:left w:val="none" w:sz="0" w:space="0" w:color="auto"/>
        <w:bottom w:val="none" w:sz="0" w:space="0" w:color="auto"/>
        <w:right w:val="none" w:sz="0" w:space="0" w:color="auto"/>
      </w:divBdr>
    </w:div>
    <w:div w:id="1128889679">
      <w:bodyDiv w:val="1"/>
      <w:marLeft w:val="0"/>
      <w:marRight w:val="0"/>
      <w:marTop w:val="0"/>
      <w:marBottom w:val="0"/>
      <w:divBdr>
        <w:top w:val="none" w:sz="0" w:space="0" w:color="auto"/>
        <w:left w:val="none" w:sz="0" w:space="0" w:color="auto"/>
        <w:bottom w:val="none" w:sz="0" w:space="0" w:color="auto"/>
        <w:right w:val="none" w:sz="0" w:space="0" w:color="auto"/>
      </w:divBdr>
    </w:div>
    <w:div w:id="1226181570">
      <w:bodyDiv w:val="1"/>
      <w:marLeft w:val="0"/>
      <w:marRight w:val="0"/>
      <w:marTop w:val="0"/>
      <w:marBottom w:val="0"/>
      <w:divBdr>
        <w:top w:val="none" w:sz="0" w:space="0" w:color="auto"/>
        <w:left w:val="none" w:sz="0" w:space="0" w:color="auto"/>
        <w:bottom w:val="none" w:sz="0" w:space="0" w:color="auto"/>
        <w:right w:val="none" w:sz="0" w:space="0" w:color="auto"/>
      </w:divBdr>
    </w:div>
    <w:div w:id="1229926985">
      <w:bodyDiv w:val="1"/>
      <w:marLeft w:val="0"/>
      <w:marRight w:val="0"/>
      <w:marTop w:val="0"/>
      <w:marBottom w:val="0"/>
      <w:divBdr>
        <w:top w:val="none" w:sz="0" w:space="0" w:color="auto"/>
        <w:left w:val="none" w:sz="0" w:space="0" w:color="auto"/>
        <w:bottom w:val="none" w:sz="0" w:space="0" w:color="auto"/>
        <w:right w:val="none" w:sz="0" w:space="0" w:color="auto"/>
      </w:divBdr>
    </w:div>
    <w:div w:id="1430153774">
      <w:bodyDiv w:val="1"/>
      <w:marLeft w:val="0"/>
      <w:marRight w:val="0"/>
      <w:marTop w:val="0"/>
      <w:marBottom w:val="0"/>
      <w:divBdr>
        <w:top w:val="none" w:sz="0" w:space="0" w:color="auto"/>
        <w:left w:val="none" w:sz="0" w:space="0" w:color="auto"/>
        <w:bottom w:val="none" w:sz="0" w:space="0" w:color="auto"/>
        <w:right w:val="none" w:sz="0" w:space="0" w:color="auto"/>
      </w:divBdr>
    </w:div>
    <w:div w:id="1459687184">
      <w:bodyDiv w:val="1"/>
      <w:marLeft w:val="0"/>
      <w:marRight w:val="0"/>
      <w:marTop w:val="0"/>
      <w:marBottom w:val="0"/>
      <w:divBdr>
        <w:top w:val="none" w:sz="0" w:space="0" w:color="auto"/>
        <w:left w:val="none" w:sz="0" w:space="0" w:color="auto"/>
        <w:bottom w:val="none" w:sz="0" w:space="0" w:color="auto"/>
        <w:right w:val="none" w:sz="0" w:space="0" w:color="auto"/>
      </w:divBdr>
    </w:div>
    <w:div w:id="1476531092">
      <w:bodyDiv w:val="1"/>
      <w:marLeft w:val="0"/>
      <w:marRight w:val="0"/>
      <w:marTop w:val="0"/>
      <w:marBottom w:val="0"/>
      <w:divBdr>
        <w:top w:val="none" w:sz="0" w:space="0" w:color="auto"/>
        <w:left w:val="none" w:sz="0" w:space="0" w:color="auto"/>
        <w:bottom w:val="none" w:sz="0" w:space="0" w:color="auto"/>
        <w:right w:val="none" w:sz="0" w:space="0" w:color="auto"/>
      </w:divBdr>
    </w:div>
    <w:div w:id="1552766136">
      <w:bodyDiv w:val="1"/>
      <w:marLeft w:val="0"/>
      <w:marRight w:val="0"/>
      <w:marTop w:val="0"/>
      <w:marBottom w:val="0"/>
      <w:divBdr>
        <w:top w:val="none" w:sz="0" w:space="0" w:color="auto"/>
        <w:left w:val="none" w:sz="0" w:space="0" w:color="auto"/>
        <w:bottom w:val="none" w:sz="0" w:space="0" w:color="auto"/>
        <w:right w:val="none" w:sz="0" w:space="0" w:color="auto"/>
      </w:divBdr>
    </w:div>
    <w:div w:id="1599291684">
      <w:bodyDiv w:val="1"/>
      <w:marLeft w:val="0"/>
      <w:marRight w:val="0"/>
      <w:marTop w:val="0"/>
      <w:marBottom w:val="0"/>
      <w:divBdr>
        <w:top w:val="none" w:sz="0" w:space="0" w:color="auto"/>
        <w:left w:val="none" w:sz="0" w:space="0" w:color="auto"/>
        <w:bottom w:val="none" w:sz="0" w:space="0" w:color="auto"/>
        <w:right w:val="none" w:sz="0" w:space="0" w:color="auto"/>
      </w:divBdr>
    </w:div>
    <w:div w:id="1619409010">
      <w:bodyDiv w:val="1"/>
      <w:marLeft w:val="0"/>
      <w:marRight w:val="0"/>
      <w:marTop w:val="0"/>
      <w:marBottom w:val="0"/>
      <w:divBdr>
        <w:top w:val="none" w:sz="0" w:space="0" w:color="auto"/>
        <w:left w:val="none" w:sz="0" w:space="0" w:color="auto"/>
        <w:bottom w:val="none" w:sz="0" w:space="0" w:color="auto"/>
        <w:right w:val="none" w:sz="0" w:space="0" w:color="auto"/>
      </w:divBdr>
      <w:divsChild>
        <w:div w:id="1661274021">
          <w:marLeft w:val="0"/>
          <w:marRight w:val="0"/>
          <w:marTop w:val="0"/>
          <w:marBottom w:val="0"/>
          <w:divBdr>
            <w:top w:val="none" w:sz="0" w:space="0" w:color="auto"/>
            <w:left w:val="none" w:sz="0" w:space="0" w:color="auto"/>
            <w:bottom w:val="none" w:sz="0" w:space="0" w:color="auto"/>
            <w:right w:val="none" w:sz="0" w:space="0" w:color="auto"/>
          </w:divBdr>
        </w:div>
      </w:divsChild>
    </w:div>
    <w:div w:id="1713384145">
      <w:bodyDiv w:val="1"/>
      <w:marLeft w:val="0"/>
      <w:marRight w:val="0"/>
      <w:marTop w:val="0"/>
      <w:marBottom w:val="0"/>
      <w:divBdr>
        <w:top w:val="none" w:sz="0" w:space="0" w:color="auto"/>
        <w:left w:val="none" w:sz="0" w:space="0" w:color="auto"/>
        <w:bottom w:val="none" w:sz="0" w:space="0" w:color="auto"/>
        <w:right w:val="none" w:sz="0" w:space="0" w:color="auto"/>
      </w:divBdr>
    </w:div>
    <w:div w:id="1758016547">
      <w:bodyDiv w:val="1"/>
      <w:marLeft w:val="0"/>
      <w:marRight w:val="0"/>
      <w:marTop w:val="0"/>
      <w:marBottom w:val="0"/>
      <w:divBdr>
        <w:top w:val="none" w:sz="0" w:space="0" w:color="auto"/>
        <w:left w:val="none" w:sz="0" w:space="0" w:color="auto"/>
        <w:bottom w:val="none" w:sz="0" w:space="0" w:color="auto"/>
        <w:right w:val="none" w:sz="0" w:space="0" w:color="auto"/>
      </w:divBdr>
    </w:div>
    <w:div w:id="1792627231">
      <w:bodyDiv w:val="1"/>
      <w:marLeft w:val="0"/>
      <w:marRight w:val="0"/>
      <w:marTop w:val="0"/>
      <w:marBottom w:val="0"/>
      <w:divBdr>
        <w:top w:val="none" w:sz="0" w:space="0" w:color="auto"/>
        <w:left w:val="none" w:sz="0" w:space="0" w:color="auto"/>
        <w:bottom w:val="none" w:sz="0" w:space="0" w:color="auto"/>
        <w:right w:val="none" w:sz="0" w:space="0" w:color="auto"/>
      </w:divBdr>
    </w:div>
    <w:div w:id="1807383819">
      <w:bodyDiv w:val="1"/>
      <w:marLeft w:val="0"/>
      <w:marRight w:val="0"/>
      <w:marTop w:val="0"/>
      <w:marBottom w:val="0"/>
      <w:divBdr>
        <w:top w:val="none" w:sz="0" w:space="0" w:color="auto"/>
        <w:left w:val="none" w:sz="0" w:space="0" w:color="auto"/>
        <w:bottom w:val="none" w:sz="0" w:space="0" w:color="auto"/>
        <w:right w:val="none" w:sz="0" w:space="0" w:color="auto"/>
      </w:divBdr>
    </w:div>
    <w:div w:id="1811289851">
      <w:bodyDiv w:val="1"/>
      <w:marLeft w:val="0"/>
      <w:marRight w:val="0"/>
      <w:marTop w:val="0"/>
      <w:marBottom w:val="0"/>
      <w:divBdr>
        <w:top w:val="none" w:sz="0" w:space="0" w:color="auto"/>
        <w:left w:val="none" w:sz="0" w:space="0" w:color="auto"/>
        <w:bottom w:val="none" w:sz="0" w:space="0" w:color="auto"/>
        <w:right w:val="none" w:sz="0" w:space="0" w:color="auto"/>
      </w:divBdr>
    </w:div>
    <w:div w:id="1857423502">
      <w:bodyDiv w:val="1"/>
      <w:marLeft w:val="0"/>
      <w:marRight w:val="0"/>
      <w:marTop w:val="0"/>
      <w:marBottom w:val="0"/>
      <w:divBdr>
        <w:top w:val="none" w:sz="0" w:space="0" w:color="auto"/>
        <w:left w:val="none" w:sz="0" w:space="0" w:color="auto"/>
        <w:bottom w:val="none" w:sz="0" w:space="0" w:color="auto"/>
        <w:right w:val="none" w:sz="0" w:space="0" w:color="auto"/>
      </w:divBdr>
    </w:div>
    <w:div w:id="1866208489">
      <w:bodyDiv w:val="1"/>
      <w:marLeft w:val="0"/>
      <w:marRight w:val="0"/>
      <w:marTop w:val="0"/>
      <w:marBottom w:val="0"/>
      <w:divBdr>
        <w:top w:val="none" w:sz="0" w:space="0" w:color="auto"/>
        <w:left w:val="none" w:sz="0" w:space="0" w:color="auto"/>
        <w:bottom w:val="none" w:sz="0" w:space="0" w:color="auto"/>
        <w:right w:val="none" w:sz="0" w:space="0" w:color="auto"/>
      </w:divBdr>
    </w:div>
    <w:div w:id="1878614310">
      <w:bodyDiv w:val="1"/>
      <w:marLeft w:val="0"/>
      <w:marRight w:val="0"/>
      <w:marTop w:val="0"/>
      <w:marBottom w:val="0"/>
      <w:divBdr>
        <w:top w:val="none" w:sz="0" w:space="0" w:color="auto"/>
        <w:left w:val="none" w:sz="0" w:space="0" w:color="auto"/>
        <w:bottom w:val="none" w:sz="0" w:space="0" w:color="auto"/>
        <w:right w:val="none" w:sz="0" w:space="0" w:color="auto"/>
      </w:divBdr>
    </w:div>
    <w:div w:id="1881891797">
      <w:bodyDiv w:val="1"/>
      <w:marLeft w:val="0"/>
      <w:marRight w:val="0"/>
      <w:marTop w:val="0"/>
      <w:marBottom w:val="0"/>
      <w:divBdr>
        <w:top w:val="none" w:sz="0" w:space="0" w:color="auto"/>
        <w:left w:val="none" w:sz="0" w:space="0" w:color="auto"/>
        <w:bottom w:val="none" w:sz="0" w:space="0" w:color="auto"/>
        <w:right w:val="none" w:sz="0" w:space="0" w:color="auto"/>
      </w:divBdr>
    </w:div>
    <w:div w:id="1925602337">
      <w:bodyDiv w:val="1"/>
      <w:marLeft w:val="0"/>
      <w:marRight w:val="0"/>
      <w:marTop w:val="0"/>
      <w:marBottom w:val="0"/>
      <w:divBdr>
        <w:top w:val="none" w:sz="0" w:space="0" w:color="auto"/>
        <w:left w:val="none" w:sz="0" w:space="0" w:color="auto"/>
        <w:bottom w:val="none" w:sz="0" w:space="0" w:color="auto"/>
        <w:right w:val="none" w:sz="0" w:space="0" w:color="auto"/>
      </w:divBdr>
    </w:div>
    <w:div w:id="1973561676">
      <w:bodyDiv w:val="1"/>
      <w:marLeft w:val="0"/>
      <w:marRight w:val="0"/>
      <w:marTop w:val="0"/>
      <w:marBottom w:val="0"/>
      <w:divBdr>
        <w:top w:val="none" w:sz="0" w:space="0" w:color="auto"/>
        <w:left w:val="none" w:sz="0" w:space="0" w:color="auto"/>
        <w:bottom w:val="none" w:sz="0" w:space="0" w:color="auto"/>
        <w:right w:val="none" w:sz="0" w:space="0" w:color="auto"/>
      </w:divBdr>
    </w:div>
    <w:div w:id="1974168241">
      <w:bodyDiv w:val="1"/>
      <w:marLeft w:val="0"/>
      <w:marRight w:val="0"/>
      <w:marTop w:val="0"/>
      <w:marBottom w:val="0"/>
      <w:divBdr>
        <w:top w:val="none" w:sz="0" w:space="0" w:color="auto"/>
        <w:left w:val="none" w:sz="0" w:space="0" w:color="auto"/>
        <w:bottom w:val="none" w:sz="0" w:space="0" w:color="auto"/>
        <w:right w:val="none" w:sz="0" w:space="0" w:color="auto"/>
      </w:divBdr>
    </w:div>
    <w:div w:id="1997302119">
      <w:bodyDiv w:val="1"/>
      <w:marLeft w:val="0"/>
      <w:marRight w:val="0"/>
      <w:marTop w:val="0"/>
      <w:marBottom w:val="0"/>
      <w:divBdr>
        <w:top w:val="none" w:sz="0" w:space="0" w:color="auto"/>
        <w:left w:val="none" w:sz="0" w:space="0" w:color="auto"/>
        <w:bottom w:val="none" w:sz="0" w:space="0" w:color="auto"/>
        <w:right w:val="none" w:sz="0" w:space="0" w:color="auto"/>
      </w:divBdr>
    </w:div>
    <w:div w:id="2016688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yperlink" Target="https://ec.europa.eu/eurostat/databrowser/bookmark/86272a28-7721-4a8d-8775-bfdcdf0fc1c2?lang=en&amp;createdAt=2026-02-25T15:07:09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c.europa.eu/eurostat/databrowser/bookmark/926b4a08-f177-4101-bd78-799b4cced662?lang=en&amp;createdAt=2026-02-17T09:44:25Z"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13" Type="http://schemas.openxmlformats.org/officeDocument/2006/relationships/hyperlink" Target="https://www.eesc.europa.eu/sites/default/files/2025-06/eu-uk_dags_joint_statement_2025.pdf" TargetMode="External"/><Relationship Id="rId18" Type="http://schemas.openxmlformats.org/officeDocument/2006/relationships/hyperlink" Target="https://pcacases.com/web/sendAttach/70467" TargetMode="External"/><Relationship Id="rId26" Type="http://schemas.openxmlformats.org/officeDocument/2006/relationships/hyperlink" Target="https://ec.europa.eu/eurostat/web/international-trade-in-services/overview" TargetMode="External"/><Relationship Id="rId39" Type="http://schemas.openxmlformats.org/officeDocument/2006/relationships/hyperlink" Target="https://dashboard.tech.ec.europa.eu/qs_digit_dashboard_mt/public/sense/app/1213b8cd-3ebe-4730-b0f5-fa4e326df2e2/sheet/d1435e56-cdee-4f5f-8b0d-f49d41ffbd6c/state/analysis" TargetMode="External"/><Relationship Id="rId21" Type="http://schemas.openxmlformats.org/officeDocument/2006/relationships/hyperlink" Target="https://ec.europa.eu/eurostat/web/international-trade-in-goods/overview" TargetMode="External"/><Relationship Id="rId34" Type="http://schemas.openxmlformats.org/officeDocument/2006/relationships/hyperlink" Target="https://eur-lex.europa.eu/legal-content/PT/TXT/?uri=OJ:L_202502331" TargetMode="External"/><Relationship Id="rId42" Type="http://schemas.openxmlformats.org/officeDocument/2006/relationships/hyperlink" Target="https://www.legislation.gov.uk/ukpga/2022/23" TargetMode="External"/><Relationship Id="rId47" Type="http://schemas.openxmlformats.org/officeDocument/2006/relationships/hyperlink" Target="https://www.legislation.gov.uk/ukpga/2025/34/enacted" TargetMode="External"/><Relationship Id="rId50" Type="http://schemas.openxmlformats.org/officeDocument/2006/relationships/hyperlink" Target="https://eur-lex.europa.eu/legal-content/PT/TXT/HTML/?uri=OJ:L_202501226" TargetMode="External"/><Relationship Id="rId55" Type="http://schemas.openxmlformats.org/officeDocument/2006/relationships/hyperlink" Target="https://eur-lex.europa.eu/legal-content/PT/TXT/?uri=OJ%3AL_202501230" TargetMode="External"/><Relationship Id="rId63" Type="http://schemas.openxmlformats.org/officeDocument/2006/relationships/hyperlink" Target="https://eur-lex.europa.eu/legal-content/PT/TXT/?uri=OJ%3AL_202501230" TargetMode="External"/><Relationship Id="rId7" Type="http://schemas.openxmlformats.org/officeDocument/2006/relationships/hyperlink" Target="http://data.europa.eu/eli/dec/2021/689/oj" TargetMode="External"/><Relationship Id="rId2" Type="http://schemas.openxmlformats.org/officeDocument/2006/relationships/hyperlink" Target="https://eur-lex.europa.eu/legal-content/PT/TXT/?uri=CELEX%3A12019W/TXT%2802%29" TargetMode="External"/><Relationship Id="rId16" Type="http://schemas.openxmlformats.org/officeDocument/2006/relationships/hyperlink" Target="https://ec.europa.eu/assets/sg/complaint_eu_uk_tca/complaints_pt/" TargetMode="External"/><Relationship Id="rId20" Type="http://schemas.openxmlformats.org/officeDocument/2006/relationships/hyperlink" Target="https://policy.trade.ec.europa.eu/enforcement-and-protection/implementing-and-enforcing-eu-trade-agreements_pt" TargetMode="External"/><Relationship Id="rId29" Type="http://schemas.openxmlformats.org/officeDocument/2006/relationships/hyperlink" Target="https://eur-lex.europa.eu/legal-content/PT/TXT/?uri=OJ%3AL_202501230" TargetMode="External"/><Relationship Id="rId41" Type="http://schemas.openxmlformats.org/officeDocument/2006/relationships/hyperlink" Target="https://eur-lex.europa.eu/eli/dec/2025/1286/oj/por" TargetMode="External"/><Relationship Id="rId54" Type="http://schemas.openxmlformats.org/officeDocument/2006/relationships/hyperlink" Target="https://eur-lex.europa.eu/legal-content/PT/TXT/?uri=OJ%3AL_202501229" TargetMode="External"/><Relationship Id="rId62" Type="http://schemas.openxmlformats.org/officeDocument/2006/relationships/hyperlink" Target="https://eur-lex.europa.eu/legal-content/PT/TXT/?uri=OJ%3AL_202501232" TargetMode="External"/><Relationship Id="rId1" Type="http://schemas.openxmlformats.org/officeDocument/2006/relationships/hyperlink" Target="https://www.consilium.europa.eu/media/1edla1hi/eu-uk_joint-statement.pdf" TargetMode="External"/><Relationship Id="rId6" Type="http://schemas.openxmlformats.org/officeDocument/2006/relationships/hyperlink" Target="https://ec.europa.eu/commission/presscorner/detail/pt/statement_25_3103" TargetMode="External"/><Relationship Id="rId11" Type="http://schemas.openxmlformats.org/officeDocument/2006/relationships/hyperlink" Target="https://www.europarl.europa.eu/cmsdata/300310/6th%20PPA%20-%20Recommendation%20on%20trade,%20security%20and%20global%20challenges.pdf" TargetMode="External"/><Relationship Id="rId24" Type="http://schemas.openxmlformats.org/officeDocument/2006/relationships/hyperlink" Target="https://finance.ec.europa.eu/eu-and-world/bilateral-relations/regulatory-dialogues-united-kingdom_pt" TargetMode="External"/><Relationship Id="rId32" Type="http://schemas.openxmlformats.org/officeDocument/2006/relationships/hyperlink" Target="https://eur-lex.europa.eu/legal-content/PT/TXT/?uri=CELEX%3A22025D0705&amp;qid=1756375999645" TargetMode="External"/><Relationship Id="rId37" Type="http://schemas.openxmlformats.org/officeDocument/2006/relationships/hyperlink" Target="https://eur-lex.europa.eu/legal-content/PT/TXT/?uri=OJ:C_202506451" TargetMode="External"/><Relationship Id="rId40" Type="http://schemas.openxmlformats.org/officeDocument/2006/relationships/hyperlink" Target="https://ec.europa.eu/commission/presscorner/detail/pt/statement_25_3103" TargetMode="External"/><Relationship Id="rId45" Type="http://schemas.openxmlformats.org/officeDocument/2006/relationships/hyperlink" Target="https://eur-lex.europa.eu/legal-content/PT/TXT/?uri=celex:52024DC0127" TargetMode="External"/><Relationship Id="rId53" Type="http://schemas.openxmlformats.org/officeDocument/2006/relationships/hyperlink" Target="https://ec.europa.eu/info/strategy/relations-non-eu-countries/relations-united-kingdom/eu-uk-trade-and-cooperation-agreement/meetings-eu-uk-partnership-council-and-specialised-committees-under-trade-and-cooperation-agreement_pt" TargetMode="External"/><Relationship Id="rId58" Type="http://schemas.openxmlformats.org/officeDocument/2006/relationships/hyperlink" Target="https://eur-lex.europa.eu/legal-content/PT/TXT/?uri=OJ:L_202501755" TargetMode="External"/><Relationship Id="rId5" Type="http://schemas.openxmlformats.org/officeDocument/2006/relationships/hyperlink" Target="https://ec.europa.eu/commission/presscorner/detail/pt/statement_25_1267" TargetMode="External"/><Relationship Id="rId15" Type="http://schemas.openxmlformats.org/officeDocument/2006/relationships/hyperlink" Target="https://commission.europa.eu/strategy-and-policy/relations-united-kingdom/eu-uk-trade-and-cooperation-agreement/meetings-eu-uk-partnership-council-and-specialised-committees-under-trade-and-cooperation-agreement/fourth-meeting-partnership-council_pt" TargetMode="External"/><Relationship Id="rId23" Type="http://schemas.openxmlformats.org/officeDocument/2006/relationships/hyperlink" Target="https://finance.ec.europa.eu/system/files/2023-09/230627-memorandum-understanding-financial-services-eu-uk_en.pdf" TargetMode="External"/><Relationship Id="rId28" Type="http://schemas.openxmlformats.org/officeDocument/2006/relationships/hyperlink" Target="https://eur-lex.europa.eu/legal-content/PT/TXT/?uri=OJ%3AL_202501232" TargetMode="External"/><Relationship Id="rId36" Type="http://schemas.openxmlformats.org/officeDocument/2006/relationships/hyperlink" Target="https://eur-lex.europa.eu/legal-content/PT/TXT/?uri=OJ:L_202501231" TargetMode="External"/><Relationship Id="rId49" Type="http://schemas.openxmlformats.org/officeDocument/2006/relationships/hyperlink" Target="https://www.legislation.gov.uk/ukpga/2025/18/contents" TargetMode="External"/><Relationship Id="rId57" Type="http://schemas.openxmlformats.org/officeDocument/2006/relationships/hyperlink" Target="https://eur-lex.europa.eu/legal-content/PT/TXT/?uri=OJ:L_202501231" TargetMode="External"/><Relationship Id="rId61" Type="http://schemas.openxmlformats.org/officeDocument/2006/relationships/hyperlink" Target="https://eur-lex.europa.eu/legal-content/PT/TXT/?uri=OJ:L_202501231" TargetMode="External"/><Relationship Id="rId10" Type="http://schemas.openxmlformats.org/officeDocument/2006/relationships/hyperlink" Target="https://www.europarl.europa.eu/cmsdata/293904/5th%20PPA%20Recommendation%2017.03.25.pdf" TargetMode="External"/><Relationship Id="rId19" Type="http://schemas.openxmlformats.org/officeDocument/2006/relationships/hyperlink" Target="https://eur-lex.europa.eu/legal-content/PT/TXT/HTML/?uri=CELEX:52026PC0089" TargetMode="External"/><Relationship Id="rId31" Type="http://schemas.openxmlformats.org/officeDocument/2006/relationships/hyperlink" Target="https://eur-lex.europa.eu/legal-content/PT/TXT/HTML/?uri=COM:2025:804:FIN" TargetMode="External"/><Relationship Id="rId44" Type="http://schemas.openxmlformats.org/officeDocument/2006/relationships/hyperlink" Target="https://www.legislation.gov.uk/ukpga/2023/39" TargetMode="External"/><Relationship Id="rId52" Type="http://schemas.openxmlformats.org/officeDocument/2006/relationships/hyperlink" Target="https://ec.europa.eu/commission/presscorner/detail/pt/ip_25_3059" TargetMode="External"/><Relationship Id="rId60" Type="http://schemas.openxmlformats.org/officeDocument/2006/relationships/hyperlink" Target="https://eur-lex.europa.eu/legal-content/PT/TXT/?uri=OJ%3AL_202501229" TargetMode="External"/><Relationship Id="rId4" Type="http://schemas.openxmlformats.org/officeDocument/2006/relationships/hyperlink" Target="https://eur-lex.europa.eu/eli/agree_internation/2021/689(1)/oj/por" TargetMode="External"/><Relationship Id="rId9" Type="http://schemas.openxmlformats.org/officeDocument/2006/relationships/hyperlink" Target="https://www.europarl.europa.eu/delegations/pt/d-uk/activities/inter-parliamentary" TargetMode="External"/><Relationship Id="rId14" Type="http://schemas.openxmlformats.org/officeDocument/2006/relationships/hyperlink" Target="https://policy.trade.ec.europa.eu/events/fourth-eu-uk-trade-and-cooperation-agreement-civil-society-forum-2025-06-24_pt" TargetMode="External"/><Relationship Id="rId22" Type="http://schemas.openxmlformats.org/officeDocument/2006/relationships/hyperlink" Target="https://www.gov.uk/service-supplier-visa/eligibility" TargetMode="External"/><Relationship Id="rId27" Type="http://schemas.openxmlformats.org/officeDocument/2006/relationships/hyperlink" Target="https://ec.europa.eu/commission/presscorner/detail/pt/ip_26_454" TargetMode="External"/><Relationship Id="rId30" Type="http://schemas.openxmlformats.org/officeDocument/2006/relationships/hyperlink" Target="https://eur-lex.europa.eu/legal-content/PT/TXT/?uri=CELEX%3A22025D0706&amp;qid=1756374227559" TargetMode="External"/><Relationship Id="rId35" Type="http://schemas.openxmlformats.org/officeDocument/2006/relationships/hyperlink" Target="https://eur-lex.europa.eu/legal-content/PT/TXT/?uri=OJ%3AL_202501229" TargetMode="External"/><Relationship Id="rId43" Type="http://schemas.openxmlformats.org/officeDocument/2006/relationships/hyperlink" Target="https://www.legislation.gov.uk/uksi/2025/845/made" TargetMode="External"/><Relationship Id="rId48" Type="http://schemas.openxmlformats.org/officeDocument/2006/relationships/hyperlink" Target="https://www.legislation.gov.uk/ukpga/2025/20" TargetMode="External"/><Relationship Id="rId56" Type="http://schemas.openxmlformats.org/officeDocument/2006/relationships/hyperlink" Target="https://eur-lex.europa.eu/legal-content/PT/TXT/?uri=OJ%3AL_202501232" TargetMode="External"/><Relationship Id="rId8" Type="http://schemas.openxmlformats.org/officeDocument/2006/relationships/hyperlink" Target="https://www.europarl.europa.eu/delegations/pt/5th-eu-uk-parliamentary-partnership-asse/product-details/20250224DPU39839" TargetMode="External"/><Relationship Id="rId51" Type="http://schemas.openxmlformats.org/officeDocument/2006/relationships/hyperlink" Target="https://commission.europa.eu/document/download/6f636fa0-30d4-4c05-a713-64484ad913fa_en?filename=Draft%20Renewal%20of%20EU%20adequacy%20decision%20for%20the%20UK%20under%20the%20GDPR.pdf" TargetMode="External"/><Relationship Id="rId3" Type="http://schemas.openxmlformats.org/officeDocument/2006/relationships/hyperlink" Target="https://commission.europa.eu/publications/windsor-political-declaration-european-commission-and-government-united-kingdom_pt" TargetMode="External"/><Relationship Id="rId12" Type="http://schemas.openxmlformats.org/officeDocument/2006/relationships/hyperlink" Target="https://www.eesc.europa.eu/pt/sections-other-bodies/other/eu-domestic-advisory-group-under-eu-uk-tca" TargetMode="External"/><Relationship Id="rId17" Type="http://schemas.openxmlformats.org/officeDocument/2006/relationships/hyperlink" Target="https://trade.ec.europa.eu/access-to-markets/pt/content/ponto-de-entrada-unico-0" TargetMode="External"/><Relationship Id="rId25" Type="http://schemas.openxmlformats.org/officeDocument/2006/relationships/hyperlink" Target="https://ec.europa.eu/eurostat/web/balance-of-payments/overview" TargetMode="External"/><Relationship Id="rId33" Type="http://schemas.openxmlformats.org/officeDocument/2006/relationships/hyperlink" Target="https://eur-lex.europa.eu/legal-content/PT/TXT/?uri=CELEX:22025D2330" TargetMode="External"/><Relationship Id="rId38" Type="http://schemas.openxmlformats.org/officeDocument/2006/relationships/hyperlink" Target="https://dashboard.tech.ec.europa.eu/qs_digit_dashboard_mt/public/sense/app/1213b8cd-3ebe-4730-b0f5-fa4e326df2e2/sheet/d1435e56-cdee-4f5f-8b0d-f49d41ffbd6c/state/analysis" TargetMode="External"/><Relationship Id="rId46" Type="http://schemas.openxmlformats.org/officeDocument/2006/relationships/hyperlink" Target="https://www.legislation.gov.uk/ukpga/2025/16" TargetMode="External"/><Relationship Id="rId59" Type="http://schemas.openxmlformats.org/officeDocument/2006/relationships/hyperlink" Target="https://eur-lex.europa.eu/legal-content/PT/TXT/?uri=OJ:L_2025023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80B7F-CE54-4A69-A798-02F46CB9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23</Pages>
  <Words>7276</Words>
  <Characters>41479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33</cp:revision>
  <dcterms:created xsi:type="dcterms:W3CDTF">2026-02-27T16:54:00Z</dcterms:created>
  <dcterms:modified xsi:type="dcterms:W3CDTF">2026-04-14T07:22:00Z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2026-02-24T14:23:38Z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b404b842-8c11-4793-bab3-dfd3af284c6f</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Last edited using">
    <vt:lpwstr>LW 9.2, Build 20250828</vt:lpwstr>
  </property>
  <property fmtid="{D5CDD505-2E9C-101B-9397-08002B2CF9AE}" pid="12" name="DocStatus">
    <vt:lpwstr>Green</vt:lpwstr>
  </property>
  <property fmtid="{D5CDD505-2E9C-101B-9397-08002B2CF9AE}" pid="13" name="Part">
    <vt:lpwstr>1</vt:lpwstr>
  </property>
  <property fmtid="{D5CDD505-2E9C-101B-9397-08002B2CF9AE}" pid="14" name="Total parts">
    <vt:lpwstr>1</vt:lpwstr>
  </property>
  <property fmtid="{D5CDD505-2E9C-101B-9397-08002B2CF9AE}" pid="15" name="CPTemplateID">
    <vt:lpwstr>CP-006</vt:lpwstr>
  </property>
  <property name="OP_sanitized" fmtid="{D5CDD505-2E9C-101B-9397-08002B2CF9AE}" pid="16">
    <vt:lpwstr>True</vt:lpwstr>
  </property>
</Properties>
</file>